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DD76E">
      <w:pPr>
        <w:ind w:left="-315" w:leftChars="-15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 xml:space="preserve"> </w:t>
      </w:r>
    </w:p>
    <w:p w14:paraId="0B3F881F">
      <w:pPr>
        <w:ind w:left="-315" w:leftChars="-150"/>
        <w:jc w:val="center"/>
        <w:outlineLvl w:val="0"/>
        <w:rPr>
          <w:rFonts w:hint="eastAsia" w:ascii="宋体" w:hAnsi="宋体" w:eastAsia="宋体" w:cs="宋体"/>
          <w:b/>
          <w:bCs/>
          <w:color w:val="auto"/>
          <w:kern w:val="0"/>
          <w:sz w:val="52"/>
          <w:szCs w:val="52"/>
          <w:highlight w:val="none"/>
          <w:lang w:eastAsia="zh-CN" w:bidi="ar"/>
        </w:rPr>
      </w:pPr>
      <w:r>
        <w:rPr>
          <w:rFonts w:hint="eastAsia" w:ascii="宋体" w:hAnsi="宋体" w:eastAsia="宋体" w:cs="宋体"/>
          <w:b/>
          <w:bCs/>
          <w:color w:val="auto"/>
          <w:kern w:val="0"/>
          <w:sz w:val="52"/>
          <w:szCs w:val="52"/>
          <w:highlight w:val="none"/>
          <w:lang w:eastAsia="zh-CN" w:bidi="ar"/>
        </w:rPr>
        <w:t xml:space="preserve"> 南通轨道交通2号线一期体育公园站</w:t>
      </w:r>
    </w:p>
    <w:p w14:paraId="79ECCA49">
      <w:pPr>
        <w:ind w:left="-315" w:leftChars="-150"/>
        <w:jc w:val="center"/>
        <w:outlineLvl w:val="0"/>
        <w:rPr>
          <w:rFonts w:hint="eastAsia" w:ascii="宋体" w:hAnsi="宋体" w:eastAsia="宋体" w:cs="宋体"/>
          <w:b/>
          <w:bCs/>
          <w:color w:val="auto"/>
          <w:kern w:val="0"/>
          <w:sz w:val="52"/>
          <w:szCs w:val="52"/>
          <w:highlight w:val="none"/>
          <w:lang w:eastAsia="zh-CN" w:bidi="ar"/>
        </w:rPr>
      </w:pPr>
      <w:r>
        <w:rPr>
          <w:rFonts w:hint="eastAsia" w:ascii="宋体" w:hAnsi="宋体" w:eastAsia="宋体" w:cs="宋体"/>
          <w:b/>
          <w:bCs/>
          <w:color w:val="auto"/>
          <w:kern w:val="0"/>
          <w:sz w:val="52"/>
          <w:szCs w:val="52"/>
          <w:highlight w:val="none"/>
          <w:lang w:eastAsia="zh-CN" w:bidi="ar"/>
        </w:rPr>
        <w:t>地面驿站出租项目</w:t>
      </w:r>
    </w:p>
    <w:p w14:paraId="2A88C8B4">
      <w:pPr>
        <w:bidi w:val="0"/>
        <w:rPr>
          <w:rFonts w:hint="eastAsia" w:ascii="宋体" w:hAnsi="宋体" w:eastAsia="宋体" w:cs="宋体"/>
          <w:highlight w:val="none"/>
          <w:lang w:val="en-US" w:eastAsia="zh-CN"/>
        </w:rPr>
      </w:pPr>
    </w:p>
    <w:p w14:paraId="3F7D34D0">
      <w:pPr>
        <w:ind w:left="-315" w:leftChars="-150"/>
        <w:jc w:val="center"/>
        <w:rPr>
          <w:rFonts w:hint="eastAsia" w:ascii="宋体" w:hAnsi="宋体" w:eastAsia="宋体" w:cs="宋体"/>
          <w:b/>
          <w:bCs/>
          <w:color w:val="auto"/>
          <w:sz w:val="52"/>
          <w:szCs w:val="52"/>
          <w:highlight w:val="none"/>
        </w:rPr>
      </w:pPr>
    </w:p>
    <w:p w14:paraId="322D558D">
      <w:pPr>
        <w:rPr>
          <w:rFonts w:hint="eastAsia" w:ascii="宋体" w:hAnsi="宋体" w:eastAsia="宋体" w:cs="宋体"/>
          <w:color w:val="auto"/>
          <w:highlight w:val="none"/>
        </w:rPr>
      </w:pPr>
    </w:p>
    <w:p w14:paraId="625ADFB3">
      <w:pPr>
        <w:jc w:val="center"/>
        <w:rPr>
          <w:rFonts w:hint="eastAsia" w:ascii="宋体" w:hAnsi="宋体" w:eastAsia="宋体" w:cs="宋体"/>
          <w:b/>
          <w:bCs/>
          <w:color w:val="auto"/>
          <w:sz w:val="52"/>
          <w:szCs w:val="52"/>
          <w:highlight w:val="none"/>
        </w:rPr>
      </w:pPr>
    </w:p>
    <w:p w14:paraId="0B8D13DF">
      <w:pPr>
        <w:ind w:left="-315" w:leftChars="-15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lang w:eastAsia="zh-CN"/>
        </w:rPr>
        <w:t>招租</w:t>
      </w:r>
      <w:r>
        <w:rPr>
          <w:rFonts w:hint="eastAsia" w:ascii="宋体" w:hAnsi="宋体" w:eastAsia="宋体" w:cs="宋体"/>
          <w:b/>
          <w:bCs/>
          <w:color w:val="auto"/>
          <w:sz w:val="52"/>
          <w:szCs w:val="52"/>
          <w:highlight w:val="none"/>
        </w:rPr>
        <w:t>文件</w:t>
      </w:r>
    </w:p>
    <w:p w14:paraId="4E34E99B">
      <w:pPr>
        <w:tabs>
          <w:tab w:val="left" w:pos="6431"/>
        </w:tabs>
        <w:rPr>
          <w:rFonts w:hint="eastAsia" w:ascii="宋体" w:hAnsi="宋体" w:eastAsia="宋体" w:cs="宋体"/>
          <w:b/>
          <w:bCs/>
          <w:color w:val="auto"/>
          <w:sz w:val="84"/>
          <w:highlight w:val="none"/>
        </w:rPr>
      </w:pPr>
      <w:r>
        <w:rPr>
          <w:rFonts w:hint="eastAsia" w:ascii="宋体" w:hAnsi="宋体" w:eastAsia="宋体" w:cs="宋体"/>
          <w:b/>
          <w:bCs/>
          <w:color w:val="auto"/>
          <w:sz w:val="84"/>
          <w:highlight w:val="none"/>
        </w:rPr>
        <w:tab/>
      </w:r>
    </w:p>
    <w:p w14:paraId="588CB9C4">
      <w:pPr>
        <w:ind w:firstLine="600" w:firstLineChars="200"/>
        <w:rPr>
          <w:rFonts w:hint="eastAsia" w:ascii="宋体" w:hAnsi="宋体" w:eastAsia="宋体" w:cs="宋体"/>
          <w:bCs/>
          <w:color w:val="auto"/>
          <w:sz w:val="30"/>
          <w:szCs w:val="30"/>
          <w:highlight w:val="none"/>
        </w:rPr>
      </w:pPr>
    </w:p>
    <w:p w14:paraId="55BCAB50">
      <w:pPr>
        <w:tabs>
          <w:tab w:val="left" w:pos="8715"/>
        </w:tabs>
        <w:ind w:firstLine="600" w:firstLineChars="200"/>
        <w:rPr>
          <w:rFonts w:hint="eastAsia" w:ascii="宋体" w:hAnsi="宋体" w:eastAsia="宋体" w:cs="宋体"/>
          <w:bCs/>
          <w:color w:val="auto"/>
          <w:sz w:val="30"/>
          <w:szCs w:val="30"/>
          <w:highlight w:val="none"/>
        </w:rPr>
      </w:pPr>
    </w:p>
    <w:p w14:paraId="64FA8A5F">
      <w:pPr>
        <w:tabs>
          <w:tab w:val="left" w:pos="8715"/>
        </w:tabs>
        <w:ind w:left="0" w:leftChars="0" w:firstLine="1257" w:firstLineChars="419"/>
        <w:jc w:val="both"/>
        <w:rPr>
          <w:rFonts w:hint="eastAsia" w:ascii="宋体" w:hAnsi="宋体" w:eastAsia="宋体" w:cs="宋体"/>
          <w:bCs/>
          <w:color w:val="auto"/>
          <w:sz w:val="30"/>
          <w:szCs w:val="30"/>
          <w:highlight w:val="none"/>
          <w:lang w:val="en-US" w:eastAsia="zh-CN"/>
        </w:rPr>
      </w:pPr>
    </w:p>
    <w:p w14:paraId="15AE7C8D">
      <w:pPr>
        <w:tabs>
          <w:tab w:val="left" w:pos="8715"/>
        </w:tabs>
        <w:ind w:left="0" w:leftChars="0" w:firstLine="1677" w:firstLineChars="559"/>
        <w:jc w:val="both"/>
        <w:rPr>
          <w:rFonts w:hint="eastAsia" w:ascii="宋体" w:hAnsi="宋体" w:eastAsia="宋体" w:cs="宋体"/>
          <w:bCs/>
          <w:color w:val="auto"/>
          <w:sz w:val="30"/>
          <w:szCs w:val="30"/>
          <w:highlight w:val="none"/>
          <w:lang w:val="en-US" w:eastAsia="zh-CN"/>
        </w:rPr>
      </w:pPr>
    </w:p>
    <w:p w14:paraId="300978C3">
      <w:pPr>
        <w:tabs>
          <w:tab w:val="left" w:pos="8715"/>
        </w:tabs>
        <w:ind w:left="0" w:leftChars="0" w:firstLine="1677" w:firstLineChars="559"/>
        <w:jc w:val="both"/>
        <w:rPr>
          <w:rFonts w:hint="eastAsia" w:ascii="宋体" w:hAnsi="宋体" w:eastAsia="宋体" w:cs="宋体"/>
          <w:bCs/>
          <w:color w:val="auto"/>
          <w:sz w:val="30"/>
          <w:szCs w:val="30"/>
          <w:highlight w:val="none"/>
          <w:lang w:val="en-US" w:eastAsia="zh-CN"/>
        </w:rPr>
      </w:pPr>
    </w:p>
    <w:p w14:paraId="2B008F05">
      <w:pPr>
        <w:tabs>
          <w:tab w:val="left" w:pos="8715"/>
        </w:tabs>
        <w:ind w:left="0" w:leftChars="0" w:firstLine="1677" w:firstLineChars="559"/>
        <w:jc w:val="both"/>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lang w:val="en-US" w:eastAsia="zh-CN"/>
        </w:rPr>
        <w:t>出 租 方</w:t>
      </w:r>
      <w:r>
        <w:rPr>
          <w:rFonts w:hint="eastAsia" w:ascii="宋体" w:hAnsi="宋体" w:eastAsia="宋体" w:cs="宋体"/>
          <w:bCs/>
          <w:color w:val="auto"/>
          <w:sz w:val="30"/>
          <w:szCs w:val="30"/>
          <w:highlight w:val="none"/>
        </w:rPr>
        <w:t>：</w:t>
      </w:r>
      <w:r>
        <w:rPr>
          <w:rFonts w:hint="eastAsia" w:ascii="宋体" w:hAnsi="宋体" w:eastAsia="宋体" w:cs="宋体"/>
          <w:bCs/>
          <w:color w:val="auto"/>
          <w:sz w:val="30"/>
          <w:szCs w:val="30"/>
          <w:highlight w:val="none"/>
          <w:lang w:val="en-US" w:eastAsia="zh-CN"/>
        </w:rPr>
        <w:t>南通轨道资源开发有限公司</w:t>
      </w:r>
    </w:p>
    <w:p w14:paraId="4EEEC7D8">
      <w:pPr>
        <w:tabs>
          <w:tab w:val="left" w:pos="8715"/>
        </w:tabs>
        <w:ind w:left="0" w:leftChars="0" w:firstLine="1677" w:firstLineChars="559"/>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代理机构：</w:t>
      </w:r>
      <w:r>
        <w:rPr>
          <w:rFonts w:hint="eastAsia" w:ascii="宋体" w:hAnsi="宋体" w:eastAsia="宋体" w:cs="宋体"/>
          <w:bCs/>
          <w:color w:val="auto"/>
          <w:sz w:val="30"/>
          <w:szCs w:val="30"/>
          <w:highlight w:val="none"/>
          <w:lang w:val="en-US" w:eastAsia="zh-CN"/>
        </w:rPr>
        <w:t>山东国盛项目管理有限公司</w:t>
      </w:r>
    </w:p>
    <w:p w14:paraId="5E030A2B">
      <w:pPr>
        <w:ind w:left="0" w:leftChars="0" w:firstLine="1677" w:firstLineChars="559"/>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日    期：</w:t>
      </w:r>
      <w:r>
        <w:rPr>
          <w:rFonts w:hint="eastAsia" w:ascii="宋体" w:hAnsi="宋体" w:eastAsia="宋体" w:cs="宋体"/>
          <w:bCs/>
          <w:color w:val="auto"/>
          <w:sz w:val="30"/>
          <w:szCs w:val="30"/>
          <w:highlight w:val="none"/>
          <w:lang w:eastAsia="zh-CN"/>
        </w:rPr>
        <w:t>202</w:t>
      </w:r>
      <w:r>
        <w:rPr>
          <w:rFonts w:hint="eastAsia" w:ascii="宋体" w:hAnsi="宋体" w:eastAsia="宋体" w:cs="宋体"/>
          <w:bCs/>
          <w:color w:val="auto"/>
          <w:sz w:val="30"/>
          <w:szCs w:val="30"/>
          <w:highlight w:val="none"/>
          <w:lang w:val="en-US" w:eastAsia="zh-CN"/>
        </w:rPr>
        <w:t>6</w:t>
      </w:r>
      <w:r>
        <w:rPr>
          <w:rFonts w:hint="eastAsia" w:ascii="宋体" w:hAnsi="宋体" w:eastAsia="宋体" w:cs="宋体"/>
          <w:bCs/>
          <w:color w:val="auto"/>
          <w:sz w:val="30"/>
          <w:szCs w:val="30"/>
          <w:highlight w:val="none"/>
          <w:lang w:eastAsia="zh-CN"/>
        </w:rPr>
        <w:t>年</w:t>
      </w:r>
      <w:r>
        <w:rPr>
          <w:rFonts w:hint="eastAsia" w:ascii="宋体" w:hAnsi="宋体" w:eastAsia="宋体" w:cs="宋体"/>
          <w:bCs/>
          <w:color w:val="auto"/>
          <w:sz w:val="30"/>
          <w:szCs w:val="30"/>
          <w:highlight w:val="none"/>
          <w:lang w:val="en-US" w:eastAsia="zh-CN"/>
        </w:rPr>
        <w:t>5</w:t>
      </w:r>
      <w:r>
        <w:rPr>
          <w:rFonts w:hint="eastAsia" w:ascii="宋体" w:hAnsi="宋体" w:eastAsia="宋体" w:cs="宋体"/>
          <w:bCs/>
          <w:color w:val="auto"/>
          <w:sz w:val="30"/>
          <w:szCs w:val="30"/>
          <w:highlight w:val="none"/>
        </w:rPr>
        <w:t>月</w:t>
      </w:r>
    </w:p>
    <w:p w14:paraId="413AE76B">
      <w:pPr>
        <w:ind w:left="0" w:leftChars="0" w:firstLine="1571" w:firstLineChars="559"/>
        <w:jc w:val="center"/>
        <w:rPr>
          <w:rFonts w:hint="eastAsia" w:ascii="宋体" w:hAnsi="宋体" w:eastAsia="宋体" w:cs="宋体"/>
          <w:b/>
          <w:bCs/>
          <w:color w:val="auto"/>
          <w:sz w:val="28"/>
          <w:szCs w:val="28"/>
          <w:highlight w:val="none"/>
          <w:lang w:val="en-US" w:eastAsia="zh-CN"/>
        </w:rPr>
        <w:sectPr>
          <w:headerReference r:id="rId5" w:type="default"/>
          <w:footerReference r:id="rId6" w:type="default"/>
          <w:pgSz w:w="11906" w:h="16838"/>
          <w:pgMar w:top="1440" w:right="1066" w:bottom="1440" w:left="1800" w:header="851" w:footer="992" w:gutter="0"/>
          <w:cols w:space="425" w:num="1"/>
          <w:docGrid w:type="lines" w:linePitch="312" w:charSpace="0"/>
        </w:sectPr>
      </w:pPr>
    </w:p>
    <w:sdt>
      <w:sdtPr>
        <w:rPr>
          <w:rFonts w:hint="eastAsia" w:ascii="宋体" w:hAnsi="宋体" w:eastAsia="宋体" w:cs="宋体"/>
          <w:kern w:val="2"/>
          <w:sz w:val="21"/>
          <w:szCs w:val="21"/>
          <w:highlight w:val="none"/>
          <w:lang w:val="en-US" w:eastAsia="zh-CN" w:bidi="ar-SA"/>
        </w:rPr>
        <w:id w:val="147451027"/>
        <w15:color w:val="DBDBDB"/>
        <w:docPartObj>
          <w:docPartGallery w:val="Table of Contents"/>
          <w:docPartUnique/>
        </w:docPartObj>
      </w:sdtPr>
      <w:sdtEndPr>
        <w:rPr>
          <w:rFonts w:hint="eastAsia" w:ascii="宋体" w:hAnsi="宋体" w:eastAsia="宋体" w:cs="宋体"/>
          <w:b/>
          <w:kern w:val="2"/>
          <w:sz w:val="21"/>
          <w:szCs w:val="21"/>
          <w:highlight w:val="none"/>
          <w:lang w:val="en-US" w:eastAsia="zh-CN" w:bidi="ar-SA"/>
        </w:rPr>
      </w:sdtEndPr>
      <w:sdtContent>
        <w:p w14:paraId="7226496A">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目录</w:t>
          </w:r>
        </w:p>
        <w:p w14:paraId="75C2D427">
          <w:pPr>
            <w:pStyle w:val="24"/>
            <w:tabs>
              <w:tab w:val="right" w:leader="dot" w:pos="8306"/>
            </w:tabs>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TOC \o "1-2" \h \u </w:instrText>
          </w:r>
          <w:r>
            <w:rPr>
              <w:rFonts w:hint="eastAsia" w:ascii="宋体" w:hAnsi="宋体" w:eastAsia="宋体" w:cs="宋体"/>
              <w:sz w:val="21"/>
              <w:szCs w:val="21"/>
              <w:highlight w:val="none"/>
            </w:rPr>
            <w:fldChar w:fldCharType="separate"/>
          </w: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HYPERLINK \l _Toc30481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lang w:eastAsia="zh-CN"/>
            </w:rPr>
            <w:t xml:space="preserve"> 南通轨道交通2号线一期体育公园站地面驿站出租项目招租</w:t>
          </w:r>
          <w:r>
            <w:rPr>
              <w:rFonts w:hint="eastAsia" w:ascii="宋体" w:hAnsi="宋体" w:eastAsia="宋体" w:cs="宋体"/>
              <w:b/>
              <w:sz w:val="21"/>
              <w:szCs w:val="21"/>
              <w:highlight w:val="none"/>
            </w:rPr>
            <w:t>公告</w:t>
          </w:r>
          <w:r>
            <w:rPr>
              <w:rFonts w:hint="eastAsia" w:ascii="宋体" w:hAnsi="宋体" w:eastAsia="宋体" w:cs="宋体"/>
              <w:b/>
              <w:sz w:val="21"/>
              <w:szCs w:val="21"/>
              <w:highlight w:val="none"/>
            </w:rPr>
            <w:tab/>
          </w: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PAGEREF _Toc30481 \h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1</w:t>
          </w:r>
          <w:r>
            <w:rPr>
              <w:rFonts w:hint="eastAsia" w:ascii="宋体" w:hAnsi="宋体" w:eastAsia="宋体" w:cs="宋体"/>
              <w:b/>
              <w:sz w:val="21"/>
              <w:szCs w:val="21"/>
              <w:highlight w:val="none"/>
            </w:rPr>
            <w:fldChar w:fldCharType="end"/>
          </w:r>
          <w:r>
            <w:rPr>
              <w:rFonts w:hint="eastAsia" w:ascii="宋体" w:hAnsi="宋体" w:eastAsia="宋体" w:cs="宋体"/>
              <w:b/>
              <w:sz w:val="21"/>
              <w:szCs w:val="21"/>
              <w:highlight w:val="none"/>
            </w:rPr>
            <w:fldChar w:fldCharType="end"/>
          </w:r>
        </w:p>
        <w:p w14:paraId="15F656C2">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_Toc14418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一、项目概况</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_Toc14418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8705E13">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_Toc2882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二、出租标的基本情况</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_Toc2882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6BBF109">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_Toc393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三、对承租方的要求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_Toc393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238B8FB">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_Toc30686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四、租金价格及支付要求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_Toc30686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0B5C86B">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_Toc22030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五、交易保证金</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_Toc22030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B2866BC">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_Toc19804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六、招租流程</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_Toc19804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C0413C1">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_Toc14197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七、其它要求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_Toc14197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C50AC3E">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_Toc10082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八、竞选文件须提供材料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_Toc10082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82FDC2A">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_Toc16863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九、</w:t>
          </w:r>
          <w:r>
            <w:rPr>
              <w:rFonts w:hint="eastAsia" w:ascii="宋体" w:hAnsi="宋体" w:eastAsia="宋体" w:cs="宋体"/>
              <w:bCs/>
              <w:sz w:val="21"/>
              <w:szCs w:val="21"/>
              <w:highlight w:val="none"/>
            </w:rPr>
            <w:t>联系方式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_Toc16863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EFC3EA6">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_Toc5317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附件1：驿站信息汇总表</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_Toc5317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5</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12209924">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_Toc20846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附件2：驿站落位图</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_Toc20846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6</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6E126861">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_Toc26130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附件3. 竞选须知</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_Toc26130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7</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42A03C73">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_Toc18490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一、竞选文件编制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_Toc18490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9D20222">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_Toc443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二、交易保证金</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_Toc443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D18FFC4">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_Toc13501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三、竞选文件递交要求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_Toc13501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97BE6CC">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_Toc16089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四、开标时间</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_Toc16089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71B155A">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_Toc12815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五、评审规则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_Toc12815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EA499D0">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_Toc29438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六、合同签订</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_Toc29438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FF7E489">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_Toc13036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七、经营相关要求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_Toc13036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AADF630">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_Toc21998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八、其它要求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_Toc21998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A07D40E">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_Toc4080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附件4：合同主要条款</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_Toc4080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11</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1AC29B4B">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_Toc30100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附件5-1. 竞选文件格式（法人版）</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_Toc30100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35</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01483F21">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_Toc2117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附件5-2. 竞选文件格式（自然人版）</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_Toc2117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40</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7EDDC65B">
          <w:pPr>
            <w:spacing w:line="360" w:lineRule="auto"/>
            <w:rPr>
              <w:rFonts w:hint="eastAsia" w:ascii="宋体" w:hAnsi="宋体" w:eastAsia="宋体" w:cs="宋体"/>
              <w:highlight w:val="none"/>
            </w:rPr>
          </w:pPr>
          <w:r>
            <w:rPr>
              <w:rFonts w:hint="eastAsia" w:ascii="宋体" w:hAnsi="宋体" w:eastAsia="宋体" w:cs="宋体"/>
              <w:b/>
              <w:sz w:val="21"/>
              <w:szCs w:val="21"/>
              <w:highlight w:val="none"/>
            </w:rPr>
            <w:fldChar w:fldCharType="end"/>
          </w:r>
        </w:p>
      </w:sdtContent>
    </w:sdt>
    <w:p w14:paraId="33D091D5">
      <w:pPr>
        <w:pStyle w:val="3"/>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eastAsia="宋体" w:cs="宋体"/>
          <w:color w:val="auto"/>
          <w:highlight w:val="none"/>
          <w:lang w:eastAsia="zh-CN"/>
        </w:rPr>
        <w:sectPr>
          <w:headerReference r:id="rId7" w:type="default"/>
          <w:footerReference r:id="rId8" w:type="default"/>
          <w:pgSz w:w="11906" w:h="16838"/>
          <w:pgMar w:top="1440" w:right="1800" w:bottom="1440" w:left="1800" w:header="851" w:footer="992" w:gutter="0"/>
          <w:pgNumType w:fmt="decimal" w:start="1"/>
          <w:cols w:space="720" w:num="1"/>
          <w:docGrid w:type="lines" w:linePitch="312" w:charSpace="0"/>
        </w:sectPr>
      </w:pPr>
      <w:bookmarkStart w:id="0" w:name="_Toc30481"/>
    </w:p>
    <w:p w14:paraId="6F14EB33">
      <w:pPr>
        <w:pStyle w:val="3"/>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 xml:space="preserve"> 南通轨道交通2号线一期体育公园站地面驿站出租项目招租</w:t>
      </w:r>
      <w:r>
        <w:rPr>
          <w:rFonts w:hint="eastAsia" w:ascii="宋体" w:hAnsi="宋体" w:eastAsia="宋体" w:cs="宋体"/>
          <w:color w:val="auto"/>
          <w:highlight w:val="none"/>
        </w:rPr>
        <w:t>公告</w:t>
      </w:r>
      <w:bookmarkEnd w:id="0"/>
    </w:p>
    <w:p w14:paraId="16564B10">
      <w:pPr>
        <w:pStyle w:val="4"/>
        <w:bidi w:val="0"/>
        <w:rPr>
          <w:rFonts w:hint="eastAsia" w:ascii="宋体" w:hAnsi="宋体" w:eastAsia="宋体" w:cs="宋体"/>
          <w:b/>
          <w:bCs/>
          <w:color w:val="auto"/>
          <w:sz w:val="21"/>
          <w:szCs w:val="21"/>
          <w:highlight w:val="none"/>
        </w:rPr>
      </w:pPr>
      <w:bookmarkStart w:id="1" w:name="_Toc14418"/>
      <w:r>
        <w:rPr>
          <w:rFonts w:hint="eastAsia" w:ascii="宋体" w:hAnsi="宋体" w:eastAsia="宋体" w:cs="宋体"/>
          <w:b/>
          <w:bCs/>
          <w:color w:val="auto"/>
          <w:sz w:val="21"/>
          <w:szCs w:val="21"/>
          <w:highlight w:val="none"/>
          <w:lang w:val="en-US" w:eastAsia="zh-CN"/>
        </w:rPr>
        <w:t>一、项目概况</w:t>
      </w:r>
      <w:bookmarkEnd w:id="1"/>
      <w:r>
        <w:rPr>
          <w:rFonts w:hint="eastAsia" w:ascii="宋体" w:hAnsi="宋体" w:eastAsia="宋体" w:cs="宋体"/>
          <w:b/>
          <w:bCs/>
          <w:color w:val="auto"/>
          <w:sz w:val="21"/>
          <w:szCs w:val="21"/>
          <w:highlight w:val="none"/>
          <w:lang w:val="en-US" w:eastAsia="zh-CN"/>
        </w:rPr>
        <w:t xml:space="preserve"> </w:t>
      </w:r>
    </w:p>
    <w:p w14:paraId="70F2FAB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出租方：南通轨道资源开发有限公司 </w:t>
      </w:r>
    </w:p>
    <w:p w14:paraId="2AAF354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出租标的：南通轨道交通2号线一期体育公园站105号驿站，详见附件 1。 </w:t>
      </w:r>
    </w:p>
    <w:p w14:paraId="66779E9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交易方式：公开挂牌招租。只征集到一家符合条件的意向承租方时，按意向承租方报价出租；征集到两家或两家以上符合条件的意向承租方时，由出租方采取竞价方式确定承租方。 </w:t>
      </w:r>
    </w:p>
    <w:p w14:paraId="6AC8318C">
      <w:pPr>
        <w:pStyle w:val="4"/>
        <w:bidi w:val="0"/>
        <w:rPr>
          <w:rFonts w:hint="eastAsia" w:ascii="宋体" w:hAnsi="宋体" w:eastAsia="宋体" w:cs="宋体"/>
          <w:b/>
          <w:bCs/>
          <w:color w:val="auto"/>
          <w:sz w:val="21"/>
          <w:szCs w:val="21"/>
          <w:highlight w:val="none"/>
          <w:lang w:val="en-US" w:eastAsia="zh-CN"/>
        </w:rPr>
      </w:pPr>
      <w:bookmarkStart w:id="2" w:name="_Toc2882"/>
      <w:r>
        <w:rPr>
          <w:rFonts w:hint="eastAsia" w:ascii="宋体" w:hAnsi="宋体" w:eastAsia="宋体" w:cs="宋体"/>
          <w:b/>
          <w:bCs/>
          <w:color w:val="auto"/>
          <w:sz w:val="21"/>
          <w:szCs w:val="21"/>
          <w:highlight w:val="none"/>
          <w:lang w:val="en-US" w:eastAsia="zh-CN"/>
        </w:rPr>
        <w:t>二、出租标的基本情况</w:t>
      </w:r>
      <w:bookmarkEnd w:id="2"/>
      <w:r>
        <w:rPr>
          <w:rFonts w:hint="eastAsia" w:ascii="宋体" w:hAnsi="宋体" w:eastAsia="宋体" w:cs="宋体"/>
          <w:b/>
          <w:bCs/>
          <w:color w:val="auto"/>
          <w:sz w:val="21"/>
          <w:szCs w:val="21"/>
          <w:highlight w:val="none"/>
          <w:lang w:val="en-US" w:eastAsia="zh-CN"/>
        </w:rPr>
        <w:t xml:space="preserve"> </w:t>
      </w:r>
    </w:p>
    <w:p w14:paraId="3B6C03D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坐落位置：南通地铁2号线体育公园站，具体位置详见附件 1 和附件 2 </w:t>
      </w:r>
    </w:p>
    <w:p w14:paraId="4E597AF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出租面积：详见附件 1 </w:t>
      </w:r>
    </w:p>
    <w:p w14:paraId="33AE72F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出租用途：商业 </w:t>
      </w:r>
    </w:p>
    <w:p w14:paraId="6A1F998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业态条件：详见附件 1 </w:t>
      </w:r>
    </w:p>
    <w:p w14:paraId="20035C1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 附属设施：详见附件 1 </w:t>
      </w:r>
    </w:p>
    <w:p w14:paraId="333D7B0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6.（1）装修程度：详见附件 1 </w:t>
      </w:r>
    </w:p>
    <w:p w14:paraId="5D96142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（2）目前租赁状态：详见附件 1，房产移交由出租方负责。</w:t>
      </w:r>
    </w:p>
    <w:p w14:paraId="5621120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 有无房产证：无</w:t>
      </w:r>
    </w:p>
    <w:p w14:paraId="698CE748">
      <w:pPr>
        <w:pStyle w:val="4"/>
        <w:bidi w:val="0"/>
        <w:rPr>
          <w:rFonts w:hint="eastAsia" w:ascii="宋体" w:hAnsi="宋体" w:eastAsia="宋体" w:cs="宋体"/>
          <w:b/>
          <w:bCs/>
          <w:color w:val="auto"/>
          <w:sz w:val="21"/>
          <w:szCs w:val="21"/>
          <w:highlight w:val="none"/>
          <w:lang w:val="en-US" w:eastAsia="zh-CN"/>
        </w:rPr>
      </w:pPr>
      <w:bookmarkStart w:id="3" w:name="_Toc393"/>
      <w:r>
        <w:rPr>
          <w:rFonts w:hint="eastAsia" w:ascii="宋体" w:hAnsi="宋体" w:eastAsia="宋体" w:cs="宋体"/>
          <w:b/>
          <w:bCs/>
          <w:color w:val="auto"/>
          <w:sz w:val="21"/>
          <w:szCs w:val="21"/>
          <w:highlight w:val="none"/>
          <w:lang w:val="en-US" w:eastAsia="zh-CN"/>
        </w:rPr>
        <w:t>三、对承租方的要求</w:t>
      </w:r>
      <w:bookmarkEnd w:id="3"/>
      <w:r>
        <w:rPr>
          <w:rFonts w:hint="eastAsia" w:ascii="宋体" w:hAnsi="宋体" w:eastAsia="宋体" w:cs="宋体"/>
          <w:b/>
          <w:bCs/>
          <w:color w:val="auto"/>
          <w:sz w:val="21"/>
          <w:szCs w:val="21"/>
          <w:highlight w:val="none"/>
          <w:lang w:val="en-US" w:eastAsia="zh-CN"/>
        </w:rPr>
        <w:t xml:space="preserve"> </w:t>
      </w:r>
    </w:p>
    <w:p w14:paraId="24A7384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意向承租方须为具有完全民事行为能力的自然人或法人。 </w:t>
      </w:r>
    </w:p>
    <w:p w14:paraId="57EE4D5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意向承租方须提交盖章确认（法人）或签字按手印（自然人）的《承诺函》（详见附件 5）。 </w:t>
      </w:r>
    </w:p>
    <w:p w14:paraId="685747D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意向承租方须信用良好，在“信用中国”平台中没有不良记录。 </w:t>
      </w:r>
    </w:p>
    <w:p w14:paraId="0F9C9BB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意向承租方承租本标的后不得转租，不得用于非法金融业务，不得出现违反公序良俗的行为。 </w:t>
      </w:r>
    </w:p>
    <w:p w14:paraId="76D5E2F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 不接受联合体报名。 </w:t>
      </w:r>
    </w:p>
    <w:p w14:paraId="1CC3AD25">
      <w:pPr>
        <w:pStyle w:val="4"/>
        <w:numPr>
          <w:ilvl w:val="0"/>
          <w:numId w:val="0"/>
        </w:numPr>
        <w:bidi w:val="0"/>
        <w:rPr>
          <w:rFonts w:hint="eastAsia" w:ascii="宋体" w:hAnsi="宋体" w:eastAsia="宋体" w:cs="宋体"/>
          <w:b/>
          <w:bCs/>
          <w:color w:val="auto"/>
          <w:sz w:val="21"/>
          <w:szCs w:val="21"/>
          <w:highlight w:val="none"/>
          <w:lang w:val="en-US" w:eastAsia="zh-CN"/>
        </w:rPr>
      </w:pPr>
      <w:bookmarkStart w:id="4" w:name="_Toc30686"/>
      <w:r>
        <w:rPr>
          <w:rFonts w:hint="eastAsia" w:ascii="宋体" w:hAnsi="宋体" w:eastAsia="宋体" w:cs="宋体"/>
          <w:b/>
          <w:bCs/>
          <w:color w:val="auto"/>
          <w:sz w:val="21"/>
          <w:szCs w:val="21"/>
          <w:highlight w:val="none"/>
          <w:lang w:val="en-US" w:eastAsia="zh-CN"/>
        </w:rPr>
        <w:t>四、租金价格及支付要求</w:t>
      </w:r>
      <w:bookmarkEnd w:id="4"/>
    </w:p>
    <w:p w14:paraId="37A1AFE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 出租年限：2年。</w:t>
      </w:r>
    </w:p>
    <w:p w14:paraId="1D57995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 租金价格：详见附件1，意向承租方报价不得低于租金底价。</w:t>
      </w:r>
    </w:p>
    <w:p w14:paraId="03EF72E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 租金支付方式：先付后用，按半年付。</w:t>
      </w:r>
    </w:p>
    <w:p w14:paraId="5B00E8A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 履约保证金：成交首年金额的25%，缴纳形式为现金。</w:t>
      </w:r>
    </w:p>
    <w:p w14:paraId="7DEC4CA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 经营项目范围内的水、电等为有偿使用，其费用由承租方自行承担。水、电等费用，按南通轨道交通规定的商业收费标准计算费用。</w:t>
      </w:r>
    </w:p>
    <w:p w14:paraId="33BB2EE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 物业管理费：0.5元/天/平。</w:t>
      </w:r>
    </w:p>
    <w:p w14:paraId="7490CE2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 免租期：1个月，若合同正常履约满一年且乙方无任何违约行为，则经乙方书面申请，在第</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期费用中直接减免，否则按原租金金额全额计取。</w:t>
      </w:r>
    </w:p>
    <w:p w14:paraId="01776609">
      <w:pPr>
        <w:pStyle w:val="4"/>
        <w:bidi w:val="0"/>
        <w:rPr>
          <w:rFonts w:hint="eastAsia" w:ascii="宋体" w:hAnsi="宋体" w:eastAsia="宋体" w:cs="宋体"/>
          <w:b/>
          <w:bCs/>
          <w:color w:val="auto"/>
          <w:sz w:val="21"/>
          <w:szCs w:val="21"/>
          <w:highlight w:val="none"/>
          <w:lang w:val="en-US" w:eastAsia="zh-CN"/>
        </w:rPr>
      </w:pPr>
      <w:bookmarkStart w:id="5" w:name="_Toc22030"/>
      <w:r>
        <w:rPr>
          <w:rFonts w:hint="eastAsia" w:ascii="宋体" w:hAnsi="宋体" w:eastAsia="宋体" w:cs="宋体"/>
          <w:b/>
          <w:bCs/>
          <w:color w:val="auto"/>
          <w:sz w:val="21"/>
          <w:szCs w:val="21"/>
          <w:highlight w:val="none"/>
          <w:lang w:val="en-US" w:eastAsia="zh-CN"/>
        </w:rPr>
        <w:t>五、交易保证金</w:t>
      </w:r>
      <w:bookmarkEnd w:id="5"/>
      <w:r>
        <w:rPr>
          <w:rFonts w:hint="eastAsia" w:ascii="宋体" w:hAnsi="宋体" w:eastAsia="宋体" w:cs="宋体"/>
          <w:b/>
          <w:bCs/>
          <w:color w:val="auto"/>
          <w:sz w:val="21"/>
          <w:szCs w:val="21"/>
          <w:highlight w:val="none"/>
          <w:lang w:val="en-US" w:eastAsia="zh-CN"/>
        </w:rPr>
        <w:t xml:space="preserve"> </w:t>
      </w:r>
    </w:p>
    <w:p w14:paraId="6615758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金额为3000元/标的，意向承租方须在2026年</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22</w:t>
      </w:r>
      <w:r>
        <w:rPr>
          <w:rFonts w:hint="eastAsia" w:ascii="宋体" w:hAnsi="宋体" w:eastAsia="宋体" w:cs="宋体"/>
          <w:color w:val="auto"/>
          <w:kern w:val="0"/>
          <w:sz w:val="21"/>
          <w:szCs w:val="21"/>
          <w:highlight w:val="none"/>
          <w:lang w:val="en-US" w:eastAsia="zh-CN" w:bidi="ar"/>
        </w:rPr>
        <w:t>日9时30分（北京时间，下同）前交至指定账户（以到达账户时间为准，遇法定节假日顺延），</w:t>
      </w:r>
      <w:r>
        <w:rPr>
          <w:rFonts w:hint="eastAsia" w:ascii="宋体" w:hAnsi="宋体" w:eastAsia="宋体" w:cs="宋体"/>
          <w:b/>
          <w:bCs/>
          <w:color w:val="auto"/>
          <w:kern w:val="0"/>
          <w:sz w:val="21"/>
          <w:szCs w:val="21"/>
          <w:highlight w:val="none"/>
          <w:lang w:val="en-US" w:eastAsia="zh-CN" w:bidi="ar"/>
        </w:rPr>
        <w:t>逾期将不能取得竞租资格</w:t>
      </w:r>
      <w:r>
        <w:rPr>
          <w:rFonts w:hint="eastAsia" w:ascii="宋体" w:hAnsi="宋体" w:eastAsia="宋体" w:cs="宋体"/>
          <w:color w:val="auto"/>
          <w:kern w:val="0"/>
          <w:sz w:val="21"/>
          <w:szCs w:val="21"/>
          <w:highlight w:val="none"/>
          <w:lang w:val="en-US" w:eastAsia="zh-CN" w:bidi="ar"/>
        </w:rPr>
        <w:t>。</w:t>
      </w:r>
    </w:p>
    <w:p w14:paraId="2A4647B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保证金交纳方式：竞选人若为企业法人，须采用现金或本票或保函或保险或担保或数字人民币或从企业基本账户以银行转账等形式交纳保证金；竞选人若为自然人，以个人的名义交纳保证金的形式为现金或本票或保函或保险或担保或数字人民币或银行转账等。禁止第三方代缴保证金或以其他方式交纳。交纳保证金时须</w:t>
      </w:r>
      <w:r>
        <w:rPr>
          <w:rFonts w:hint="eastAsia" w:ascii="宋体" w:hAnsi="宋体" w:eastAsia="宋体" w:cs="宋体"/>
          <w:b/>
          <w:bCs/>
          <w:color w:val="auto"/>
          <w:kern w:val="0"/>
          <w:sz w:val="21"/>
          <w:szCs w:val="21"/>
          <w:highlight w:val="none"/>
          <w:lang w:val="en-US" w:eastAsia="zh-CN" w:bidi="ar"/>
        </w:rPr>
        <w:t>备注“105号驿站交易保证金”。</w:t>
      </w:r>
      <w:r>
        <w:rPr>
          <w:rFonts w:hint="eastAsia" w:ascii="宋体" w:hAnsi="宋体" w:eastAsia="宋体" w:cs="宋体"/>
          <w:color w:val="auto"/>
          <w:kern w:val="0"/>
          <w:sz w:val="21"/>
          <w:szCs w:val="21"/>
          <w:highlight w:val="none"/>
          <w:lang w:val="en-US" w:eastAsia="zh-CN" w:bidi="ar"/>
        </w:rPr>
        <w:t>竞选人以银行转账方式交纳保证金的，若确定为承租方，其保证金转为履约保证金。</w:t>
      </w:r>
    </w:p>
    <w:p w14:paraId="0168ED3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bookmarkStart w:id="6" w:name="_Toc20965"/>
      <w:r>
        <w:rPr>
          <w:rFonts w:hint="eastAsia" w:ascii="宋体" w:hAnsi="宋体" w:eastAsia="宋体" w:cs="宋体"/>
          <w:b/>
          <w:bCs/>
          <w:color w:val="auto"/>
          <w:kern w:val="0"/>
          <w:sz w:val="21"/>
          <w:szCs w:val="21"/>
          <w:highlight w:val="none"/>
          <w:lang w:val="en-US" w:eastAsia="zh-CN" w:bidi="ar"/>
        </w:rPr>
        <w:t>户名：南通轨道资源开发有限公司</w:t>
      </w:r>
      <w:bookmarkEnd w:id="6"/>
    </w:p>
    <w:p w14:paraId="694BD44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账号：326008602011000291381</w:t>
      </w:r>
    </w:p>
    <w:p w14:paraId="09E432D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开户银行：交通银行南通分行营业部</w:t>
      </w:r>
    </w:p>
    <w:p w14:paraId="2DE02BB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交易保证金退还及其他要求详见附件3竞选须知。</w:t>
      </w:r>
    </w:p>
    <w:p w14:paraId="0E7D1EC3">
      <w:pPr>
        <w:pStyle w:val="4"/>
        <w:bidi w:val="0"/>
        <w:rPr>
          <w:rFonts w:hint="eastAsia" w:ascii="宋体" w:hAnsi="宋体" w:eastAsia="宋体" w:cs="宋体"/>
          <w:b/>
          <w:bCs/>
          <w:sz w:val="21"/>
          <w:szCs w:val="21"/>
          <w:highlight w:val="none"/>
          <w:lang w:val="en-US" w:eastAsia="zh-CN"/>
        </w:rPr>
      </w:pPr>
      <w:bookmarkStart w:id="7" w:name="_Toc19804"/>
      <w:r>
        <w:rPr>
          <w:rFonts w:hint="eastAsia" w:ascii="宋体" w:hAnsi="宋体" w:eastAsia="宋体" w:cs="宋体"/>
          <w:b/>
          <w:bCs/>
          <w:sz w:val="21"/>
          <w:szCs w:val="21"/>
          <w:highlight w:val="none"/>
          <w:lang w:val="en-US" w:eastAsia="zh-CN"/>
        </w:rPr>
        <w:t>六、招租流程</w:t>
      </w:r>
      <w:bookmarkEnd w:id="7"/>
      <w:r>
        <w:rPr>
          <w:rFonts w:hint="eastAsia" w:ascii="宋体" w:hAnsi="宋体" w:eastAsia="宋体" w:cs="宋体"/>
          <w:b/>
          <w:bCs/>
          <w:sz w:val="21"/>
          <w:szCs w:val="21"/>
          <w:highlight w:val="none"/>
          <w:lang w:val="en-US" w:eastAsia="zh-CN"/>
        </w:rPr>
        <w:t xml:space="preserve"> </w:t>
      </w:r>
    </w:p>
    <w:p w14:paraId="09D90B8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 出租方通过南通市公共资源交易网（http://zfcg.nantong.gov.cn/）、南通轨道交通官网（https://www.ntrailway.com/）发布招租信息，挂牌期限为2026年</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val="en-US" w:eastAsia="zh-CN" w:bidi="ar"/>
        </w:rPr>
        <w:t>日至2026年</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21</w:t>
      </w:r>
      <w:r>
        <w:rPr>
          <w:rFonts w:hint="eastAsia" w:ascii="宋体" w:hAnsi="宋体" w:eastAsia="宋体" w:cs="宋体"/>
          <w:color w:val="auto"/>
          <w:kern w:val="0"/>
          <w:sz w:val="21"/>
          <w:szCs w:val="21"/>
          <w:highlight w:val="none"/>
          <w:lang w:val="en-US" w:eastAsia="zh-CN" w:bidi="ar"/>
        </w:rPr>
        <w:t>日。信息不一致的，以南通市公共资源交易平台发布为准。</w:t>
      </w:r>
    </w:p>
    <w:p w14:paraId="40A2D9D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意向承租方至出租方进行信息咨询、缴纳交易保证金、递交竞选文件。 </w:t>
      </w:r>
    </w:p>
    <w:p w14:paraId="7EAF414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挂牌期满后，意向承租方在规定的时间内递交竞选文件，出租方按照招租文件规定的要求进行组织开标。</w:t>
      </w:r>
      <w:r>
        <w:rPr>
          <w:rFonts w:hint="eastAsia" w:ascii="宋体" w:hAnsi="宋体" w:eastAsia="宋体" w:cs="宋体"/>
          <w:b/>
          <w:bCs/>
          <w:color w:val="auto"/>
          <w:kern w:val="0"/>
          <w:sz w:val="21"/>
          <w:szCs w:val="21"/>
          <w:highlight w:val="none"/>
          <w:lang w:val="en-US" w:eastAsia="zh-CN" w:bidi="ar"/>
        </w:rPr>
        <w:t>竞选文件的编制要求和地点等内容详见附件 4</w:t>
      </w:r>
      <w:r>
        <w:rPr>
          <w:rFonts w:hint="eastAsia" w:ascii="宋体" w:hAnsi="宋体" w:eastAsia="宋体" w:cs="宋体"/>
          <w:color w:val="auto"/>
          <w:kern w:val="0"/>
          <w:sz w:val="21"/>
          <w:szCs w:val="21"/>
          <w:highlight w:val="none"/>
          <w:lang w:val="en-US" w:eastAsia="zh-CN" w:bidi="ar"/>
        </w:rPr>
        <w:t xml:space="preserve">。 </w:t>
      </w:r>
    </w:p>
    <w:p w14:paraId="6D2977D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3.1竞选文件递交起止时间：</w:t>
      </w:r>
      <w:r>
        <w:rPr>
          <w:rFonts w:hint="eastAsia" w:ascii="宋体" w:hAnsi="宋体" w:eastAsia="宋体" w:cs="宋体"/>
          <w:color w:val="auto"/>
          <w:kern w:val="0"/>
          <w:sz w:val="21"/>
          <w:szCs w:val="21"/>
          <w:highlight w:val="none"/>
          <w:u w:val="single"/>
          <w:lang w:val="en-US" w:eastAsia="zh-CN" w:bidi="ar"/>
        </w:rPr>
        <w:t>2026年</w:t>
      </w:r>
      <w:r>
        <w:rPr>
          <w:rFonts w:hint="eastAsia" w:ascii="宋体" w:hAnsi="宋体" w:cs="宋体"/>
          <w:color w:val="auto"/>
          <w:kern w:val="0"/>
          <w:sz w:val="21"/>
          <w:szCs w:val="21"/>
          <w:highlight w:val="none"/>
          <w:u w:val="single"/>
          <w:lang w:val="en-US" w:eastAsia="zh-CN" w:bidi="ar"/>
        </w:rPr>
        <w:t>5</w:t>
      </w:r>
      <w:r>
        <w:rPr>
          <w:rFonts w:hint="eastAsia" w:ascii="宋体" w:hAnsi="宋体" w:eastAsia="宋体" w:cs="宋体"/>
          <w:color w:val="auto"/>
          <w:kern w:val="0"/>
          <w:sz w:val="21"/>
          <w:szCs w:val="21"/>
          <w:highlight w:val="none"/>
          <w:u w:val="single"/>
          <w:lang w:val="en-US" w:eastAsia="zh-CN" w:bidi="ar"/>
        </w:rPr>
        <w:t>月</w:t>
      </w:r>
      <w:r>
        <w:rPr>
          <w:rFonts w:hint="eastAsia" w:ascii="宋体" w:hAnsi="宋体" w:cs="宋体"/>
          <w:color w:val="auto"/>
          <w:kern w:val="0"/>
          <w:sz w:val="21"/>
          <w:szCs w:val="21"/>
          <w:highlight w:val="none"/>
          <w:u w:val="single"/>
          <w:lang w:val="en-US" w:eastAsia="zh-CN" w:bidi="ar"/>
        </w:rPr>
        <w:t>22</w:t>
      </w:r>
      <w:r>
        <w:rPr>
          <w:rFonts w:hint="eastAsia" w:ascii="宋体" w:hAnsi="宋体" w:eastAsia="宋体" w:cs="宋体"/>
          <w:color w:val="auto"/>
          <w:kern w:val="0"/>
          <w:sz w:val="21"/>
          <w:szCs w:val="21"/>
          <w:highlight w:val="none"/>
          <w:u w:val="single"/>
          <w:lang w:val="en-US" w:eastAsia="zh-CN" w:bidi="ar"/>
        </w:rPr>
        <w:t>日9时00分-9时30分</w:t>
      </w:r>
      <w:r>
        <w:rPr>
          <w:rFonts w:hint="eastAsia" w:ascii="宋体" w:hAnsi="宋体" w:eastAsia="宋体" w:cs="宋体"/>
          <w:color w:val="auto"/>
          <w:kern w:val="0"/>
          <w:sz w:val="21"/>
          <w:szCs w:val="21"/>
          <w:highlight w:val="none"/>
          <w:lang w:val="en-US" w:eastAsia="zh-CN" w:bidi="ar"/>
        </w:rPr>
        <w:t>。</w:t>
      </w:r>
    </w:p>
    <w:p w14:paraId="2CA70EB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3.2竞选文件递交地点：</w:t>
      </w:r>
      <w:r>
        <w:rPr>
          <w:rFonts w:hint="eastAsia" w:ascii="宋体" w:hAnsi="宋体" w:eastAsia="宋体" w:cs="宋体"/>
          <w:color w:val="auto"/>
          <w:kern w:val="0"/>
          <w:sz w:val="21"/>
          <w:szCs w:val="21"/>
          <w:highlight w:val="none"/>
          <w:u w:val="single"/>
          <w:lang w:val="en-US" w:eastAsia="zh-CN" w:bidi="ar"/>
        </w:rPr>
        <w:t>南通市崇川区崇川路158号15楼1506开标</w:t>
      </w:r>
      <w:r>
        <w:rPr>
          <w:rFonts w:hint="eastAsia" w:ascii="宋体" w:hAnsi="宋体" w:eastAsia="宋体" w:cs="宋体"/>
          <w:color w:val="auto"/>
          <w:highlight w:val="none"/>
          <w:u w:val="single"/>
          <w:lang w:val="en-US" w:eastAsia="zh-CN"/>
        </w:rPr>
        <w:t>室</w:t>
      </w:r>
      <w:r>
        <w:rPr>
          <w:rFonts w:hint="eastAsia" w:ascii="宋体" w:hAnsi="宋体" w:eastAsia="宋体" w:cs="宋体"/>
          <w:color w:val="auto"/>
          <w:kern w:val="0"/>
          <w:sz w:val="21"/>
          <w:szCs w:val="21"/>
          <w:highlight w:val="none"/>
          <w:lang w:val="en-US" w:eastAsia="zh-CN" w:bidi="ar"/>
        </w:rPr>
        <w:t>。</w:t>
      </w:r>
    </w:p>
    <w:p w14:paraId="0CEFC0D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3.3逾期送达的或者未送达指定地点的竞选文件，出租方不予受理。</w:t>
      </w:r>
    </w:p>
    <w:p w14:paraId="77A810F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出租方向中选承租方发出中选通知书。 </w:t>
      </w:r>
    </w:p>
    <w:p w14:paraId="28C38E5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 承租方缴纳履约保证金、与出租方签订租赁合同（合同范本详见附件 </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xml:space="preserve">）、办理驿站交接等。 </w:t>
      </w:r>
    </w:p>
    <w:p w14:paraId="1CFF8511">
      <w:pPr>
        <w:pStyle w:val="4"/>
        <w:bidi w:val="0"/>
        <w:rPr>
          <w:rFonts w:hint="eastAsia" w:ascii="宋体" w:hAnsi="宋体" w:eastAsia="宋体" w:cs="宋体"/>
          <w:color w:val="auto"/>
          <w:sz w:val="21"/>
          <w:szCs w:val="21"/>
          <w:highlight w:val="none"/>
        </w:rPr>
      </w:pPr>
      <w:bookmarkStart w:id="8" w:name="_Toc14197"/>
      <w:r>
        <w:rPr>
          <w:rFonts w:hint="eastAsia" w:ascii="宋体" w:hAnsi="宋体" w:eastAsia="宋体" w:cs="宋体"/>
          <w:b/>
          <w:bCs/>
          <w:color w:val="auto"/>
          <w:sz w:val="21"/>
          <w:szCs w:val="21"/>
          <w:highlight w:val="none"/>
          <w:lang w:val="en-US" w:eastAsia="zh-CN"/>
        </w:rPr>
        <w:t>七、其它要求</w:t>
      </w:r>
      <w:bookmarkEnd w:id="8"/>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bidi="ar"/>
        </w:rPr>
        <w:t xml:space="preserve"> </w:t>
      </w:r>
    </w:p>
    <w:p w14:paraId="28DF745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 本次出租标的为分别出租。 </w:t>
      </w:r>
    </w:p>
    <w:p w14:paraId="02559A2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 经营业态：不限。</w:t>
      </w:r>
    </w:p>
    <w:p w14:paraId="1A8617C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 经营范围：驿站内部的使用权及驿站门头的使用权。</w:t>
      </w:r>
    </w:p>
    <w:p w14:paraId="6A71110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 驿站交付状态：现状交付，详见附件1驿站信息汇总表。对于承租方提出的供电量增容、上/下水增设、排污排烟增设需求，出租方均无法满足，承租方不得提出异议。（详见附件1）</w:t>
      </w:r>
    </w:p>
    <w:p w14:paraId="0511AD5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 意向承租方如被确定为承租方，出租方将向承租方发放中选通知书。自中选通知书发出之日起 7 日内，承租方须缴纳租赁押金（履约保证金）；自收到租赁押金（履约保证金）之日起30个工作日内签订合同。承租方未按时足额缴纳租赁押金（履约保证金）或逾期不与出租方签订合同的，出租方有权取消其中选资格并没收交易保证金。</w:t>
      </w:r>
    </w:p>
    <w:p w14:paraId="29955D9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 承租方承租后签订合同时，需同时签订项目安全协议、项目廉政公约。</w:t>
      </w:r>
    </w:p>
    <w:p w14:paraId="7C308CC9">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 承租方在对驿站进行装修施工前，须按照出租方规定办理完成装修审批手续，在获得出租方批准后方可开始对商铺进行装修施工。否则，出租方将按租赁合同约定追究承租方的违约责任。（具体要求详见附件 4《合同主要条款》）。</w:t>
      </w:r>
    </w:p>
    <w:p w14:paraId="1BBA65D1">
      <w:pPr>
        <w:pStyle w:val="4"/>
        <w:bidi w:val="0"/>
        <w:rPr>
          <w:rFonts w:hint="eastAsia" w:ascii="宋体" w:hAnsi="宋体" w:eastAsia="宋体" w:cs="宋体"/>
          <w:b/>
          <w:bCs/>
          <w:color w:val="auto"/>
          <w:sz w:val="21"/>
          <w:szCs w:val="21"/>
          <w:highlight w:val="none"/>
          <w:lang w:val="en-US" w:eastAsia="zh-CN"/>
        </w:rPr>
      </w:pPr>
      <w:bookmarkStart w:id="9" w:name="_Toc10082"/>
      <w:r>
        <w:rPr>
          <w:rFonts w:hint="eastAsia" w:ascii="宋体" w:hAnsi="宋体" w:eastAsia="宋体" w:cs="宋体"/>
          <w:b/>
          <w:bCs/>
          <w:color w:val="auto"/>
          <w:sz w:val="21"/>
          <w:szCs w:val="21"/>
          <w:highlight w:val="none"/>
          <w:lang w:val="en-US" w:eastAsia="zh-CN"/>
        </w:rPr>
        <w:t>八、竞选文件须提供材料</w:t>
      </w:r>
      <w:bookmarkEnd w:id="9"/>
    </w:p>
    <w:p w14:paraId="2D59CBF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如意向承租方为法人则提交：</w:t>
      </w:r>
      <w:r>
        <w:rPr>
          <w:rFonts w:hint="eastAsia" w:ascii="宋体" w:hAnsi="宋体" w:eastAsia="宋体" w:cs="宋体"/>
          <w:color w:val="auto"/>
          <w:kern w:val="0"/>
          <w:sz w:val="21"/>
          <w:szCs w:val="21"/>
          <w:highlight w:val="none"/>
          <w:lang w:val="en-US" w:eastAsia="zh-CN" w:bidi="ar"/>
        </w:rPr>
        <w:t>（详见附件 5-1竞选文件格式（法人版））</w:t>
      </w:r>
    </w:p>
    <w:p w14:paraId="65C4215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授权委托书 </w:t>
      </w:r>
    </w:p>
    <w:p w14:paraId="61D3CDE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营业执照 </w:t>
      </w:r>
    </w:p>
    <w:p w14:paraId="3B7CB2B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承诺书</w:t>
      </w:r>
    </w:p>
    <w:p w14:paraId="52C8686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 经营业态</w:t>
      </w:r>
    </w:p>
    <w:p w14:paraId="695C0CB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 报价函</w:t>
      </w:r>
    </w:p>
    <w:p w14:paraId="54CF0AA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lang w:val="en-US" w:eastAsia="zh-CN" w:bidi="ar"/>
        </w:rPr>
        <w:t>6. 交易保证金</w:t>
      </w:r>
    </w:p>
    <w:p w14:paraId="42302AD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如意向承租方为自然人则提交：</w:t>
      </w:r>
      <w:r>
        <w:rPr>
          <w:rFonts w:hint="eastAsia" w:ascii="宋体" w:hAnsi="宋体" w:eastAsia="宋体" w:cs="宋体"/>
          <w:color w:val="auto"/>
          <w:kern w:val="0"/>
          <w:sz w:val="21"/>
          <w:szCs w:val="21"/>
          <w:highlight w:val="none"/>
          <w:lang w:val="en-US" w:eastAsia="zh-CN" w:bidi="ar"/>
        </w:rPr>
        <w:t>（详见附件 5-2竞选文件格式（自然人版））</w:t>
      </w:r>
    </w:p>
    <w:p w14:paraId="2053FA23">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授权委托书 </w:t>
      </w:r>
    </w:p>
    <w:p w14:paraId="2291BE59">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身份证复印件</w:t>
      </w:r>
    </w:p>
    <w:p w14:paraId="3AA6914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承诺书</w:t>
      </w:r>
    </w:p>
    <w:p w14:paraId="57D5F79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 经营业态</w:t>
      </w:r>
    </w:p>
    <w:p w14:paraId="7495F46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bookmarkStart w:id="10" w:name="_Toc16863"/>
      <w:bookmarkStart w:id="11" w:name="_Toc28369"/>
      <w:bookmarkStart w:id="12" w:name="_Toc2657"/>
      <w:bookmarkStart w:id="13" w:name="_Toc13184"/>
      <w:bookmarkStart w:id="14" w:name="_Toc10003"/>
      <w:bookmarkStart w:id="15" w:name="_Toc4026"/>
      <w:r>
        <w:rPr>
          <w:rFonts w:hint="eastAsia" w:ascii="宋体" w:hAnsi="宋体" w:eastAsia="宋体" w:cs="宋体"/>
          <w:color w:val="auto"/>
          <w:kern w:val="0"/>
          <w:sz w:val="21"/>
          <w:szCs w:val="21"/>
          <w:highlight w:val="none"/>
          <w:lang w:val="en-US" w:eastAsia="zh-CN" w:bidi="ar"/>
        </w:rPr>
        <w:t>5. 报价函</w:t>
      </w:r>
    </w:p>
    <w:p w14:paraId="7B6A4AB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lang w:val="en-US" w:eastAsia="zh-CN" w:bidi="ar"/>
        </w:rPr>
        <w:t>6. 交易保证金</w:t>
      </w:r>
    </w:p>
    <w:p w14:paraId="1A85FFE4">
      <w:pPr>
        <w:pStyle w:val="4"/>
        <w:bidi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联系方式</w:t>
      </w:r>
      <w:bookmarkEnd w:id="10"/>
    </w:p>
    <w:bookmarkEnd w:id="11"/>
    <w:bookmarkEnd w:id="12"/>
    <w:bookmarkEnd w:id="13"/>
    <w:bookmarkEnd w:id="14"/>
    <w:bookmarkEnd w:id="15"/>
    <w:p w14:paraId="5DBC3FFA">
      <w:pPr>
        <w:ind w:left="-439" w:leftChars="-209" w:right="-748" w:rightChars="-356" w:firstLine="858" w:firstLineChars="4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出租方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FFFFFF"/>
          <w:lang w:eastAsia="zh-CN"/>
        </w:rPr>
        <w:t>南通轨道资源开发有限公司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9AA6AD5">
      <w:pPr>
        <w:ind w:left="-439" w:leftChars="-209" w:right="-748" w:rightChars="-356" w:firstLine="858" w:firstLineChars="40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南通市崇川区崇川路158号18楼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640A0E7">
      <w:pPr>
        <w:ind w:left="-439" w:leftChars="-209" w:right="-748" w:rightChars="-356" w:firstLine="858" w:firstLineChars="409"/>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郭</w:t>
      </w:r>
      <w:r>
        <w:rPr>
          <w:rFonts w:hint="eastAsia" w:ascii="宋体" w:hAnsi="宋体" w:eastAsia="宋体" w:cs="宋体"/>
          <w:color w:val="auto"/>
          <w:highlight w:val="none"/>
          <w:u w:val="single"/>
        </w:rPr>
        <w:t xml:space="preserve">女士                                                     </w:t>
      </w:r>
    </w:p>
    <w:p w14:paraId="74477F9C">
      <w:pPr>
        <w:ind w:left="-439" w:leftChars="-209" w:right="-748" w:rightChars="-356" w:firstLine="858" w:firstLineChars="409"/>
        <w:rPr>
          <w:rFonts w:hint="eastAsia" w:ascii="宋体" w:hAnsi="宋体" w:eastAsia="宋体" w:cs="宋体"/>
          <w:b/>
          <w:bCs/>
          <w:color w:val="auto"/>
          <w:highlight w:val="none"/>
          <w:u w:val="singl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0513-80813997                   </w:t>
      </w:r>
      <w:r>
        <w:rPr>
          <w:rFonts w:hint="eastAsia" w:ascii="宋体" w:hAnsi="宋体" w:eastAsia="宋体" w:cs="宋体"/>
          <w:color w:val="auto"/>
          <w:highlight w:val="none"/>
          <w:u w:val="single"/>
        </w:rPr>
        <w:t xml:space="preserve">                         </w:t>
      </w:r>
    </w:p>
    <w:p w14:paraId="42E203A9">
      <w:pPr>
        <w:ind w:left="-439" w:leftChars="-209" w:right="-748" w:rightChars="-356" w:firstLine="858" w:firstLineChars="40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代理单位：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山东国盛项目管理有限公司</w:t>
      </w:r>
      <w:r>
        <w:rPr>
          <w:rFonts w:hint="eastAsia" w:ascii="宋体" w:hAnsi="宋体" w:eastAsia="宋体" w:cs="宋体"/>
          <w:color w:val="auto"/>
          <w:sz w:val="21"/>
          <w:szCs w:val="21"/>
          <w:highlight w:val="none"/>
          <w:u w:val="single"/>
        </w:rPr>
        <w:t xml:space="preserve">                                 </w:t>
      </w:r>
    </w:p>
    <w:p w14:paraId="66488793">
      <w:pPr>
        <w:ind w:left="-439" w:leftChars="-209" w:right="-748" w:rightChars="-356" w:firstLine="858" w:firstLineChars="40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李</w:t>
      </w:r>
      <w:r>
        <w:rPr>
          <w:rFonts w:hint="eastAsia" w:ascii="宋体" w:hAnsi="宋体" w:eastAsia="宋体" w:cs="宋体"/>
          <w:color w:val="auto"/>
          <w:sz w:val="21"/>
          <w:szCs w:val="21"/>
          <w:highlight w:val="none"/>
          <w:u w:val="single"/>
        </w:rPr>
        <w:t xml:space="preserve">先生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4F0A382">
      <w:pPr>
        <w:ind w:left="-439" w:leftChars="-209" w:right="-748" w:rightChars="-356" w:firstLine="858" w:firstLineChars="409"/>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15192029263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DB16E87">
      <w:pPr>
        <w:keepNext w:val="0"/>
        <w:keepLines w:val="0"/>
        <w:pageBreakBefore w:val="0"/>
        <w:widowControl/>
        <w:suppressLineNumbers w:val="0"/>
        <w:kinsoku/>
        <w:wordWrap/>
        <w:overflowPunct/>
        <w:topLinePunct w:val="0"/>
        <w:autoSpaceDE/>
        <w:autoSpaceDN/>
        <w:bidi w:val="0"/>
        <w:adjustRightInd/>
        <w:snapToGrid/>
        <w:ind w:right="-512" w:rightChars="-244"/>
        <w:jc w:val="left"/>
        <w:textAlignment w:val="auto"/>
        <w:rPr>
          <w:rFonts w:hint="eastAsia" w:ascii="宋体" w:hAnsi="宋体" w:eastAsia="宋体" w:cs="宋体"/>
          <w:color w:val="auto"/>
          <w:kern w:val="0"/>
          <w:sz w:val="21"/>
          <w:szCs w:val="21"/>
          <w:highlight w:val="none"/>
          <w:lang w:val="en-US" w:eastAsia="zh-CN" w:bidi="ar"/>
        </w:rPr>
      </w:pPr>
    </w:p>
    <w:p w14:paraId="4B29ED72">
      <w:pPr>
        <w:keepNext w:val="0"/>
        <w:keepLines w:val="0"/>
        <w:pageBreakBefore w:val="0"/>
        <w:widowControl/>
        <w:suppressLineNumbers w:val="0"/>
        <w:kinsoku/>
        <w:wordWrap/>
        <w:overflowPunct/>
        <w:topLinePunct w:val="0"/>
        <w:autoSpaceDE/>
        <w:autoSpaceDN/>
        <w:bidi w:val="0"/>
        <w:adjustRightInd/>
        <w:snapToGrid/>
        <w:ind w:right="-512" w:rightChars="-24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附件：1. 驿站信息汇总表 </w:t>
      </w:r>
    </w:p>
    <w:p w14:paraId="1732C61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驿站落位图 </w:t>
      </w:r>
    </w:p>
    <w:p w14:paraId="56A92CC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竞选须知 </w:t>
      </w:r>
    </w:p>
    <w:p w14:paraId="1C3B9C2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 合同主要条款</w:t>
      </w:r>
    </w:p>
    <w:p w14:paraId="5353A71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5-1. 竞选文件格式（法人版）</w:t>
      </w:r>
    </w:p>
    <w:p w14:paraId="202BF2E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5-2. 竞选文件格式（自然人版）</w:t>
      </w:r>
    </w:p>
    <w:p w14:paraId="1930474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058" w:firstLineChars="504"/>
        <w:jc w:val="left"/>
        <w:textAlignment w:val="auto"/>
        <w:rPr>
          <w:rFonts w:hint="eastAsia" w:ascii="宋体" w:hAnsi="宋体" w:eastAsia="宋体" w:cs="宋体"/>
          <w:color w:val="auto"/>
          <w:sz w:val="21"/>
          <w:szCs w:val="21"/>
          <w:highlight w:val="none"/>
          <w:lang w:val="en-US"/>
        </w:rPr>
      </w:pPr>
    </w:p>
    <w:p w14:paraId="4EDEBC12">
      <w:pPr>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2026年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日</w:t>
      </w:r>
      <w:bookmarkStart w:id="55" w:name="_GoBack"/>
      <w:bookmarkEnd w:id="55"/>
      <w:r>
        <w:rPr>
          <w:rFonts w:hint="eastAsia" w:ascii="宋体" w:hAnsi="宋体" w:eastAsia="宋体" w:cs="宋体"/>
          <w:color w:val="auto"/>
          <w:sz w:val="21"/>
          <w:szCs w:val="21"/>
          <w:highlight w:val="none"/>
          <w:lang w:val="en-US" w:eastAsia="zh-CN"/>
        </w:rPr>
        <w:br w:type="page"/>
      </w:r>
    </w:p>
    <w:p w14:paraId="541DB6CE">
      <w:pPr>
        <w:pStyle w:val="4"/>
        <w:bidi w:val="0"/>
        <w:outlineLvl w:val="9"/>
        <w:rPr>
          <w:rFonts w:hint="eastAsia" w:ascii="宋体" w:hAnsi="宋体" w:eastAsia="宋体" w:cs="宋体"/>
          <w:color w:val="auto"/>
          <w:sz w:val="21"/>
          <w:szCs w:val="21"/>
          <w:highlight w:val="none"/>
          <w:lang w:val="en-US" w:eastAsia="zh-CN"/>
        </w:rPr>
        <w:sectPr>
          <w:footerReference r:id="rId9" w:type="default"/>
          <w:pgSz w:w="11906" w:h="16838"/>
          <w:pgMar w:top="1440" w:right="1800" w:bottom="1440" w:left="1800" w:header="851" w:footer="992" w:gutter="0"/>
          <w:pgNumType w:fmt="decimal" w:start="1"/>
          <w:cols w:space="720" w:num="1"/>
          <w:docGrid w:type="lines" w:linePitch="312" w:charSpace="0"/>
        </w:sectPr>
      </w:pPr>
    </w:p>
    <w:p w14:paraId="02B35E66">
      <w:pPr>
        <w:pStyle w:val="4"/>
        <w:bidi w:val="0"/>
        <w:outlineLvl w:val="0"/>
        <w:rPr>
          <w:rFonts w:hint="eastAsia" w:ascii="宋体" w:hAnsi="宋体" w:eastAsia="宋体" w:cs="宋体"/>
          <w:color w:val="auto"/>
          <w:sz w:val="24"/>
          <w:szCs w:val="24"/>
          <w:highlight w:val="none"/>
          <w:lang w:val="en-US" w:eastAsia="zh-CN"/>
        </w:rPr>
      </w:pPr>
      <w:bookmarkStart w:id="16" w:name="_Toc5317"/>
      <w:r>
        <w:rPr>
          <w:rFonts w:hint="eastAsia" w:ascii="宋体" w:hAnsi="宋体" w:eastAsia="宋体" w:cs="宋体"/>
          <w:color w:val="auto"/>
          <w:sz w:val="24"/>
          <w:szCs w:val="24"/>
          <w:highlight w:val="none"/>
          <w:lang w:val="en-US" w:eastAsia="zh-CN"/>
        </w:rPr>
        <w:t>附件1：驿站信息汇总表</w:t>
      </w:r>
      <w:bookmarkEnd w:id="16"/>
    </w:p>
    <w:tbl>
      <w:tblPr>
        <w:tblStyle w:val="13"/>
        <w:tblW w:w="5069" w:type="pct"/>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2"/>
        <w:gridCol w:w="1979"/>
        <w:gridCol w:w="1446"/>
        <w:gridCol w:w="1259"/>
        <w:gridCol w:w="1762"/>
        <w:gridCol w:w="1210"/>
        <w:gridCol w:w="1584"/>
        <w:gridCol w:w="1135"/>
        <w:gridCol w:w="1106"/>
        <w:gridCol w:w="1057"/>
        <w:gridCol w:w="1061"/>
      </w:tblGrid>
      <w:tr w14:paraId="1973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5000" w:type="pct"/>
            <w:gridSpan w:val="11"/>
            <w:shd w:val="clear" w:color="auto" w:fill="auto"/>
            <w:vAlign w:val="center"/>
          </w:tcPr>
          <w:p w14:paraId="1C0C49B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驿站信息汇总表</w:t>
            </w:r>
          </w:p>
        </w:tc>
      </w:tr>
      <w:tr w14:paraId="5C1B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68" w:type="pct"/>
            <w:shd w:val="clear" w:color="auto" w:fill="auto"/>
            <w:vAlign w:val="center"/>
          </w:tcPr>
          <w:p w14:paraId="6AFCB3E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688" w:type="pct"/>
            <w:shd w:val="clear" w:color="auto" w:fill="auto"/>
            <w:vAlign w:val="center"/>
          </w:tcPr>
          <w:p w14:paraId="31DDD37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车站名</w:t>
            </w:r>
          </w:p>
        </w:tc>
        <w:tc>
          <w:tcPr>
            <w:tcW w:w="503" w:type="pct"/>
            <w:shd w:val="clear" w:color="auto" w:fill="auto"/>
            <w:noWrap/>
            <w:vAlign w:val="center"/>
          </w:tcPr>
          <w:p w14:paraId="6B61691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铺位号</w:t>
            </w:r>
          </w:p>
        </w:tc>
        <w:tc>
          <w:tcPr>
            <w:tcW w:w="438" w:type="pct"/>
            <w:shd w:val="clear" w:color="auto" w:fill="auto"/>
            <w:vAlign w:val="center"/>
          </w:tcPr>
          <w:p w14:paraId="16F9C70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面积（㎡）</w:t>
            </w:r>
          </w:p>
        </w:tc>
        <w:tc>
          <w:tcPr>
            <w:tcW w:w="613" w:type="pct"/>
            <w:shd w:val="clear" w:color="auto" w:fill="auto"/>
            <w:vAlign w:val="center"/>
          </w:tcPr>
          <w:p w14:paraId="4E4BD8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租金底价</w:t>
            </w:r>
          </w:p>
          <w:p w14:paraId="7E3EF94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（元/年）</w:t>
            </w:r>
          </w:p>
        </w:tc>
        <w:tc>
          <w:tcPr>
            <w:tcW w:w="420" w:type="pct"/>
            <w:shd w:val="clear" w:color="auto" w:fill="auto"/>
            <w:noWrap/>
            <w:vAlign w:val="center"/>
          </w:tcPr>
          <w:p w14:paraId="3682FEA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出租年限</w:t>
            </w:r>
          </w:p>
        </w:tc>
        <w:tc>
          <w:tcPr>
            <w:tcW w:w="551" w:type="pct"/>
            <w:shd w:val="clear" w:color="auto" w:fill="auto"/>
            <w:noWrap/>
            <w:vAlign w:val="center"/>
          </w:tcPr>
          <w:p w14:paraId="2EA5344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交易保证金</w:t>
            </w:r>
          </w:p>
        </w:tc>
        <w:tc>
          <w:tcPr>
            <w:tcW w:w="394" w:type="pct"/>
            <w:shd w:val="clear" w:color="auto" w:fill="auto"/>
            <w:vAlign w:val="center"/>
          </w:tcPr>
          <w:p w14:paraId="0BDB45B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是否有上水</w:t>
            </w:r>
          </w:p>
        </w:tc>
        <w:tc>
          <w:tcPr>
            <w:tcW w:w="384" w:type="pct"/>
            <w:shd w:val="clear" w:color="auto" w:fill="auto"/>
            <w:vAlign w:val="center"/>
          </w:tcPr>
          <w:p w14:paraId="5431455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是否有下水</w:t>
            </w:r>
          </w:p>
        </w:tc>
        <w:tc>
          <w:tcPr>
            <w:tcW w:w="367" w:type="pct"/>
            <w:shd w:val="clear" w:color="auto" w:fill="auto"/>
            <w:vAlign w:val="center"/>
          </w:tcPr>
          <w:p w14:paraId="76B0DF8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是否有电箱</w:t>
            </w:r>
          </w:p>
        </w:tc>
        <w:tc>
          <w:tcPr>
            <w:tcW w:w="369" w:type="pct"/>
            <w:shd w:val="clear" w:color="auto" w:fill="auto"/>
            <w:noWrap/>
            <w:vAlign w:val="center"/>
          </w:tcPr>
          <w:p w14:paraId="6D7A70F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排油烟</w:t>
            </w:r>
          </w:p>
        </w:tc>
      </w:tr>
      <w:tr w14:paraId="2E15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268" w:type="pct"/>
            <w:shd w:val="clear" w:color="auto" w:fill="auto"/>
            <w:vAlign w:val="center"/>
          </w:tcPr>
          <w:p w14:paraId="3A3607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88" w:type="pct"/>
            <w:shd w:val="clear" w:color="auto" w:fill="auto"/>
            <w:vAlign w:val="center"/>
          </w:tcPr>
          <w:p w14:paraId="1571C0C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体育公园站</w:t>
            </w:r>
          </w:p>
        </w:tc>
        <w:tc>
          <w:tcPr>
            <w:tcW w:w="503" w:type="pct"/>
            <w:shd w:val="clear" w:color="auto" w:fill="auto"/>
            <w:noWrap/>
            <w:vAlign w:val="center"/>
          </w:tcPr>
          <w:p w14:paraId="7BDDFAA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105号驿站</w:t>
            </w:r>
          </w:p>
        </w:tc>
        <w:tc>
          <w:tcPr>
            <w:tcW w:w="438" w:type="pct"/>
            <w:shd w:val="clear" w:color="auto" w:fill="auto"/>
            <w:noWrap/>
            <w:vAlign w:val="center"/>
          </w:tcPr>
          <w:p w14:paraId="097A7F6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21.81</w:t>
            </w:r>
          </w:p>
        </w:tc>
        <w:tc>
          <w:tcPr>
            <w:tcW w:w="613" w:type="pct"/>
            <w:shd w:val="clear" w:color="auto" w:fill="auto"/>
            <w:noWrap/>
            <w:vAlign w:val="center"/>
          </w:tcPr>
          <w:p w14:paraId="7705E73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15922</w:t>
            </w:r>
          </w:p>
        </w:tc>
        <w:tc>
          <w:tcPr>
            <w:tcW w:w="420" w:type="pct"/>
            <w:shd w:val="clear" w:color="auto" w:fill="auto"/>
            <w:noWrap/>
            <w:vAlign w:val="center"/>
          </w:tcPr>
          <w:p w14:paraId="1757DBD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2年</w:t>
            </w:r>
          </w:p>
        </w:tc>
        <w:tc>
          <w:tcPr>
            <w:tcW w:w="551" w:type="pct"/>
            <w:shd w:val="clear" w:color="auto" w:fill="auto"/>
            <w:noWrap/>
            <w:vAlign w:val="center"/>
          </w:tcPr>
          <w:p w14:paraId="0852024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3000元</w:t>
            </w:r>
          </w:p>
        </w:tc>
        <w:tc>
          <w:tcPr>
            <w:tcW w:w="394" w:type="pct"/>
            <w:shd w:val="clear" w:color="auto" w:fill="auto"/>
            <w:noWrap/>
            <w:vAlign w:val="center"/>
          </w:tcPr>
          <w:p w14:paraId="7169B00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384" w:type="pct"/>
            <w:shd w:val="clear" w:color="auto" w:fill="auto"/>
            <w:noWrap/>
            <w:vAlign w:val="center"/>
          </w:tcPr>
          <w:p w14:paraId="6BD1A77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367" w:type="pct"/>
            <w:shd w:val="clear" w:color="auto" w:fill="auto"/>
            <w:noWrap/>
            <w:vAlign w:val="center"/>
          </w:tcPr>
          <w:p w14:paraId="13F9438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有</w:t>
            </w:r>
          </w:p>
        </w:tc>
        <w:tc>
          <w:tcPr>
            <w:tcW w:w="369" w:type="pct"/>
            <w:shd w:val="clear" w:color="auto" w:fill="auto"/>
            <w:noWrap/>
            <w:vAlign w:val="center"/>
          </w:tcPr>
          <w:p w14:paraId="657FB2A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E32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0" w:hRule="atLeast"/>
        </w:trPr>
        <w:tc>
          <w:tcPr>
            <w:tcW w:w="1460" w:type="pct"/>
            <w:gridSpan w:val="3"/>
            <w:shd w:val="clear" w:color="auto" w:fill="auto"/>
            <w:vAlign w:val="center"/>
          </w:tcPr>
          <w:p w14:paraId="4F65412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c>
          <w:tcPr>
            <w:tcW w:w="3539" w:type="pct"/>
            <w:gridSpan w:val="8"/>
            <w:shd w:val="clear" w:color="auto" w:fill="auto"/>
            <w:vAlign w:val="center"/>
          </w:tcPr>
          <w:p w14:paraId="2106054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1、以上租金价格不含水电费等其他费用。</w:t>
            </w:r>
          </w:p>
          <w:p w14:paraId="23A757A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2、商铺交付状态为现状交付，各间商铺的供电量、上/下水、排污排烟情况见上表，对于承租方提出的供电量增容、上/下水增设、排污排烟增设需求，出租方均无法满足，承租方不得提出异议。</w:t>
            </w:r>
          </w:p>
        </w:tc>
      </w:tr>
    </w:tbl>
    <w:p w14:paraId="37DC103A">
      <w:pPr>
        <w:bidi w:val="0"/>
        <w:rPr>
          <w:rFonts w:hint="eastAsia" w:ascii="宋体" w:hAnsi="宋体" w:eastAsia="宋体" w:cs="宋体"/>
          <w:color w:val="auto"/>
          <w:highlight w:val="none"/>
          <w:lang w:val="en-US" w:eastAsia="zh-CN"/>
        </w:rPr>
      </w:pPr>
    </w:p>
    <w:p w14:paraId="3C337635">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2702219A">
      <w:pPr>
        <w:pStyle w:val="4"/>
        <w:bidi w:val="0"/>
        <w:rPr>
          <w:rFonts w:hint="eastAsia" w:ascii="宋体" w:hAnsi="宋体" w:eastAsia="宋体" w:cs="宋体"/>
          <w:color w:val="auto"/>
          <w:sz w:val="24"/>
          <w:szCs w:val="24"/>
          <w:highlight w:val="none"/>
          <w:lang w:val="en-US" w:eastAsia="zh-CN"/>
        </w:rPr>
        <w:sectPr>
          <w:headerReference r:id="rId10" w:type="default"/>
          <w:footerReference r:id="rId11" w:type="default"/>
          <w:pgSz w:w="16838" w:h="11906" w:orient="landscape"/>
          <w:pgMar w:top="1803" w:right="1440" w:bottom="1803" w:left="1440" w:header="851" w:footer="992" w:gutter="0"/>
          <w:pgNumType w:fmt="decimal"/>
          <w:cols w:space="0" w:num="1"/>
          <w:rtlGutter w:val="0"/>
          <w:docGrid w:type="lines" w:linePitch="319" w:charSpace="0"/>
        </w:sectPr>
      </w:pPr>
      <w:bookmarkStart w:id="17" w:name="_Toc20846"/>
    </w:p>
    <w:p w14:paraId="61743543">
      <w:pPr>
        <w:pStyle w:val="4"/>
        <w:bidi w:val="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附件2：</w:t>
      </w:r>
      <w:bookmarkEnd w:id="17"/>
      <w:r>
        <w:rPr>
          <w:rFonts w:hint="eastAsia" w:ascii="宋体" w:hAnsi="宋体" w:eastAsia="宋体" w:cs="宋体"/>
          <w:color w:val="auto"/>
          <w:sz w:val="24"/>
          <w:szCs w:val="24"/>
          <w:highlight w:val="none"/>
          <w:lang w:val="en-US" w:eastAsia="zh-CN"/>
        </w:rPr>
        <w:t>具体位置</w:t>
      </w:r>
      <w:r>
        <w:rPr>
          <w:rFonts w:hint="eastAsia" w:ascii="宋体" w:hAnsi="宋体" w:eastAsia="宋体" w:cs="宋体"/>
          <w:highlight w:val="none"/>
          <w:lang w:val="en-US" w:eastAsia="zh-CN"/>
        </w:rPr>
        <w:drawing>
          <wp:inline distT="0" distB="0" distL="114300" distR="114300">
            <wp:extent cx="5608955" cy="4204970"/>
            <wp:effectExtent l="0" t="0" r="1270" b="5080"/>
            <wp:docPr id="2" name="图片 2" descr="70f959aa35856f394a9761cdb066e9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0f959aa35856f394a9761cdb066e9eb"/>
                    <pic:cNvPicPr>
                      <a:picLocks noChangeAspect="1"/>
                    </pic:cNvPicPr>
                  </pic:nvPicPr>
                  <pic:blipFill>
                    <a:blip r:embed="rId14"/>
                    <a:stretch>
                      <a:fillRect/>
                    </a:stretch>
                  </pic:blipFill>
                  <pic:spPr>
                    <a:xfrm>
                      <a:off x="0" y="0"/>
                      <a:ext cx="5608955" cy="4204970"/>
                    </a:xfrm>
                    <a:prstGeom prst="rect">
                      <a:avLst/>
                    </a:prstGeom>
                  </pic:spPr>
                </pic:pic>
              </a:graphicData>
            </a:graphic>
          </wp:inline>
        </w:drawing>
      </w:r>
    </w:p>
    <w:p w14:paraId="0C69D948">
      <w:pPr>
        <w:pStyle w:val="9"/>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highlight w:val="none"/>
        </w:rPr>
      </w:pPr>
      <w:bookmarkStart w:id="18" w:name="_Toc26130"/>
    </w:p>
    <w:p w14:paraId="3FA95824">
      <w:pPr>
        <w:pStyle w:val="9"/>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highlight w:val="none"/>
        </w:rPr>
      </w:pPr>
    </w:p>
    <w:p w14:paraId="62A8E1B7">
      <w:pPr>
        <w:pStyle w:val="9"/>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highlight w:val="none"/>
          <w:lang w:val="en-US" w:eastAsia="zh-CN"/>
        </w:rPr>
      </w:pPr>
    </w:p>
    <w:p w14:paraId="696483D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13837C37">
      <w:pPr>
        <w:pStyle w:val="4"/>
        <w:bidi w:val="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附件3：竞选须知</w:t>
      </w:r>
      <w:bookmarkEnd w:id="18"/>
    </w:p>
    <w:p w14:paraId="7D15FDD1">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竞选须知</w:t>
      </w:r>
    </w:p>
    <w:p w14:paraId="7DF39ED3">
      <w:pPr>
        <w:keepNext w:val="0"/>
        <w:keepLines w:val="0"/>
        <w:widowControl/>
        <w:suppressLineNumbers w:val="0"/>
        <w:ind w:left="0" w:leftChars="0" w:firstLine="420" w:firstLineChars="175"/>
        <w:jc w:val="left"/>
        <w:rPr>
          <w:rFonts w:hint="eastAsia" w:ascii="宋体" w:hAnsi="宋体" w:eastAsia="宋体" w:cs="宋体"/>
          <w:color w:val="auto"/>
          <w:kern w:val="0"/>
          <w:sz w:val="24"/>
          <w:szCs w:val="24"/>
          <w:highlight w:val="none"/>
          <w:lang w:val="en-US" w:eastAsia="zh-CN" w:bidi="ar"/>
        </w:rPr>
      </w:pPr>
    </w:p>
    <w:p w14:paraId="4EF15A12">
      <w:pPr>
        <w:keepNext w:val="0"/>
        <w:keepLines w:val="0"/>
        <w:pageBreakBefore w:val="0"/>
        <w:widowControl/>
        <w:suppressLineNumbers w:val="0"/>
        <w:kinsoku/>
        <w:wordWrap/>
        <w:overflowPunct/>
        <w:topLinePunct w:val="0"/>
        <w:autoSpaceDE/>
        <w:autoSpaceDN/>
        <w:bidi w:val="0"/>
        <w:adjustRightInd/>
        <w:snapToGrid/>
        <w:spacing w:line="440" w:lineRule="exact"/>
        <w:ind w:right="-512" w:rightChars="-24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各意向承租方： </w:t>
      </w:r>
    </w:p>
    <w:p w14:paraId="5572C2A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现就本次竞选有关事项通知如下： </w:t>
      </w:r>
    </w:p>
    <w:p w14:paraId="3FD8E51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19" w:name="_Toc18490"/>
      <w:r>
        <w:rPr>
          <w:rFonts w:hint="eastAsia" w:ascii="宋体" w:hAnsi="宋体" w:eastAsia="宋体" w:cs="宋体"/>
          <w:b/>
          <w:bCs/>
          <w:color w:val="auto"/>
          <w:kern w:val="0"/>
          <w:sz w:val="21"/>
          <w:szCs w:val="21"/>
          <w:highlight w:val="none"/>
          <w:lang w:val="en-US" w:eastAsia="zh-CN" w:bidi="ar"/>
        </w:rPr>
        <w:t>一、竞选文件编制</w:t>
      </w:r>
      <w:bookmarkEnd w:id="19"/>
      <w:r>
        <w:rPr>
          <w:rFonts w:hint="eastAsia" w:ascii="宋体" w:hAnsi="宋体" w:eastAsia="宋体" w:cs="宋体"/>
          <w:b/>
          <w:bCs/>
          <w:color w:val="auto"/>
          <w:kern w:val="0"/>
          <w:sz w:val="21"/>
          <w:szCs w:val="21"/>
          <w:highlight w:val="none"/>
          <w:lang w:val="en-US" w:eastAsia="zh-CN" w:bidi="ar"/>
        </w:rPr>
        <w:t xml:space="preserve"> </w:t>
      </w:r>
    </w:p>
    <w:p w14:paraId="1929CED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（一）编制要求 </w:t>
      </w:r>
    </w:p>
    <w:p w14:paraId="52A8F16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val="en-US" w:eastAsia="zh-CN" w:bidi="ar"/>
        </w:rPr>
        <w:t>意向承租方无论参与几个标的，均须单独编制 1 份竞选文件。</w:t>
      </w:r>
      <w:r>
        <w:rPr>
          <w:rFonts w:hint="eastAsia" w:ascii="宋体" w:hAnsi="宋体" w:eastAsia="宋体" w:cs="宋体"/>
          <w:color w:val="auto"/>
          <w:kern w:val="0"/>
          <w:sz w:val="21"/>
          <w:szCs w:val="21"/>
          <w:highlight w:val="none"/>
          <w:lang w:val="en-US" w:eastAsia="zh-CN" w:bidi="ar"/>
        </w:rPr>
        <w:t xml:space="preserve">如同一次开标时，意向承租方对同一标的提交两份及以上不同报价的竞选文件，则竞选文件无效。 </w:t>
      </w:r>
    </w:p>
    <w:p w14:paraId="4612820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2、竞选文件应用中文填写，字迹清楚、内容齐全、表达准确，不应有涂改增删。如有修改需在修改处加盖公司公章或自然人签名或由委托代理人签名。未按要求填写竞选文件的视为无效报价。 </w:t>
      </w:r>
    </w:p>
    <w:p w14:paraId="42DAC2E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3、报价不得低于租金底价，否则出租方有权视为无效报价。 </w:t>
      </w:r>
    </w:p>
    <w:p w14:paraId="226915D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4、意向承租方为自然人的，竞选文件须由意向承租方本人或其委托代理人签字；意向承租方为法人的，竞选文件须由法定代表人或委托代理人签名并加盖公章。 </w:t>
      </w:r>
    </w:p>
    <w:p w14:paraId="2EF10FC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5、竞选文件有效期从报价截止日起至租赁合同签署生效之日止。 </w:t>
      </w:r>
    </w:p>
    <w:p w14:paraId="5279FC4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（二）竞选文件密封与标记 </w:t>
      </w:r>
    </w:p>
    <w:p w14:paraId="5E233B6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1、对竞选文件未密封的，出租方将拒绝接受，视为无效竞选文件。</w:t>
      </w:r>
    </w:p>
    <w:p w14:paraId="3202103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竞选文件的文件袋上应依次写明：标的、意向承租方名称、联系人、联系电话、联系地址，</w:t>
      </w:r>
      <w:r>
        <w:rPr>
          <w:rFonts w:hint="eastAsia" w:ascii="宋体" w:hAnsi="宋体" w:eastAsia="宋体" w:cs="宋体"/>
          <w:color w:val="auto"/>
          <w:kern w:val="0"/>
          <w:sz w:val="21"/>
          <w:szCs w:val="21"/>
          <w:highlight w:val="none"/>
          <w:lang w:val="en-US" w:eastAsia="zh-CN" w:bidi="ar"/>
        </w:rPr>
        <w:t xml:space="preserve">其内容应与竞选文件的各项内容对应一致。如果意向承租方未按规定写明上述信息或所写内容与竞选文件的内容不一致，出租方将不承担竞选文件错放或提前开封的责任，错放或提前开封的竞选文件将视为无效竞选文件，由此造成的一切经济后果由意向承租方承担。 </w:t>
      </w:r>
    </w:p>
    <w:p w14:paraId="5945295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0" w:name="_Toc443"/>
      <w:r>
        <w:rPr>
          <w:rFonts w:hint="eastAsia" w:ascii="宋体" w:hAnsi="宋体" w:eastAsia="宋体" w:cs="宋体"/>
          <w:b/>
          <w:bCs/>
          <w:color w:val="auto"/>
          <w:kern w:val="0"/>
          <w:sz w:val="21"/>
          <w:szCs w:val="21"/>
          <w:highlight w:val="none"/>
          <w:lang w:val="en-US" w:eastAsia="zh-CN" w:bidi="ar"/>
        </w:rPr>
        <w:t>二、交易保证金</w:t>
      </w:r>
      <w:bookmarkEnd w:id="20"/>
      <w:r>
        <w:rPr>
          <w:rFonts w:hint="eastAsia" w:ascii="宋体" w:hAnsi="宋体" w:eastAsia="宋体" w:cs="宋体"/>
          <w:b/>
          <w:bCs/>
          <w:color w:val="auto"/>
          <w:kern w:val="0"/>
          <w:sz w:val="21"/>
          <w:szCs w:val="21"/>
          <w:highlight w:val="none"/>
          <w:lang w:val="en-US" w:eastAsia="zh-CN" w:bidi="ar"/>
        </w:rPr>
        <w:t xml:space="preserve"> </w:t>
      </w:r>
    </w:p>
    <w:p w14:paraId="64439F0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交易保证金缴纳要求详见公告。</w:t>
      </w:r>
    </w:p>
    <w:p w14:paraId="4398262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易保证金的退还：未中选单位的交易保证金在成交公示期结束后予以退还，中选单位的交易保证金将自动转为履约保证金使用，交易保证金与履约保证金的差额部分由中选单位在规定时限内补足。除不可抗力情况外，中选人出现下列情形之一的，出租方有权取消其中选资格，并不予退还其交易保证金：</w:t>
      </w:r>
    </w:p>
    <w:p w14:paraId="2CA963A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（1）放弃中选项目的；</w:t>
      </w:r>
    </w:p>
    <w:p w14:paraId="20F33A5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（2）拒不按照招租文件的要求提交履约保证金的；</w:t>
      </w:r>
    </w:p>
    <w:p w14:paraId="3E1C1A2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（3）不与出租方签订合同的，或者在签订合同时向出租方提出附加条件或者更改合同实质性内容的；</w:t>
      </w:r>
    </w:p>
    <w:p w14:paraId="3AC6987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（4）中选人放弃中选或者因被投诉且已查实的，其交易保证金均不予退还。</w:t>
      </w:r>
    </w:p>
    <w:p w14:paraId="6270297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1" w:name="_Toc13501"/>
      <w:bookmarkStart w:id="22" w:name="_Toc23700"/>
      <w:r>
        <w:rPr>
          <w:rFonts w:hint="eastAsia" w:ascii="宋体" w:hAnsi="宋体" w:eastAsia="宋体" w:cs="宋体"/>
          <w:b/>
          <w:bCs/>
          <w:color w:val="auto"/>
          <w:kern w:val="0"/>
          <w:sz w:val="21"/>
          <w:szCs w:val="21"/>
          <w:highlight w:val="none"/>
          <w:lang w:val="en-US" w:eastAsia="zh-CN" w:bidi="ar"/>
        </w:rPr>
        <w:t>三、竞选文件递交要求</w:t>
      </w:r>
      <w:bookmarkEnd w:id="21"/>
      <w:bookmarkEnd w:id="22"/>
      <w:r>
        <w:rPr>
          <w:rFonts w:hint="eastAsia" w:ascii="宋体" w:hAnsi="宋体" w:eastAsia="宋体" w:cs="宋体"/>
          <w:b/>
          <w:bCs/>
          <w:color w:val="auto"/>
          <w:kern w:val="0"/>
          <w:sz w:val="21"/>
          <w:szCs w:val="21"/>
          <w:highlight w:val="none"/>
          <w:lang w:val="en-US" w:eastAsia="zh-CN" w:bidi="ar"/>
        </w:rPr>
        <w:t xml:space="preserve"> </w:t>
      </w:r>
    </w:p>
    <w:p w14:paraId="2652FB7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意向承租方需由意向承租方本人、法定代表人或委托代理人携带个人有效身份证件在指定的时间和地点签到、递交竞选文件及参加开标。如意向承租方本人、法定代表人或委托代理人未能在本须知规定的时间出场并证明其身份，将视同其认可本次开标过程。 </w:t>
      </w:r>
    </w:p>
    <w:p w14:paraId="4B7E694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2、竞选文件一经递交，不再接受撤回、修改竞选文件。 </w:t>
      </w:r>
    </w:p>
    <w:p w14:paraId="718AD6F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3、递交截止时间之后提出递交的竞选文件，出租方将拒绝接受。逾时递交或未递交竞选文件将视为自动放弃竞租资格。 </w:t>
      </w:r>
    </w:p>
    <w:p w14:paraId="29AAA7B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3" w:name="_Toc22965"/>
      <w:bookmarkStart w:id="24" w:name="_Toc16089"/>
      <w:r>
        <w:rPr>
          <w:rFonts w:hint="eastAsia" w:ascii="宋体" w:hAnsi="宋体" w:eastAsia="宋体" w:cs="宋体"/>
          <w:b/>
          <w:bCs/>
          <w:color w:val="auto"/>
          <w:kern w:val="0"/>
          <w:sz w:val="21"/>
          <w:szCs w:val="21"/>
          <w:highlight w:val="none"/>
          <w:lang w:val="en-US" w:eastAsia="zh-CN" w:bidi="ar"/>
        </w:rPr>
        <w:t>四、开标时间</w:t>
      </w:r>
      <w:bookmarkEnd w:id="23"/>
      <w:bookmarkEnd w:id="24"/>
    </w:p>
    <w:p w14:paraId="347719F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同竞选文件递交截止时间。 </w:t>
      </w:r>
    </w:p>
    <w:p w14:paraId="7C41036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5" w:name="_Toc12815"/>
      <w:r>
        <w:rPr>
          <w:rFonts w:hint="eastAsia" w:ascii="宋体" w:hAnsi="宋体" w:eastAsia="宋体" w:cs="宋体"/>
          <w:b/>
          <w:bCs/>
          <w:color w:val="auto"/>
          <w:kern w:val="0"/>
          <w:sz w:val="21"/>
          <w:szCs w:val="21"/>
          <w:highlight w:val="none"/>
          <w:lang w:val="en-US" w:eastAsia="zh-CN" w:bidi="ar"/>
        </w:rPr>
        <w:t>五、评审规则</w:t>
      </w:r>
      <w:bookmarkEnd w:id="25"/>
      <w:r>
        <w:rPr>
          <w:rFonts w:hint="eastAsia" w:ascii="宋体" w:hAnsi="宋体" w:eastAsia="宋体" w:cs="宋体"/>
          <w:b/>
          <w:bCs/>
          <w:color w:val="auto"/>
          <w:kern w:val="0"/>
          <w:sz w:val="21"/>
          <w:szCs w:val="21"/>
          <w:highlight w:val="none"/>
          <w:lang w:val="en-US" w:eastAsia="zh-CN" w:bidi="ar"/>
        </w:rPr>
        <w:t xml:space="preserve"> </w:t>
      </w:r>
    </w:p>
    <w:p w14:paraId="7DE6AE8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（一）评审原则 </w:t>
      </w:r>
    </w:p>
    <w:p w14:paraId="73E5700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公开、公平、公正。 </w:t>
      </w:r>
    </w:p>
    <w:p w14:paraId="0C1B71E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（二）竞选程序</w:t>
      </w:r>
    </w:p>
    <w:p w14:paraId="27CEB5E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资格审查→报价</w:t>
      </w:r>
    </w:p>
    <w:p w14:paraId="2BC9B69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（三）竞价办法 </w:t>
      </w:r>
    </w:p>
    <w:p w14:paraId="54F0A97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1、采取竞价方式（价高者得的方式）确定承租方。 </w:t>
      </w:r>
    </w:p>
    <w:p w14:paraId="41AED26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2、如同一标的最高报价出现两个或以上相同报价时，采取最高报价相同单位二次报价方式确定承租方，当场进行二次报价。如再次出现最高报价相同情况，按照上述方式，最高报价相同的单位进行再报价。</w:t>
      </w:r>
    </w:p>
    <w:p w14:paraId="62B0E52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（四）其他说明 </w:t>
      </w:r>
    </w:p>
    <w:p w14:paraId="7C6561D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出租方无需向意向承租方就评审过程、结果做任何解释。 </w:t>
      </w:r>
    </w:p>
    <w:p w14:paraId="379E7C9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6" w:name="_Toc29438"/>
      <w:r>
        <w:rPr>
          <w:rFonts w:hint="eastAsia" w:ascii="宋体" w:hAnsi="宋体" w:eastAsia="宋体" w:cs="宋体"/>
          <w:b/>
          <w:bCs/>
          <w:color w:val="auto"/>
          <w:kern w:val="0"/>
          <w:sz w:val="21"/>
          <w:szCs w:val="21"/>
          <w:highlight w:val="none"/>
          <w:lang w:val="en-US" w:eastAsia="zh-CN" w:bidi="ar"/>
        </w:rPr>
        <w:t>六、合同签订</w:t>
      </w:r>
      <w:bookmarkEnd w:id="26"/>
      <w:r>
        <w:rPr>
          <w:rFonts w:hint="eastAsia" w:ascii="宋体" w:hAnsi="宋体" w:eastAsia="宋体" w:cs="宋体"/>
          <w:b/>
          <w:bCs/>
          <w:color w:val="auto"/>
          <w:kern w:val="0"/>
          <w:sz w:val="21"/>
          <w:szCs w:val="21"/>
          <w:highlight w:val="none"/>
          <w:lang w:val="en-US" w:eastAsia="zh-CN" w:bidi="ar"/>
        </w:rPr>
        <w:t xml:space="preserve"> </w:t>
      </w:r>
    </w:p>
    <w:p w14:paraId="35B979F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 意向承租方如被确定为承租方，出租方将向承租方发放中选通知书。承租方拒绝接收中选通知书，或因承租方原因（如报名表或竞选文件中的联系地址和邮寄地址错误、承租方更换地址而未提前通知出租方等）导致中选通知书无法寄出或到达承租方处的，出租方将视为承租方放弃中选资格，出租方有权取消其中选资格并没收交易保证金。 </w:t>
      </w:r>
    </w:p>
    <w:p w14:paraId="1493370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2.意向承租方如被确定为承租方，出租方将向承租方发放中选通知书。自中选通知书发出之日起 7 日内，承租方须缴纳租赁押金（履约保证金）；自收到租赁押金（履约保证金）之日起30个工作日内签订合同。承租方未按时足额缴纳租赁押金（履约保证金）或逾期不与出租方签订合同的，出租方有权取消其中选资格并没收交易保证金。</w:t>
      </w:r>
    </w:p>
    <w:p w14:paraId="6FD0779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3.承租方承租后签订合同时，需同时签订项目安全协议、项目廉政公约。</w:t>
      </w:r>
    </w:p>
    <w:p w14:paraId="67E3D5F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7" w:name="_Toc13036"/>
      <w:r>
        <w:rPr>
          <w:rFonts w:hint="eastAsia" w:ascii="宋体" w:hAnsi="宋体" w:eastAsia="宋体" w:cs="宋体"/>
          <w:b/>
          <w:bCs/>
          <w:color w:val="auto"/>
          <w:kern w:val="0"/>
          <w:sz w:val="21"/>
          <w:szCs w:val="21"/>
          <w:highlight w:val="none"/>
          <w:lang w:val="en-US" w:eastAsia="zh-CN" w:bidi="ar"/>
        </w:rPr>
        <w:t>七、经营相关要求</w:t>
      </w:r>
      <w:bookmarkEnd w:id="27"/>
    </w:p>
    <w:p w14:paraId="38EE522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（一）开业前准备</w:t>
      </w:r>
    </w:p>
    <w:p w14:paraId="274AF86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承租方自行负责开业经营所需的消防、市场监督、治安、环保、市政、卫生、食品安全、广告等涉及经营行政许可的相关证照，自行负责满足开业经营所需的法律、法规和相关行业规范所规定的各类审批事宜。</w:t>
      </w:r>
    </w:p>
    <w:p w14:paraId="7840784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（二）经营管理</w:t>
      </w:r>
    </w:p>
    <w:p w14:paraId="30067A6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从事经营活动，应当遵守《中华人民共和国民法典》、《中华人民共和国消费者权益保护法》、《中华人民共和国产品质量法》等相关法律、行政法规、规章，遵循公平、诚实、守信的原则，经营范围不得包括油漆、打火机充气、油等甲、乙类危险化学品以及使用明火和重油烟等餐饮类别。</w:t>
      </w:r>
    </w:p>
    <w:p w14:paraId="59FE706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（三）运营管理</w:t>
      </w:r>
    </w:p>
    <w:p w14:paraId="24FAFAA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承租方经营须遵守相关法律法规并配合城市轨道交通的运营管理制度，避免与城市轨道交通运营的任何其他系统造成冲突或对乘客造成滋扰。</w:t>
      </w:r>
    </w:p>
    <w:p w14:paraId="4F14A6C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（四）安全管理</w:t>
      </w:r>
    </w:p>
    <w:p w14:paraId="1B428B1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应建立和完善安全管理责任制度，建立安全管理保证体系，防止安全责任事故发生。必须积极做好所受让场地内的防火安全、安全生产、社会治安综合治理等各项工作，按国家、省、市有关法规、规范做好防范措施。</w:t>
      </w:r>
    </w:p>
    <w:p w14:paraId="4D3A5C2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（五）装修改造</w:t>
      </w:r>
    </w:p>
    <w:p w14:paraId="6E90BE2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在合同期间内对驿站进行装修改造均由承租方自行负责与承担所有费用，装修改造不得破坏现有地面，且装修方案需报出租方书面审批，转让方在不影响城市轨道交通运营安全的前提下予以配合。承租方在对驿站进行装修施工前，须按照出租方规定办理完成装修审批手续，在获得出租方批准后方可开始对商铺进行装修施工。否则，出租方将按租赁合同约定追究承租方的违约责任。</w:t>
      </w:r>
    </w:p>
    <w:p w14:paraId="6270245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8" w:name="_Toc21998"/>
      <w:r>
        <w:rPr>
          <w:rFonts w:hint="eastAsia" w:ascii="宋体" w:hAnsi="宋体" w:eastAsia="宋体" w:cs="宋体"/>
          <w:b/>
          <w:bCs/>
          <w:color w:val="auto"/>
          <w:kern w:val="0"/>
          <w:sz w:val="21"/>
          <w:szCs w:val="21"/>
          <w:highlight w:val="none"/>
          <w:lang w:val="en-US" w:eastAsia="zh-CN" w:bidi="ar"/>
        </w:rPr>
        <w:t>八、其它要求</w:t>
      </w:r>
      <w:bookmarkEnd w:id="28"/>
      <w:r>
        <w:rPr>
          <w:rFonts w:hint="eastAsia" w:ascii="宋体" w:hAnsi="宋体" w:eastAsia="宋体" w:cs="宋体"/>
          <w:b/>
          <w:bCs/>
          <w:color w:val="auto"/>
          <w:kern w:val="0"/>
          <w:sz w:val="21"/>
          <w:szCs w:val="21"/>
          <w:highlight w:val="none"/>
          <w:lang w:val="en-US" w:eastAsia="zh-CN" w:bidi="ar"/>
        </w:rPr>
        <w:t xml:space="preserve"> </w:t>
      </w:r>
    </w:p>
    <w:p w14:paraId="4363E3E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承租方在对驿站进行装修施工前，须按照出租方规定办理完成装修审批手续，在获得出租方批准后方可开始对商铺进行装修施工。否则，出租方将按租赁合同约定追究承租方的违约责任。（具体要求详见附件 4《合同主要条款》）。 </w:t>
      </w:r>
    </w:p>
    <w:p w14:paraId="7FBDC01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 承租人在租赁期间未征得出租方同意不得转租或以合作承包等其它方式变相转租，不得用于非法金融业务，不得出现违反公序良俗的行为。</w:t>
      </w:r>
    </w:p>
    <w:p w14:paraId="4EAB675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本次出租标的涉及的其他事项详见《南通轨道交通2号线体育公园站场地使用合同》（以下简称合同书），意向承租方被确定为受让方后须完全接受上述《合同书》中对受让方的约束性条款并按上述协议书签订。 </w:t>
      </w:r>
    </w:p>
    <w:p w14:paraId="3452FBA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p>
    <w:p w14:paraId="360B7751">
      <w:pPr>
        <w:keepNext w:val="0"/>
        <w:keepLines w:val="0"/>
        <w:widowControl/>
        <w:suppressLineNumbers w:val="0"/>
        <w:jc w:val="left"/>
        <w:rPr>
          <w:rFonts w:hint="eastAsia" w:ascii="宋体" w:hAnsi="宋体" w:eastAsia="宋体" w:cs="宋体"/>
          <w:color w:val="auto"/>
          <w:sz w:val="24"/>
          <w:szCs w:val="24"/>
          <w:highlight w:val="none"/>
        </w:rPr>
      </w:pPr>
    </w:p>
    <w:p w14:paraId="2B3088DA">
      <w:pPr>
        <w:pStyle w:val="4"/>
        <w:bidi w:val="0"/>
        <w:outlineLvl w:val="9"/>
        <w:rPr>
          <w:rFonts w:hint="eastAsia" w:ascii="宋体" w:hAnsi="宋体" w:eastAsia="宋体" w:cs="宋体"/>
          <w:color w:val="auto"/>
          <w:sz w:val="24"/>
          <w:szCs w:val="24"/>
          <w:highlight w:val="none"/>
          <w:lang w:val="en-US" w:eastAsia="zh-CN"/>
        </w:rPr>
        <w:sectPr>
          <w:pgSz w:w="11906" w:h="16838"/>
          <w:pgMar w:top="1440" w:right="1803" w:bottom="1440" w:left="1803" w:header="851" w:footer="992" w:gutter="0"/>
          <w:pgNumType w:fmt="decimal"/>
          <w:cols w:space="0" w:num="1"/>
          <w:rtlGutter w:val="0"/>
          <w:docGrid w:type="lines" w:linePitch="319" w:charSpace="0"/>
        </w:sectPr>
      </w:pPr>
      <w:r>
        <w:rPr>
          <w:rFonts w:hint="eastAsia" w:ascii="宋体" w:hAnsi="宋体" w:eastAsia="宋体" w:cs="宋体"/>
          <w:color w:val="auto"/>
          <w:sz w:val="24"/>
          <w:szCs w:val="24"/>
          <w:highlight w:val="none"/>
          <w:lang w:val="en-US" w:eastAsia="zh-CN"/>
        </w:rPr>
        <w:br w:type="page"/>
      </w:r>
    </w:p>
    <w:p w14:paraId="694D6975">
      <w:pPr>
        <w:pStyle w:val="4"/>
        <w:bidi w:val="0"/>
        <w:outlineLvl w:val="0"/>
        <w:rPr>
          <w:rFonts w:hint="eastAsia" w:ascii="宋体" w:hAnsi="宋体" w:eastAsia="宋体" w:cs="宋体"/>
          <w:color w:val="auto"/>
          <w:sz w:val="24"/>
          <w:szCs w:val="24"/>
          <w:highlight w:val="none"/>
          <w:lang w:val="en-US" w:eastAsia="zh-CN"/>
        </w:rPr>
      </w:pPr>
      <w:bookmarkStart w:id="29" w:name="_Toc4080"/>
      <w:r>
        <w:rPr>
          <w:rFonts w:hint="eastAsia" w:ascii="宋体" w:hAnsi="宋体" w:eastAsia="宋体" w:cs="宋体"/>
          <w:color w:val="auto"/>
          <w:sz w:val="24"/>
          <w:szCs w:val="24"/>
          <w:highlight w:val="none"/>
          <w:lang w:val="en-US" w:eastAsia="zh-CN"/>
        </w:rPr>
        <w:t>附件4：合同主要条款</w:t>
      </w:r>
      <w:bookmarkEnd w:id="29"/>
    </w:p>
    <w:p w14:paraId="605CA82D">
      <w:pPr>
        <w:adjustRightInd w:val="0"/>
        <w:snapToGrid w:val="0"/>
        <w:spacing w:line="360" w:lineRule="auto"/>
        <w:jc w:val="center"/>
        <w:rPr>
          <w:rFonts w:hint="eastAsia" w:ascii="宋体" w:hAnsi="宋体" w:eastAsia="宋体" w:cs="宋体"/>
          <w:b/>
          <w:bCs/>
          <w:color w:val="auto"/>
          <w:sz w:val="32"/>
          <w:szCs w:val="32"/>
          <w:highlight w:val="none"/>
        </w:rPr>
      </w:pPr>
      <w:bookmarkStart w:id="30" w:name="_Toc233433291"/>
      <w:bookmarkStart w:id="31" w:name="_Toc195349096"/>
    </w:p>
    <w:bookmarkEnd w:id="30"/>
    <w:bookmarkEnd w:id="31"/>
    <w:p w14:paraId="01ACF8A6">
      <w:pPr>
        <w:pStyle w:val="12"/>
        <w:adjustRightInd w:val="0"/>
        <w:snapToGrid w:val="0"/>
        <w:spacing w:before="0" w:beforeAutospacing="0" w:after="0" w:afterAutospacing="0" w:line="360" w:lineRule="auto"/>
        <w:ind w:right="-147" w:rightChars="-70"/>
        <w:jc w:val="center"/>
        <w:outlineLvl w:val="0"/>
        <w:rPr>
          <w:rFonts w:hint="eastAsia" w:ascii="宋体" w:hAnsi="宋体" w:eastAsia="宋体" w:cs="宋体"/>
          <w:b/>
          <w:color w:val="000000"/>
          <w:sz w:val="28"/>
          <w:szCs w:val="28"/>
        </w:rPr>
      </w:pPr>
      <w:r>
        <w:rPr>
          <w:rFonts w:hint="eastAsia" w:ascii="宋体" w:hAnsi="宋体" w:eastAsia="宋体" w:cs="宋体"/>
          <w:b/>
          <w:color w:val="000000"/>
          <w:sz w:val="28"/>
          <w:szCs w:val="28"/>
        </w:rPr>
        <w:t>南通轨道交通2号线体育公园场地使用合同</w:t>
      </w:r>
    </w:p>
    <w:p w14:paraId="62FC3171">
      <w:pPr>
        <w:adjustRightInd w:val="0"/>
        <w:snapToGrid w:val="0"/>
        <w:spacing w:line="360" w:lineRule="auto"/>
        <w:ind w:right="-147" w:rightChars="-70" w:firstLine="560"/>
        <w:rPr>
          <w:rFonts w:hint="eastAsia" w:ascii="宋体" w:hAnsi="宋体" w:eastAsia="宋体" w:cs="宋体"/>
          <w:color w:val="000000"/>
          <w:sz w:val="22"/>
        </w:rPr>
      </w:pPr>
    </w:p>
    <w:p w14:paraId="7EBAD966">
      <w:pPr>
        <w:adjustRightInd w:val="0"/>
        <w:snapToGrid w:val="0"/>
        <w:spacing w:line="360" w:lineRule="auto"/>
        <w:ind w:right="-147" w:rightChars="-70"/>
        <w:rPr>
          <w:rFonts w:hint="eastAsia" w:ascii="宋体" w:hAnsi="宋体" w:eastAsia="宋体" w:cs="宋体"/>
          <w:b/>
          <w:color w:val="000000"/>
          <w:sz w:val="22"/>
        </w:rPr>
      </w:pPr>
      <w:r>
        <w:rPr>
          <w:rFonts w:hint="eastAsia" w:ascii="宋体" w:hAnsi="宋体" w:eastAsia="宋体" w:cs="宋体"/>
          <w:b/>
          <w:color w:val="000000"/>
          <w:sz w:val="22"/>
        </w:rPr>
        <w:t>甲     方：</w:t>
      </w:r>
      <w:r>
        <w:rPr>
          <w:rFonts w:hint="eastAsia" w:ascii="宋体" w:hAnsi="宋体" w:eastAsia="宋体" w:cs="宋体"/>
          <w:b/>
          <w:color w:val="000000"/>
          <w:spacing w:val="6"/>
          <w:kern w:val="0"/>
          <w:sz w:val="22"/>
          <w:szCs w:val="22"/>
        </w:rPr>
        <w:t>南通轨道资源开发有限公司</w:t>
      </w:r>
    </w:p>
    <w:p w14:paraId="2A509F6B">
      <w:pPr>
        <w:adjustRightInd w:val="0"/>
        <w:snapToGrid w:val="0"/>
        <w:spacing w:line="360" w:lineRule="auto"/>
        <w:ind w:right="-147" w:rightChars="-70"/>
        <w:rPr>
          <w:rFonts w:hint="eastAsia" w:ascii="宋体" w:hAnsi="宋体" w:eastAsia="宋体" w:cs="宋体"/>
          <w:color w:val="000000"/>
          <w:sz w:val="22"/>
        </w:rPr>
      </w:pPr>
      <w:bookmarkStart w:id="32" w:name="_Hlk507744369"/>
      <w:r>
        <w:rPr>
          <w:rFonts w:hint="eastAsia" w:ascii="宋体" w:hAnsi="宋体" w:eastAsia="宋体" w:cs="宋体"/>
          <w:b/>
          <w:color w:val="000000"/>
          <w:sz w:val="22"/>
        </w:rPr>
        <w:t>联 系</w:t>
      </w:r>
      <w:bookmarkEnd w:id="32"/>
      <w:r>
        <w:rPr>
          <w:rFonts w:hint="eastAsia" w:ascii="宋体" w:hAnsi="宋体" w:eastAsia="宋体" w:cs="宋体"/>
          <w:b/>
          <w:color w:val="000000"/>
          <w:sz w:val="22"/>
        </w:rPr>
        <w:t>地址：南通市崇川区崇川路158号</w:t>
      </w:r>
    </w:p>
    <w:p w14:paraId="2E03FE7A">
      <w:pPr>
        <w:adjustRightInd w:val="0"/>
        <w:snapToGrid w:val="0"/>
        <w:spacing w:line="360" w:lineRule="auto"/>
        <w:ind w:right="-147" w:rightChars="-70"/>
        <w:rPr>
          <w:rFonts w:hint="eastAsia" w:ascii="宋体" w:hAnsi="宋体" w:eastAsia="宋体" w:cs="宋体"/>
          <w:color w:val="000000"/>
          <w:sz w:val="22"/>
        </w:rPr>
      </w:pPr>
      <w:r>
        <w:rPr>
          <w:rFonts w:hint="eastAsia" w:ascii="宋体" w:hAnsi="宋体" w:eastAsia="宋体" w:cs="宋体"/>
          <w:b/>
          <w:color w:val="000000"/>
          <w:sz w:val="22"/>
        </w:rPr>
        <w:t>电话：0513-80813998</w:t>
      </w:r>
    </w:p>
    <w:p w14:paraId="620F4B16">
      <w:pPr>
        <w:adjustRightInd w:val="0"/>
        <w:snapToGrid w:val="0"/>
        <w:spacing w:line="360" w:lineRule="auto"/>
        <w:ind w:right="-147" w:rightChars="-70"/>
        <w:rPr>
          <w:rFonts w:hint="eastAsia" w:ascii="宋体" w:hAnsi="宋体" w:eastAsia="宋体" w:cs="宋体"/>
          <w:color w:val="000000"/>
          <w:sz w:val="22"/>
        </w:rPr>
      </w:pPr>
    </w:p>
    <w:p w14:paraId="3B43941F">
      <w:pPr>
        <w:pStyle w:val="18"/>
        <w:rPr>
          <w:rFonts w:hint="eastAsia" w:ascii="宋体" w:hAnsi="宋体" w:eastAsia="宋体" w:cs="宋体"/>
        </w:rPr>
      </w:pPr>
    </w:p>
    <w:p w14:paraId="0C20F928">
      <w:pPr>
        <w:pStyle w:val="18"/>
        <w:rPr>
          <w:rFonts w:hint="eastAsia" w:ascii="宋体" w:hAnsi="宋体" w:eastAsia="宋体" w:cs="宋体"/>
        </w:rPr>
      </w:pPr>
    </w:p>
    <w:p w14:paraId="0487ED17">
      <w:pPr>
        <w:pStyle w:val="18"/>
        <w:rPr>
          <w:rFonts w:hint="eastAsia" w:ascii="宋体" w:hAnsi="宋体" w:eastAsia="宋体" w:cs="宋体"/>
        </w:rPr>
      </w:pPr>
    </w:p>
    <w:p w14:paraId="0290C7D5">
      <w:pPr>
        <w:pStyle w:val="18"/>
        <w:rPr>
          <w:rFonts w:hint="eastAsia" w:ascii="宋体" w:hAnsi="宋体" w:eastAsia="宋体" w:cs="宋体"/>
        </w:rPr>
      </w:pPr>
    </w:p>
    <w:p w14:paraId="3CEBE9FC">
      <w:pPr>
        <w:pStyle w:val="18"/>
        <w:rPr>
          <w:rFonts w:hint="eastAsia" w:ascii="宋体" w:hAnsi="宋体" w:eastAsia="宋体" w:cs="宋体"/>
        </w:rPr>
      </w:pPr>
    </w:p>
    <w:p w14:paraId="7CE9F63D">
      <w:pPr>
        <w:pStyle w:val="18"/>
        <w:rPr>
          <w:rFonts w:hint="eastAsia" w:ascii="宋体" w:hAnsi="宋体" w:eastAsia="宋体" w:cs="宋体"/>
        </w:rPr>
      </w:pPr>
    </w:p>
    <w:p w14:paraId="22E961EF">
      <w:pPr>
        <w:pStyle w:val="18"/>
        <w:rPr>
          <w:rFonts w:hint="eastAsia" w:ascii="宋体" w:hAnsi="宋体" w:eastAsia="宋体" w:cs="宋体"/>
        </w:rPr>
      </w:pPr>
    </w:p>
    <w:p w14:paraId="60857182">
      <w:pPr>
        <w:adjustRightInd w:val="0"/>
        <w:snapToGrid w:val="0"/>
        <w:spacing w:line="360" w:lineRule="auto"/>
        <w:ind w:right="-147" w:rightChars="-70"/>
        <w:jc w:val="left"/>
        <w:rPr>
          <w:rFonts w:hint="eastAsia" w:ascii="宋体" w:hAnsi="宋体" w:eastAsia="宋体" w:cs="宋体"/>
          <w:b/>
          <w:color w:val="000000"/>
          <w:sz w:val="22"/>
        </w:rPr>
      </w:pPr>
      <w:r>
        <w:rPr>
          <w:rFonts w:hint="eastAsia" w:ascii="宋体" w:hAnsi="宋体" w:eastAsia="宋体" w:cs="宋体"/>
          <w:b/>
          <w:color w:val="000000"/>
          <w:sz w:val="22"/>
        </w:rPr>
        <w:t xml:space="preserve">乙      方：     </w:t>
      </w:r>
    </w:p>
    <w:p w14:paraId="422FFE80">
      <w:pPr>
        <w:adjustRightInd w:val="0"/>
        <w:snapToGrid w:val="0"/>
        <w:spacing w:line="360" w:lineRule="auto"/>
        <w:ind w:right="-147" w:rightChars="-70"/>
        <w:rPr>
          <w:rFonts w:hint="eastAsia" w:ascii="宋体" w:hAnsi="宋体" w:eastAsia="宋体" w:cs="宋体"/>
          <w:b/>
          <w:color w:val="000000"/>
          <w:sz w:val="22"/>
        </w:rPr>
      </w:pPr>
      <w:r>
        <w:rPr>
          <w:rFonts w:hint="eastAsia" w:ascii="宋体" w:hAnsi="宋体" w:eastAsia="宋体" w:cs="宋体"/>
          <w:b/>
          <w:color w:val="000000"/>
          <w:sz w:val="22"/>
        </w:rPr>
        <w:t xml:space="preserve">乙方证照名称：  </w:t>
      </w:r>
    </w:p>
    <w:p w14:paraId="7238E8AA">
      <w:pPr>
        <w:adjustRightInd w:val="0"/>
        <w:snapToGrid w:val="0"/>
        <w:spacing w:line="360" w:lineRule="auto"/>
        <w:ind w:right="-147" w:rightChars="-70"/>
        <w:rPr>
          <w:rFonts w:hint="eastAsia" w:ascii="宋体" w:hAnsi="宋体" w:eastAsia="宋体" w:cs="宋体"/>
          <w:b/>
          <w:color w:val="000000"/>
          <w:sz w:val="22"/>
          <w:highlight w:val="none"/>
          <w:lang w:val="en-US" w:eastAsia="zh-CN"/>
        </w:rPr>
      </w:pPr>
      <w:r>
        <w:rPr>
          <w:rFonts w:hint="eastAsia" w:ascii="宋体" w:hAnsi="宋体" w:eastAsia="宋体" w:cs="宋体"/>
          <w:b/>
          <w:color w:val="000000"/>
          <w:sz w:val="22"/>
          <w:highlight w:val="none"/>
        </w:rPr>
        <w:t>乙方证照号码：</w:t>
      </w:r>
    </w:p>
    <w:p w14:paraId="2D950B14">
      <w:pPr>
        <w:adjustRightInd w:val="0"/>
        <w:snapToGrid w:val="0"/>
        <w:spacing w:line="360" w:lineRule="auto"/>
        <w:ind w:right="-147" w:rightChars="-70"/>
        <w:rPr>
          <w:rFonts w:hint="eastAsia" w:ascii="宋体" w:hAnsi="宋体" w:eastAsia="宋体" w:cs="宋体"/>
          <w:b/>
          <w:color w:val="000000"/>
          <w:sz w:val="22"/>
          <w:highlight w:val="none"/>
        </w:rPr>
      </w:pPr>
      <w:r>
        <w:rPr>
          <w:rFonts w:hint="eastAsia" w:ascii="宋体" w:hAnsi="宋体" w:eastAsia="宋体" w:cs="宋体"/>
          <w:b/>
          <w:color w:val="000000"/>
          <w:sz w:val="22"/>
          <w:highlight w:val="none"/>
        </w:rPr>
        <w:t>联 系 地 址：</w:t>
      </w:r>
    </w:p>
    <w:p w14:paraId="53D549C7">
      <w:pPr>
        <w:adjustRightInd w:val="0"/>
        <w:snapToGrid w:val="0"/>
        <w:spacing w:line="360" w:lineRule="auto"/>
        <w:ind w:right="-147" w:rightChars="-70"/>
        <w:rPr>
          <w:rFonts w:hint="eastAsia" w:ascii="宋体" w:hAnsi="宋体" w:eastAsia="宋体" w:cs="宋体"/>
          <w:b/>
          <w:color w:val="000000"/>
          <w:sz w:val="22"/>
          <w:highlight w:val="none"/>
          <w:lang w:val="en-US" w:eastAsia="zh-CN"/>
        </w:rPr>
      </w:pPr>
      <w:r>
        <w:rPr>
          <w:rFonts w:hint="eastAsia" w:ascii="宋体" w:hAnsi="宋体" w:eastAsia="宋体" w:cs="宋体"/>
          <w:b/>
          <w:color w:val="000000"/>
          <w:sz w:val="22"/>
          <w:highlight w:val="none"/>
        </w:rPr>
        <w:t>电话：</w:t>
      </w:r>
    </w:p>
    <w:p w14:paraId="24BC3947">
      <w:pPr>
        <w:pStyle w:val="12"/>
        <w:adjustRightInd w:val="0"/>
        <w:snapToGrid w:val="0"/>
        <w:spacing w:before="0" w:beforeAutospacing="0" w:after="0" w:afterAutospacing="0" w:line="360" w:lineRule="auto"/>
        <w:ind w:right="-147" w:rightChars="-70" w:firstLine="440" w:firstLineChars="200"/>
        <w:jc w:val="both"/>
        <w:rPr>
          <w:rFonts w:hint="eastAsia" w:ascii="宋体" w:hAnsi="宋体" w:eastAsia="宋体" w:cs="宋体"/>
          <w:color w:val="000000"/>
          <w:kern w:val="2"/>
          <w:sz w:val="22"/>
        </w:rPr>
      </w:pPr>
    </w:p>
    <w:p w14:paraId="0E840326">
      <w:pPr>
        <w:pStyle w:val="12"/>
        <w:adjustRightInd w:val="0"/>
        <w:snapToGrid w:val="0"/>
        <w:spacing w:before="0" w:beforeAutospacing="0" w:after="0" w:afterAutospacing="0" w:line="360" w:lineRule="auto"/>
        <w:ind w:right="-147" w:rightChars="-70" w:firstLine="440" w:firstLineChars="200"/>
        <w:jc w:val="both"/>
        <w:rPr>
          <w:rFonts w:hint="eastAsia" w:ascii="宋体" w:hAnsi="宋体" w:eastAsia="宋体" w:cs="宋体"/>
          <w:color w:val="000000"/>
          <w:kern w:val="2"/>
          <w:sz w:val="22"/>
        </w:rPr>
      </w:pPr>
    </w:p>
    <w:p w14:paraId="10444316">
      <w:pPr>
        <w:pStyle w:val="12"/>
        <w:adjustRightInd w:val="0"/>
        <w:snapToGrid w:val="0"/>
        <w:spacing w:before="0" w:beforeAutospacing="0" w:after="0" w:afterAutospacing="0" w:line="360" w:lineRule="auto"/>
        <w:ind w:right="-147" w:rightChars="-70" w:firstLine="440" w:firstLineChars="200"/>
        <w:jc w:val="both"/>
        <w:rPr>
          <w:rFonts w:hint="eastAsia" w:ascii="宋体" w:hAnsi="宋体" w:eastAsia="宋体" w:cs="宋体"/>
          <w:color w:val="000000"/>
          <w:kern w:val="2"/>
          <w:sz w:val="22"/>
        </w:rPr>
      </w:pPr>
    </w:p>
    <w:p w14:paraId="15AD49F0">
      <w:pPr>
        <w:pStyle w:val="12"/>
        <w:adjustRightInd w:val="0"/>
        <w:snapToGrid w:val="0"/>
        <w:spacing w:before="0" w:beforeAutospacing="0" w:after="0" w:afterAutospacing="0" w:line="360" w:lineRule="auto"/>
        <w:ind w:right="-147" w:rightChars="-70" w:firstLine="440" w:firstLineChars="200"/>
        <w:jc w:val="both"/>
        <w:rPr>
          <w:rFonts w:hint="eastAsia" w:ascii="宋体" w:hAnsi="宋体" w:eastAsia="宋体" w:cs="宋体"/>
          <w:color w:val="000000"/>
          <w:kern w:val="2"/>
          <w:sz w:val="22"/>
        </w:rPr>
      </w:pPr>
    </w:p>
    <w:p w14:paraId="211BB081">
      <w:pPr>
        <w:pStyle w:val="12"/>
        <w:adjustRightInd w:val="0"/>
        <w:snapToGrid w:val="0"/>
        <w:spacing w:before="0" w:beforeAutospacing="0" w:after="0" w:afterAutospacing="0" w:line="360" w:lineRule="auto"/>
        <w:ind w:right="-147" w:rightChars="-70" w:firstLine="440" w:firstLineChars="200"/>
        <w:jc w:val="both"/>
        <w:rPr>
          <w:rFonts w:hint="eastAsia" w:ascii="宋体" w:hAnsi="宋体" w:eastAsia="宋体" w:cs="宋体"/>
          <w:color w:val="000000"/>
          <w:kern w:val="2"/>
          <w:sz w:val="22"/>
        </w:rPr>
      </w:pPr>
    </w:p>
    <w:p w14:paraId="411AC1D8">
      <w:pPr>
        <w:pStyle w:val="12"/>
        <w:adjustRightInd w:val="0"/>
        <w:snapToGrid w:val="0"/>
        <w:spacing w:before="0" w:beforeAutospacing="0" w:after="0" w:afterAutospacing="0" w:line="360" w:lineRule="auto"/>
        <w:ind w:right="-147" w:rightChars="-70" w:firstLine="440" w:firstLineChars="200"/>
        <w:jc w:val="both"/>
        <w:rPr>
          <w:rFonts w:hint="eastAsia" w:ascii="宋体" w:hAnsi="宋体" w:eastAsia="宋体" w:cs="宋体"/>
          <w:color w:val="000000"/>
          <w:kern w:val="2"/>
          <w:sz w:val="22"/>
        </w:rPr>
      </w:pPr>
    </w:p>
    <w:p w14:paraId="64D06E44">
      <w:pPr>
        <w:pStyle w:val="12"/>
        <w:adjustRightInd w:val="0"/>
        <w:snapToGrid w:val="0"/>
        <w:spacing w:before="0" w:beforeAutospacing="0" w:after="0" w:afterAutospacing="0" w:line="360" w:lineRule="auto"/>
        <w:ind w:right="-147" w:rightChars="-70" w:firstLine="440" w:firstLineChars="200"/>
        <w:jc w:val="both"/>
        <w:rPr>
          <w:rFonts w:hint="eastAsia" w:ascii="宋体" w:hAnsi="宋体" w:eastAsia="宋体" w:cs="宋体"/>
          <w:color w:val="000000"/>
          <w:kern w:val="2"/>
          <w:sz w:val="22"/>
        </w:rPr>
      </w:pPr>
    </w:p>
    <w:p w14:paraId="67780F23">
      <w:pPr>
        <w:pStyle w:val="12"/>
        <w:adjustRightInd w:val="0"/>
        <w:snapToGrid w:val="0"/>
        <w:spacing w:before="0" w:beforeAutospacing="0" w:after="0" w:afterAutospacing="0" w:line="360" w:lineRule="auto"/>
        <w:ind w:right="-147" w:rightChars="-70" w:firstLine="440" w:firstLineChars="200"/>
        <w:jc w:val="both"/>
        <w:rPr>
          <w:rFonts w:hint="eastAsia" w:ascii="宋体" w:hAnsi="宋体" w:eastAsia="宋体" w:cs="宋体"/>
          <w:color w:val="000000"/>
          <w:kern w:val="2"/>
          <w:sz w:val="22"/>
        </w:rPr>
      </w:pPr>
    </w:p>
    <w:p w14:paraId="5A96C247">
      <w:pPr>
        <w:pStyle w:val="12"/>
        <w:adjustRightInd w:val="0"/>
        <w:snapToGrid w:val="0"/>
        <w:spacing w:before="0" w:beforeAutospacing="0" w:after="0" w:afterAutospacing="0" w:line="360" w:lineRule="auto"/>
        <w:ind w:right="-147" w:rightChars="-70" w:firstLine="440" w:firstLineChars="200"/>
        <w:jc w:val="both"/>
        <w:rPr>
          <w:rFonts w:hint="eastAsia" w:ascii="宋体" w:hAnsi="宋体" w:eastAsia="宋体" w:cs="宋体"/>
          <w:color w:val="000000"/>
          <w:kern w:val="2"/>
          <w:sz w:val="22"/>
        </w:rPr>
      </w:pPr>
    </w:p>
    <w:p w14:paraId="2F065001">
      <w:pPr>
        <w:pStyle w:val="12"/>
        <w:adjustRightInd w:val="0"/>
        <w:snapToGrid w:val="0"/>
        <w:spacing w:before="0" w:beforeAutospacing="0" w:after="0" w:afterAutospacing="0" w:line="360" w:lineRule="auto"/>
        <w:ind w:right="-147" w:rightChars="-70" w:firstLine="440" w:firstLineChars="200"/>
        <w:jc w:val="both"/>
        <w:rPr>
          <w:rFonts w:hint="eastAsia" w:ascii="宋体" w:hAnsi="宋体" w:eastAsia="宋体" w:cs="宋体"/>
          <w:color w:val="000000"/>
          <w:kern w:val="2"/>
          <w:sz w:val="22"/>
        </w:rPr>
      </w:pPr>
    </w:p>
    <w:p w14:paraId="6F56C09E">
      <w:pPr>
        <w:pStyle w:val="12"/>
        <w:adjustRightInd w:val="0"/>
        <w:snapToGrid w:val="0"/>
        <w:spacing w:before="0" w:beforeAutospacing="0" w:after="0" w:afterAutospacing="0" w:line="360" w:lineRule="auto"/>
        <w:ind w:right="-403" w:rightChars="-192" w:firstLine="420" w:firstLineChars="200"/>
        <w:jc w:val="both"/>
        <w:rPr>
          <w:rFonts w:hint="eastAsia" w:ascii="宋体" w:hAnsi="宋体" w:eastAsia="宋体" w:cs="宋体"/>
          <w:color w:val="000000"/>
          <w:kern w:val="2"/>
          <w:sz w:val="21"/>
          <w:szCs w:val="21"/>
          <w:highlight w:val="yellow"/>
        </w:rPr>
      </w:pPr>
      <w:r>
        <w:rPr>
          <w:rFonts w:hint="eastAsia" w:ascii="宋体" w:hAnsi="宋体" w:eastAsia="宋体" w:cs="宋体"/>
          <w:color w:val="000000"/>
          <w:kern w:val="2"/>
          <w:sz w:val="21"/>
          <w:szCs w:val="21"/>
        </w:rPr>
        <w:t>根据《中华人民共和国民法典》的规定，甲、乙双方在平等、自愿、公平和诚实信用的基础上，经协商一致，就乙方使用甲方场地事宜，订立本合同。</w:t>
      </w:r>
    </w:p>
    <w:p w14:paraId="4486D62B">
      <w:pPr>
        <w:adjustRightInd w:val="0"/>
        <w:snapToGrid w:val="0"/>
        <w:spacing w:line="360" w:lineRule="auto"/>
        <w:ind w:right="-403" w:rightChars="-192"/>
        <w:rPr>
          <w:rFonts w:hint="eastAsia" w:ascii="宋体" w:hAnsi="宋体" w:eastAsia="宋体" w:cs="宋体"/>
          <w:color w:val="000000"/>
          <w:sz w:val="21"/>
          <w:szCs w:val="21"/>
        </w:rPr>
      </w:pPr>
    </w:p>
    <w:p w14:paraId="1C66C386">
      <w:pPr>
        <w:pStyle w:val="26"/>
        <w:numPr>
          <w:ilvl w:val="0"/>
          <w:numId w:val="2"/>
        </w:numPr>
        <w:adjustRightInd w:val="0"/>
        <w:snapToGrid w:val="0"/>
        <w:spacing w:line="360" w:lineRule="auto"/>
        <w:ind w:right="-403" w:rightChars="-192"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场地概况</w:t>
      </w:r>
    </w:p>
    <w:p w14:paraId="31C4C394">
      <w:pPr>
        <w:pStyle w:val="26"/>
        <w:numPr>
          <w:ilvl w:val="0"/>
          <w:numId w:val="3"/>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甲方同意乙方使用的场地为座落在【体育公园】（以下简称“该物业”）附件一载明位置</w:t>
      </w:r>
      <w:r>
        <w:rPr>
          <w:rFonts w:hint="eastAsia" w:ascii="宋体" w:hAnsi="宋体" w:eastAsia="宋体" w:cs="宋体"/>
          <w:color w:val="000000"/>
          <w:spacing w:val="6"/>
          <w:sz w:val="21"/>
          <w:szCs w:val="21"/>
        </w:rPr>
        <w:t>之场地</w:t>
      </w:r>
      <w:r>
        <w:rPr>
          <w:rFonts w:hint="eastAsia" w:ascii="宋体" w:hAnsi="宋体" w:eastAsia="宋体" w:cs="宋体"/>
          <w:color w:val="000000"/>
          <w:sz w:val="21"/>
          <w:szCs w:val="21"/>
        </w:rPr>
        <w:t>（以下简称“该场地”）。</w:t>
      </w:r>
    </w:p>
    <w:p w14:paraId="348E5B02">
      <w:pPr>
        <w:pStyle w:val="26"/>
        <w:numPr>
          <w:ilvl w:val="0"/>
          <w:numId w:val="3"/>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该场地租用面积见附件一。双方一致同意以附件一所载明的租用面积为依据计算使用费等各项费用。双方在此同意并确认，如该房屋交付后一方认为该场地的实际租用面积与本合同约定的租用面积存在误差，则由甲方指定的具有测绘资格的测量机构进行最终测量，乙方同意以最终测量的实测面积数据为准，不会因此提出索赔或要求解除合同。场地使用费、物业管理费、租赁保证金、装修押金、水电费押金及其他费用以租用面积为计算依据。</w:t>
      </w:r>
    </w:p>
    <w:p w14:paraId="5A243046">
      <w:pPr>
        <w:pStyle w:val="26"/>
        <w:numPr>
          <w:ilvl w:val="0"/>
          <w:numId w:val="3"/>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该场地的平面图见附件三，具体使用部位见平面图中阴影部分。</w:t>
      </w:r>
    </w:p>
    <w:p w14:paraId="14C0FFDF">
      <w:pPr>
        <w:pStyle w:val="26"/>
        <w:numPr>
          <w:ilvl w:val="0"/>
          <w:numId w:val="3"/>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甲、乙双方同意以附件四所示的现场实际交付状况作为甲方向乙方交付该场地的标准。</w:t>
      </w:r>
    </w:p>
    <w:p w14:paraId="5D22A877">
      <w:pPr>
        <w:adjustRightInd w:val="0"/>
        <w:snapToGrid w:val="0"/>
        <w:spacing w:line="360" w:lineRule="auto"/>
        <w:ind w:right="-403" w:rightChars="-192" w:firstLine="420" w:firstLineChars="200"/>
        <w:rPr>
          <w:rFonts w:hint="eastAsia" w:ascii="宋体" w:hAnsi="宋体" w:eastAsia="宋体" w:cs="宋体"/>
          <w:color w:val="000000"/>
          <w:sz w:val="21"/>
          <w:szCs w:val="21"/>
        </w:rPr>
      </w:pPr>
    </w:p>
    <w:p w14:paraId="143E2F3F">
      <w:pPr>
        <w:pStyle w:val="26"/>
        <w:numPr>
          <w:ilvl w:val="0"/>
          <w:numId w:val="2"/>
        </w:numPr>
        <w:adjustRightInd w:val="0"/>
        <w:snapToGrid w:val="0"/>
        <w:spacing w:line="360" w:lineRule="auto"/>
        <w:ind w:right="-403" w:rightChars="-192"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场地用途 </w:t>
      </w:r>
    </w:p>
    <w:p w14:paraId="0D18B1C2">
      <w:pPr>
        <w:pStyle w:val="26"/>
        <w:numPr>
          <w:ilvl w:val="0"/>
          <w:numId w:val="4"/>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乙方使用该场地仅限于用作经营附件一载明的用途，并且须以附件一载明之品牌进行经营。</w:t>
      </w:r>
      <w:bookmarkStart w:id="33" w:name="_Hlk497033648"/>
      <w:r>
        <w:rPr>
          <w:rFonts w:hint="eastAsia" w:ascii="宋体" w:hAnsi="宋体" w:eastAsia="宋体" w:cs="宋体"/>
          <w:color w:val="000000"/>
          <w:sz w:val="21"/>
          <w:szCs w:val="21"/>
        </w:rPr>
        <w:t>乙方应遵守国家和本市有关场地使用和物业管理的规定，以及该场地物业管理相关规定。</w:t>
      </w:r>
    </w:p>
    <w:p w14:paraId="7D01DDDD">
      <w:pPr>
        <w:pStyle w:val="26"/>
        <w:numPr>
          <w:ilvl w:val="0"/>
          <w:numId w:val="4"/>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乙方应于本合同签署前向甲方提供营业执照及其它相关证明文件（包括但不限于拟经营品牌的经营代理权及经营权的相关证明文件）</w:t>
      </w:r>
      <w:bookmarkEnd w:id="33"/>
      <w:r>
        <w:rPr>
          <w:rFonts w:hint="eastAsia" w:ascii="宋体" w:hAnsi="宋体" w:eastAsia="宋体" w:cs="宋体"/>
          <w:color w:val="000000"/>
          <w:sz w:val="21"/>
          <w:szCs w:val="21"/>
        </w:rPr>
        <w:t>。</w:t>
      </w:r>
    </w:p>
    <w:p w14:paraId="0B627EE7">
      <w:pPr>
        <w:pStyle w:val="26"/>
        <w:numPr>
          <w:ilvl w:val="0"/>
          <w:numId w:val="4"/>
        </w:numPr>
        <w:adjustRightInd w:val="0"/>
        <w:snapToGrid w:val="0"/>
        <w:spacing w:line="360" w:lineRule="auto"/>
        <w:ind w:left="0" w:right="-403" w:rightChars="-192"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在使用期限内，未征得甲方书面同意及未取得有关部门审核批准（如改变后的经营范围须审核批准的），乙方不得擅自改变上述用途以及品牌。</w:t>
      </w:r>
    </w:p>
    <w:p w14:paraId="6F5159C4">
      <w:pPr>
        <w:adjustRightInd w:val="0"/>
        <w:snapToGrid w:val="0"/>
        <w:spacing w:line="360" w:lineRule="auto"/>
        <w:ind w:right="-403" w:rightChars="-192" w:firstLine="420" w:firstLineChars="200"/>
        <w:rPr>
          <w:rFonts w:hint="eastAsia" w:ascii="宋体" w:hAnsi="宋体" w:eastAsia="宋体" w:cs="宋体"/>
          <w:color w:val="auto"/>
          <w:sz w:val="21"/>
          <w:szCs w:val="21"/>
          <w:highlight w:val="none"/>
        </w:rPr>
      </w:pPr>
    </w:p>
    <w:p w14:paraId="5B21D127">
      <w:pPr>
        <w:pStyle w:val="26"/>
        <w:numPr>
          <w:ilvl w:val="0"/>
          <w:numId w:val="2"/>
        </w:numPr>
        <w:adjustRightInd w:val="0"/>
        <w:snapToGrid w:val="0"/>
        <w:spacing w:line="360" w:lineRule="auto"/>
        <w:ind w:right="-403" w:rightChars="-192"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交付日、使用期限及装修期</w:t>
      </w:r>
    </w:p>
    <w:p w14:paraId="4DD9C3FA">
      <w:pPr>
        <w:pStyle w:val="26"/>
        <w:numPr>
          <w:ilvl w:val="0"/>
          <w:numId w:val="5"/>
        </w:numPr>
        <w:adjustRightInd w:val="0"/>
        <w:snapToGrid w:val="0"/>
        <w:spacing w:line="360" w:lineRule="auto"/>
        <w:ind w:left="0" w:right="-403" w:rightChars="-192"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场地预计交付日期见附件一。乙方同意，甲方可以提前向乙方发出书面通知调整上述交付日期（以下将预计交付日期及调整后的交付日期均称“交付日”）。甲方据此调整交付日期的，双方互不承担责任，本合同项下约定的其他期日相应顺延。</w:t>
      </w:r>
    </w:p>
    <w:p w14:paraId="1D5AD023">
      <w:pPr>
        <w:pStyle w:val="26"/>
        <w:numPr>
          <w:ilvl w:val="0"/>
          <w:numId w:val="5"/>
        </w:numPr>
        <w:adjustRightInd w:val="0"/>
        <w:snapToGrid w:val="0"/>
        <w:spacing w:line="360" w:lineRule="auto"/>
        <w:ind w:left="0" w:right="-403" w:rightChars="-192"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场地使用期限见附件一。使用期届满，若乙方在使用期内无违约情形且希望在使用期满后继续使用该场地的，应于使用期届满前提前3个月向甲方提出书面续租申请，双方可就续租事宜进行协商并在此期限内重新签订合同。</w:t>
      </w:r>
      <w:bookmarkStart w:id="34" w:name="_Hlk504928141"/>
      <w:r>
        <w:rPr>
          <w:rFonts w:hint="eastAsia" w:ascii="宋体" w:hAnsi="宋体" w:eastAsia="宋体" w:cs="宋体"/>
          <w:color w:val="auto"/>
          <w:sz w:val="21"/>
          <w:szCs w:val="21"/>
          <w:highlight w:val="none"/>
        </w:rPr>
        <w:t>在使用期届满前的3个月内，除乙方已办理续租手续外，乙方应允许甲方偕同该场地的潜在乙方或使用人在合理的时间内进入该场地，了解该场地的建筑及设施。</w:t>
      </w:r>
    </w:p>
    <w:bookmarkEnd w:id="34"/>
    <w:p w14:paraId="6A552193">
      <w:pPr>
        <w:pStyle w:val="26"/>
        <w:numPr>
          <w:ilvl w:val="0"/>
          <w:numId w:val="5"/>
        </w:numPr>
        <w:adjustRightInd w:val="0"/>
        <w:snapToGrid w:val="0"/>
        <w:spacing w:line="360" w:lineRule="auto"/>
        <w:ind w:left="0" w:right="-403" w:rightChars="-192"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该场地装修期见附件一。装修期内乙方不需要交付使用费，但须支付装修管理费（乙方应在场地交付时支付），及该单元实际所发生的水、电、燃气、通讯、设备、等费用。</w:t>
      </w:r>
    </w:p>
    <w:p w14:paraId="17C01B7D">
      <w:pPr>
        <w:adjustRightInd w:val="0"/>
        <w:snapToGrid w:val="0"/>
        <w:spacing w:line="360" w:lineRule="auto"/>
        <w:ind w:right="-403" w:rightChars="-192" w:firstLine="422" w:firstLineChars="200"/>
        <w:rPr>
          <w:rFonts w:hint="eastAsia" w:ascii="宋体" w:hAnsi="宋体" w:eastAsia="宋体" w:cs="宋体"/>
          <w:b/>
          <w:color w:val="auto"/>
          <w:sz w:val="21"/>
          <w:szCs w:val="21"/>
          <w:highlight w:val="none"/>
        </w:rPr>
      </w:pPr>
    </w:p>
    <w:p w14:paraId="013EA047">
      <w:pPr>
        <w:pStyle w:val="26"/>
        <w:numPr>
          <w:ilvl w:val="0"/>
          <w:numId w:val="2"/>
        </w:numPr>
        <w:adjustRightInd w:val="0"/>
        <w:snapToGrid w:val="0"/>
        <w:spacing w:line="360" w:lineRule="auto"/>
        <w:ind w:right="-403" w:rightChars="-192"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使用费及其他费用</w:t>
      </w:r>
    </w:p>
    <w:p w14:paraId="10DC12E6">
      <w:pPr>
        <w:pStyle w:val="26"/>
        <w:numPr>
          <w:ilvl w:val="0"/>
          <w:numId w:val="6"/>
        </w:numPr>
        <w:adjustRightInd w:val="0"/>
        <w:snapToGrid w:val="0"/>
        <w:spacing w:line="360" w:lineRule="auto"/>
        <w:ind w:left="0" w:right="-403" w:rightChars="-192"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使用期内，乙方须按附件二的约定向甲方支付费用。该场地使用费含【9】%增值税，该场地管理费含【6】%增值税。</w:t>
      </w:r>
    </w:p>
    <w:p w14:paraId="0952B281">
      <w:pPr>
        <w:pStyle w:val="26"/>
        <w:numPr>
          <w:ilvl w:val="0"/>
          <w:numId w:val="6"/>
        </w:numPr>
        <w:adjustRightInd w:val="0"/>
        <w:snapToGrid w:val="0"/>
        <w:spacing w:line="360" w:lineRule="auto"/>
        <w:ind w:left="0" w:right="-403" w:rightChars="-192"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上述费用不随国家税率的变化而变化。</w:t>
      </w:r>
    </w:p>
    <w:p w14:paraId="6225A2E9">
      <w:pPr>
        <w:pStyle w:val="26"/>
        <w:numPr>
          <w:ilvl w:val="0"/>
          <w:numId w:val="6"/>
        </w:numPr>
        <w:adjustRightInd w:val="0"/>
        <w:snapToGrid w:val="0"/>
        <w:spacing w:line="360" w:lineRule="auto"/>
        <w:ind w:left="0" w:right="-403" w:rightChars="-192"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要求乙方于每年提交上一年度的会计报表（该会计报表需由乙方委托中华人民共和国境内有相关资质的会计师事务所出具）。甲方有权对会计报表进行检查、复核与销售额有关的文件、记录和账簿，并进行审计。同时，在租赁期限内，甲方有权对乙方采取查账等其他监督、检查措施以核实乙方销售额（甲方可以采取的措施包括但不限于：在甲乙双方人员在场的情况下，直接从乙方的销售系统中调取营业数据；甲方可通过神秘顾客购买等方式不定期到店进行业绩稽核，乙方应配合甲方进行相应退货），乙方承诺履行配合协助义务。甲方亦有权聘请独立会计师事务所对乙方会计报表、与营业额有关的文件、记录和账簿进行审计。如甲方聘请独立会计师事务所进行审计的，甲方确保其及其聘请的会计师事务所对乙方财务数据予以保密。</w:t>
      </w:r>
    </w:p>
    <w:p w14:paraId="147B650F">
      <w:pPr>
        <w:autoSpaceDE w:val="0"/>
        <w:autoSpaceDN w:val="0"/>
        <w:spacing w:line="360" w:lineRule="auto"/>
        <w:ind w:right="-403" w:rightChars="-19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w:t>
      </w:r>
      <w:r>
        <w:rPr>
          <w:rFonts w:hint="eastAsia" w:ascii="宋体" w:hAnsi="宋体" w:eastAsia="宋体" w:cs="宋体"/>
          <w:color w:val="auto"/>
          <w:sz w:val="21"/>
          <w:szCs w:val="21"/>
          <w:highlight w:val="none"/>
          <w:lang w:val="en-US" w:eastAsia="zh-CN"/>
        </w:rPr>
        <w:t>场地使用费</w:t>
      </w:r>
      <w:r>
        <w:rPr>
          <w:rFonts w:hint="eastAsia" w:ascii="宋体" w:hAnsi="宋体" w:eastAsia="宋体" w:cs="宋体"/>
          <w:color w:val="auto"/>
          <w:sz w:val="21"/>
          <w:szCs w:val="21"/>
          <w:highlight w:val="none"/>
        </w:rPr>
        <w:t>支付方式为“固定</w:t>
      </w:r>
      <w:r>
        <w:rPr>
          <w:rFonts w:hint="eastAsia" w:ascii="宋体" w:hAnsi="宋体" w:eastAsia="宋体" w:cs="宋体"/>
          <w:color w:val="auto"/>
          <w:sz w:val="21"/>
          <w:szCs w:val="21"/>
          <w:highlight w:val="none"/>
          <w:lang w:val="en-US" w:eastAsia="zh-CN"/>
        </w:rPr>
        <w:t>场地使用费</w:t>
      </w:r>
      <w:r>
        <w:rPr>
          <w:rFonts w:hint="eastAsia" w:ascii="宋体" w:hAnsi="宋体" w:eastAsia="宋体" w:cs="宋体"/>
          <w:color w:val="auto"/>
          <w:sz w:val="21"/>
          <w:szCs w:val="21"/>
          <w:highlight w:val="none"/>
        </w:rPr>
        <w:t>与提成</w:t>
      </w:r>
      <w:r>
        <w:rPr>
          <w:rFonts w:hint="eastAsia" w:ascii="宋体" w:hAnsi="宋体" w:eastAsia="宋体" w:cs="宋体"/>
          <w:color w:val="auto"/>
          <w:sz w:val="21"/>
          <w:szCs w:val="21"/>
          <w:highlight w:val="none"/>
          <w:lang w:val="en-US" w:eastAsia="zh-CN"/>
        </w:rPr>
        <w:t>场地使用费</w:t>
      </w:r>
      <w:r>
        <w:rPr>
          <w:rFonts w:hint="eastAsia" w:ascii="宋体" w:hAnsi="宋体" w:eastAsia="宋体" w:cs="宋体"/>
          <w:color w:val="auto"/>
          <w:sz w:val="21"/>
          <w:szCs w:val="21"/>
          <w:highlight w:val="none"/>
        </w:rPr>
        <w:t>两者取高”或者纯“提成</w:t>
      </w:r>
      <w:r>
        <w:rPr>
          <w:rFonts w:hint="eastAsia" w:ascii="宋体" w:hAnsi="宋体" w:eastAsia="宋体" w:cs="宋体"/>
          <w:color w:val="auto"/>
          <w:sz w:val="21"/>
          <w:szCs w:val="21"/>
          <w:highlight w:val="none"/>
          <w:lang w:val="en-US" w:eastAsia="zh-CN"/>
        </w:rPr>
        <w:t>场地使用费</w:t>
      </w:r>
      <w:r>
        <w:rPr>
          <w:rFonts w:hint="eastAsia" w:ascii="宋体" w:hAnsi="宋体" w:eastAsia="宋体" w:cs="宋体"/>
          <w:color w:val="auto"/>
          <w:sz w:val="21"/>
          <w:szCs w:val="21"/>
          <w:highlight w:val="none"/>
        </w:rPr>
        <w:t>”，则：</w:t>
      </w:r>
    </w:p>
    <w:p w14:paraId="6ED2FD36">
      <w:pPr>
        <w:autoSpaceDE w:val="0"/>
        <w:autoSpaceDN w:val="0"/>
        <w:spacing w:line="360" w:lineRule="auto"/>
        <w:ind w:right="-403" w:rightChars="-19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（1）双方认可，“提成</w:t>
      </w:r>
      <w:r>
        <w:rPr>
          <w:rFonts w:hint="eastAsia" w:ascii="宋体" w:hAnsi="宋体" w:eastAsia="宋体" w:cs="宋体"/>
          <w:color w:val="auto"/>
          <w:sz w:val="21"/>
          <w:szCs w:val="21"/>
          <w:highlight w:val="none"/>
          <w:lang w:val="en-US" w:eastAsia="zh-CN"/>
        </w:rPr>
        <w:t>场地使用费</w:t>
      </w:r>
      <w:r>
        <w:rPr>
          <w:rFonts w:hint="eastAsia" w:ascii="宋体" w:hAnsi="宋体" w:eastAsia="宋体" w:cs="宋体"/>
          <w:color w:val="auto"/>
          <w:sz w:val="21"/>
          <w:szCs w:val="21"/>
          <w:highlight w:val="none"/>
        </w:rPr>
        <w:t>”的计算依据为销售总额，本合同所指的销售总额、营业额等表述含义为本租赁场地线上线下发生的所有销售总金额。包括但不限于以该</w:t>
      </w:r>
      <w:r>
        <w:rPr>
          <w:rFonts w:hint="eastAsia" w:ascii="宋体" w:hAnsi="宋体" w:eastAsia="宋体" w:cs="宋体"/>
          <w:color w:val="auto"/>
          <w:sz w:val="21"/>
          <w:szCs w:val="21"/>
          <w:highlight w:val="none"/>
          <w:lang w:val="en-US" w:eastAsia="zh-CN"/>
        </w:rPr>
        <w:t>场地</w:t>
      </w:r>
      <w:r>
        <w:rPr>
          <w:rFonts w:hint="eastAsia" w:ascii="宋体" w:hAnsi="宋体" w:eastAsia="宋体" w:cs="宋体"/>
          <w:color w:val="auto"/>
          <w:sz w:val="21"/>
          <w:szCs w:val="21"/>
          <w:highlight w:val="none"/>
        </w:rPr>
        <w:t>为商家地址的线上销售、以该</w:t>
      </w:r>
      <w:r>
        <w:rPr>
          <w:rFonts w:hint="eastAsia" w:ascii="宋体" w:hAnsi="宋体" w:eastAsia="宋体" w:cs="宋体"/>
          <w:color w:val="auto"/>
          <w:sz w:val="21"/>
          <w:szCs w:val="21"/>
          <w:highlight w:val="none"/>
          <w:lang w:val="en-US" w:eastAsia="zh-CN"/>
        </w:rPr>
        <w:t>场地</w:t>
      </w:r>
      <w:r>
        <w:rPr>
          <w:rFonts w:hint="eastAsia" w:ascii="宋体" w:hAnsi="宋体" w:eastAsia="宋体" w:cs="宋体"/>
          <w:color w:val="auto"/>
          <w:sz w:val="21"/>
          <w:szCs w:val="21"/>
          <w:highlight w:val="none"/>
        </w:rPr>
        <w:t>地址为发货地址发出的各类外卖、快递、团购或能够在该</w:t>
      </w:r>
      <w:r>
        <w:rPr>
          <w:rFonts w:hint="eastAsia" w:ascii="宋体" w:hAnsi="宋体" w:eastAsia="宋体" w:cs="宋体"/>
          <w:color w:val="auto"/>
          <w:sz w:val="21"/>
          <w:szCs w:val="21"/>
          <w:highlight w:val="none"/>
          <w:lang w:val="en-US" w:eastAsia="zh-CN"/>
        </w:rPr>
        <w:t>场地</w:t>
      </w:r>
      <w:r>
        <w:rPr>
          <w:rFonts w:hint="eastAsia" w:ascii="宋体" w:hAnsi="宋体" w:eastAsia="宋体" w:cs="宋体"/>
          <w:color w:val="auto"/>
          <w:sz w:val="21"/>
          <w:szCs w:val="21"/>
          <w:highlight w:val="none"/>
        </w:rPr>
        <w:t>核销的网络平台券等销售方式。</w:t>
      </w:r>
    </w:p>
    <w:p w14:paraId="533593DC">
      <w:pPr>
        <w:autoSpaceDE w:val="0"/>
        <w:autoSpaceDN w:val="0"/>
        <w:spacing w:line="360" w:lineRule="auto"/>
        <w:ind w:right="-403" w:rightChars="-19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（2）乙方于次月10日前提报上月销售总额并加盖乙方公章或法人签字确认，甲方有权每月不定时进行销售总额抽查，如发现乙方报送销售总额与实际抽查不符（漏报或少报），第一次乙方收到提醒函后须在10日内</w:t>
      </w:r>
      <w:r>
        <w:rPr>
          <w:rFonts w:hint="eastAsia" w:ascii="宋体" w:hAnsi="宋体" w:eastAsia="宋体" w:cs="宋体"/>
          <w:color w:val="auto"/>
          <w:sz w:val="21"/>
          <w:szCs w:val="21"/>
          <w:highlight w:val="none"/>
          <w:lang w:val="en-US" w:eastAsia="zh-CN"/>
        </w:rPr>
        <w:t>补</w:t>
      </w:r>
      <w:r>
        <w:rPr>
          <w:rFonts w:hint="eastAsia" w:ascii="宋体" w:hAnsi="宋体" w:eastAsia="宋体" w:cs="宋体"/>
          <w:color w:val="auto"/>
          <w:sz w:val="21"/>
          <w:szCs w:val="21"/>
          <w:highlight w:val="none"/>
        </w:rPr>
        <w:t>足，若超过10日及之后发生第二次应当按照当月提成租金的3倍或者当月销售差额金额的10倍向甲方支付违约金，两者不一致的以金额高的为准。另外，乙方若有超过三次（含三次）上述违约行为，甲方有权终止本合同，并按本合同约定追究乙方违约责任。</w:t>
      </w:r>
    </w:p>
    <w:p w14:paraId="0E5E0F9A">
      <w:pPr>
        <w:pStyle w:val="26"/>
        <w:adjustRightInd w:val="0"/>
        <w:snapToGrid w:val="0"/>
        <w:spacing w:line="360" w:lineRule="auto"/>
        <w:ind w:left="440" w:right="-403" w:rightChars="-192" w:firstLine="0" w:firstLineChars="0"/>
        <w:rPr>
          <w:rFonts w:hint="eastAsia" w:ascii="宋体" w:hAnsi="宋体" w:eastAsia="宋体" w:cs="宋体"/>
          <w:color w:val="auto"/>
          <w:sz w:val="21"/>
          <w:szCs w:val="21"/>
          <w:highlight w:val="none"/>
        </w:rPr>
      </w:pPr>
    </w:p>
    <w:p w14:paraId="270EECD5">
      <w:pPr>
        <w:pStyle w:val="26"/>
        <w:numPr>
          <w:ilvl w:val="0"/>
          <w:numId w:val="2"/>
        </w:numPr>
        <w:adjustRightInd w:val="0"/>
        <w:snapToGrid w:val="0"/>
        <w:spacing w:line="360" w:lineRule="auto"/>
        <w:ind w:right="-403" w:rightChars="-192"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公用事业费及押金</w:t>
      </w:r>
    </w:p>
    <w:p w14:paraId="28F3D3C5">
      <w:pPr>
        <w:pStyle w:val="26"/>
        <w:numPr>
          <w:ilvl w:val="0"/>
          <w:numId w:val="7"/>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乙方应按甲方或其指定的管理公司指定的期限和方式，缴纳水费、电费、燃气费等公用事业费用和于该场地内使用的设施的费用等。</w:t>
      </w:r>
      <w:r>
        <w:rPr>
          <w:rFonts w:hint="eastAsia" w:ascii="宋体" w:hAnsi="宋体" w:eastAsia="宋体" w:cs="宋体"/>
          <w:sz w:val="21"/>
          <w:szCs w:val="21"/>
        </w:rPr>
        <w:t>甲方或管理公司的计费标准为国家有关部门规定的计费标准并考虑供电供水总表损耗后所得总价与发票税之和，具体以本合同附件约定为准。</w:t>
      </w:r>
    </w:p>
    <w:p w14:paraId="7A0EF630">
      <w:pPr>
        <w:pStyle w:val="26"/>
        <w:numPr>
          <w:ilvl w:val="0"/>
          <w:numId w:val="7"/>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乙方若要将该房屋内的公用事业增容，应书面向甲方提出申请，在得到甲方的书面同意后方可向公用事业单位办理有关手续，相关费用由乙方承担。乙方也可以要求甲方协助其办理有关手续，甲方应予以充分配合。</w:t>
      </w:r>
    </w:p>
    <w:p w14:paraId="09F932A0">
      <w:pPr>
        <w:adjustRightInd w:val="0"/>
        <w:snapToGrid w:val="0"/>
        <w:spacing w:line="360" w:lineRule="auto"/>
        <w:ind w:right="-403" w:rightChars="-192"/>
        <w:rPr>
          <w:rFonts w:hint="eastAsia" w:ascii="宋体" w:hAnsi="宋体" w:eastAsia="宋体" w:cs="宋体"/>
          <w:color w:val="000000"/>
          <w:sz w:val="21"/>
          <w:szCs w:val="21"/>
        </w:rPr>
      </w:pPr>
    </w:p>
    <w:p w14:paraId="43B0CB52">
      <w:pPr>
        <w:pStyle w:val="26"/>
        <w:numPr>
          <w:ilvl w:val="0"/>
          <w:numId w:val="2"/>
        </w:numPr>
        <w:adjustRightInd w:val="0"/>
        <w:snapToGrid w:val="0"/>
        <w:spacing w:line="360" w:lineRule="auto"/>
        <w:ind w:right="-403" w:rightChars="-192"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保证金</w:t>
      </w:r>
    </w:p>
    <w:p w14:paraId="08535D0D">
      <w:pPr>
        <w:pStyle w:val="26"/>
        <w:numPr>
          <w:ilvl w:val="0"/>
          <w:numId w:val="8"/>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乙方须在本合同附件二约定的时间内向甲方支付附件二所列明的保证金。本合同签署后，若乙方未按期支付保证金，甲方有权顺延该场地交付日而本合同项下其它期限维持不变。若乙方逾期15日仍未足额缴纳保证金的，则甲方有权解除本合同并有权按合同追究乙方的违约责任。</w:t>
      </w:r>
    </w:p>
    <w:p w14:paraId="2DEFD7EB">
      <w:pPr>
        <w:pStyle w:val="26"/>
        <w:numPr>
          <w:ilvl w:val="0"/>
          <w:numId w:val="8"/>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使用期内，使用费和其它费用数额依据本合同约定或者经双方协商一致后调整的，保证金数额也随之调整，乙方并应于该调整事项出现后五（5）日内补足保证金。</w:t>
      </w:r>
    </w:p>
    <w:p w14:paraId="32D42C40">
      <w:pPr>
        <w:pStyle w:val="26"/>
        <w:numPr>
          <w:ilvl w:val="0"/>
          <w:numId w:val="8"/>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使用期内，若乙方拖欠使用费或其它应付费用（包括由于乙方原因造成甲方损失的补偿款、乙方因违约应向甲方支付的违约金、甲方处理消费者因乙方的服务质量和商品质量提起的索赔而发生的费用等），甲方有权从保证金中扣除相应费用或款项，若保证金仍无法弥补甲方损失的，甲方可要求乙方补足差额。乙方必须在甲方规定的期限内补足或重新缴纳保证金。</w:t>
      </w:r>
    </w:p>
    <w:p w14:paraId="77C2936F">
      <w:pPr>
        <w:pStyle w:val="26"/>
        <w:numPr>
          <w:ilvl w:val="0"/>
          <w:numId w:val="8"/>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乙方服务问题引起的消费者向甲方索赔时，应当由乙方出面解决，如甲方因处理此类事件发生费用，费用可直接从乙方保证金中扣除。当保证金不足时，乙方应在甲方规定的期限内补足。</w:t>
      </w:r>
    </w:p>
    <w:p w14:paraId="64CEDC89">
      <w:pPr>
        <w:pStyle w:val="26"/>
        <w:numPr>
          <w:ilvl w:val="0"/>
          <w:numId w:val="8"/>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使用期届满或本合同提前终止时，若乙方未发生本合同规定的违约事件，且乙方已按合同约定标准交还了该场地、付清使用期内水、电、燃气、电话、网络（如适用）等一切费用，在已经发生的因乙方的服务质量、商品质量、或预付余额清理等事宜而引起的消费者投诉已经处理完毕的情形下（如有），甲方应在其后的3个月内将100％保证金无息返还乙方。</w:t>
      </w:r>
    </w:p>
    <w:p w14:paraId="34F1786C">
      <w:pPr>
        <w:adjustRightInd w:val="0"/>
        <w:snapToGrid w:val="0"/>
        <w:spacing w:line="360" w:lineRule="auto"/>
        <w:ind w:right="-403" w:rightChars="-192" w:firstLine="422" w:firstLineChars="200"/>
        <w:rPr>
          <w:rFonts w:hint="eastAsia" w:ascii="宋体" w:hAnsi="宋体" w:eastAsia="宋体" w:cs="宋体"/>
          <w:b/>
          <w:color w:val="000000"/>
          <w:sz w:val="21"/>
          <w:szCs w:val="21"/>
        </w:rPr>
      </w:pPr>
    </w:p>
    <w:p w14:paraId="09F68D83">
      <w:pPr>
        <w:pStyle w:val="26"/>
        <w:numPr>
          <w:ilvl w:val="0"/>
          <w:numId w:val="2"/>
        </w:numPr>
        <w:adjustRightInd w:val="0"/>
        <w:snapToGrid w:val="0"/>
        <w:spacing w:line="360" w:lineRule="auto"/>
        <w:ind w:right="-403" w:rightChars="-192"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场地交付</w:t>
      </w:r>
    </w:p>
    <w:p w14:paraId="29C8B339">
      <w:pPr>
        <w:pStyle w:val="26"/>
        <w:adjustRightInd w:val="0"/>
        <w:snapToGrid w:val="0"/>
        <w:spacing w:line="360" w:lineRule="auto"/>
        <w:ind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甲方应该在交付日将该场地交付给乙方。乙方应于交付日按照装修手册相关规定至管理公司办理交付手续。双方代表</w:t>
      </w:r>
      <w:r>
        <w:rPr>
          <w:rFonts w:hint="eastAsia" w:ascii="宋体" w:hAnsi="宋体" w:eastAsia="宋体" w:cs="宋体"/>
          <w:color w:val="auto"/>
          <w:sz w:val="21"/>
          <w:szCs w:val="21"/>
        </w:rPr>
        <w:t>在该《</w:t>
      </w:r>
      <w:r>
        <w:rPr>
          <w:rFonts w:hint="eastAsia" w:ascii="宋体" w:hAnsi="宋体" w:eastAsia="宋体" w:cs="宋体"/>
          <w:color w:val="auto"/>
          <w:sz w:val="21"/>
          <w:szCs w:val="21"/>
          <w:lang w:val="en-US" w:eastAsia="zh-CN"/>
        </w:rPr>
        <w:t>场地</w:t>
      </w:r>
      <w:r>
        <w:rPr>
          <w:rFonts w:hint="eastAsia" w:ascii="宋体" w:hAnsi="宋体" w:eastAsia="宋体" w:cs="宋体"/>
          <w:color w:val="auto"/>
          <w:sz w:val="21"/>
          <w:szCs w:val="21"/>
        </w:rPr>
        <w:t>移交确认单》上签字后，该</w:t>
      </w:r>
      <w:r>
        <w:rPr>
          <w:rFonts w:hint="eastAsia" w:ascii="宋体" w:hAnsi="宋体" w:eastAsia="宋体" w:cs="宋体"/>
          <w:color w:val="000000"/>
          <w:sz w:val="21"/>
          <w:szCs w:val="21"/>
        </w:rPr>
        <w:t>场地即已合格地交付给乙方使用。</w:t>
      </w:r>
      <w:bookmarkStart w:id="35" w:name="_Hlk495395060"/>
      <w:r>
        <w:rPr>
          <w:rFonts w:hint="eastAsia" w:ascii="宋体" w:hAnsi="宋体" w:eastAsia="宋体" w:cs="宋体"/>
          <w:color w:val="000000"/>
          <w:sz w:val="21"/>
          <w:szCs w:val="21"/>
        </w:rPr>
        <w:t>乙方未按通知办理交接手续的，或者没有合法理由拒绝接受该场地的，视为甲方已经在通知载明的交付日期将该场地交付给了乙方。</w:t>
      </w:r>
      <w:bookmarkEnd w:id="35"/>
    </w:p>
    <w:p w14:paraId="60FEDF36">
      <w:pPr>
        <w:adjustRightInd w:val="0"/>
        <w:snapToGrid w:val="0"/>
        <w:spacing w:line="360" w:lineRule="auto"/>
        <w:ind w:right="-403" w:rightChars="-192" w:firstLine="420" w:firstLineChars="200"/>
        <w:rPr>
          <w:rFonts w:hint="eastAsia" w:ascii="宋体" w:hAnsi="宋体" w:eastAsia="宋体" w:cs="宋体"/>
          <w:color w:val="000000"/>
          <w:sz w:val="21"/>
          <w:szCs w:val="21"/>
        </w:rPr>
      </w:pPr>
    </w:p>
    <w:p w14:paraId="275C8366">
      <w:pPr>
        <w:pStyle w:val="26"/>
        <w:numPr>
          <w:ilvl w:val="0"/>
          <w:numId w:val="2"/>
        </w:numPr>
        <w:adjustRightInd w:val="0"/>
        <w:snapToGrid w:val="0"/>
        <w:spacing w:line="360" w:lineRule="auto"/>
        <w:ind w:right="-403" w:rightChars="-192"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场地装修</w:t>
      </w:r>
    </w:p>
    <w:p w14:paraId="1562CB5E">
      <w:pPr>
        <w:pStyle w:val="26"/>
        <w:numPr>
          <w:ilvl w:val="0"/>
          <w:numId w:val="9"/>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乙方应于该场地交付时按照附件二的约定向甲方支付装修押金、装修管理费。乙方对该场地进行装修、安装设备或改建的，乙方的装修方案和施工计划应事先取得甲方批准。乙方应对装修工程购买工程一切险（含装修责任险），或应保证其装修公司购买上述保险，并将保单复印本于提供装修方案的同时提供予甲方。装修押金于乙方装修完工且通过甲方和管理公司验收，乙方提出装修押金退还申请后的6个月内无息退还。如乙方装修未通过甲方和管理公司验收，乙方应立即改正并承担全部费用和损失。</w:t>
      </w:r>
    </w:p>
    <w:p w14:paraId="4AAC6DEB">
      <w:pPr>
        <w:pStyle w:val="26"/>
        <w:numPr>
          <w:ilvl w:val="0"/>
          <w:numId w:val="9"/>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乙方对该房屋进行内部分隔、修建、安装设备、改建的，或者增设附属设施和设备的，或有其他影响房屋结构或外观效果的行为，应事先取得甲方或甲方指定管理公司以及政府有关部门批准，方可开工。若甲方发现乙方之装修方案或实际装修违反相关规定的，管理公司有权随时要求乙方予以改正或停工，管理公司不对上述乙方装修所涉之报批、施工、变更、被处罚及其它损失承担义务或责任。若因乙方未提供或迟延提交装修方案及/或提供装修样本、设计图纸的，或因乙方提供之方案未获甲方及政府部门批准而造成的装修延误，由此产生的损失由乙方自行承担，乙方亦不得因此而延迟缴付使用费及其它费用。</w:t>
      </w:r>
    </w:p>
    <w:p w14:paraId="7FBCF90E">
      <w:pPr>
        <w:pStyle w:val="26"/>
        <w:numPr>
          <w:ilvl w:val="0"/>
          <w:numId w:val="9"/>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一切有关消防系统、空调系统、电梯、用电增容以及给排水系统等工程之改造，乙方必须经甲方同意并聘用甲方指定之各专门承建商进行该有关工程，费用由乙方承担。</w:t>
      </w:r>
    </w:p>
    <w:p w14:paraId="4B7317D5">
      <w:pPr>
        <w:pStyle w:val="26"/>
        <w:numPr>
          <w:ilvl w:val="0"/>
          <w:numId w:val="9"/>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乙方应遵守并应确保其装修公司遵守甲方或管理公司制订的装修手册及相关要求。若甲方发现乙方之装修方案或实际装修违反相关规定、批准或要求的，甲方及管理公司有权随时要求乙方予以改正或停工，并承担全部费用和损失。如乙方或乙方的承建商在装修期给甲方或第三人造成任何损失的，乙方应向甲方及第三人承担全部赔偿责任。</w:t>
      </w:r>
    </w:p>
    <w:p w14:paraId="0B15E80C">
      <w:pPr>
        <w:adjustRightInd w:val="0"/>
        <w:snapToGrid w:val="0"/>
        <w:spacing w:line="360" w:lineRule="auto"/>
        <w:ind w:right="-403" w:rightChars="-192" w:firstLine="422" w:firstLineChars="200"/>
        <w:rPr>
          <w:rFonts w:hint="eastAsia" w:ascii="宋体" w:hAnsi="宋体" w:eastAsia="宋体" w:cs="宋体"/>
          <w:b/>
          <w:color w:val="000000"/>
          <w:sz w:val="21"/>
          <w:szCs w:val="21"/>
        </w:rPr>
      </w:pPr>
    </w:p>
    <w:p w14:paraId="455E1808">
      <w:pPr>
        <w:pStyle w:val="26"/>
        <w:numPr>
          <w:ilvl w:val="0"/>
          <w:numId w:val="2"/>
        </w:numPr>
        <w:adjustRightInd w:val="0"/>
        <w:snapToGrid w:val="0"/>
        <w:spacing w:line="360" w:lineRule="auto"/>
        <w:ind w:right="-403" w:rightChars="-192" w:firstLineChars="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开业</w:t>
      </w:r>
    </w:p>
    <w:p w14:paraId="55507675">
      <w:pPr>
        <w:pStyle w:val="26"/>
        <w:numPr>
          <w:ilvl w:val="0"/>
          <w:numId w:val="10"/>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该场地的开业日暂定日期见附件一，乙方同意，甲方可以提前向乙方发出书面通知调整开业日，甲方按此程序调整前述开业日的，双方均认同以甲方调整后的开业日为准，且不承担任何违约责任。乙方应当在开业日全面开始营业。</w:t>
      </w:r>
    </w:p>
    <w:p w14:paraId="121CCCC6">
      <w:pPr>
        <w:pStyle w:val="26"/>
        <w:numPr>
          <w:ilvl w:val="0"/>
          <w:numId w:val="10"/>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在装修期内，乙方应完成该场地的全部装修工作和必要的开业前准备（如证照和资质的申请等），并在开业日开业。经甲方事先书面批准后，乙方方可对外开始营业。如乙方未按照合同约定完成开业前准备或未经甲方书面批准而擅自营业的，甲方有权自行或指定物业管理公司停止或切断向该场地提供水、电及其它物业管理服务直至乙方满足开业条件并获得甲方书面批准。由此造成对乙方营业的影响，甲方无须承担任何责任。同时乙方应承担甲方采取上项措施期间的该场地使用费和本合同约定的其它任何费用及重新接驳水、电及其它公用设备的费用，同时需按照租金金额每日万分之五</w:t>
      </w:r>
      <w:r>
        <w:rPr>
          <w:rFonts w:hint="eastAsia" w:ascii="宋体" w:hAnsi="宋体" w:eastAsia="宋体" w:cs="宋体"/>
          <w:color w:val="000000"/>
          <w:sz w:val="21"/>
          <w:szCs w:val="21"/>
          <w:lang w:val="en-US" w:eastAsia="zh-CN"/>
        </w:rPr>
        <w:t>或500元/天两者取高</w:t>
      </w:r>
      <w:r>
        <w:rPr>
          <w:rFonts w:hint="eastAsia" w:ascii="宋体" w:hAnsi="宋体" w:eastAsia="宋体" w:cs="宋体"/>
          <w:color w:val="000000"/>
          <w:sz w:val="21"/>
          <w:szCs w:val="21"/>
        </w:rPr>
        <w:t>的标准承担私自营业及停业整顿期间的违约金。对于乙方私自营业而造成甲方的损失，包括但不限于经济、名誉、形象等损失，违约金不足以弥补的，甲方有权继续向乙方追偿。</w:t>
      </w:r>
    </w:p>
    <w:p w14:paraId="2B48F655">
      <w:pPr>
        <w:pStyle w:val="26"/>
        <w:numPr>
          <w:ilvl w:val="0"/>
          <w:numId w:val="10"/>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如乙方已完成所有开业前准备，并已具备开业所要求的一切条件的，乙方可以向甲方提出书面申请，甲方认为乙方的开业符合该物业的整体运营安排的，可书面同意乙方提前开业。</w:t>
      </w:r>
    </w:p>
    <w:p w14:paraId="07A93801">
      <w:pPr>
        <w:pStyle w:val="26"/>
        <w:numPr>
          <w:ilvl w:val="0"/>
          <w:numId w:val="10"/>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如乙方未能在装修期届满后30日内完成装修装饰工程或因乙方原因造成该房屋无法通过二次装修验收或单项验收，导致该物业开业受到延误的，则乙方还应赔偿甲方因此而遭受的一切损失。</w:t>
      </w:r>
    </w:p>
    <w:p w14:paraId="68CEADEC">
      <w:pPr>
        <w:adjustRightInd w:val="0"/>
        <w:snapToGrid w:val="0"/>
        <w:spacing w:line="360" w:lineRule="auto"/>
        <w:ind w:right="-403" w:rightChars="-192" w:firstLine="422" w:firstLineChars="200"/>
        <w:rPr>
          <w:rFonts w:hint="eastAsia" w:ascii="宋体" w:hAnsi="宋体" w:eastAsia="宋体" w:cs="宋体"/>
          <w:b/>
          <w:color w:val="000000"/>
          <w:sz w:val="21"/>
          <w:szCs w:val="21"/>
        </w:rPr>
      </w:pPr>
    </w:p>
    <w:p w14:paraId="0E7E493B">
      <w:pPr>
        <w:pStyle w:val="26"/>
        <w:numPr>
          <w:ilvl w:val="0"/>
          <w:numId w:val="2"/>
        </w:numPr>
        <w:adjustRightInd w:val="0"/>
        <w:snapToGrid w:val="0"/>
        <w:spacing w:line="360" w:lineRule="auto"/>
        <w:ind w:right="-403" w:rightChars="-192"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场地维修</w:t>
      </w:r>
    </w:p>
    <w:p w14:paraId="47A40480">
      <w:pPr>
        <w:pStyle w:val="26"/>
        <w:numPr>
          <w:ilvl w:val="0"/>
          <w:numId w:val="11"/>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使用期内，甲方对该场地及其附属设施处于正常的可使用和安全的状态负责。甲方对该场地进行检查、养护，应提前通知乙方。检查养护时，乙方应予以配合。</w:t>
      </w:r>
    </w:p>
    <w:p w14:paraId="3719B9C1">
      <w:pPr>
        <w:pStyle w:val="26"/>
        <w:numPr>
          <w:ilvl w:val="0"/>
          <w:numId w:val="11"/>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使用期内，乙方应合理使用并爱护该场地及其附属设施。因乙方原因造成场地或设施损坏，乙方须负责立即修复并承担全部的赔偿责任。</w:t>
      </w:r>
    </w:p>
    <w:p w14:paraId="18E46E9A">
      <w:pPr>
        <w:adjustRightInd w:val="0"/>
        <w:snapToGrid w:val="0"/>
        <w:spacing w:line="360" w:lineRule="auto"/>
        <w:ind w:right="-403" w:rightChars="-192" w:firstLine="420" w:firstLineChars="200"/>
        <w:rPr>
          <w:rFonts w:hint="eastAsia" w:ascii="宋体" w:hAnsi="宋体" w:eastAsia="宋体" w:cs="宋体"/>
          <w:color w:val="000000"/>
          <w:sz w:val="21"/>
          <w:szCs w:val="21"/>
        </w:rPr>
      </w:pPr>
    </w:p>
    <w:p w14:paraId="27C440EC">
      <w:pPr>
        <w:pStyle w:val="26"/>
        <w:numPr>
          <w:ilvl w:val="0"/>
          <w:numId w:val="2"/>
        </w:numPr>
        <w:adjustRightInd w:val="0"/>
        <w:snapToGrid w:val="0"/>
        <w:spacing w:line="360" w:lineRule="auto"/>
        <w:ind w:right="-403" w:rightChars="-192"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转租、转让</w:t>
      </w:r>
    </w:p>
    <w:p w14:paraId="1617A596">
      <w:pPr>
        <w:pStyle w:val="26"/>
        <w:numPr>
          <w:ilvl w:val="0"/>
          <w:numId w:val="12"/>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在使用期内，未获得甲方的同意，乙方不得将该场地向任何其它企业、个人或品牌作任何形式之转租、分租。</w:t>
      </w:r>
    </w:p>
    <w:p w14:paraId="2846E5F0">
      <w:pPr>
        <w:pStyle w:val="26"/>
        <w:numPr>
          <w:ilvl w:val="0"/>
          <w:numId w:val="12"/>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在使用期内，如乙方的名称、注册地址、经营范围、控股股东、股权结构等发生变更的，乙方应当在上述变更发生之日起15日内书面告知甲方。</w:t>
      </w:r>
    </w:p>
    <w:p w14:paraId="2C3CD307">
      <w:pPr>
        <w:adjustRightInd w:val="0"/>
        <w:snapToGrid w:val="0"/>
        <w:spacing w:line="360" w:lineRule="auto"/>
        <w:ind w:right="-403" w:rightChars="-192" w:firstLine="422" w:firstLineChars="200"/>
        <w:rPr>
          <w:rFonts w:hint="eastAsia" w:ascii="宋体" w:hAnsi="宋体" w:eastAsia="宋体" w:cs="宋体"/>
          <w:b/>
          <w:color w:val="000000"/>
          <w:sz w:val="21"/>
          <w:szCs w:val="21"/>
        </w:rPr>
      </w:pPr>
    </w:p>
    <w:p w14:paraId="70D523A6">
      <w:pPr>
        <w:pStyle w:val="26"/>
        <w:numPr>
          <w:ilvl w:val="0"/>
          <w:numId w:val="2"/>
        </w:numPr>
        <w:adjustRightInd w:val="0"/>
        <w:snapToGrid w:val="0"/>
        <w:spacing w:line="360" w:lineRule="auto"/>
        <w:ind w:right="-403" w:rightChars="-192"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保险</w:t>
      </w:r>
    </w:p>
    <w:p w14:paraId="57BEE457">
      <w:pPr>
        <w:pStyle w:val="26"/>
        <w:numPr>
          <w:ilvl w:val="0"/>
          <w:numId w:val="13"/>
        </w:numPr>
        <w:adjustRightInd w:val="0"/>
        <w:snapToGrid w:val="0"/>
        <w:spacing w:line="360" w:lineRule="auto"/>
        <w:ind w:left="0" w:right="-403" w:rightChars="-192" w:firstLine="440"/>
        <w:rPr>
          <w:rFonts w:hint="eastAsia" w:ascii="宋体" w:hAnsi="宋体" w:eastAsia="宋体" w:cs="宋体"/>
          <w:color w:val="auto"/>
          <w:sz w:val="21"/>
          <w:szCs w:val="21"/>
        </w:rPr>
      </w:pPr>
      <w:r>
        <w:rPr>
          <w:rFonts w:hint="eastAsia" w:ascii="宋体" w:hAnsi="宋体" w:eastAsia="宋体" w:cs="宋体"/>
          <w:color w:val="auto"/>
          <w:sz w:val="21"/>
          <w:szCs w:val="21"/>
        </w:rPr>
        <w:t>乙方在租赁期内应负责保障甲方不用承担乙方因租用该房屋及在该房屋内经营业务而导致乙方或第三者的财产损失或人身伤亡的一切开支、责任、损失、索赔或诉讼等法律责任。乙方应向一家中国注册的保险公司对上述责任自费购买公众责任险，并且持续进行该保险，餐饮商户该公众责任险的保险额应不低于人民币1000万元，除餐饮商户以外的商户该公众责任险保险额应不低于人民币500万元，保险期限应与租赁期限相同，保险单中应注明的受益人应包括甲方。乙方并须在甲方要求的期限内将保险合同及相关文件副本交予甲方备案。在甲方要求时，乙方应出具持续有效的保险单或及最近一次保险费支付凭证。乙方应充分考虑火灾、水渍、偷盗等风险，为该房屋内的属于乙方的财产购买适当的保险。</w:t>
      </w:r>
    </w:p>
    <w:p w14:paraId="34C96571">
      <w:pPr>
        <w:pStyle w:val="26"/>
        <w:numPr>
          <w:ilvl w:val="0"/>
          <w:numId w:val="13"/>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在使用期内，甲方对该场地建筑结构投保财产一切险，并为该物业公共部位投保公众责任保险。乙方不得进行亦不得允许他人进行任何可能导致该场地的保险全部或部分失效，或造成保险费增加的活动。若乙方违反本合同规定而使甲方重新投保或保险费增加或甲方须支付额外的保险费以及其它有关开支，乙方须全额偿还甲方。</w:t>
      </w:r>
    </w:p>
    <w:p w14:paraId="480B55D5">
      <w:pPr>
        <w:adjustRightInd w:val="0"/>
        <w:snapToGrid w:val="0"/>
        <w:spacing w:line="360" w:lineRule="auto"/>
        <w:ind w:right="-403" w:rightChars="-192" w:firstLine="420" w:firstLineChars="200"/>
        <w:rPr>
          <w:rFonts w:hint="eastAsia" w:ascii="宋体" w:hAnsi="宋体" w:eastAsia="宋体" w:cs="宋体"/>
          <w:color w:val="000000"/>
          <w:sz w:val="21"/>
          <w:szCs w:val="21"/>
        </w:rPr>
      </w:pPr>
    </w:p>
    <w:p w14:paraId="45A6D2B5">
      <w:pPr>
        <w:pStyle w:val="26"/>
        <w:numPr>
          <w:ilvl w:val="0"/>
          <w:numId w:val="2"/>
        </w:numPr>
        <w:adjustRightInd w:val="0"/>
        <w:snapToGrid w:val="0"/>
        <w:spacing w:line="360" w:lineRule="auto"/>
        <w:ind w:right="-403" w:rightChars="-192"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场地经营和管理</w:t>
      </w:r>
    </w:p>
    <w:p w14:paraId="4EA9D6DA">
      <w:pPr>
        <w:pStyle w:val="26"/>
        <w:numPr>
          <w:ilvl w:val="0"/>
          <w:numId w:val="14"/>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乙方应承担消防安全责任，有效地预防和杜绝火灾事故，及时发现和处理消防安全隐患，避免出现消防安全事故。乙方应每半年至少进行一次用电设施设备隐患排查和防火检查。</w:t>
      </w:r>
    </w:p>
    <w:p w14:paraId="20BCE0DE">
      <w:pPr>
        <w:pStyle w:val="26"/>
        <w:numPr>
          <w:ilvl w:val="0"/>
          <w:numId w:val="14"/>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甲方及管理公司有权针对包括乙方在内的租户定期开展消防安全检查。乙方收到甲方或管理公司发出的《隐患整改通知单》后应如按通知要求限期进行整改，每逾期一天应支付违约金人民币500元。如发生火灾等安全事故导致甲方损失的，乙方承担全部赔偿责任。</w:t>
      </w:r>
    </w:p>
    <w:p w14:paraId="4935C0AB">
      <w:pPr>
        <w:pStyle w:val="26"/>
        <w:numPr>
          <w:ilvl w:val="0"/>
          <w:numId w:val="14"/>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合同期内，如乙方发生任何消防、安全、治安等方面的事件，对该物业、甲方或其他任何第三方造成不良影响或损害的，甲方除有权要求乙方承担全部赔偿责任外，还有权向乙方收取人民币【5000】元/次的违约金。</w:t>
      </w:r>
    </w:p>
    <w:p w14:paraId="7003C2DD">
      <w:pPr>
        <w:pStyle w:val="26"/>
        <w:numPr>
          <w:ilvl w:val="0"/>
          <w:numId w:val="14"/>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乙方应根据国家及场地所在地劳动法律法规及政策要求合法合规用工，如发生任何劳动人事纠纷，由乙方负责处理并自行承担全部责任。如涉及员工集体罢工、静坐等事件，乙方承诺按甲方要求限期解决，否则甲方有权解除合同并要求乙方承担违约责任。如该等事件导致甲方损失的，乙方承担全部赔偿责任。</w:t>
      </w:r>
    </w:p>
    <w:p w14:paraId="49957278">
      <w:pPr>
        <w:pStyle w:val="27"/>
        <w:widowControl/>
        <w:tabs>
          <w:tab w:val="left" w:pos="8280"/>
        </w:tabs>
        <w:autoSpaceDE w:val="0"/>
        <w:autoSpaceDN w:val="0"/>
        <w:snapToGrid w:val="0"/>
        <w:spacing w:line="360" w:lineRule="auto"/>
        <w:ind w:right="-403" w:rightChars="-192" w:firstLine="420" w:firstLineChars="200"/>
        <w:jc w:val="both"/>
        <w:textAlignment w:val="bottom"/>
        <w:rPr>
          <w:rFonts w:hint="eastAsia" w:ascii="宋体" w:hAnsi="宋体" w:eastAsia="宋体" w:cs="宋体"/>
          <w:color w:val="000000"/>
          <w:kern w:val="2"/>
          <w:sz w:val="21"/>
          <w:szCs w:val="21"/>
          <w:lang w:eastAsia="zh-CN"/>
        </w:rPr>
      </w:pPr>
    </w:p>
    <w:p w14:paraId="3C13DF41">
      <w:pPr>
        <w:pStyle w:val="26"/>
        <w:numPr>
          <w:ilvl w:val="0"/>
          <w:numId w:val="2"/>
        </w:numPr>
        <w:adjustRightInd w:val="0"/>
        <w:snapToGrid w:val="0"/>
        <w:spacing w:line="360" w:lineRule="auto"/>
        <w:ind w:right="-403" w:rightChars="-192"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场地返还</w:t>
      </w:r>
    </w:p>
    <w:p w14:paraId="0A344FA3">
      <w:pPr>
        <w:pStyle w:val="26"/>
        <w:numPr>
          <w:ilvl w:val="0"/>
          <w:numId w:val="15"/>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除甲方同意乙方续租外，乙方应在本合同使用期满的当日或提前终止当日将已恢复至交付状态（附件三所示）或恢复至甲方同意接受的状态之该场地归还给甲方。当乙方向甲方归还该场地时，甲、乙双方应</w:t>
      </w:r>
      <w:r>
        <w:rPr>
          <w:rFonts w:hint="eastAsia" w:ascii="宋体" w:hAnsi="宋体" w:eastAsia="宋体" w:cs="宋体"/>
          <w:sz w:val="21"/>
          <w:szCs w:val="21"/>
        </w:rPr>
        <w:t>依《工程竣工验收单》对该场地进</w:t>
      </w:r>
      <w:r>
        <w:rPr>
          <w:rFonts w:hint="eastAsia" w:ascii="宋体" w:hAnsi="宋体" w:eastAsia="宋体" w:cs="宋体"/>
          <w:color w:val="000000"/>
          <w:sz w:val="21"/>
          <w:szCs w:val="21"/>
        </w:rPr>
        <w:t>行验收，并就该场地的归还情况签署一份返还表格。</w:t>
      </w:r>
    </w:p>
    <w:p w14:paraId="1D0D8C7E">
      <w:pPr>
        <w:pStyle w:val="26"/>
        <w:numPr>
          <w:ilvl w:val="0"/>
          <w:numId w:val="15"/>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除甲方同意外，乙方归还该场地时不得以任何理由要求甲方收购或补偿乙方自置的分隔、装修或任何设施。因将该场地恢复原状而造成的乙方之装修设施或设备等价值的折损，甲方无须给予补偿。乙方可自行指定承包商进行恢复原状工程，费用由乙方承担。如乙方给甲方造成损失的，乙方应向甲方进行赔偿。</w:t>
      </w:r>
    </w:p>
    <w:p w14:paraId="3EB8DE89">
      <w:pPr>
        <w:pStyle w:val="26"/>
        <w:numPr>
          <w:ilvl w:val="0"/>
          <w:numId w:val="15"/>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若乙方逾期向甲方归还该场地的，则甲方有权停止向该场地提供水、电、燃气及其它物业管理服务，并按以下方式收回该场地并要求乙方承担责任：</w:t>
      </w:r>
    </w:p>
    <w:p w14:paraId="752A34C7">
      <w:pPr>
        <w:adjustRightInd w:val="0"/>
        <w:snapToGrid w:val="0"/>
        <w:spacing w:line="360" w:lineRule="auto"/>
        <w:ind w:right="-403" w:rightChars="-192"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甲方有权在使用期届满或本合同提前终止后的任何时间内进入并收回该场地，无需其他方进行见证或公证。乙方放置于该场地内的一切设施设备包括装修等物品将被视为放弃物，由甲方自由处置，甲方无须为此给予乙方任何补偿。同时甲方有权自行完成恢复原状、拆除、搬出和补修工作，所产生之费用由乙方承担；届时甲方亦有权选择保留该场地内的装修和设施，甲方无须为此给予乙方任何补偿。</w:t>
      </w:r>
    </w:p>
    <w:p w14:paraId="4B57D7D7">
      <w:pPr>
        <w:adjustRightInd w:val="0"/>
        <w:snapToGrid w:val="0"/>
        <w:spacing w:line="360" w:lineRule="auto"/>
        <w:ind w:right="-403" w:rightChars="-192"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从使用期满的当日或提前解除当日起直至办妥交接手续或甲方行使上述第（1）项权利进入并收回该场地为止，乙方须以合同终止（或解除）日前一天的使用费标准为基础，向甲方双倍支付延误期内的使用费，并应向甲方赔偿因乙方迟延返还该场地引致的一切损失，并支付从使用期届满之日到实际返还之日期间该场地的公用事业费及其他费用。但此等占用费、赔偿金等的支付并不构成续租或使用之延续。</w:t>
      </w:r>
    </w:p>
    <w:p w14:paraId="127F24CE">
      <w:pPr>
        <w:adjustRightInd w:val="0"/>
        <w:snapToGrid w:val="0"/>
        <w:spacing w:line="360" w:lineRule="auto"/>
        <w:ind w:right="-403" w:rightChars="-192"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（3）如因乙方未按规定办理场地返还手续引发诉讼的，诉讼费用和甲方支出的律师费用均应由乙方承担。</w:t>
      </w:r>
    </w:p>
    <w:p w14:paraId="76D7BD6F">
      <w:pPr>
        <w:pStyle w:val="27"/>
        <w:widowControl/>
        <w:autoSpaceDE w:val="0"/>
        <w:autoSpaceDN w:val="0"/>
        <w:snapToGrid w:val="0"/>
        <w:spacing w:line="360" w:lineRule="auto"/>
        <w:ind w:right="-403" w:rightChars="-192" w:firstLine="420" w:firstLineChars="200"/>
        <w:jc w:val="both"/>
        <w:textAlignment w:val="bottom"/>
        <w:rPr>
          <w:rFonts w:hint="eastAsia" w:ascii="宋体" w:hAnsi="宋体" w:eastAsia="宋体" w:cs="宋体"/>
          <w:color w:val="000000"/>
          <w:sz w:val="21"/>
          <w:szCs w:val="21"/>
          <w:lang w:eastAsia="zh-CN"/>
        </w:rPr>
      </w:pPr>
    </w:p>
    <w:p w14:paraId="0C99B68C">
      <w:pPr>
        <w:pStyle w:val="26"/>
        <w:numPr>
          <w:ilvl w:val="0"/>
          <w:numId w:val="2"/>
        </w:numPr>
        <w:adjustRightInd w:val="0"/>
        <w:snapToGrid w:val="0"/>
        <w:spacing w:line="360" w:lineRule="auto"/>
        <w:ind w:right="-403" w:rightChars="-192"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免责条款</w:t>
      </w:r>
    </w:p>
    <w:p w14:paraId="0CB9E30F">
      <w:pPr>
        <w:pStyle w:val="26"/>
        <w:numPr>
          <w:ilvl w:val="0"/>
          <w:numId w:val="16"/>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由于地震、风灾、火灾、水灾、战争及其它不可抗力事件，直接致使本合同不能履行或不能按约履行时，任何一方有权取得有权部门的证明并通知对方后解除本合同，且双方对此无须承担违约责任。</w:t>
      </w:r>
    </w:p>
    <w:p w14:paraId="32DEF863">
      <w:pPr>
        <w:pStyle w:val="26"/>
        <w:numPr>
          <w:ilvl w:val="0"/>
          <w:numId w:val="16"/>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甲、乙双方在此同意，甲方无须因下列情形而向乙方作出赔偿或减免使用费或负其它法律责任，除非这些情形系甲方故意、严重疏忽或重大过失造成的：</w:t>
      </w:r>
    </w:p>
    <w:p w14:paraId="5ECA4ECF">
      <w:pPr>
        <w:adjustRightInd w:val="0"/>
        <w:snapToGrid w:val="0"/>
        <w:spacing w:line="360" w:lineRule="auto"/>
        <w:ind w:right="-403" w:rightChars="-192"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（1）任何盗窃、抢劫及其它刑事案件造成的损失或损害；</w:t>
      </w:r>
    </w:p>
    <w:p w14:paraId="216BCDDD">
      <w:pPr>
        <w:adjustRightInd w:val="0"/>
        <w:snapToGrid w:val="0"/>
        <w:spacing w:line="360" w:lineRule="auto"/>
        <w:ind w:right="-403" w:rightChars="-192"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（2）烟、水淹及火灾、各种机电系统及设备的失灵或故障或给排水、电力的泄露或供应中断或设备维修而引起的一切后果；</w:t>
      </w:r>
    </w:p>
    <w:p w14:paraId="091E8E3C">
      <w:pPr>
        <w:adjustRightInd w:val="0"/>
        <w:snapToGrid w:val="0"/>
        <w:spacing w:line="360" w:lineRule="auto"/>
        <w:ind w:right="-403" w:rightChars="-192"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（3）因该场地以外的范围需要进行维修、改建、装修等工程而需要暂时限制或更改公共通道而导致的干扰或不便；</w:t>
      </w:r>
    </w:p>
    <w:p w14:paraId="146E8C17">
      <w:pPr>
        <w:adjustRightInd w:val="0"/>
        <w:snapToGrid w:val="0"/>
        <w:spacing w:line="360" w:lineRule="auto"/>
        <w:ind w:left="1094" w:leftChars="200" w:right="-403" w:rightChars="-192" w:hanging="674" w:hangingChars="321"/>
        <w:rPr>
          <w:rFonts w:hint="eastAsia" w:ascii="宋体" w:hAnsi="宋体" w:eastAsia="宋体" w:cs="宋体"/>
          <w:color w:val="000000"/>
          <w:sz w:val="21"/>
          <w:szCs w:val="21"/>
        </w:rPr>
      </w:pPr>
      <w:r>
        <w:rPr>
          <w:rFonts w:hint="eastAsia" w:ascii="宋体" w:hAnsi="宋体" w:eastAsia="宋体" w:cs="宋体"/>
          <w:color w:val="000000"/>
          <w:sz w:val="21"/>
          <w:szCs w:val="21"/>
        </w:rPr>
        <w:t>（4）有关供水、供电单位因日常检查、维修或其它地区性事故而造成该场地停水、停电；</w:t>
      </w:r>
    </w:p>
    <w:p w14:paraId="68FBAC8F">
      <w:pPr>
        <w:adjustRightInd w:val="0"/>
        <w:snapToGrid w:val="0"/>
        <w:spacing w:line="360" w:lineRule="auto"/>
        <w:ind w:left="1094" w:leftChars="200" w:right="-403" w:rightChars="-192" w:hanging="674" w:hangingChars="321"/>
        <w:rPr>
          <w:rFonts w:hint="eastAsia" w:ascii="宋体" w:hAnsi="宋体" w:eastAsia="宋体" w:cs="宋体"/>
          <w:color w:val="000000"/>
          <w:sz w:val="21"/>
          <w:szCs w:val="21"/>
        </w:rPr>
      </w:pPr>
      <w:r>
        <w:rPr>
          <w:rFonts w:hint="eastAsia" w:ascii="宋体" w:hAnsi="宋体" w:eastAsia="宋体" w:cs="宋体"/>
          <w:color w:val="000000"/>
          <w:sz w:val="21"/>
          <w:szCs w:val="21"/>
        </w:rPr>
        <w:t>（5）由于不可抗力造成的损害。</w:t>
      </w:r>
    </w:p>
    <w:p w14:paraId="48E6FF86">
      <w:pPr>
        <w:pStyle w:val="26"/>
        <w:numPr>
          <w:ilvl w:val="0"/>
          <w:numId w:val="16"/>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甲方向该物业提供的保安人员、管理人员、任何性质的机械、电子防盗系统(如有)，将不构成甲方有义务负责该场地之财物的保安。乙方在任何时间都对该场地之财物负有保安责任。</w:t>
      </w:r>
    </w:p>
    <w:p w14:paraId="6A965C54">
      <w:pPr>
        <w:pStyle w:val="26"/>
        <w:numPr>
          <w:ilvl w:val="0"/>
          <w:numId w:val="16"/>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甲、乙双方同意，在使用期内，遇有下列任一情况的，本合同自动提前终止，甲、乙双方互不承担责任：</w:t>
      </w:r>
    </w:p>
    <w:p w14:paraId="075EB255">
      <w:pPr>
        <w:adjustRightInd w:val="0"/>
        <w:snapToGrid w:val="0"/>
        <w:spacing w:line="360" w:lineRule="auto"/>
        <w:ind w:right="-403" w:rightChars="-192"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（1）该场地占用范围的土地使用权被依法提前收回的；</w:t>
      </w:r>
    </w:p>
    <w:p w14:paraId="51137723">
      <w:pPr>
        <w:adjustRightInd w:val="0"/>
        <w:snapToGrid w:val="0"/>
        <w:spacing w:line="360" w:lineRule="auto"/>
        <w:ind w:right="-403" w:rightChars="-192"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（2）该场地因社会公共利益或城市建设需要被依法征收、征用或拆迁的；</w:t>
      </w:r>
    </w:p>
    <w:p w14:paraId="148FD589">
      <w:pPr>
        <w:adjustRightInd w:val="0"/>
        <w:snapToGrid w:val="0"/>
        <w:spacing w:line="360" w:lineRule="auto"/>
        <w:ind w:right="-403" w:rightChars="-192"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（3）该场地非因甲、乙双方的原因而毁损、灭失或者被鉴定为危险场地的；</w:t>
      </w:r>
    </w:p>
    <w:p w14:paraId="7C443870">
      <w:pPr>
        <w:adjustRightInd w:val="0"/>
        <w:snapToGrid w:val="0"/>
        <w:spacing w:line="360" w:lineRule="auto"/>
        <w:ind w:right="-403" w:rightChars="-192"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（4）出现不可抗力使得本合同无法继续履行。</w:t>
      </w:r>
    </w:p>
    <w:p w14:paraId="420D2E99">
      <w:pPr>
        <w:pStyle w:val="26"/>
        <w:numPr>
          <w:ilvl w:val="0"/>
          <w:numId w:val="16"/>
        </w:numPr>
        <w:adjustRightInd w:val="0"/>
        <w:snapToGrid w:val="0"/>
        <w:spacing w:line="360" w:lineRule="auto"/>
        <w:ind w:left="0" w:right="-403" w:rightChars="-192" w:firstLine="442"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在与乙方签署本合同前已经明确告知乙方，该场地不具备土地和房产登记证明以及相应的规划建设手续，乙方确认愿意使用该场地，并同意自行办理各类证照包括但不限于营业许可证、卫生许可证等。此外，双方在充分沟通和了解该场地实际情况的基础上进一步一致同意，如本合同签订后政府主管部门不同意出租该场地（但甲方不必向乙方出示相关的书面通知或政府决议）、甲方未能取得相关规划建设手续或乙方确仅因该场地不具备规划建设手续无法办理经营所需许可证从而无法开展营业的，或其他由于场地不具备土地和房产登记证明以及相应的规划建设手续从而导致租赁合同</w:t>
      </w:r>
      <w:r>
        <w:rPr>
          <w:rFonts w:hint="eastAsia" w:ascii="宋体" w:hAnsi="宋体" w:eastAsia="宋体" w:cs="宋体"/>
          <w:b/>
          <w:color w:val="auto"/>
          <w:sz w:val="21"/>
          <w:szCs w:val="21"/>
          <w:highlight w:val="none"/>
          <w:lang w:val="en-US" w:eastAsia="zh-CN"/>
        </w:rPr>
        <w:t>不能履行</w:t>
      </w:r>
      <w:r>
        <w:rPr>
          <w:rFonts w:hint="eastAsia" w:ascii="宋体" w:hAnsi="宋体" w:eastAsia="宋体" w:cs="宋体"/>
          <w:b/>
          <w:color w:val="auto"/>
          <w:sz w:val="21"/>
          <w:szCs w:val="21"/>
          <w:highlight w:val="none"/>
        </w:rPr>
        <w:t>的，则甲方有权通知乙方本合同</w:t>
      </w:r>
      <w:r>
        <w:rPr>
          <w:rFonts w:hint="eastAsia" w:ascii="宋体" w:hAnsi="宋体" w:eastAsia="宋体" w:cs="宋体"/>
          <w:b/>
          <w:color w:val="auto"/>
          <w:sz w:val="21"/>
          <w:szCs w:val="21"/>
          <w:highlight w:val="none"/>
          <w:lang w:val="en-US" w:eastAsia="zh-CN"/>
        </w:rPr>
        <w:t>不再履行</w:t>
      </w:r>
      <w:r>
        <w:rPr>
          <w:rFonts w:hint="eastAsia" w:ascii="宋体" w:hAnsi="宋体" w:eastAsia="宋体" w:cs="宋体"/>
          <w:b/>
          <w:color w:val="auto"/>
          <w:sz w:val="21"/>
          <w:szCs w:val="21"/>
          <w:highlight w:val="none"/>
        </w:rPr>
        <w:t>，并按照本合同约定退还乙方的保证金，除此以外甲方无需向乙方承担其他任何责任，且乙方同意不向甲方进行任何索赔（包括但不限于甲方无需补偿乙方装修装饰损失）。</w:t>
      </w:r>
    </w:p>
    <w:p w14:paraId="36E38820">
      <w:pPr>
        <w:adjustRightInd w:val="0"/>
        <w:snapToGrid w:val="0"/>
        <w:spacing w:line="360" w:lineRule="auto"/>
        <w:ind w:right="-403" w:rightChars="-192"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如本合同签订时乙方尚处于筹建期间，则甲方签字盖章及乙方股东或代表签字即可使本合同生效。在乙方公司取得营业执照前，乙方在本合同下的权利义务由代表乙方在本合同下签字的代表或股东代为承担和履行。在乙方公司正式成立后，乙方应在取得营业执照和公章后15天内至甲方处对本合同承租方处加盖公章，乙方签约代表及股东对乙方公司盖章前后产生的合同各项义务均需承担连带责任。如乙方公司在本合同签订后【】日内未能以该名称、注册地等相关工商信息注册登记并在承租方处加盖公章，乙方及其股东、签字代表同意本合同自动终止且甲方有权没收乙方已预交的履约保证金。</w:t>
      </w:r>
    </w:p>
    <w:p w14:paraId="2DBF036A">
      <w:pPr>
        <w:pStyle w:val="26"/>
        <w:numPr>
          <w:ilvl w:val="0"/>
          <w:numId w:val="2"/>
        </w:numPr>
        <w:adjustRightInd w:val="0"/>
        <w:snapToGrid w:val="0"/>
        <w:spacing w:line="360" w:lineRule="auto"/>
        <w:ind w:right="-403" w:rightChars="-192"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违约责任及合同解除</w:t>
      </w:r>
    </w:p>
    <w:p w14:paraId="7864E4D9">
      <w:pPr>
        <w:pStyle w:val="26"/>
        <w:numPr>
          <w:ilvl w:val="0"/>
          <w:numId w:val="17"/>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乙方逾期付款的违约责任</w:t>
      </w:r>
    </w:p>
    <w:p w14:paraId="08ECA980">
      <w:pPr>
        <w:pStyle w:val="26"/>
        <w:numPr>
          <w:ilvl w:val="0"/>
          <w:numId w:val="18"/>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如乙方逾期向甲方支付本合同项下的使用费等任何款项或未按合同约定补足保证金或押金的，甲方有权要求乙方就逾期支付款项按每日万分之五的标准支付违约金。</w:t>
      </w:r>
    </w:p>
    <w:p w14:paraId="4F92DA96">
      <w:pPr>
        <w:pStyle w:val="26"/>
        <w:numPr>
          <w:ilvl w:val="0"/>
          <w:numId w:val="18"/>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乙方同意，如乙方逾期支付上述任何款项超过15天的，甲方有权停止或切断向该场地提供水、电及其它物业管理服务直至乙方付清拖欠费用及违约金。由此造成对乙方营业的影响和损失，甲方无须承担任何责任。同时乙方应承担重新接驳水、电及其它公用设备的费用。</w:t>
      </w:r>
    </w:p>
    <w:p w14:paraId="56423048">
      <w:pPr>
        <w:pStyle w:val="26"/>
        <w:numPr>
          <w:ilvl w:val="0"/>
          <w:numId w:val="18"/>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乙方同意，如乙方逾期支付使用费、公共事业费，或逾期补足扣除后的保证金差额，或其他应由乙方承担的其它有关费用之任何一项累计达到1个月或以上的，则乙方构成实质性违约行为，甲方有权解除本合同并有权按本条（三）办理。</w:t>
      </w:r>
    </w:p>
    <w:p w14:paraId="4A509B62">
      <w:pPr>
        <w:pStyle w:val="26"/>
        <w:numPr>
          <w:ilvl w:val="0"/>
          <w:numId w:val="17"/>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下列行为属于甲方可以解除合同的乙方其他实质性违约行为：</w:t>
      </w:r>
    </w:p>
    <w:p w14:paraId="06DBFA80">
      <w:pPr>
        <w:pStyle w:val="26"/>
        <w:numPr>
          <w:ilvl w:val="0"/>
          <w:numId w:val="19"/>
        </w:numPr>
        <w:adjustRightInd w:val="0"/>
        <w:snapToGrid w:val="0"/>
        <w:spacing w:line="360" w:lineRule="auto"/>
        <w:ind w:right="-403" w:rightChars="-192"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乙方未按约接收、利用场地的：</w:t>
      </w:r>
    </w:p>
    <w:p w14:paraId="3F9B0B0F">
      <w:pPr>
        <w:pStyle w:val="26"/>
        <w:numPr>
          <w:ilvl w:val="0"/>
          <w:numId w:val="20"/>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由交付日起30日内，如乙方仍未办理正式交接手续；</w:t>
      </w:r>
    </w:p>
    <w:p w14:paraId="2091EE03">
      <w:pPr>
        <w:pStyle w:val="26"/>
        <w:numPr>
          <w:ilvl w:val="0"/>
          <w:numId w:val="20"/>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因乙方原因造成场地主体结构损坏的；</w:t>
      </w:r>
    </w:p>
    <w:p w14:paraId="779E5200">
      <w:pPr>
        <w:pStyle w:val="26"/>
        <w:numPr>
          <w:ilvl w:val="0"/>
          <w:numId w:val="20"/>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乙方擅自转租、分租该场地的；</w:t>
      </w:r>
    </w:p>
    <w:p w14:paraId="0B0D7A8F">
      <w:pPr>
        <w:pStyle w:val="26"/>
        <w:numPr>
          <w:ilvl w:val="0"/>
          <w:numId w:val="19"/>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乙方未按约开展经营的：</w:t>
      </w:r>
    </w:p>
    <w:p w14:paraId="5AA8E360">
      <w:pPr>
        <w:pStyle w:val="26"/>
        <w:numPr>
          <w:ilvl w:val="0"/>
          <w:numId w:val="20"/>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乙方没有获得合法的经营权或经营证照的，或该等经营权及证照被相关政府部门取消、吊销的，或乙方发生进行其它违法经营活动的（但乙方因本合同第十五条第5款原因无法获得经营证照导致合同解除的，无须按照本条约定承担合同解除的违约责任）；</w:t>
      </w:r>
    </w:p>
    <w:p w14:paraId="124F977E">
      <w:pPr>
        <w:pStyle w:val="26"/>
        <w:numPr>
          <w:ilvl w:val="0"/>
          <w:numId w:val="20"/>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未事先征得甲方的同意且经管理公司证明，乙方连续5日或累计达到15日或以上未营业的，或者乙方违反营业时间约定超过5次的；</w:t>
      </w:r>
    </w:p>
    <w:p w14:paraId="25B41285">
      <w:pPr>
        <w:pStyle w:val="26"/>
        <w:numPr>
          <w:ilvl w:val="0"/>
          <w:numId w:val="20"/>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乙方未按照约定用途及约定品牌使用该场地，或者乙方丧失品牌的经营权、代理权的；</w:t>
      </w:r>
    </w:p>
    <w:p w14:paraId="49688E5D">
      <w:pPr>
        <w:pStyle w:val="26"/>
        <w:numPr>
          <w:ilvl w:val="0"/>
          <w:numId w:val="20"/>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乙方逾期开业超过15日的；</w:t>
      </w:r>
    </w:p>
    <w:p w14:paraId="345EF68E">
      <w:pPr>
        <w:pStyle w:val="26"/>
        <w:numPr>
          <w:ilvl w:val="0"/>
          <w:numId w:val="20"/>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正常经营期间，乙方未经甲方书面同意擅自闭店，或开业面积比例不足正常经营范围的80%（含）的；</w:t>
      </w:r>
    </w:p>
    <w:p w14:paraId="6F9F441F">
      <w:pPr>
        <w:pStyle w:val="26"/>
        <w:numPr>
          <w:ilvl w:val="0"/>
          <w:numId w:val="19"/>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乙方履约能力受到严重影响的：</w:t>
      </w:r>
    </w:p>
    <w:p w14:paraId="25DACB42">
      <w:pPr>
        <w:pStyle w:val="26"/>
        <w:numPr>
          <w:ilvl w:val="0"/>
          <w:numId w:val="20"/>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乙方申请破产或被宣告破产，或任何人士向法院申请对乙方进行清算，且法院受理该等申请进入破产清算程序，被接管人接管的；</w:t>
      </w:r>
    </w:p>
    <w:p w14:paraId="72779B86">
      <w:pPr>
        <w:pStyle w:val="26"/>
        <w:numPr>
          <w:ilvl w:val="0"/>
          <w:numId w:val="20"/>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乙方的财产被查封或强制执行的，严重影响乙方履行本合同的能力的；</w:t>
      </w:r>
    </w:p>
    <w:p w14:paraId="5714DBCA">
      <w:pPr>
        <w:pStyle w:val="26"/>
        <w:numPr>
          <w:ilvl w:val="0"/>
          <w:numId w:val="19"/>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乙方存在其他不当行为的：</w:t>
      </w:r>
    </w:p>
    <w:p w14:paraId="31D13A42">
      <w:pPr>
        <w:pStyle w:val="26"/>
        <w:numPr>
          <w:ilvl w:val="0"/>
          <w:numId w:val="20"/>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乙方无约定或法定事由提前退租的；</w:t>
      </w:r>
    </w:p>
    <w:p w14:paraId="21984328">
      <w:pPr>
        <w:pStyle w:val="26"/>
        <w:numPr>
          <w:ilvl w:val="0"/>
          <w:numId w:val="20"/>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乙方自身的卫生状况、排污排废状况、噪音及其它污染状况已经或可能影响相邻使用人使用，且前述状况经甲方书面告知，乙方在5日内未予整改的；</w:t>
      </w:r>
    </w:p>
    <w:p w14:paraId="137658DB">
      <w:pPr>
        <w:pStyle w:val="26"/>
        <w:numPr>
          <w:ilvl w:val="0"/>
          <w:numId w:val="20"/>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乙方违反法律规定的义务、或者违反本合同及该物业租户手册、营业员手册、装修手册、甲方关于装修标准的要求及其它该物业管理规定的义务，经甲方书面通知后15个工作日仍未改正的；</w:t>
      </w:r>
    </w:p>
    <w:p w14:paraId="3D9F1325">
      <w:pPr>
        <w:pStyle w:val="26"/>
        <w:numPr>
          <w:ilvl w:val="0"/>
          <w:numId w:val="20"/>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乙方在该场地做出可能骚扰甲方、其它场地的业主、租客、使用人或任何毗邻该物业的建筑物的业主、租客、使用人的行为，且经甲方2次警告后仍未完全改正的；</w:t>
      </w:r>
    </w:p>
    <w:p w14:paraId="17CBB8EF">
      <w:pPr>
        <w:pStyle w:val="26"/>
        <w:numPr>
          <w:ilvl w:val="0"/>
          <w:numId w:val="20"/>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乙方存在发表不当言论或行为鼓动、煽动其他使用方损害甲方、该物业的形象或干扰甲方或管理公司的管理秩序的行为且经甲方警告后未改正的；</w:t>
      </w:r>
    </w:p>
    <w:p w14:paraId="0E130142">
      <w:pPr>
        <w:pStyle w:val="26"/>
        <w:numPr>
          <w:ilvl w:val="0"/>
          <w:numId w:val="20"/>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乙方隐瞒销售数据行为超过三次（含三次）；</w:t>
      </w:r>
    </w:p>
    <w:p w14:paraId="3280CFC1">
      <w:pPr>
        <w:pStyle w:val="26"/>
        <w:numPr>
          <w:ilvl w:val="0"/>
          <w:numId w:val="20"/>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一年内出现2次甲方认定因乙方引发的群体性事件的；</w:t>
      </w:r>
    </w:p>
    <w:p w14:paraId="2C109DDC">
      <w:pPr>
        <w:pStyle w:val="26"/>
        <w:numPr>
          <w:ilvl w:val="0"/>
          <w:numId w:val="20"/>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乙方在使用期内发生任何安全事故，并造成甲方损失，包括但不限于财产、人员、名誉损失的；</w:t>
      </w:r>
    </w:p>
    <w:p w14:paraId="2727450C">
      <w:pPr>
        <w:pStyle w:val="26"/>
        <w:numPr>
          <w:ilvl w:val="0"/>
          <w:numId w:val="20"/>
        </w:numPr>
        <w:adjustRightInd w:val="0"/>
        <w:snapToGrid w:val="0"/>
        <w:spacing w:line="360" w:lineRule="auto"/>
        <w:ind w:left="0" w:right="-403" w:rightChars="-192" w:firstLine="442"/>
        <w:rPr>
          <w:rFonts w:hint="eastAsia" w:ascii="宋体" w:hAnsi="宋体" w:eastAsia="宋体" w:cs="宋体"/>
          <w:b/>
          <w:color w:val="000000"/>
          <w:sz w:val="21"/>
          <w:szCs w:val="21"/>
        </w:rPr>
      </w:pPr>
      <w:r>
        <w:rPr>
          <w:rFonts w:hint="eastAsia" w:ascii="宋体" w:hAnsi="宋体" w:eastAsia="宋体" w:cs="宋体"/>
          <w:b/>
          <w:color w:val="000000"/>
          <w:sz w:val="21"/>
          <w:szCs w:val="21"/>
        </w:rPr>
        <w:t>出现本合同约定的或者法律规定的甲方可以解除合同的其它违约行为。</w:t>
      </w:r>
    </w:p>
    <w:p w14:paraId="28B94EA4">
      <w:pPr>
        <w:pStyle w:val="26"/>
        <w:numPr>
          <w:ilvl w:val="255"/>
          <w:numId w:val="0"/>
        </w:numPr>
        <w:adjustRightInd w:val="0"/>
        <w:snapToGrid w:val="0"/>
        <w:spacing w:line="360" w:lineRule="auto"/>
        <w:ind w:left="420" w:leftChars="200" w:right="-403" w:rightChars="-192"/>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rPr>
        <w:t>(三)乙方同意：在发现乙方有上述实质性违约行为之一，甲方有权：</w:t>
      </w:r>
    </w:p>
    <w:p w14:paraId="42BF731A">
      <w:pPr>
        <w:adjustRightInd w:val="0"/>
        <w:snapToGrid w:val="0"/>
        <w:spacing w:line="360" w:lineRule="auto"/>
        <w:ind w:right="-403" w:rightChars="-192"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解除本合同并收回该场地，有权要求乙方支付甲方发生的律师费、诉讼费、公证费、调查费等费用；有权直接将乙方的全部保证金作为违约金予以扣收，若保证金不足以抵偿乙方违约金和甲方损失的，甲方还有权将乙方剩余装修押金、水电费押金等予以抵充；若前述费用仍不足以弥补甲方损失的，甲方有权继续追偿。</w:t>
      </w:r>
    </w:p>
    <w:p w14:paraId="04A773F1">
      <w:pPr>
        <w:adjustRightInd w:val="0"/>
        <w:snapToGrid w:val="0"/>
        <w:spacing w:line="360" w:lineRule="auto"/>
        <w:ind w:right="-403" w:rightChars="-192"/>
        <w:rPr>
          <w:rFonts w:hint="eastAsia" w:ascii="宋体" w:hAnsi="宋体" w:eastAsia="宋体" w:cs="宋体"/>
          <w:color w:val="000000"/>
          <w:sz w:val="21"/>
          <w:szCs w:val="21"/>
        </w:rPr>
      </w:pPr>
    </w:p>
    <w:p w14:paraId="22068C98">
      <w:pPr>
        <w:pStyle w:val="26"/>
        <w:numPr>
          <w:ilvl w:val="0"/>
          <w:numId w:val="2"/>
        </w:numPr>
        <w:adjustRightInd w:val="0"/>
        <w:snapToGrid w:val="0"/>
        <w:spacing w:line="360" w:lineRule="auto"/>
        <w:ind w:right="-403" w:rightChars="-192"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适用法律和争议解决</w:t>
      </w:r>
    </w:p>
    <w:p w14:paraId="10B83FFC">
      <w:pPr>
        <w:pStyle w:val="26"/>
        <w:numPr>
          <w:ilvl w:val="0"/>
          <w:numId w:val="21"/>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本合同的全部内容的理解和解释，本合同的履行及因本合同引致的一切争议及其解决，均适用中华人民共和国法律。</w:t>
      </w:r>
    </w:p>
    <w:p w14:paraId="1C0B73DF">
      <w:pPr>
        <w:pStyle w:val="26"/>
        <w:numPr>
          <w:ilvl w:val="0"/>
          <w:numId w:val="21"/>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因本合同引起的一切争议，甲乙双方应首先通过友好协商解决，如果经上述协商双方未能达成解决方案，双方同意提交给南通仲裁委员会仲裁解决。</w:t>
      </w:r>
    </w:p>
    <w:p w14:paraId="74226ACE">
      <w:pPr>
        <w:adjustRightInd w:val="0"/>
        <w:snapToGrid w:val="0"/>
        <w:spacing w:line="360" w:lineRule="auto"/>
        <w:ind w:right="-403" w:rightChars="-192" w:firstLine="420" w:firstLineChars="200"/>
        <w:rPr>
          <w:rFonts w:hint="eastAsia" w:ascii="宋体" w:hAnsi="宋体" w:eastAsia="宋体" w:cs="宋体"/>
          <w:color w:val="000000"/>
          <w:sz w:val="21"/>
          <w:szCs w:val="21"/>
        </w:rPr>
      </w:pPr>
    </w:p>
    <w:p w14:paraId="4DD44DAF">
      <w:pPr>
        <w:pStyle w:val="26"/>
        <w:numPr>
          <w:ilvl w:val="0"/>
          <w:numId w:val="2"/>
        </w:numPr>
        <w:adjustRightInd w:val="0"/>
        <w:snapToGrid w:val="0"/>
        <w:spacing w:line="360" w:lineRule="auto"/>
        <w:ind w:right="-403" w:rightChars="-192"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通知及送达</w:t>
      </w:r>
    </w:p>
    <w:p w14:paraId="58B2E612">
      <w:pPr>
        <w:pStyle w:val="26"/>
        <w:numPr>
          <w:ilvl w:val="0"/>
          <w:numId w:val="22"/>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根据本合同而发出的通知、单据等均采用书面形式，并用快递或其它方式发至本合同载明的联系地址。使用快递发出的通知，在寄出后第3日视为送达。以直接递交方式发出的通知，经对方工作人员签收或在文件上注明拒收之日视为送达。以微信、QQ方式发出的通知，以信息发出时视为送达。以电子邮件发出的通知，以电子邮件发送成功时视为送达。甲方及管理公司也可将通知张贴在该物业入口或该场地周边醒目位置，张贴之日即为送达。</w:t>
      </w:r>
    </w:p>
    <w:p w14:paraId="6B4EA8F6">
      <w:pPr>
        <w:pStyle w:val="26"/>
        <w:numPr>
          <w:ilvl w:val="0"/>
          <w:numId w:val="22"/>
        </w:numPr>
        <w:adjustRightInd w:val="0"/>
        <w:snapToGrid w:val="0"/>
        <w:spacing w:line="360" w:lineRule="auto"/>
        <w:ind w:left="0"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任何一方之地址如有变更，应及时通知另一方，因一方疏于通知而导致的损失由其自行承担。双方确认，本合同约定的地址与送达方式同样适用于争议解决过程中相关诉讼文书的送达。</w:t>
      </w:r>
    </w:p>
    <w:p w14:paraId="0BD7E0C4">
      <w:pPr>
        <w:pStyle w:val="26"/>
        <w:numPr>
          <w:ilvl w:val="0"/>
          <w:numId w:val="2"/>
        </w:numPr>
        <w:adjustRightInd w:val="0"/>
        <w:snapToGrid w:val="0"/>
        <w:spacing w:line="360" w:lineRule="auto"/>
        <w:ind w:right="-403" w:rightChars="-192"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份数及效力</w:t>
      </w:r>
    </w:p>
    <w:p w14:paraId="0EC331C1">
      <w:pPr>
        <w:pStyle w:val="26"/>
        <w:adjustRightInd w:val="0"/>
        <w:snapToGrid w:val="0"/>
        <w:spacing w:line="360" w:lineRule="auto"/>
        <w:ind w:right="-403" w:rightChars="-192" w:firstLine="440"/>
        <w:rPr>
          <w:rFonts w:hint="eastAsia" w:ascii="宋体" w:hAnsi="宋体" w:eastAsia="宋体" w:cs="宋体"/>
          <w:color w:val="000000"/>
          <w:sz w:val="21"/>
          <w:szCs w:val="21"/>
        </w:rPr>
      </w:pPr>
      <w:r>
        <w:rPr>
          <w:rFonts w:hint="eastAsia" w:ascii="宋体" w:hAnsi="宋体" w:eastAsia="宋体" w:cs="宋体"/>
          <w:color w:val="000000"/>
          <w:sz w:val="21"/>
          <w:szCs w:val="21"/>
        </w:rPr>
        <w:t>本合同连同附件一式</w:t>
      </w:r>
      <w:r>
        <w:rPr>
          <w:rFonts w:hint="eastAsia" w:ascii="宋体" w:hAnsi="宋体" w:eastAsia="宋体" w:cs="宋体"/>
          <w:color w:val="000000"/>
          <w:sz w:val="21"/>
          <w:szCs w:val="21"/>
          <w:lang w:val="en-US" w:eastAsia="zh-CN"/>
        </w:rPr>
        <w:t>陆</w:t>
      </w:r>
      <w:r>
        <w:rPr>
          <w:rFonts w:hint="eastAsia" w:ascii="宋体" w:hAnsi="宋体" w:eastAsia="宋体" w:cs="宋体"/>
          <w:color w:val="000000"/>
          <w:sz w:val="21"/>
          <w:szCs w:val="21"/>
        </w:rPr>
        <w:t>份，甲方</w:t>
      </w:r>
      <w:r>
        <w:rPr>
          <w:rFonts w:hint="eastAsia" w:ascii="宋体" w:hAnsi="宋体" w:eastAsia="宋体" w:cs="宋体"/>
          <w:color w:val="000000"/>
          <w:sz w:val="21"/>
          <w:szCs w:val="21"/>
          <w:lang w:val="en-US" w:eastAsia="zh-CN"/>
        </w:rPr>
        <w:t>肆</w:t>
      </w:r>
      <w:r>
        <w:rPr>
          <w:rFonts w:hint="eastAsia" w:ascii="宋体" w:hAnsi="宋体" w:eastAsia="宋体" w:cs="宋体"/>
          <w:color w:val="000000"/>
          <w:sz w:val="21"/>
          <w:szCs w:val="21"/>
        </w:rPr>
        <w:t>份、乙方</w:t>
      </w:r>
      <w:r>
        <w:rPr>
          <w:rFonts w:hint="eastAsia" w:ascii="宋体" w:hAnsi="宋体" w:eastAsia="宋体" w:cs="宋体"/>
          <w:color w:val="000000"/>
          <w:sz w:val="21"/>
          <w:szCs w:val="21"/>
          <w:lang w:val="en-US" w:eastAsia="zh-CN"/>
        </w:rPr>
        <w:t>贰</w:t>
      </w:r>
      <w:r>
        <w:rPr>
          <w:rFonts w:hint="eastAsia" w:ascii="宋体" w:hAnsi="宋体" w:eastAsia="宋体" w:cs="宋体"/>
          <w:color w:val="000000"/>
          <w:sz w:val="21"/>
          <w:szCs w:val="21"/>
        </w:rPr>
        <w:t>份，均具有同等效力。</w:t>
      </w:r>
    </w:p>
    <w:p w14:paraId="00ED29AA">
      <w:pPr>
        <w:adjustRightInd w:val="0"/>
        <w:snapToGrid w:val="0"/>
        <w:spacing w:line="360" w:lineRule="auto"/>
        <w:ind w:right="-403" w:rightChars="-192" w:firstLine="420" w:firstLineChars="200"/>
        <w:rPr>
          <w:rFonts w:hint="eastAsia" w:ascii="宋体" w:hAnsi="宋体" w:eastAsia="宋体" w:cs="宋体"/>
          <w:color w:val="000000"/>
          <w:spacing w:val="6"/>
          <w:sz w:val="21"/>
          <w:szCs w:val="21"/>
        </w:rPr>
      </w:pPr>
      <w:r>
        <w:rPr>
          <w:rFonts w:hint="eastAsia" w:ascii="宋体" w:hAnsi="宋体" w:eastAsia="宋体" w:cs="宋体"/>
          <w:color w:val="000000"/>
          <w:sz w:val="21"/>
          <w:szCs w:val="21"/>
        </w:rPr>
        <w:t>（合同正文到此结束，以下为附件）</w:t>
      </w:r>
    </w:p>
    <w:p w14:paraId="19431A8B">
      <w:pPr>
        <w:pStyle w:val="12"/>
        <w:adjustRightInd w:val="0"/>
        <w:snapToGrid w:val="0"/>
        <w:spacing w:before="0" w:beforeAutospacing="0" w:after="0" w:afterAutospacing="0" w:line="360" w:lineRule="auto"/>
        <w:jc w:val="both"/>
        <w:rPr>
          <w:rFonts w:hint="eastAsia" w:ascii="宋体" w:hAnsi="宋体" w:eastAsia="宋体" w:cs="宋体"/>
          <w:color w:val="000000"/>
          <w:sz w:val="21"/>
          <w:szCs w:val="21"/>
        </w:rPr>
      </w:pPr>
    </w:p>
    <w:p w14:paraId="4F3DADB9">
      <w:pPr>
        <w:pStyle w:val="12"/>
        <w:adjustRightInd w:val="0"/>
        <w:snapToGrid w:val="0"/>
        <w:spacing w:before="0" w:beforeAutospacing="0" w:after="0" w:afterAutospacing="0" w:line="420" w:lineRule="atLeast"/>
        <w:jc w:val="both"/>
        <w:rPr>
          <w:rFonts w:hint="eastAsia" w:ascii="宋体" w:hAnsi="宋体" w:eastAsia="宋体" w:cs="宋体"/>
          <w:color w:val="000000"/>
          <w:sz w:val="21"/>
          <w:szCs w:val="21"/>
        </w:rPr>
      </w:pPr>
      <w:r>
        <w:rPr>
          <w:rFonts w:hint="eastAsia" w:ascii="宋体" w:hAnsi="宋体" w:eastAsia="宋体" w:cs="宋体"/>
          <w:b/>
          <w:color w:val="000000"/>
          <w:sz w:val="21"/>
          <w:szCs w:val="21"/>
        </w:rPr>
        <w:t>甲方：南通轨道资源开发有限公司</w:t>
      </w:r>
    </w:p>
    <w:p w14:paraId="5F96CB94">
      <w:pPr>
        <w:pStyle w:val="12"/>
        <w:adjustRightInd w:val="0"/>
        <w:snapToGrid w:val="0"/>
        <w:spacing w:before="0" w:beforeAutospacing="0" w:after="0" w:afterAutospacing="0" w:line="420" w:lineRule="atLeast"/>
        <w:jc w:val="both"/>
        <w:rPr>
          <w:rFonts w:hint="eastAsia" w:ascii="宋体" w:hAnsi="宋体" w:eastAsia="宋体" w:cs="宋体"/>
          <w:color w:val="000000"/>
          <w:sz w:val="21"/>
          <w:szCs w:val="21"/>
        </w:rPr>
      </w:pPr>
    </w:p>
    <w:p w14:paraId="2C3EB63A">
      <w:pPr>
        <w:pStyle w:val="12"/>
        <w:adjustRightInd w:val="0"/>
        <w:snapToGrid w:val="0"/>
        <w:spacing w:before="0" w:beforeAutospacing="0" w:after="0" w:afterAutospacing="0" w:line="420" w:lineRule="atLeast"/>
        <w:jc w:val="both"/>
        <w:rPr>
          <w:rFonts w:hint="eastAsia" w:ascii="宋体" w:hAnsi="宋体" w:eastAsia="宋体" w:cs="宋体"/>
          <w:color w:val="000000"/>
          <w:sz w:val="21"/>
          <w:szCs w:val="21"/>
        </w:rPr>
      </w:pPr>
    </w:p>
    <w:p w14:paraId="78273AF3">
      <w:pPr>
        <w:pStyle w:val="12"/>
        <w:adjustRightInd w:val="0"/>
        <w:snapToGrid w:val="0"/>
        <w:spacing w:before="0" w:beforeAutospacing="0" w:after="0" w:afterAutospacing="0" w:line="360" w:lineRule="auto"/>
        <w:jc w:val="both"/>
        <w:rPr>
          <w:rFonts w:hint="eastAsia" w:ascii="宋体" w:hAnsi="宋体" w:eastAsia="宋体" w:cs="宋体"/>
          <w:b/>
          <w:color w:val="000000"/>
          <w:sz w:val="21"/>
          <w:szCs w:val="21"/>
        </w:rPr>
      </w:pPr>
      <w:r>
        <w:rPr>
          <w:rFonts w:hint="eastAsia" w:ascii="宋体" w:hAnsi="宋体" w:eastAsia="宋体" w:cs="宋体"/>
          <w:b/>
          <w:color w:val="000000"/>
          <w:sz w:val="21"/>
          <w:szCs w:val="21"/>
        </w:rPr>
        <w:t>法定代表人/委托代理人：</w:t>
      </w:r>
    </w:p>
    <w:p w14:paraId="755C5FF6">
      <w:pPr>
        <w:pStyle w:val="12"/>
        <w:adjustRightInd w:val="0"/>
        <w:snapToGrid w:val="0"/>
        <w:spacing w:before="0" w:beforeAutospacing="0" w:after="0" w:afterAutospacing="0" w:line="360" w:lineRule="auto"/>
        <w:jc w:val="both"/>
        <w:rPr>
          <w:rFonts w:hint="eastAsia" w:ascii="宋体" w:hAnsi="宋体" w:eastAsia="宋体" w:cs="宋体"/>
          <w:b/>
          <w:color w:val="000000"/>
          <w:sz w:val="21"/>
          <w:szCs w:val="21"/>
        </w:rPr>
      </w:pPr>
    </w:p>
    <w:p w14:paraId="465F21CB">
      <w:pPr>
        <w:pStyle w:val="12"/>
        <w:adjustRightInd w:val="0"/>
        <w:snapToGrid w:val="0"/>
        <w:spacing w:before="0" w:beforeAutospacing="0" w:after="0" w:afterAutospacing="0" w:line="360" w:lineRule="auto"/>
        <w:jc w:val="both"/>
        <w:rPr>
          <w:rFonts w:hint="eastAsia" w:ascii="宋体" w:hAnsi="宋体" w:eastAsia="宋体" w:cs="宋体"/>
          <w:b/>
          <w:color w:val="000000"/>
          <w:sz w:val="21"/>
          <w:szCs w:val="21"/>
        </w:rPr>
      </w:pPr>
    </w:p>
    <w:p w14:paraId="1405960C">
      <w:pPr>
        <w:pStyle w:val="12"/>
        <w:adjustRightInd w:val="0"/>
        <w:snapToGrid w:val="0"/>
        <w:spacing w:before="0" w:beforeAutospacing="0" w:after="0" w:afterAutospacing="0" w:line="420" w:lineRule="atLeast"/>
        <w:jc w:val="both"/>
        <w:rPr>
          <w:rFonts w:hint="eastAsia" w:ascii="宋体" w:hAnsi="宋体" w:eastAsia="宋体" w:cs="宋体"/>
          <w:b/>
          <w:color w:val="000000"/>
          <w:sz w:val="21"/>
          <w:szCs w:val="21"/>
        </w:rPr>
      </w:pPr>
      <w:r>
        <w:rPr>
          <w:rFonts w:hint="eastAsia" w:ascii="宋体" w:hAnsi="宋体" w:eastAsia="宋体" w:cs="宋体"/>
          <w:b/>
          <w:color w:val="000000"/>
          <w:sz w:val="21"/>
          <w:szCs w:val="21"/>
        </w:rPr>
        <w:t>乙方：</w:t>
      </w:r>
    </w:p>
    <w:p w14:paraId="3402D516">
      <w:pPr>
        <w:pStyle w:val="12"/>
        <w:adjustRightInd w:val="0"/>
        <w:snapToGrid w:val="0"/>
        <w:spacing w:before="0" w:beforeAutospacing="0" w:after="0" w:afterAutospacing="0" w:line="420" w:lineRule="atLeast"/>
        <w:jc w:val="both"/>
        <w:rPr>
          <w:rFonts w:hint="eastAsia" w:ascii="宋体" w:hAnsi="宋体" w:eastAsia="宋体" w:cs="宋体"/>
          <w:b/>
          <w:color w:val="000000"/>
          <w:sz w:val="21"/>
          <w:szCs w:val="21"/>
        </w:rPr>
      </w:pPr>
    </w:p>
    <w:p w14:paraId="78B17EBD">
      <w:pPr>
        <w:pStyle w:val="12"/>
        <w:adjustRightInd w:val="0"/>
        <w:snapToGrid w:val="0"/>
        <w:spacing w:before="0" w:beforeAutospacing="0" w:after="0" w:afterAutospacing="0" w:line="420" w:lineRule="atLeast"/>
        <w:jc w:val="both"/>
        <w:rPr>
          <w:rFonts w:hint="eastAsia" w:ascii="宋体" w:hAnsi="宋体" w:eastAsia="宋体" w:cs="宋体"/>
          <w:b/>
          <w:color w:val="000000"/>
          <w:sz w:val="21"/>
          <w:szCs w:val="21"/>
        </w:rPr>
      </w:pPr>
    </w:p>
    <w:p w14:paraId="59D0C323">
      <w:pPr>
        <w:pStyle w:val="12"/>
        <w:adjustRightInd w:val="0"/>
        <w:snapToGrid w:val="0"/>
        <w:spacing w:before="0" w:beforeAutospacing="0" w:after="0" w:afterAutospacing="0" w:line="360" w:lineRule="auto"/>
        <w:jc w:val="both"/>
        <w:rPr>
          <w:rFonts w:hint="eastAsia" w:ascii="宋体" w:hAnsi="宋体" w:eastAsia="宋体" w:cs="宋体"/>
          <w:b/>
          <w:color w:val="000000"/>
          <w:sz w:val="21"/>
          <w:szCs w:val="21"/>
        </w:rPr>
      </w:pPr>
      <w:r>
        <w:rPr>
          <w:rFonts w:hint="eastAsia" w:ascii="宋体" w:hAnsi="宋体" w:eastAsia="宋体" w:cs="宋体"/>
          <w:b/>
          <w:color w:val="000000"/>
          <w:sz w:val="21"/>
          <w:szCs w:val="21"/>
        </w:rPr>
        <w:t>法定代表人/委托代理人：</w:t>
      </w:r>
    </w:p>
    <w:p w14:paraId="42DD9929">
      <w:pPr>
        <w:pStyle w:val="12"/>
        <w:adjustRightInd w:val="0"/>
        <w:snapToGrid w:val="0"/>
        <w:spacing w:before="0" w:beforeAutospacing="0" w:after="0" w:afterAutospacing="0" w:line="360" w:lineRule="auto"/>
        <w:jc w:val="both"/>
        <w:rPr>
          <w:rFonts w:hint="eastAsia" w:ascii="宋体" w:hAnsi="宋体" w:eastAsia="宋体" w:cs="宋体"/>
          <w:b/>
          <w:color w:val="000000"/>
          <w:sz w:val="21"/>
          <w:szCs w:val="21"/>
        </w:rPr>
      </w:pPr>
    </w:p>
    <w:p w14:paraId="605E65D8">
      <w:pPr>
        <w:pStyle w:val="12"/>
        <w:adjustRightInd w:val="0"/>
        <w:snapToGrid w:val="0"/>
        <w:spacing w:before="0" w:beforeAutospacing="0" w:after="0" w:afterAutospacing="0" w:line="360" w:lineRule="auto"/>
        <w:jc w:val="both"/>
        <w:rPr>
          <w:rFonts w:hint="eastAsia" w:ascii="宋体" w:hAnsi="宋体" w:eastAsia="宋体" w:cs="宋体"/>
          <w:b/>
          <w:color w:val="000000"/>
          <w:sz w:val="21"/>
          <w:szCs w:val="21"/>
        </w:rPr>
      </w:pPr>
    </w:p>
    <w:p w14:paraId="6A94060A">
      <w:pPr>
        <w:pStyle w:val="12"/>
        <w:adjustRightInd w:val="0"/>
        <w:snapToGrid w:val="0"/>
        <w:spacing w:before="0" w:beforeAutospacing="0" w:after="0" w:afterAutospacing="0" w:line="360" w:lineRule="auto"/>
        <w:jc w:val="both"/>
        <w:rPr>
          <w:rFonts w:hint="eastAsia" w:ascii="宋体" w:hAnsi="宋体" w:eastAsia="宋体" w:cs="宋体"/>
          <w:b/>
          <w:color w:val="000000"/>
          <w:sz w:val="21"/>
          <w:szCs w:val="21"/>
        </w:rPr>
      </w:pPr>
    </w:p>
    <w:p w14:paraId="2E690AF2">
      <w:pPr>
        <w:widowControl/>
        <w:spacing w:line="360" w:lineRule="auto"/>
        <w:jc w:val="left"/>
        <w:rPr>
          <w:rFonts w:hint="eastAsia" w:ascii="宋体" w:hAnsi="宋体" w:eastAsia="宋体" w:cs="宋体"/>
          <w:b/>
          <w:color w:val="000000"/>
          <w:sz w:val="21"/>
          <w:szCs w:val="21"/>
        </w:rPr>
        <w:sectPr>
          <w:footerReference r:id="rId12" w:type="default"/>
          <w:pgSz w:w="11906" w:h="16838"/>
          <w:pgMar w:top="1474" w:right="1797" w:bottom="1588" w:left="1474" w:header="851" w:footer="992" w:gutter="0"/>
          <w:pgNumType w:fmt="decimal"/>
          <w:cols w:space="425" w:num="1"/>
          <w:docGrid w:type="lines" w:linePitch="312" w:charSpace="0"/>
        </w:sectPr>
      </w:pPr>
      <w:r>
        <w:rPr>
          <w:rFonts w:hint="eastAsia" w:ascii="宋体" w:hAnsi="宋体" w:eastAsia="宋体" w:cs="宋体"/>
          <w:b/>
          <w:color w:val="000000"/>
          <w:sz w:val="21"/>
          <w:szCs w:val="21"/>
        </w:rPr>
        <w:t>签 署 时 间：    年  月   日</w:t>
      </w:r>
    </w:p>
    <w:p w14:paraId="74FE1795">
      <w:pPr>
        <w:pStyle w:val="27"/>
        <w:tabs>
          <w:tab w:val="left" w:pos="8190"/>
        </w:tabs>
        <w:snapToGrid w:val="0"/>
        <w:spacing w:line="360" w:lineRule="auto"/>
        <w:ind w:right="-512" w:rightChars="-244"/>
        <w:rPr>
          <w:rFonts w:hint="eastAsia" w:ascii="宋体" w:hAnsi="宋体" w:eastAsia="宋体" w:cs="宋体"/>
          <w:b/>
          <w:color w:val="000000"/>
          <w:spacing w:val="6"/>
          <w:sz w:val="21"/>
          <w:szCs w:val="21"/>
        </w:rPr>
      </w:pPr>
      <w:r>
        <w:rPr>
          <w:rFonts w:hint="eastAsia" w:ascii="宋体" w:hAnsi="宋体" w:eastAsia="宋体" w:cs="宋体"/>
          <w:b/>
          <w:color w:val="000000"/>
          <w:spacing w:val="6"/>
          <w:sz w:val="21"/>
          <w:szCs w:val="21"/>
        </w:rPr>
        <w:t>附件一</w:t>
      </w:r>
      <w:r>
        <w:rPr>
          <w:rFonts w:hint="eastAsia" w:ascii="宋体" w:hAnsi="宋体" w:eastAsia="宋体" w:cs="宋体"/>
          <w:b/>
          <w:color w:val="000000"/>
          <w:spacing w:val="6"/>
          <w:sz w:val="21"/>
          <w:szCs w:val="21"/>
          <w:lang w:eastAsia="zh-CN"/>
        </w:rPr>
        <w:t>、</w:t>
      </w:r>
      <w:r>
        <w:rPr>
          <w:rFonts w:hint="eastAsia" w:ascii="宋体" w:hAnsi="宋体" w:eastAsia="宋体" w:cs="宋体"/>
          <w:b/>
          <w:color w:val="000000"/>
          <w:spacing w:val="6"/>
          <w:sz w:val="21"/>
          <w:szCs w:val="21"/>
        </w:rPr>
        <w:t>出租</w:t>
      </w:r>
      <w:r>
        <w:rPr>
          <w:rFonts w:hint="eastAsia" w:ascii="宋体" w:hAnsi="宋体" w:eastAsia="宋体" w:cs="宋体"/>
          <w:b/>
          <w:color w:val="000000"/>
          <w:spacing w:val="6"/>
          <w:sz w:val="21"/>
          <w:szCs w:val="21"/>
          <w:lang w:eastAsia="zh-CN"/>
        </w:rPr>
        <w:t>场地</w:t>
      </w:r>
      <w:r>
        <w:rPr>
          <w:rFonts w:hint="eastAsia" w:ascii="宋体" w:hAnsi="宋体" w:eastAsia="宋体" w:cs="宋体"/>
          <w:b/>
          <w:color w:val="000000"/>
          <w:spacing w:val="6"/>
          <w:sz w:val="21"/>
          <w:szCs w:val="21"/>
        </w:rPr>
        <w:t>及出租事项表</w:t>
      </w:r>
    </w:p>
    <w:p w14:paraId="30779A77">
      <w:pPr>
        <w:pStyle w:val="27"/>
        <w:tabs>
          <w:tab w:val="left" w:pos="8190"/>
        </w:tabs>
        <w:snapToGrid w:val="0"/>
        <w:spacing w:line="360" w:lineRule="auto"/>
        <w:ind w:right="-512" w:rightChars="-244"/>
        <w:rPr>
          <w:rFonts w:hint="eastAsia" w:ascii="宋体" w:hAnsi="宋体" w:eastAsia="宋体" w:cs="宋体"/>
          <w:b/>
          <w:color w:val="000000"/>
          <w:spacing w:val="6"/>
          <w:sz w:val="21"/>
          <w:szCs w:val="21"/>
        </w:rPr>
      </w:pPr>
    </w:p>
    <w:p w14:paraId="6B9EDF2B">
      <w:pPr>
        <w:tabs>
          <w:tab w:val="left" w:pos="1440"/>
          <w:tab w:val="left" w:pos="8190"/>
        </w:tabs>
        <w:adjustRightInd w:val="0"/>
        <w:snapToGrid w:val="0"/>
        <w:spacing w:line="360" w:lineRule="auto"/>
        <w:ind w:left="2160" w:right="-512" w:rightChars="-244" w:hanging="2160"/>
        <w:rPr>
          <w:rFonts w:hint="eastAsia" w:ascii="宋体" w:hAnsi="宋体" w:eastAsia="宋体" w:cs="宋体"/>
          <w:b/>
          <w:color w:val="000000"/>
          <w:spacing w:val="6"/>
          <w:sz w:val="21"/>
          <w:szCs w:val="21"/>
        </w:rPr>
      </w:pPr>
      <w:r>
        <w:rPr>
          <w:rFonts w:hint="eastAsia" w:ascii="宋体" w:hAnsi="宋体" w:eastAsia="宋体" w:cs="宋体"/>
          <w:b/>
          <w:color w:val="000000"/>
          <w:spacing w:val="6"/>
          <w:kern w:val="0"/>
          <w:sz w:val="21"/>
          <w:szCs w:val="21"/>
        </w:rPr>
        <w:t>第一部分</w:t>
      </w:r>
    </w:p>
    <w:p w14:paraId="1EB4CF22">
      <w:pPr>
        <w:tabs>
          <w:tab w:val="left" w:pos="1440"/>
          <w:tab w:val="left" w:pos="8190"/>
        </w:tabs>
        <w:adjustRightInd w:val="0"/>
        <w:snapToGrid w:val="0"/>
        <w:spacing w:line="360" w:lineRule="auto"/>
        <w:ind w:left="1800" w:right="-512" w:rightChars="-244" w:hanging="1800"/>
        <w:rPr>
          <w:rFonts w:hint="eastAsia" w:ascii="宋体" w:hAnsi="宋体" w:eastAsia="宋体" w:cs="宋体"/>
          <w:color w:val="000000"/>
          <w:spacing w:val="6"/>
          <w:sz w:val="21"/>
          <w:szCs w:val="21"/>
        </w:rPr>
      </w:pPr>
    </w:p>
    <w:p w14:paraId="2B549D78">
      <w:pPr>
        <w:tabs>
          <w:tab w:val="left" w:pos="1329"/>
          <w:tab w:val="left" w:pos="8190"/>
        </w:tabs>
        <w:adjustRightInd w:val="0"/>
        <w:snapToGrid w:val="0"/>
        <w:spacing w:line="360" w:lineRule="auto"/>
        <w:ind w:right="-512" w:rightChars="-244"/>
        <w:rPr>
          <w:rFonts w:hint="eastAsia" w:ascii="宋体" w:hAnsi="宋体" w:eastAsia="宋体" w:cs="宋体"/>
          <w:color w:val="000000"/>
          <w:spacing w:val="6"/>
          <w:sz w:val="21"/>
          <w:szCs w:val="21"/>
        </w:rPr>
      </w:pPr>
      <w:r>
        <w:rPr>
          <w:rFonts w:hint="eastAsia" w:ascii="宋体" w:hAnsi="宋体" w:eastAsia="宋体" w:cs="宋体"/>
          <w:color w:val="000000"/>
          <w:spacing w:val="6"/>
          <w:kern w:val="0"/>
          <w:sz w:val="21"/>
          <w:szCs w:val="21"/>
        </w:rPr>
        <w:t>场地位置：该场地位于该物业之【体育公园附属空间 】区域【10</w:t>
      </w:r>
      <w:r>
        <w:rPr>
          <w:rFonts w:hint="eastAsia" w:ascii="宋体" w:hAnsi="宋体" w:eastAsia="宋体" w:cs="宋体"/>
          <w:color w:val="000000"/>
          <w:spacing w:val="6"/>
          <w:kern w:val="0"/>
          <w:sz w:val="21"/>
          <w:szCs w:val="21"/>
          <w:lang w:val="en-US" w:eastAsia="zh-CN"/>
        </w:rPr>
        <w:t>5</w:t>
      </w:r>
      <w:r>
        <w:rPr>
          <w:rFonts w:hint="eastAsia" w:ascii="宋体" w:hAnsi="宋体" w:eastAsia="宋体" w:cs="宋体"/>
          <w:color w:val="000000"/>
          <w:spacing w:val="6"/>
          <w:kern w:val="0"/>
          <w:sz w:val="21"/>
          <w:szCs w:val="21"/>
        </w:rPr>
        <w:t>】号。（见附件三）</w:t>
      </w:r>
    </w:p>
    <w:p w14:paraId="2E2F70B2">
      <w:pPr>
        <w:tabs>
          <w:tab w:val="left" w:pos="1440"/>
          <w:tab w:val="left" w:pos="8190"/>
        </w:tabs>
        <w:adjustRightInd w:val="0"/>
        <w:snapToGrid w:val="0"/>
        <w:spacing w:line="360" w:lineRule="auto"/>
        <w:ind w:left="1800" w:right="-512" w:rightChars="-244" w:hanging="1800"/>
        <w:rPr>
          <w:rFonts w:hint="eastAsia" w:ascii="宋体" w:hAnsi="宋体" w:eastAsia="宋体" w:cs="宋体"/>
          <w:color w:val="000000"/>
          <w:spacing w:val="6"/>
          <w:sz w:val="21"/>
          <w:szCs w:val="21"/>
        </w:rPr>
      </w:pPr>
    </w:p>
    <w:p w14:paraId="5F760B2F">
      <w:pPr>
        <w:tabs>
          <w:tab w:val="left" w:pos="-1440"/>
          <w:tab w:val="left" w:pos="1329"/>
          <w:tab w:val="left" w:pos="8190"/>
        </w:tabs>
        <w:adjustRightInd w:val="0"/>
        <w:snapToGrid w:val="0"/>
        <w:spacing w:line="360" w:lineRule="auto"/>
        <w:ind w:right="-512" w:rightChars="-244"/>
        <w:rPr>
          <w:rFonts w:hint="eastAsia" w:ascii="宋体" w:hAnsi="宋体" w:eastAsia="宋体" w:cs="宋体"/>
          <w:b/>
          <w:color w:val="000000"/>
          <w:spacing w:val="6"/>
          <w:sz w:val="21"/>
          <w:szCs w:val="21"/>
        </w:rPr>
      </w:pPr>
      <w:r>
        <w:rPr>
          <w:rFonts w:hint="eastAsia" w:ascii="宋体" w:hAnsi="宋体" w:eastAsia="宋体" w:cs="宋体"/>
          <w:color w:val="000000"/>
          <w:spacing w:val="6"/>
          <w:kern w:val="0"/>
          <w:sz w:val="21"/>
          <w:szCs w:val="21"/>
        </w:rPr>
        <w:t xml:space="preserve">面积：【 </w:t>
      </w:r>
      <w:r>
        <w:rPr>
          <w:rFonts w:hint="eastAsia" w:ascii="宋体" w:hAnsi="宋体" w:eastAsia="宋体" w:cs="宋体"/>
          <w:color w:val="000000"/>
          <w:spacing w:val="6"/>
          <w:kern w:val="0"/>
          <w:sz w:val="21"/>
          <w:szCs w:val="21"/>
          <w:lang w:val="en-US" w:eastAsia="zh-CN"/>
        </w:rPr>
        <w:t>21.81</w:t>
      </w:r>
      <w:r>
        <w:rPr>
          <w:rFonts w:hint="eastAsia" w:ascii="宋体" w:hAnsi="宋体" w:eastAsia="宋体" w:cs="宋体"/>
          <w:color w:val="000000"/>
          <w:spacing w:val="6"/>
          <w:kern w:val="0"/>
          <w:sz w:val="21"/>
          <w:szCs w:val="21"/>
        </w:rPr>
        <w:t xml:space="preserve"> 】平方米</w:t>
      </w:r>
    </w:p>
    <w:p w14:paraId="4C5C4610">
      <w:pPr>
        <w:tabs>
          <w:tab w:val="left" w:pos="1440"/>
          <w:tab w:val="left" w:pos="8190"/>
        </w:tabs>
        <w:adjustRightInd w:val="0"/>
        <w:snapToGrid w:val="0"/>
        <w:spacing w:line="360" w:lineRule="auto"/>
        <w:ind w:right="-512" w:rightChars="-244"/>
        <w:rPr>
          <w:rFonts w:hint="eastAsia" w:ascii="宋体" w:hAnsi="宋体" w:eastAsia="宋体" w:cs="宋体"/>
          <w:color w:val="000000"/>
          <w:spacing w:val="6"/>
          <w:sz w:val="21"/>
          <w:szCs w:val="21"/>
        </w:rPr>
      </w:pPr>
    </w:p>
    <w:p w14:paraId="55175153">
      <w:pPr>
        <w:tabs>
          <w:tab w:val="left" w:pos="849"/>
          <w:tab w:val="left" w:pos="8190"/>
        </w:tabs>
        <w:adjustRightInd w:val="0"/>
        <w:snapToGrid w:val="0"/>
        <w:spacing w:line="360" w:lineRule="auto"/>
        <w:ind w:right="-512" w:rightChars="-244"/>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rPr>
        <w:t>用途：</w:t>
      </w:r>
      <w:bookmarkStart w:id="36" w:name="_Hlk497033559"/>
      <w:r>
        <w:rPr>
          <w:rFonts w:hint="eastAsia" w:ascii="宋体" w:hAnsi="宋体" w:eastAsia="宋体" w:cs="宋体"/>
          <w:color w:val="000000"/>
          <w:spacing w:val="6"/>
          <w:kern w:val="0"/>
          <w:sz w:val="21"/>
          <w:szCs w:val="21"/>
        </w:rPr>
        <w:t>该场地只限于用作经营【</w:t>
      </w:r>
      <w:r>
        <w:rPr>
          <w:rFonts w:hint="eastAsia" w:ascii="宋体" w:hAnsi="宋体" w:eastAsia="宋体" w:cs="宋体"/>
          <w:color w:val="000000"/>
          <w:spacing w:val="6"/>
          <w:kern w:val="0"/>
          <w:sz w:val="21"/>
          <w:szCs w:val="21"/>
          <w:lang w:val="en-US" w:eastAsia="zh-CN"/>
        </w:rPr>
        <w:t xml:space="preserve">    </w:t>
      </w:r>
      <w:r>
        <w:rPr>
          <w:rFonts w:hint="eastAsia" w:ascii="宋体" w:hAnsi="宋体" w:eastAsia="宋体" w:cs="宋体"/>
          <w:color w:val="000000"/>
          <w:spacing w:val="6"/>
          <w:kern w:val="0"/>
          <w:sz w:val="21"/>
          <w:szCs w:val="21"/>
        </w:rPr>
        <w:t>】之用途，</w:t>
      </w:r>
      <w:r>
        <w:rPr>
          <w:rFonts w:hint="eastAsia" w:ascii="宋体" w:hAnsi="宋体" w:eastAsia="宋体" w:cs="宋体"/>
          <w:color w:val="000000"/>
          <w:kern w:val="0"/>
          <w:sz w:val="21"/>
          <w:szCs w:val="21"/>
        </w:rPr>
        <w:t>并乙方须以【</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】之品牌经营前述业务</w:t>
      </w:r>
      <w:bookmarkEnd w:id="36"/>
      <w:r>
        <w:rPr>
          <w:rFonts w:hint="eastAsia" w:ascii="宋体" w:hAnsi="宋体" w:eastAsia="宋体" w:cs="宋体"/>
          <w:color w:val="000000"/>
          <w:kern w:val="0"/>
          <w:sz w:val="21"/>
          <w:szCs w:val="21"/>
        </w:rPr>
        <w:t>。</w:t>
      </w:r>
    </w:p>
    <w:p w14:paraId="383D2238">
      <w:pPr>
        <w:tabs>
          <w:tab w:val="left" w:pos="8190"/>
        </w:tabs>
        <w:adjustRightInd w:val="0"/>
        <w:snapToGrid w:val="0"/>
        <w:spacing w:line="360" w:lineRule="auto"/>
        <w:ind w:right="-512" w:rightChars="-244"/>
        <w:rPr>
          <w:rFonts w:hint="eastAsia" w:ascii="宋体" w:hAnsi="宋体" w:eastAsia="宋体" w:cs="宋体"/>
          <w:color w:val="000000"/>
          <w:spacing w:val="6"/>
          <w:sz w:val="21"/>
          <w:szCs w:val="21"/>
        </w:rPr>
      </w:pPr>
    </w:p>
    <w:p w14:paraId="488C3203">
      <w:pPr>
        <w:tabs>
          <w:tab w:val="left" w:pos="8190"/>
        </w:tabs>
        <w:adjustRightInd w:val="0"/>
        <w:snapToGrid w:val="0"/>
        <w:spacing w:line="360" w:lineRule="auto"/>
        <w:ind w:right="-512" w:rightChars="-244"/>
        <w:rPr>
          <w:rFonts w:hint="eastAsia" w:ascii="宋体" w:hAnsi="宋体" w:eastAsia="宋体" w:cs="宋体"/>
          <w:b/>
          <w:color w:val="000000"/>
          <w:spacing w:val="6"/>
          <w:sz w:val="21"/>
          <w:szCs w:val="21"/>
        </w:rPr>
      </w:pPr>
      <w:r>
        <w:rPr>
          <w:rFonts w:hint="eastAsia" w:ascii="宋体" w:hAnsi="宋体" w:eastAsia="宋体" w:cs="宋体"/>
          <w:b/>
          <w:color w:val="000000"/>
          <w:spacing w:val="6"/>
          <w:kern w:val="0"/>
          <w:sz w:val="21"/>
          <w:szCs w:val="21"/>
        </w:rPr>
        <w:t>第二部分</w:t>
      </w:r>
    </w:p>
    <w:p w14:paraId="167D1761">
      <w:pPr>
        <w:tabs>
          <w:tab w:val="left" w:pos="8190"/>
        </w:tabs>
        <w:adjustRightInd w:val="0"/>
        <w:snapToGrid w:val="0"/>
        <w:spacing w:line="360" w:lineRule="auto"/>
        <w:ind w:right="-512" w:rightChars="-244"/>
        <w:rPr>
          <w:rFonts w:hint="eastAsia" w:ascii="宋体" w:hAnsi="宋体" w:eastAsia="宋体" w:cs="宋体"/>
          <w:color w:val="000000"/>
          <w:spacing w:val="6"/>
          <w:sz w:val="21"/>
          <w:szCs w:val="21"/>
        </w:rPr>
      </w:pPr>
    </w:p>
    <w:p w14:paraId="26DBE824">
      <w:pPr>
        <w:pStyle w:val="27"/>
        <w:tabs>
          <w:tab w:val="left" w:pos="8190"/>
        </w:tabs>
        <w:snapToGrid w:val="0"/>
        <w:spacing w:line="360" w:lineRule="auto"/>
        <w:ind w:right="-512" w:rightChars="-244"/>
        <w:jc w:val="both"/>
        <w:rPr>
          <w:rFonts w:hint="eastAsia" w:ascii="宋体" w:hAnsi="宋体" w:eastAsia="宋体" w:cs="宋体"/>
          <w:color w:val="000000"/>
          <w:spacing w:val="6"/>
          <w:sz w:val="21"/>
          <w:szCs w:val="21"/>
          <w:lang w:eastAsia="zh-CN"/>
        </w:rPr>
      </w:pPr>
      <w:r>
        <w:rPr>
          <w:rFonts w:hint="eastAsia" w:ascii="宋体" w:hAnsi="宋体" w:eastAsia="宋体" w:cs="宋体"/>
          <w:color w:val="000000"/>
          <w:spacing w:val="6"/>
          <w:sz w:val="21"/>
          <w:szCs w:val="21"/>
          <w:lang w:eastAsia="zh-CN"/>
        </w:rPr>
        <w:t>交付日：【</w:t>
      </w:r>
      <w:r>
        <w:rPr>
          <w:rFonts w:hint="eastAsia" w:ascii="宋体" w:hAnsi="宋体" w:eastAsia="宋体" w:cs="宋体"/>
          <w:color w:val="000000"/>
          <w:spacing w:val="6"/>
          <w:sz w:val="21"/>
          <w:szCs w:val="21"/>
          <w:lang w:val="en-US" w:eastAsia="zh-CN"/>
        </w:rPr>
        <w:t>/</w:t>
      </w:r>
      <w:r>
        <w:rPr>
          <w:rFonts w:hint="eastAsia" w:ascii="宋体" w:hAnsi="宋体" w:eastAsia="宋体" w:cs="宋体"/>
          <w:color w:val="000000"/>
          <w:spacing w:val="6"/>
          <w:sz w:val="21"/>
          <w:szCs w:val="21"/>
          <w:lang w:eastAsia="zh-CN"/>
        </w:rPr>
        <w:t>】年【</w:t>
      </w:r>
      <w:r>
        <w:rPr>
          <w:rFonts w:hint="eastAsia" w:ascii="宋体" w:hAnsi="宋体" w:eastAsia="宋体" w:cs="宋体"/>
          <w:color w:val="000000"/>
          <w:spacing w:val="6"/>
          <w:sz w:val="21"/>
          <w:szCs w:val="21"/>
          <w:lang w:val="en-US" w:eastAsia="zh-CN"/>
        </w:rPr>
        <w:t>/</w:t>
      </w:r>
      <w:r>
        <w:rPr>
          <w:rFonts w:hint="eastAsia" w:ascii="宋体" w:hAnsi="宋体" w:eastAsia="宋体" w:cs="宋体"/>
          <w:color w:val="000000"/>
          <w:spacing w:val="6"/>
          <w:sz w:val="21"/>
          <w:szCs w:val="21"/>
          <w:lang w:eastAsia="zh-CN"/>
        </w:rPr>
        <w:t>】月【</w:t>
      </w:r>
      <w:r>
        <w:rPr>
          <w:rFonts w:hint="eastAsia" w:ascii="宋体" w:hAnsi="宋体" w:eastAsia="宋体" w:cs="宋体"/>
          <w:color w:val="000000"/>
          <w:spacing w:val="6"/>
          <w:sz w:val="21"/>
          <w:szCs w:val="21"/>
          <w:lang w:val="en-US" w:eastAsia="zh-CN"/>
        </w:rPr>
        <w:t>/</w:t>
      </w:r>
      <w:r>
        <w:rPr>
          <w:rFonts w:hint="eastAsia" w:ascii="宋体" w:hAnsi="宋体" w:eastAsia="宋体" w:cs="宋体"/>
          <w:color w:val="000000"/>
          <w:spacing w:val="6"/>
          <w:sz w:val="21"/>
          <w:szCs w:val="21"/>
          <w:lang w:eastAsia="zh-CN"/>
        </w:rPr>
        <w:t>】日（预计交付日期）或依据合同调整的日期。</w:t>
      </w:r>
    </w:p>
    <w:p w14:paraId="1971D121">
      <w:pPr>
        <w:pStyle w:val="27"/>
        <w:tabs>
          <w:tab w:val="left" w:pos="8190"/>
        </w:tabs>
        <w:snapToGrid w:val="0"/>
        <w:spacing w:line="360" w:lineRule="auto"/>
        <w:ind w:right="-512" w:rightChars="-244"/>
        <w:jc w:val="both"/>
        <w:rPr>
          <w:rFonts w:hint="eastAsia" w:ascii="宋体" w:hAnsi="宋体" w:eastAsia="宋体" w:cs="宋体"/>
          <w:color w:val="000000"/>
          <w:spacing w:val="6"/>
          <w:sz w:val="21"/>
          <w:szCs w:val="21"/>
          <w:lang w:eastAsia="zh-CN"/>
        </w:rPr>
      </w:pPr>
    </w:p>
    <w:p w14:paraId="75E041E3">
      <w:pPr>
        <w:pStyle w:val="27"/>
        <w:tabs>
          <w:tab w:val="left" w:pos="960"/>
          <w:tab w:val="left" w:pos="1200"/>
          <w:tab w:val="left" w:pos="8190"/>
        </w:tabs>
        <w:snapToGrid w:val="0"/>
        <w:spacing w:line="360" w:lineRule="auto"/>
        <w:ind w:left="1440" w:right="-512" w:rightChars="-244" w:hanging="1440"/>
        <w:jc w:val="both"/>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租赁期：自【202</w:t>
      </w:r>
      <w:r>
        <w:rPr>
          <w:rFonts w:hint="eastAsia" w:ascii="宋体" w:hAnsi="宋体" w:eastAsia="宋体" w:cs="宋体"/>
          <w:color w:val="auto"/>
          <w:spacing w:val="6"/>
          <w:sz w:val="21"/>
          <w:szCs w:val="21"/>
          <w:highlight w:val="none"/>
          <w:lang w:val="en-US" w:eastAsia="zh-CN"/>
        </w:rPr>
        <w:t>6</w:t>
      </w:r>
      <w:r>
        <w:rPr>
          <w:rFonts w:hint="eastAsia" w:ascii="宋体" w:hAnsi="宋体" w:eastAsia="宋体" w:cs="宋体"/>
          <w:color w:val="auto"/>
          <w:spacing w:val="6"/>
          <w:sz w:val="21"/>
          <w:szCs w:val="21"/>
          <w:highlight w:val="none"/>
          <w:lang w:eastAsia="zh-CN"/>
        </w:rPr>
        <w:t>】年【</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lang w:eastAsia="zh-CN"/>
        </w:rPr>
        <w:t>】月【</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lang w:eastAsia="zh-CN"/>
        </w:rPr>
        <w:t>】日起至【202</w:t>
      </w:r>
      <w:r>
        <w:rPr>
          <w:rFonts w:hint="eastAsia" w:ascii="宋体" w:hAnsi="宋体" w:eastAsia="宋体" w:cs="宋体"/>
          <w:color w:val="auto"/>
          <w:spacing w:val="6"/>
          <w:sz w:val="21"/>
          <w:szCs w:val="21"/>
          <w:highlight w:val="none"/>
          <w:lang w:val="en-US" w:eastAsia="zh-CN"/>
        </w:rPr>
        <w:t>8</w:t>
      </w:r>
      <w:r>
        <w:rPr>
          <w:rFonts w:hint="eastAsia" w:ascii="宋体" w:hAnsi="宋体" w:eastAsia="宋体" w:cs="宋体"/>
          <w:color w:val="auto"/>
          <w:spacing w:val="6"/>
          <w:sz w:val="21"/>
          <w:szCs w:val="21"/>
          <w:highlight w:val="none"/>
          <w:lang w:eastAsia="zh-CN"/>
        </w:rPr>
        <w:t>】年【</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lang w:eastAsia="zh-CN"/>
        </w:rPr>
        <w:t>】月【</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lang w:eastAsia="zh-CN"/>
        </w:rPr>
        <w:t>】日。</w:t>
      </w:r>
    </w:p>
    <w:p w14:paraId="26B8CD35">
      <w:pPr>
        <w:pStyle w:val="27"/>
        <w:tabs>
          <w:tab w:val="left" w:pos="8190"/>
        </w:tabs>
        <w:snapToGrid w:val="0"/>
        <w:spacing w:line="360" w:lineRule="auto"/>
        <w:ind w:left="960" w:right="-512" w:rightChars="-244" w:hanging="960"/>
        <w:jc w:val="both"/>
        <w:rPr>
          <w:rFonts w:hint="eastAsia" w:ascii="宋体" w:hAnsi="宋体" w:eastAsia="宋体" w:cs="宋体"/>
          <w:color w:val="auto"/>
          <w:spacing w:val="6"/>
          <w:sz w:val="21"/>
          <w:szCs w:val="21"/>
          <w:highlight w:val="none"/>
          <w:lang w:eastAsia="zh-CN"/>
        </w:rPr>
      </w:pPr>
    </w:p>
    <w:p w14:paraId="60F44A2F">
      <w:pPr>
        <w:pStyle w:val="27"/>
        <w:tabs>
          <w:tab w:val="left" w:pos="-480"/>
          <w:tab w:val="left" w:pos="1086"/>
          <w:tab w:val="left" w:pos="8190"/>
        </w:tabs>
        <w:snapToGrid w:val="0"/>
        <w:spacing w:line="360" w:lineRule="auto"/>
        <w:ind w:right="-512" w:rightChars="-244"/>
        <w:jc w:val="both"/>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eastAsia="zh-CN"/>
        </w:rPr>
        <w:t>装修期：共计【</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lang w:eastAsia="zh-CN"/>
        </w:rPr>
        <w:t>】个月，具体为自【</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lang w:eastAsia="zh-CN"/>
        </w:rPr>
        <w:t>】年【</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lang w:eastAsia="zh-CN"/>
        </w:rPr>
        <w:t>】月【</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lang w:eastAsia="zh-CN"/>
        </w:rPr>
        <w:t>】日起至【</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lang w:eastAsia="zh-CN"/>
        </w:rPr>
        <w:t>】年【</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lang w:eastAsia="zh-CN"/>
        </w:rPr>
        <w:t>】月【</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lang w:eastAsia="zh-CN"/>
        </w:rPr>
        <w:t>】日</w:t>
      </w:r>
      <w:r>
        <w:rPr>
          <w:rFonts w:hint="eastAsia" w:ascii="宋体" w:hAnsi="宋体" w:eastAsia="宋体" w:cs="宋体"/>
          <w:color w:val="auto"/>
          <w:spacing w:val="6"/>
          <w:sz w:val="21"/>
          <w:szCs w:val="21"/>
          <w:highlight w:val="none"/>
        </w:rPr>
        <w:t>。</w:t>
      </w:r>
    </w:p>
    <w:p w14:paraId="69DD6DBB">
      <w:pPr>
        <w:pStyle w:val="27"/>
        <w:tabs>
          <w:tab w:val="left" w:pos="-480"/>
          <w:tab w:val="left" w:pos="1086"/>
          <w:tab w:val="left" w:pos="8190"/>
        </w:tabs>
        <w:snapToGrid w:val="0"/>
        <w:spacing w:line="360" w:lineRule="auto"/>
        <w:ind w:right="-512" w:rightChars="-244"/>
        <w:jc w:val="both"/>
        <w:rPr>
          <w:rFonts w:hint="eastAsia" w:ascii="宋体" w:hAnsi="宋体" w:eastAsia="宋体" w:cs="宋体"/>
          <w:color w:val="auto"/>
          <w:spacing w:val="6"/>
          <w:sz w:val="21"/>
          <w:szCs w:val="21"/>
          <w:highlight w:val="none"/>
          <w:lang w:eastAsia="zh-CN"/>
        </w:rPr>
      </w:pPr>
    </w:p>
    <w:p w14:paraId="3C5C1350">
      <w:pPr>
        <w:pStyle w:val="27"/>
        <w:tabs>
          <w:tab w:val="left" w:pos="-480"/>
          <w:tab w:val="left" w:pos="1440"/>
          <w:tab w:val="left" w:pos="8190"/>
        </w:tabs>
        <w:snapToGrid w:val="0"/>
        <w:spacing w:line="360" w:lineRule="auto"/>
        <w:ind w:right="-512" w:rightChars="-244"/>
        <w:jc w:val="both"/>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装修期内乙方不需要交付</w:t>
      </w:r>
      <w:r>
        <w:rPr>
          <w:rFonts w:hint="eastAsia" w:ascii="宋体" w:hAnsi="宋体" w:eastAsia="宋体" w:cs="宋体"/>
          <w:color w:val="auto"/>
          <w:spacing w:val="6"/>
          <w:sz w:val="21"/>
          <w:szCs w:val="21"/>
          <w:highlight w:val="none"/>
          <w:lang w:val="en-US" w:eastAsia="zh-CN"/>
        </w:rPr>
        <w:t>场地使用费</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场地</w:t>
      </w:r>
      <w:r>
        <w:rPr>
          <w:rFonts w:hint="eastAsia" w:ascii="宋体" w:hAnsi="宋体" w:eastAsia="宋体" w:cs="宋体"/>
          <w:color w:val="auto"/>
          <w:spacing w:val="6"/>
          <w:sz w:val="21"/>
          <w:szCs w:val="21"/>
          <w:highlight w:val="none"/>
          <w:lang w:eastAsia="zh-CN"/>
        </w:rPr>
        <w:t>管理费，但须支付装修管理费（乙方应在房屋交付时支付），及该单元实际所发生的水、电、燃气、通讯、设备、及空调供应（如有）等费用。</w:t>
      </w:r>
    </w:p>
    <w:p w14:paraId="2FBABF53">
      <w:pPr>
        <w:pStyle w:val="27"/>
        <w:tabs>
          <w:tab w:val="left" w:pos="-480"/>
          <w:tab w:val="left" w:pos="1440"/>
          <w:tab w:val="left" w:pos="8190"/>
        </w:tabs>
        <w:snapToGrid w:val="0"/>
        <w:spacing w:line="360" w:lineRule="auto"/>
        <w:ind w:right="-512" w:rightChars="-244"/>
        <w:jc w:val="both"/>
        <w:rPr>
          <w:rFonts w:hint="eastAsia" w:ascii="宋体" w:hAnsi="宋体" w:eastAsia="宋体" w:cs="宋体"/>
          <w:color w:val="000000"/>
          <w:spacing w:val="6"/>
          <w:sz w:val="21"/>
          <w:szCs w:val="21"/>
          <w:lang w:eastAsia="zh-CN"/>
        </w:rPr>
      </w:pPr>
    </w:p>
    <w:p w14:paraId="116C7DD4">
      <w:pPr>
        <w:pStyle w:val="27"/>
        <w:tabs>
          <w:tab w:val="left" w:pos="-480"/>
          <w:tab w:val="left" w:pos="1440"/>
          <w:tab w:val="left" w:pos="8190"/>
        </w:tabs>
        <w:snapToGrid w:val="0"/>
        <w:spacing w:line="360" w:lineRule="auto"/>
        <w:ind w:right="-512" w:rightChars="-244"/>
        <w:jc w:val="both"/>
        <w:rPr>
          <w:rFonts w:hint="eastAsia" w:ascii="宋体" w:hAnsi="宋体" w:eastAsia="宋体" w:cs="宋体"/>
          <w:color w:val="000000"/>
          <w:spacing w:val="6"/>
          <w:sz w:val="21"/>
          <w:szCs w:val="21"/>
          <w:lang w:eastAsia="zh-CN"/>
        </w:rPr>
      </w:pPr>
      <w:r>
        <w:rPr>
          <w:rFonts w:hint="eastAsia" w:ascii="宋体" w:hAnsi="宋体" w:eastAsia="宋体" w:cs="宋体"/>
          <w:color w:val="000000"/>
          <w:spacing w:val="6"/>
          <w:sz w:val="21"/>
          <w:szCs w:val="21"/>
          <w:lang w:eastAsia="zh-CN"/>
        </w:rPr>
        <w:t>开业日： 【</w:t>
      </w:r>
      <w:r>
        <w:rPr>
          <w:rFonts w:hint="eastAsia" w:ascii="宋体" w:hAnsi="宋体" w:eastAsia="宋体" w:cs="宋体"/>
          <w:color w:val="000000"/>
          <w:spacing w:val="6"/>
          <w:sz w:val="21"/>
          <w:szCs w:val="21"/>
          <w:lang w:val="en-US" w:eastAsia="zh-CN"/>
        </w:rPr>
        <w:t>/</w:t>
      </w:r>
      <w:r>
        <w:rPr>
          <w:rFonts w:hint="eastAsia" w:ascii="宋体" w:hAnsi="宋体" w:eastAsia="宋体" w:cs="宋体"/>
          <w:color w:val="000000"/>
          <w:spacing w:val="6"/>
          <w:sz w:val="21"/>
          <w:szCs w:val="21"/>
          <w:lang w:eastAsia="zh-CN"/>
        </w:rPr>
        <w:t>】年【</w:t>
      </w:r>
      <w:r>
        <w:rPr>
          <w:rFonts w:hint="eastAsia" w:ascii="宋体" w:hAnsi="宋体" w:eastAsia="宋体" w:cs="宋体"/>
          <w:color w:val="000000"/>
          <w:spacing w:val="6"/>
          <w:sz w:val="21"/>
          <w:szCs w:val="21"/>
          <w:lang w:val="en-US" w:eastAsia="zh-CN"/>
        </w:rPr>
        <w:t>/</w:t>
      </w:r>
      <w:r>
        <w:rPr>
          <w:rFonts w:hint="eastAsia" w:ascii="宋体" w:hAnsi="宋体" w:eastAsia="宋体" w:cs="宋体"/>
          <w:color w:val="000000"/>
          <w:spacing w:val="6"/>
          <w:sz w:val="21"/>
          <w:szCs w:val="21"/>
          <w:lang w:eastAsia="zh-CN"/>
        </w:rPr>
        <w:t>】月【</w:t>
      </w:r>
      <w:r>
        <w:rPr>
          <w:rFonts w:hint="eastAsia" w:ascii="宋体" w:hAnsi="宋体" w:eastAsia="宋体" w:cs="宋体"/>
          <w:color w:val="000000"/>
          <w:spacing w:val="6"/>
          <w:sz w:val="21"/>
          <w:szCs w:val="21"/>
          <w:lang w:val="en-US" w:eastAsia="zh-CN"/>
        </w:rPr>
        <w:t>/</w:t>
      </w:r>
      <w:r>
        <w:rPr>
          <w:rFonts w:hint="eastAsia" w:ascii="宋体" w:hAnsi="宋体" w:eastAsia="宋体" w:cs="宋体"/>
          <w:color w:val="000000"/>
          <w:spacing w:val="6"/>
          <w:sz w:val="21"/>
          <w:szCs w:val="21"/>
          <w:lang w:eastAsia="zh-CN"/>
        </w:rPr>
        <w:t>】日（预计开业日期）或依据合同调整的日期。</w:t>
      </w:r>
    </w:p>
    <w:p w14:paraId="4D513802">
      <w:pPr>
        <w:tabs>
          <w:tab w:val="left" w:pos="-480"/>
          <w:tab w:val="left" w:pos="1440"/>
          <w:tab w:val="left" w:pos="8190"/>
        </w:tabs>
        <w:adjustRightInd w:val="0"/>
        <w:snapToGrid w:val="0"/>
        <w:spacing w:line="360" w:lineRule="auto"/>
        <w:ind w:right="-512" w:rightChars="-244"/>
        <w:rPr>
          <w:rFonts w:hint="eastAsia" w:ascii="宋体" w:hAnsi="宋体" w:eastAsia="宋体" w:cs="宋体"/>
          <w:color w:val="000000"/>
          <w:spacing w:val="6"/>
          <w:sz w:val="21"/>
          <w:szCs w:val="21"/>
        </w:rPr>
      </w:pPr>
    </w:p>
    <w:p w14:paraId="72291C9F">
      <w:pPr>
        <w:tabs>
          <w:tab w:val="left" w:pos="8190"/>
        </w:tabs>
        <w:adjustRightInd w:val="0"/>
        <w:snapToGrid w:val="0"/>
        <w:spacing w:line="360" w:lineRule="auto"/>
        <w:ind w:right="-512" w:rightChars="-244"/>
        <w:rPr>
          <w:rFonts w:hint="eastAsia" w:ascii="宋体" w:hAnsi="宋体" w:eastAsia="宋体" w:cs="宋体"/>
          <w:b/>
          <w:color w:val="000000"/>
          <w:spacing w:val="6"/>
          <w:sz w:val="21"/>
          <w:szCs w:val="21"/>
        </w:rPr>
      </w:pPr>
      <w:r>
        <w:rPr>
          <w:rFonts w:hint="eastAsia" w:ascii="宋体" w:hAnsi="宋体" w:eastAsia="宋体" w:cs="宋体"/>
          <w:b/>
          <w:color w:val="000000"/>
          <w:spacing w:val="6"/>
          <w:kern w:val="0"/>
          <w:sz w:val="21"/>
          <w:szCs w:val="21"/>
        </w:rPr>
        <w:t>第三部分</w:t>
      </w:r>
    </w:p>
    <w:p w14:paraId="1C9A3ED9">
      <w:pPr>
        <w:tabs>
          <w:tab w:val="left" w:pos="-480"/>
          <w:tab w:val="left" w:pos="1440"/>
          <w:tab w:val="left" w:pos="1560"/>
          <w:tab w:val="left" w:pos="1680"/>
          <w:tab w:val="left" w:pos="8190"/>
        </w:tabs>
        <w:adjustRightInd w:val="0"/>
        <w:snapToGrid w:val="0"/>
        <w:spacing w:line="360" w:lineRule="auto"/>
        <w:ind w:left="960" w:right="-512" w:rightChars="-244" w:hanging="960"/>
        <w:rPr>
          <w:rFonts w:hint="eastAsia" w:ascii="宋体" w:hAnsi="宋体" w:eastAsia="宋体" w:cs="宋体"/>
          <w:color w:val="000000"/>
          <w:spacing w:val="6"/>
          <w:sz w:val="21"/>
          <w:szCs w:val="21"/>
        </w:rPr>
      </w:pPr>
    </w:p>
    <w:p w14:paraId="64369A1E">
      <w:pPr>
        <w:tabs>
          <w:tab w:val="left" w:pos="-480"/>
          <w:tab w:val="left" w:pos="1440"/>
          <w:tab w:val="left" w:pos="8190"/>
        </w:tabs>
        <w:adjustRightInd w:val="0"/>
        <w:snapToGrid w:val="0"/>
        <w:spacing w:line="360" w:lineRule="auto"/>
        <w:ind w:right="-512" w:rightChars="-244"/>
        <w:rPr>
          <w:rFonts w:hint="eastAsia" w:ascii="宋体" w:hAnsi="宋体" w:eastAsia="宋体" w:cs="宋体"/>
          <w:color w:val="000000"/>
          <w:spacing w:val="6"/>
          <w:sz w:val="21"/>
          <w:szCs w:val="21"/>
          <w:highlight w:val="yellow"/>
        </w:rPr>
      </w:pPr>
      <w:r>
        <w:rPr>
          <w:rFonts w:hint="eastAsia" w:ascii="宋体" w:hAnsi="宋体" w:eastAsia="宋体" w:cs="宋体"/>
          <w:color w:val="000000"/>
          <w:spacing w:val="6"/>
          <w:kern w:val="0"/>
          <w:sz w:val="21"/>
          <w:szCs w:val="21"/>
        </w:rPr>
        <w:t>营业时间：营业时间可依合同或物业管理约定进行调整。</w:t>
      </w:r>
    </w:p>
    <w:p w14:paraId="552D8B16">
      <w:pPr>
        <w:pStyle w:val="27"/>
        <w:tabs>
          <w:tab w:val="left" w:pos="8190"/>
        </w:tabs>
        <w:snapToGrid w:val="0"/>
        <w:spacing w:line="360" w:lineRule="auto"/>
        <w:ind w:right="-512" w:rightChars="-244"/>
        <w:rPr>
          <w:rFonts w:hint="eastAsia" w:ascii="宋体" w:hAnsi="宋体" w:eastAsia="宋体" w:cs="宋体"/>
          <w:b/>
          <w:color w:val="000000"/>
          <w:spacing w:val="6"/>
          <w:sz w:val="21"/>
          <w:szCs w:val="21"/>
          <w:lang w:eastAsia="zh-CN"/>
        </w:rPr>
      </w:pPr>
    </w:p>
    <w:p w14:paraId="4D7AF4AE">
      <w:pPr>
        <w:pStyle w:val="27"/>
        <w:tabs>
          <w:tab w:val="left" w:pos="8190"/>
        </w:tabs>
        <w:snapToGrid w:val="0"/>
        <w:spacing w:line="360" w:lineRule="auto"/>
        <w:ind w:right="-512" w:rightChars="-244"/>
        <w:rPr>
          <w:rFonts w:hint="eastAsia" w:ascii="宋体" w:hAnsi="宋体" w:eastAsia="宋体" w:cs="宋体"/>
          <w:b/>
          <w:color w:val="000000"/>
          <w:spacing w:val="6"/>
          <w:sz w:val="21"/>
          <w:szCs w:val="21"/>
          <w:lang w:eastAsia="zh-CN"/>
        </w:rPr>
      </w:pPr>
    </w:p>
    <w:p w14:paraId="1B5BC28A">
      <w:pPr>
        <w:pStyle w:val="27"/>
        <w:tabs>
          <w:tab w:val="left" w:pos="8190"/>
        </w:tabs>
        <w:snapToGrid w:val="0"/>
        <w:spacing w:line="360" w:lineRule="auto"/>
        <w:ind w:right="-512" w:rightChars="-244"/>
        <w:rPr>
          <w:rFonts w:hint="eastAsia" w:ascii="宋体" w:hAnsi="宋体" w:eastAsia="宋体" w:cs="宋体"/>
          <w:b/>
          <w:color w:val="000000"/>
          <w:spacing w:val="6"/>
          <w:sz w:val="21"/>
          <w:szCs w:val="21"/>
          <w:lang w:eastAsia="zh-CN"/>
        </w:rPr>
      </w:pPr>
    </w:p>
    <w:p w14:paraId="7C646C63">
      <w:pPr>
        <w:pStyle w:val="27"/>
        <w:tabs>
          <w:tab w:val="left" w:pos="8190"/>
        </w:tabs>
        <w:snapToGrid w:val="0"/>
        <w:spacing w:line="360" w:lineRule="auto"/>
        <w:ind w:right="-512" w:rightChars="-244"/>
        <w:rPr>
          <w:rFonts w:hint="eastAsia" w:ascii="宋体" w:hAnsi="宋体" w:eastAsia="宋体" w:cs="宋体"/>
          <w:b/>
          <w:color w:val="000000"/>
          <w:spacing w:val="6"/>
          <w:sz w:val="21"/>
          <w:szCs w:val="21"/>
          <w:lang w:eastAsia="zh-CN"/>
        </w:rPr>
      </w:pPr>
    </w:p>
    <w:p w14:paraId="274EB213">
      <w:pPr>
        <w:rPr>
          <w:rFonts w:hint="eastAsia" w:ascii="宋体" w:hAnsi="宋体" w:eastAsia="宋体" w:cs="宋体"/>
          <w:b/>
          <w:color w:val="000000"/>
          <w:spacing w:val="6"/>
          <w:sz w:val="21"/>
          <w:szCs w:val="21"/>
          <w:lang w:eastAsia="zh-CN"/>
        </w:rPr>
      </w:pPr>
      <w:r>
        <w:rPr>
          <w:rFonts w:hint="eastAsia" w:ascii="宋体" w:hAnsi="宋体" w:eastAsia="宋体" w:cs="宋体"/>
          <w:b/>
          <w:color w:val="000000"/>
          <w:spacing w:val="6"/>
          <w:sz w:val="21"/>
          <w:szCs w:val="21"/>
          <w:lang w:eastAsia="zh-CN"/>
        </w:rPr>
        <w:br w:type="page"/>
      </w:r>
    </w:p>
    <w:p w14:paraId="67E3D1CC">
      <w:pPr>
        <w:pStyle w:val="27"/>
        <w:tabs>
          <w:tab w:val="left" w:pos="8190"/>
        </w:tabs>
        <w:snapToGrid w:val="0"/>
        <w:spacing w:line="360" w:lineRule="auto"/>
        <w:ind w:right="-512" w:rightChars="-244"/>
        <w:rPr>
          <w:rFonts w:hint="eastAsia" w:ascii="宋体" w:hAnsi="宋体" w:eastAsia="宋体" w:cs="宋体"/>
          <w:b/>
          <w:color w:val="000000"/>
          <w:spacing w:val="6"/>
          <w:sz w:val="21"/>
          <w:szCs w:val="21"/>
          <w:highlight w:val="none"/>
        </w:rPr>
      </w:pPr>
      <w:r>
        <w:rPr>
          <w:rFonts w:hint="eastAsia" w:ascii="宋体" w:hAnsi="宋体" w:eastAsia="宋体" w:cs="宋体"/>
          <w:b/>
          <w:color w:val="000000"/>
          <w:spacing w:val="6"/>
          <w:sz w:val="21"/>
          <w:szCs w:val="21"/>
          <w:lang w:eastAsia="zh-CN"/>
        </w:rPr>
        <w:t>附件二</w:t>
      </w:r>
      <w:r>
        <w:rPr>
          <w:rFonts w:hint="eastAsia" w:ascii="宋体" w:hAnsi="宋体" w:eastAsia="宋体" w:cs="宋体"/>
          <w:b/>
          <w:color w:val="000000"/>
          <w:spacing w:val="6"/>
          <w:sz w:val="21"/>
          <w:szCs w:val="21"/>
        </w:rPr>
        <w:t>、</w:t>
      </w:r>
      <w:r>
        <w:rPr>
          <w:rFonts w:hint="eastAsia" w:ascii="宋体" w:hAnsi="宋体" w:eastAsia="宋体" w:cs="宋体"/>
          <w:b/>
          <w:color w:val="000000"/>
          <w:sz w:val="21"/>
          <w:szCs w:val="21"/>
        </w:rPr>
        <w:t>保证金、</w:t>
      </w:r>
      <w:r>
        <w:rPr>
          <w:rFonts w:hint="eastAsia" w:ascii="宋体" w:hAnsi="宋体" w:eastAsia="宋体" w:cs="宋体"/>
          <w:b/>
          <w:color w:val="000000"/>
          <w:spacing w:val="6"/>
          <w:sz w:val="21"/>
          <w:szCs w:val="21"/>
          <w:lang w:eastAsia="zh-CN"/>
        </w:rPr>
        <w:t>使用费</w:t>
      </w:r>
      <w:r>
        <w:rPr>
          <w:rFonts w:hint="eastAsia" w:ascii="宋体" w:hAnsi="宋体" w:eastAsia="宋体" w:cs="宋体"/>
          <w:b/>
          <w:color w:val="000000"/>
          <w:sz w:val="21"/>
          <w:szCs w:val="21"/>
        </w:rPr>
        <w:t>及其它费用</w:t>
      </w:r>
      <w:r>
        <w:rPr>
          <w:rFonts w:hint="eastAsia" w:ascii="宋体" w:hAnsi="宋体" w:eastAsia="宋体" w:cs="宋体"/>
          <w:b/>
          <w:color w:val="000000"/>
          <w:spacing w:val="6"/>
          <w:sz w:val="21"/>
          <w:szCs w:val="21"/>
          <w:highlight w:val="none"/>
          <w:lang w:eastAsia="zh-CN"/>
        </w:rPr>
        <w:t>及缴费账户</w:t>
      </w:r>
    </w:p>
    <w:p w14:paraId="68DDA35F">
      <w:pPr>
        <w:pStyle w:val="27"/>
        <w:tabs>
          <w:tab w:val="left" w:pos="1440"/>
          <w:tab w:val="left" w:pos="8190"/>
        </w:tabs>
        <w:spacing w:line="360" w:lineRule="auto"/>
        <w:ind w:left="2160" w:right="-512" w:rightChars="-244" w:hanging="2160"/>
        <w:jc w:val="both"/>
        <w:rPr>
          <w:rFonts w:hint="eastAsia" w:ascii="宋体" w:hAnsi="宋体" w:eastAsia="宋体" w:cs="宋体"/>
          <w:color w:val="000000"/>
          <w:spacing w:val="6"/>
          <w:sz w:val="21"/>
          <w:szCs w:val="21"/>
        </w:rPr>
      </w:pPr>
    </w:p>
    <w:p w14:paraId="3DCA7A5F">
      <w:pPr>
        <w:pStyle w:val="27"/>
        <w:tabs>
          <w:tab w:val="left" w:pos="8190"/>
        </w:tabs>
        <w:snapToGrid w:val="0"/>
        <w:spacing w:line="360" w:lineRule="auto"/>
        <w:ind w:right="-512" w:rightChars="-244"/>
        <w:jc w:val="both"/>
        <w:rPr>
          <w:rFonts w:hint="eastAsia" w:ascii="宋体" w:hAnsi="宋体" w:eastAsia="宋体" w:cs="宋体"/>
          <w:b/>
          <w:color w:val="000000"/>
          <w:spacing w:val="6"/>
          <w:sz w:val="21"/>
          <w:szCs w:val="21"/>
        </w:rPr>
      </w:pPr>
      <w:r>
        <w:rPr>
          <w:rFonts w:hint="eastAsia" w:ascii="宋体" w:hAnsi="宋体" w:eastAsia="宋体" w:cs="宋体"/>
          <w:b/>
          <w:color w:val="000000"/>
          <w:spacing w:val="6"/>
          <w:sz w:val="21"/>
          <w:szCs w:val="21"/>
        </w:rPr>
        <w:t>第一部分</w:t>
      </w:r>
    </w:p>
    <w:p w14:paraId="2E0DD881">
      <w:pPr>
        <w:pStyle w:val="27"/>
        <w:tabs>
          <w:tab w:val="left" w:pos="1353"/>
          <w:tab w:val="left" w:pos="8190"/>
        </w:tabs>
        <w:snapToGrid w:val="0"/>
        <w:spacing w:line="360" w:lineRule="auto"/>
        <w:ind w:left="1800" w:right="-512" w:rightChars="-244" w:hanging="1800"/>
        <w:jc w:val="both"/>
        <w:rPr>
          <w:rFonts w:hint="eastAsia" w:ascii="宋体" w:hAnsi="宋体" w:eastAsia="宋体" w:cs="宋体"/>
          <w:color w:val="000000"/>
          <w:spacing w:val="6"/>
          <w:sz w:val="21"/>
          <w:szCs w:val="21"/>
        </w:rPr>
      </w:pPr>
    </w:p>
    <w:p w14:paraId="5E65FCCA">
      <w:pPr>
        <w:tabs>
          <w:tab w:val="left" w:pos="8190"/>
        </w:tabs>
        <w:adjustRightInd w:val="0"/>
        <w:snapToGrid w:val="0"/>
        <w:spacing w:line="360" w:lineRule="auto"/>
        <w:ind w:right="-512" w:rightChars="-244"/>
        <w:rPr>
          <w:rFonts w:hint="eastAsia" w:ascii="宋体" w:hAnsi="宋体" w:eastAsia="宋体" w:cs="宋体"/>
          <w:color w:val="000000"/>
          <w:spacing w:val="6"/>
          <w:sz w:val="21"/>
          <w:szCs w:val="21"/>
        </w:rPr>
      </w:pPr>
      <w:r>
        <w:rPr>
          <w:rFonts w:hint="eastAsia" w:ascii="宋体" w:hAnsi="宋体" w:eastAsia="宋体" w:cs="宋体"/>
          <w:color w:val="000000"/>
          <w:spacing w:val="6"/>
          <w:kern w:val="0"/>
          <w:sz w:val="21"/>
          <w:szCs w:val="21"/>
        </w:rPr>
        <w:t>保证金：金额为人民币【</w:t>
      </w:r>
      <w:r>
        <w:rPr>
          <w:rFonts w:hint="eastAsia" w:ascii="宋体" w:hAnsi="宋体" w:eastAsia="宋体" w:cs="宋体"/>
          <w:color w:val="000000"/>
          <w:spacing w:val="6"/>
          <w:kern w:val="0"/>
          <w:sz w:val="21"/>
          <w:szCs w:val="21"/>
          <w:lang w:val="en-US" w:eastAsia="zh-CN"/>
        </w:rPr>
        <w:t xml:space="preserve">  </w:t>
      </w:r>
      <w:r>
        <w:rPr>
          <w:rFonts w:hint="eastAsia" w:ascii="宋体" w:hAnsi="宋体" w:eastAsia="宋体" w:cs="宋体"/>
          <w:color w:val="000000"/>
          <w:spacing w:val="6"/>
          <w:kern w:val="0"/>
          <w:sz w:val="21"/>
          <w:szCs w:val="21"/>
        </w:rPr>
        <w:t>】元。</w:t>
      </w:r>
    </w:p>
    <w:p w14:paraId="1D500374">
      <w:pPr>
        <w:tabs>
          <w:tab w:val="left" w:pos="1440"/>
          <w:tab w:val="left" w:pos="8190"/>
        </w:tabs>
        <w:adjustRightInd w:val="0"/>
        <w:snapToGrid w:val="0"/>
        <w:spacing w:line="360" w:lineRule="auto"/>
        <w:ind w:left="1920" w:right="-512" w:rightChars="-244" w:hanging="1920"/>
        <w:rPr>
          <w:rFonts w:hint="eastAsia" w:ascii="宋体" w:hAnsi="宋体" w:eastAsia="宋体" w:cs="宋体"/>
          <w:color w:val="000000"/>
          <w:spacing w:val="6"/>
          <w:sz w:val="21"/>
          <w:szCs w:val="21"/>
        </w:rPr>
      </w:pPr>
    </w:p>
    <w:p w14:paraId="0ACF2DAE">
      <w:pPr>
        <w:tabs>
          <w:tab w:val="left" w:pos="1440"/>
          <w:tab w:val="left" w:pos="8190"/>
        </w:tabs>
        <w:adjustRightInd w:val="0"/>
        <w:snapToGrid w:val="0"/>
        <w:spacing w:line="360" w:lineRule="auto"/>
        <w:ind w:left="1743" w:right="-512" w:rightChars="-244" w:hanging="1743"/>
        <w:rPr>
          <w:rFonts w:hint="eastAsia" w:ascii="宋体" w:hAnsi="宋体" w:eastAsia="宋体" w:cs="宋体"/>
          <w:b/>
          <w:color w:val="000000"/>
          <w:spacing w:val="6"/>
          <w:sz w:val="21"/>
          <w:szCs w:val="21"/>
        </w:rPr>
      </w:pPr>
      <w:r>
        <w:rPr>
          <w:rFonts w:hint="eastAsia" w:ascii="宋体" w:hAnsi="宋体" w:eastAsia="宋体" w:cs="宋体"/>
          <w:b/>
          <w:color w:val="000000"/>
          <w:spacing w:val="6"/>
          <w:kern w:val="0"/>
          <w:sz w:val="21"/>
          <w:szCs w:val="21"/>
        </w:rPr>
        <w:t>支付时间和方式</w:t>
      </w:r>
      <w:r>
        <w:rPr>
          <w:rFonts w:hint="eastAsia" w:ascii="宋体" w:hAnsi="宋体" w:eastAsia="宋体" w:cs="宋体"/>
          <w:b/>
          <w:color w:val="000000"/>
          <w:kern w:val="0"/>
          <w:sz w:val="21"/>
          <w:szCs w:val="21"/>
        </w:rPr>
        <w:t>：</w:t>
      </w:r>
      <w:r>
        <w:rPr>
          <w:rFonts w:hint="eastAsia" w:ascii="宋体" w:hAnsi="宋体" w:eastAsia="宋体" w:cs="宋体"/>
          <w:b/>
          <w:color w:val="000000"/>
          <w:spacing w:val="6"/>
          <w:kern w:val="0"/>
          <w:sz w:val="21"/>
          <w:szCs w:val="21"/>
        </w:rPr>
        <w:t>保证金</w:t>
      </w:r>
      <w:r>
        <w:rPr>
          <w:rFonts w:hint="eastAsia" w:ascii="宋体" w:hAnsi="宋体" w:eastAsia="宋体" w:cs="宋体"/>
          <w:b/>
          <w:color w:val="000000"/>
          <w:kern w:val="0"/>
          <w:sz w:val="21"/>
          <w:szCs w:val="21"/>
        </w:rPr>
        <w:t>于本使用合同签署后由乙方向甲方付清。</w:t>
      </w:r>
    </w:p>
    <w:p w14:paraId="50009B52">
      <w:pPr>
        <w:pStyle w:val="27"/>
        <w:tabs>
          <w:tab w:val="left" w:pos="1353"/>
          <w:tab w:val="left" w:pos="8190"/>
        </w:tabs>
        <w:snapToGrid w:val="0"/>
        <w:spacing w:line="360" w:lineRule="auto"/>
        <w:ind w:right="-512" w:rightChars="-244"/>
        <w:jc w:val="both"/>
        <w:rPr>
          <w:rFonts w:hint="eastAsia" w:ascii="宋体" w:hAnsi="宋体" w:eastAsia="宋体" w:cs="宋体"/>
          <w:color w:val="000000"/>
          <w:spacing w:val="6"/>
          <w:sz w:val="21"/>
          <w:szCs w:val="21"/>
          <w:lang w:eastAsia="zh-CN"/>
        </w:rPr>
      </w:pPr>
    </w:p>
    <w:p w14:paraId="55AE3107">
      <w:pPr>
        <w:pStyle w:val="27"/>
        <w:tabs>
          <w:tab w:val="left" w:pos="1353"/>
          <w:tab w:val="left" w:pos="8190"/>
        </w:tabs>
        <w:snapToGrid w:val="0"/>
        <w:spacing w:line="360" w:lineRule="auto"/>
        <w:ind w:left="1800" w:right="-512" w:rightChars="-244" w:hanging="1800"/>
        <w:jc w:val="both"/>
        <w:rPr>
          <w:rFonts w:hint="eastAsia" w:ascii="宋体" w:hAnsi="宋体" w:eastAsia="宋体" w:cs="宋体"/>
          <w:b/>
          <w:color w:val="000000"/>
          <w:spacing w:val="6"/>
          <w:sz w:val="21"/>
          <w:szCs w:val="21"/>
        </w:rPr>
      </w:pPr>
      <w:r>
        <w:rPr>
          <w:rFonts w:hint="eastAsia" w:ascii="宋体" w:hAnsi="宋体" w:eastAsia="宋体" w:cs="宋体"/>
          <w:b/>
          <w:color w:val="000000"/>
          <w:spacing w:val="6"/>
          <w:sz w:val="21"/>
          <w:szCs w:val="21"/>
        </w:rPr>
        <w:t>第二部分</w:t>
      </w:r>
    </w:p>
    <w:p w14:paraId="32CBB0EA">
      <w:pPr>
        <w:pStyle w:val="27"/>
        <w:tabs>
          <w:tab w:val="left" w:pos="1353"/>
          <w:tab w:val="left" w:pos="8190"/>
        </w:tabs>
        <w:snapToGrid w:val="0"/>
        <w:spacing w:line="360" w:lineRule="auto"/>
        <w:ind w:left="1800" w:right="-512" w:rightChars="-244" w:hanging="1800"/>
        <w:jc w:val="both"/>
        <w:rPr>
          <w:rFonts w:hint="eastAsia" w:ascii="宋体" w:hAnsi="宋体" w:eastAsia="宋体" w:cs="宋体"/>
          <w:color w:val="000000"/>
          <w:spacing w:val="6"/>
          <w:sz w:val="21"/>
          <w:szCs w:val="21"/>
        </w:rPr>
      </w:pPr>
    </w:p>
    <w:p w14:paraId="4CC244CC">
      <w:pPr>
        <w:pStyle w:val="27"/>
        <w:tabs>
          <w:tab w:val="left" w:pos="1353"/>
          <w:tab w:val="left" w:pos="8190"/>
        </w:tabs>
        <w:snapToGrid w:val="0"/>
        <w:spacing w:line="360" w:lineRule="auto"/>
        <w:ind w:left="1800" w:right="-512" w:rightChars="-244" w:hanging="1800"/>
        <w:jc w:val="both"/>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lang w:eastAsia="zh-CN"/>
        </w:rPr>
        <w:t>使用费</w:t>
      </w:r>
      <w:r>
        <w:rPr>
          <w:rFonts w:hint="eastAsia" w:ascii="宋体" w:hAnsi="宋体" w:eastAsia="宋体" w:cs="宋体"/>
          <w:color w:val="000000"/>
          <w:spacing w:val="6"/>
          <w:sz w:val="21"/>
          <w:szCs w:val="21"/>
        </w:rPr>
        <w:t>：乙方按以下第【</w:t>
      </w:r>
      <w:r>
        <w:rPr>
          <w:rFonts w:hint="eastAsia" w:ascii="宋体" w:hAnsi="宋体" w:eastAsia="宋体" w:cs="宋体"/>
          <w:color w:val="000000"/>
          <w:spacing w:val="6"/>
          <w:sz w:val="21"/>
          <w:szCs w:val="21"/>
          <w:lang w:val="en-US" w:eastAsia="zh-CN"/>
        </w:rPr>
        <w:t>1</w:t>
      </w:r>
      <w:r>
        <w:rPr>
          <w:rFonts w:hint="eastAsia" w:ascii="宋体" w:hAnsi="宋体" w:eastAsia="宋体" w:cs="宋体"/>
          <w:color w:val="000000"/>
          <w:spacing w:val="6"/>
          <w:sz w:val="21"/>
          <w:szCs w:val="21"/>
        </w:rPr>
        <w:t>】种方式向甲方交纳</w:t>
      </w:r>
      <w:r>
        <w:rPr>
          <w:rFonts w:hint="eastAsia" w:ascii="宋体" w:hAnsi="宋体" w:eastAsia="宋体" w:cs="宋体"/>
          <w:color w:val="000000"/>
          <w:spacing w:val="6"/>
          <w:sz w:val="21"/>
          <w:szCs w:val="21"/>
          <w:lang w:val="en-US" w:eastAsia="zh-CN"/>
        </w:rPr>
        <w:t>场地</w:t>
      </w:r>
      <w:r>
        <w:rPr>
          <w:rFonts w:hint="eastAsia" w:ascii="宋体" w:hAnsi="宋体" w:eastAsia="宋体" w:cs="宋体"/>
          <w:color w:val="000000"/>
          <w:spacing w:val="6"/>
          <w:sz w:val="21"/>
          <w:szCs w:val="21"/>
        </w:rPr>
        <w:t>使用费</w:t>
      </w:r>
    </w:p>
    <w:p w14:paraId="504F1782">
      <w:pPr>
        <w:pStyle w:val="27"/>
        <w:tabs>
          <w:tab w:val="left" w:pos="1353"/>
          <w:tab w:val="left" w:pos="8190"/>
        </w:tabs>
        <w:snapToGrid w:val="0"/>
        <w:spacing w:line="360" w:lineRule="auto"/>
        <w:ind w:left="1800" w:right="-512" w:rightChars="-244" w:hanging="1800"/>
        <w:jc w:val="both"/>
        <w:rPr>
          <w:rFonts w:hint="eastAsia" w:ascii="宋体" w:hAnsi="宋体" w:eastAsia="宋体" w:cs="宋体"/>
          <w:color w:val="000000"/>
          <w:spacing w:val="6"/>
          <w:sz w:val="21"/>
          <w:szCs w:val="21"/>
        </w:rPr>
      </w:pPr>
    </w:p>
    <w:p w14:paraId="064E5F31">
      <w:pPr>
        <w:pStyle w:val="27"/>
        <w:numPr>
          <w:ilvl w:val="0"/>
          <w:numId w:val="23"/>
        </w:numPr>
        <w:tabs>
          <w:tab w:val="left" w:pos="1353"/>
          <w:tab w:val="left" w:pos="8190"/>
        </w:tabs>
        <w:snapToGrid w:val="0"/>
        <w:spacing w:line="360" w:lineRule="auto"/>
        <w:ind w:right="-512" w:rightChars="-244"/>
        <w:jc w:val="both"/>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lang w:eastAsia="zh-CN"/>
        </w:rPr>
        <w:t>固定使用费</w:t>
      </w:r>
      <w:r>
        <w:rPr>
          <w:rFonts w:hint="eastAsia" w:ascii="宋体" w:hAnsi="宋体" w:eastAsia="宋体" w:cs="宋体"/>
          <w:color w:val="000000"/>
          <w:spacing w:val="6"/>
          <w:sz w:val="21"/>
          <w:szCs w:val="21"/>
        </w:rPr>
        <w:t>模式，具体为：</w:t>
      </w:r>
    </w:p>
    <w:p w14:paraId="53EEB915">
      <w:pPr>
        <w:tabs>
          <w:tab w:val="left" w:pos="8190"/>
        </w:tabs>
        <w:spacing w:line="590" w:lineRule="exact"/>
        <w:ind w:right="-512" w:rightChars="-244"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乙方所租赁的</w:t>
      </w:r>
      <w:r>
        <w:rPr>
          <w:rFonts w:hint="eastAsia" w:ascii="宋体" w:hAnsi="宋体" w:eastAsia="宋体" w:cs="宋体"/>
          <w:color w:val="000000"/>
          <w:spacing w:val="6"/>
          <w:kern w:val="0"/>
          <w:sz w:val="21"/>
          <w:szCs w:val="21"/>
        </w:rPr>
        <w:t>体育公园附属空间</w:t>
      </w:r>
      <w:r>
        <w:rPr>
          <w:rFonts w:hint="eastAsia" w:ascii="宋体" w:hAnsi="宋体" w:eastAsia="宋体" w:cs="宋体"/>
          <w:spacing w:val="-6"/>
          <w:sz w:val="21"/>
          <w:szCs w:val="21"/>
        </w:rPr>
        <w:t>，租金标准为人民币</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u w:val="none"/>
        </w:rPr>
        <w:t>元/</w:t>
      </w:r>
      <w:r>
        <w:rPr>
          <w:rFonts w:hint="eastAsia" w:ascii="宋体" w:hAnsi="宋体" w:eastAsia="宋体" w:cs="宋体"/>
          <w:spacing w:val="-6"/>
          <w:sz w:val="21"/>
          <w:szCs w:val="21"/>
          <w:u w:val="none"/>
          <w:lang w:val="en-US" w:eastAsia="zh-CN"/>
        </w:rPr>
        <w:t>年</w:t>
      </w:r>
      <w:r>
        <w:rPr>
          <w:rFonts w:hint="eastAsia" w:ascii="宋体" w:hAnsi="宋体" w:eastAsia="宋体" w:cs="宋体"/>
          <w:spacing w:val="-6"/>
          <w:sz w:val="21"/>
          <w:szCs w:val="21"/>
        </w:rPr>
        <w:t>。从第</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u w:val="single"/>
          <w:lang w:val="en-US" w:eastAsia="zh-CN"/>
        </w:rPr>
        <w:t>/</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个合同年（合同年起始日为租赁期起始日）开始，租金标准</w:t>
      </w:r>
      <w:r>
        <w:rPr>
          <w:rFonts w:hint="eastAsia" w:ascii="宋体" w:hAnsi="宋体" w:eastAsia="宋体" w:cs="宋体"/>
          <w:spacing w:val="-6"/>
          <w:sz w:val="21"/>
          <w:szCs w:val="21"/>
          <w:lang w:val="en-US" w:eastAsia="zh-CN"/>
        </w:rPr>
        <w:t>每</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u w:val="single"/>
          <w:lang w:val="en-US" w:eastAsia="zh-CN"/>
        </w:rPr>
        <w:t>/</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年递增一次，每次在上年基础上递增</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 。即：</w:t>
      </w:r>
    </w:p>
    <w:p w14:paraId="039DA482">
      <w:pPr>
        <w:pStyle w:val="27"/>
        <w:numPr>
          <w:ilvl w:val="0"/>
          <w:numId w:val="0"/>
        </w:numPr>
        <w:tabs>
          <w:tab w:val="left" w:pos="1353"/>
          <w:tab w:val="left" w:pos="8190"/>
        </w:tabs>
        <w:snapToGrid w:val="0"/>
        <w:spacing w:line="360" w:lineRule="auto"/>
        <w:ind w:leftChars="0" w:right="-512" w:rightChars="-244"/>
        <w:jc w:val="both"/>
        <w:rPr>
          <w:rFonts w:hint="eastAsia" w:ascii="宋体" w:hAnsi="宋体" w:eastAsia="宋体" w:cs="宋体"/>
          <w:color w:val="000000"/>
          <w:spacing w:val="6"/>
          <w:sz w:val="21"/>
          <w:szCs w:val="21"/>
        </w:rPr>
      </w:pPr>
    </w:p>
    <w:p w14:paraId="68511585">
      <w:pPr>
        <w:pStyle w:val="27"/>
        <w:numPr>
          <w:ilvl w:val="0"/>
          <w:numId w:val="24"/>
        </w:numPr>
        <w:tabs>
          <w:tab w:val="left" w:pos="1353"/>
          <w:tab w:val="left" w:pos="8190"/>
        </w:tabs>
        <w:snapToGrid w:val="0"/>
        <w:spacing w:line="360" w:lineRule="auto"/>
        <w:ind w:left="360" w:right="-512" w:rightChars="-244"/>
        <w:jc w:val="both"/>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lang w:eastAsia="zh-CN"/>
        </w:rPr>
        <w:t>场地使用费</w:t>
      </w:r>
      <w:r>
        <w:rPr>
          <w:rFonts w:hint="eastAsia" w:ascii="宋体" w:hAnsi="宋体" w:eastAsia="宋体" w:cs="宋体"/>
          <w:color w:val="000000"/>
          <w:spacing w:val="6"/>
          <w:sz w:val="21"/>
          <w:szCs w:val="21"/>
        </w:rPr>
        <w:t>标准</w:t>
      </w:r>
    </w:p>
    <w:tbl>
      <w:tblPr>
        <w:tblStyle w:val="14"/>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667"/>
        <w:gridCol w:w="1425"/>
        <w:gridCol w:w="1800"/>
        <w:gridCol w:w="1020"/>
        <w:gridCol w:w="1770"/>
      </w:tblGrid>
      <w:tr w14:paraId="1D22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52" w:type="dxa"/>
            <w:vAlign w:val="center"/>
          </w:tcPr>
          <w:p w14:paraId="61AC1BAB">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667" w:type="dxa"/>
            <w:vAlign w:val="center"/>
          </w:tcPr>
          <w:p w14:paraId="78496A7D">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时间</w:t>
            </w:r>
          </w:p>
        </w:tc>
        <w:tc>
          <w:tcPr>
            <w:tcW w:w="1425" w:type="dxa"/>
            <w:vAlign w:val="center"/>
          </w:tcPr>
          <w:p w14:paraId="54ED4974">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含税价租金（元）</w:t>
            </w:r>
          </w:p>
        </w:tc>
        <w:tc>
          <w:tcPr>
            <w:tcW w:w="1800" w:type="dxa"/>
            <w:vAlign w:val="center"/>
          </w:tcPr>
          <w:p w14:paraId="69416542">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不含税价租金（元）</w:t>
            </w:r>
          </w:p>
        </w:tc>
        <w:tc>
          <w:tcPr>
            <w:tcW w:w="1020" w:type="dxa"/>
            <w:vAlign w:val="center"/>
          </w:tcPr>
          <w:p w14:paraId="54E0AA89">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税额（元）</w:t>
            </w:r>
          </w:p>
        </w:tc>
        <w:tc>
          <w:tcPr>
            <w:tcW w:w="1770" w:type="dxa"/>
            <w:vAlign w:val="center"/>
          </w:tcPr>
          <w:p w14:paraId="7B45A9BE">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应缴时间</w:t>
            </w:r>
          </w:p>
        </w:tc>
      </w:tr>
      <w:tr w14:paraId="4461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52" w:type="dxa"/>
            <w:vAlign w:val="center"/>
          </w:tcPr>
          <w:p w14:paraId="796FEAA0">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第1期</w:t>
            </w:r>
          </w:p>
        </w:tc>
        <w:tc>
          <w:tcPr>
            <w:tcW w:w="1667" w:type="dxa"/>
            <w:vAlign w:val="center"/>
          </w:tcPr>
          <w:p w14:paraId="79BC46C0">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c>
          <w:tcPr>
            <w:tcW w:w="1425" w:type="dxa"/>
            <w:shd w:val="clear" w:color="auto" w:fill="auto"/>
            <w:vAlign w:val="center"/>
          </w:tcPr>
          <w:p w14:paraId="139154F1">
            <w:pPr>
              <w:keepNext w:val="0"/>
              <w:keepLines w:val="0"/>
              <w:widowControl/>
              <w:suppressLineNumbers w:val="0"/>
              <w:jc w:val="center"/>
              <w:rPr>
                <w:rFonts w:hint="eastAsia" w:ascii="宋体" w:hAnsi="宋体" w:eastAsia="宋体" w:cs="宋体"/>
                <w:color w:val="auto"/>
                <w:kern w:val="2"/>
                <w:sz w:val="21"/>
                <w:szCs w:val="21"/>
                <w:highlight w:val="none"/>
                <w:vertAlign w:val="baseline"/>
                <w:lang w:val="en-US" w:eastAsia="zh-CN" w:bidi="ar-SA"/>
              </w:rPr>
            </w:pPr>
          </w:p>
        </w:tc>
        <w:tc>
          <w:tcPr>
            <w:tcW w:w="1800" w:type="dxa"/>
            <w:vAlign w:val="center"/>
          </w:tcPr>
          <w:p w14:paraId="53BA45A0">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c>
          <w:tcPr>
            <w:tcW w:w="1020" w:type="dxa"/>
            <w:vAlign w:val="center"/>
          </w:tcPr>
          <w:p w14:paraId="2B9C508B">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c>
          <w:tcPr>
            <w:tcW w:w="1770" w:type="dxa"/>
            <w:vAlign w:val="center"/>
          </w:tcPr>
          <w:p w14:paraId="5D9319CE">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r>
      <w:tr w14:paraId="1891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52" w:type="dxa"/>
            <w:vAlign w:val="center"/>
          </w:tcPr>
          <w:p w14:paraId="5C1A2F18">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第2期</w:t>
            </w:r>
          </w:p>
        </w:tc>
        <w:tc>
          <w:tcPr>
            <w:tcW w:w="1667" w:type="dxa"/>
            <w:vAlign w:val="center"/>
          </w:tcPr>
          <w:p w14:paraId="1A0B4368">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c>
          <w:tcPr>
            <w:tcW w:w="1425" w:type="dxa"/>
            <w:shd w:val="clear" w:color="auto" w:fill="auto"/>
            <w:vAlign w:val="center"/>
          </w:tcPr>
          <w:p w14:paraId="396F9F3F">
            <w:pPr>
              <w:keepNext w:val="0"/>
              <w:keepLines w:val="0"/>
              <w:widowControl/>
              <w:suppressLineNumbers w:val="0"/>
              <w:jc w:val="center"/>
              <w:rPr>
                <w:rFonts w:hint="eastAsia" w:ascii="宋体" w:hAnsi="宋体" w:eastAsia="宋体" w:cs="宋体"/>
                <w:color w:val="auto"/>
                <w:kern w:val="2"/>
                <w:sz w:val="21"/>
                <w:szCs w:val="21"/>
                <w:highlight w:val="none"/>
                <w:vertAlign w:val="baseline"/>
                <w:lang w:val="en-US" w:eastAsia="zh-CN" w:bidi="ar-SA"/>
              </w:rPr>
            </w:pPr>
          </w:p>
        </w:tc>
        <w:tc>
          <w:tcPr>
            <w:tcW w:w="1800" w:type="dxa"/>
            <w:vAlign w:val="center"/>
          </w:tcPr>
          <w:p w14:paraId="644D66BE">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c>
          <w:tcPr>
            <w:tcW w:w="1020" w:type="dxa"/>
            <w:vAlign w:val="center"/>
          </w:tcPr>
          <w:p w14:paraId="7196B451">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770" w:type="dxa"/>
            <w:vAlign w:val="center"/>
          </w:tcPr>
          <w:p w14:paraId="221D5D0B">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r>
      <w:tr w14:paraId="5F1C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52" w:type="dxa"/>
            <w:vAlign w:val="center"/>
          </w:tcPr>
          <w:p w14:paraId="2E5E9C83">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第3期</w:t>
            </w:r>
          </w:p>
        </w:tc>
        <w:tc>
          <w:tcPr>
            <w:tcW w:w="1667" w:type="dxa"/>
            <w:vAlign w:val="center"/>
          </w:tcPr>
          <w:p w14:paraId="71141997">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c>
          <w:tcPr>
            <w:tcW w:w="1425" w:type="dxa"/>
            <w:shd w:val="clear" w:color="auto" w:fill="auto"/>
            <w:vAlign w:val="center"/>
          </w:tcPr>
          <w:p w14:paraId="273A9EA6">
            <w:pPr>
              <w:keepNext w:val="0"/>
              <w:keepLines w:val="0"/>
              <w:widowControl/>
              <w:suppressLineNumbers w:val="0"/>
              <w:jc w:val="center"/>
              <w:rPr>
                <w:rFonts w:hint="eastAsia" w:ascii="宋体" w:hAnsi="宋体" w:eastAsia="宋体" w:cs="宋体"/>
                <w:color w:val="auto"/>
                <w:kern w:val="2"/>
                <w:sz w:val="21"/>
                <w:szCs w:val="21"/>
                <w:highlight w:val="none"/>
                <w:vertAlign w:val="baseline"/>
                <w:lang w:val="en-US" w:eastAsia="zh-CN" w:bidi="ar-SA"/>
              </w:rPr>
            </w:pPr>
          </w:p>
        </w:tc>
        <w:tc>
          <w:tcPr>
            <w:tcW w:w="1800" w:type="dxa"/>
            <w:vAlign w:val="center"/>
          </w:tcPr>
          <w:p w14:paraId="0E7100F3">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c>
          <w:tcPr>
            <w:tcW w:w="1020" w:type="dxa"/>
            <w:vAlign w:val="center"/>
          </w:tcPr>
          <w:p w14:paraId="39A6D5EE">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770" w:type="dxa"/>
            <w:vAlign w:val="center"/>
          </w:tcPr>
          <w:p w14:paraId="1A300DDC">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r>
      <w:tr w14:paraId="24FC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52" w:type="dxa"/>
            <w:vAlign w:val="center"/>
          </w:tcPr>
          <w:p w14:paraId="3DC8D96E">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第4期</w:t>
            </w:r>
          </w:p>
        </w:tc>
        <w:tc>
          <w:tcPr>
            <w:tcW w:w="1667" w:type="dxa"/>
            <w:vAlign w:val="center"/>
          </w:tcPr>
          <w:p w14:paraId="6694226A">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c>
          <w:tcPr>
            <w:tcW w:w="1425" w:type="dxa"/>
            <w:shd w:val="clear" w:color="auto" w:fill="auto"/>
            <w:vAlign w:val="center"/>
          </w:tcPr>
          <w:p w14:paraId="3439FDFD">
            <w:pPr>
              <w:keepNext w:val="0"/>
              <w:keepLines w:val="0"/>
              <w:widowControl/>
              <w:suppressLineNumbers w:val="0"/>
              <w:jc w:val="center"/>
              <w:rPr>
                <w:rFonts w:hint="eastAsia" w:ascii="宋体" w:hAnsi="宋体" w:eastAsia="宋体" w:cs="宋体"/>
                <w:color w:val="auto"/>
                <w:kern w:val="2"/>
                <w:sz w:val="21"/>
                <w:szCs w:val="21"/>
                <w:highlight w:val="none"/>
                <w:vertAlign w:val="baseline"/>
                <w:lang w:val="en-US" w:eastAsia="zh-CN" w:bidi="ar-SA"/>
              </w:rPr>
            </w:pPr>
          </w:p>
        </w:tc>
        <w:tc>
          <w:tcPr>
            <w:tcW w:w="1800" w:type="dxa"/>
            <w:vAlign w:val="center"/>
          </w:tcPr>
          <w:p w14:paraId="203CDB6D">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c>
          <w:tcPr>
            <w:tcW w:w="1020" w:type="dxa"/>
            <w:vAlign w:val="center"/>
          </w:tcPr>
          <w:p w14:paraId="5382F863">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770" w:type="dxa"/>
            <w:vAlign w:val="center"/>
          </w:tcPr>
          <w:p w14:paraId="135DA625">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r>
      <w:tr w14:paraId="7708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52" w:type="dxa"/>
            <w:vAlign w:val="center"/>
          </w:tcPr>
          <w:p w14:paraId="35C25296">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合计</w:t>
            </w:r>
          </w:p>
        </w:tc>
        <w:tc>
          <w:tcPr>
            <w:tcW w:w="1667" w:type="dxa"/>
            <w:vAlign w:val="center"/>
          </w:tcPr>
          <w:p w14:paraId="422860C8">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425" w:type="dxa"/>
            <w:shd w:val="clear" w:color="auto" w:fill="auto"/>
            <w:vAlign w:val="center"/>
          </w:tcPr>
          <w:p w14:paraId="27EF8BC3">
            <w:pPr>
              <w:keepNext w:val="0"/>
              <w:keepLines w:val="0"/>
              <w:widowControl/>
              <w:suppressLineNumbers w:val="0"/>
              <w:jc w:val="center"/>
              <w:rPr>
                <w:rFonts w:hint="eastAsia" w:ascii="宋体" w:hAnsi="宋体" w:eastAsia="宋体" w:cs="宋体"/>
                <w:color w:val="auto"/>
                <w:kern w:val="2"/>
                <w:sz w:val="21"/>
                <w:szCs w:val="21"/>
                <w:highlight w:val="none"/>
                <w:vertAlign w:val="baseline"/>
                <w:lang w:val="en-US" w:eastAsia="zh-CN" w:bidi="ar-SA"/>
              </w:rPr>
            </w:pPr>
          </w:p>
        </w:tc>
        <w:tc>
          <w:tcPr>
            <w:tcW w:w="1800" w:type="dxa"/>
            <w:vAlign w:val="center"/>
          </w:tcPr>
          <w:p w14:paraId="44FE6B1D">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c>
          <w:tcPr>
            <w:tcW w:w="1020" w:type="dxa"/>
            <w:vAlign w:val="center"/>
          </w:tcPr>
          <w:p w14:paraId="10364EF9">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c>
          <w:tcPr>
            <w:tcW w:w="1770" w:type="dxa"/>
            <w:vAlign w:val="center"/>
          </w:tcPr>
          <w:p w14:paraId="0DC7C01C">
            <w:pPr>
              <w:keepNext w:val="0"/>
              <w:keepLines w:val="0"/>
              <w:widowControl/>
              <w:suppressLineNumbers w:val="0"/>
              <w:jc w:val="center"/>
              <w:rPr>
                <w:rFonts w:hint="eastAsia" w:ascii="宋体" w:hAnsi="宋体" w:eastAsia="宋体" w:cs="宋体"/>
                <w:color w:val="auto"/>
                <w:sz w:val="21"/>
                <w:szCs w:val="21"/>
                <w:highlight w:val="none"/>
                <w:vertAlign w:val="baseline"/>
              </w:rPr>
            </w:pPr>
          </w:p>
        </w:tc>
      </w:tr>
    </w:tbl>
    <w:p w14:paraId="4F145071">
      <w:pPr>
        <w:spacing w:line="590" w:lineRule="exact"/>
        <w:ind w:right="-512" w:rightChars="-244"/>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rPr>
        <w:t>合同租金总价为人民币</w:t>
      </w:r>
      <w:r>
        <w:rPr>
          <w:rFonts w:hint="eastAsia" w:ascii="宋体" w:hAnsi="宋体" w:eastAsia="宋体" w:cs="宋体"/>
          <w:spacing w:val="-6"/>
          <w:sz w:val="21"/>
          <w:szCs w:val="21"/>
          <w:u w:val="single"/>
        </w:rPr>
        <w:t xml:space="preserve"> </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元（大写</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rPr>
        <w:t xml:space="preserve">）。以上合同价款为含税价，合同税率为 </w:t>
      </w:r>
      <w:r>
        <w:rPr>
          <w:rFonts w:hint="eastAsia" w:ascii="宋体" w:hAnsi="宋体" w:eastAsia="宋体" w:cs="宋体"/>
          <w:spacing w:val="-6"/>
          <w:sz w:val="21"/>
          <w:szCs w:val="21"/>
          <w:u w:val="single"/>
        </w:rPr>
        <w:t>9%</w:t>
      </w:r>
      <w:r>
        <w:rPr>
          <w:rFonts w:hint="eastAsia" w:ascii="宋体" w:hAnsi="宋体" w:eastAsia="宋体" w:cs="宋体"/>
          <w:spacing w:val="-6"/>
          <w:sz w:val="21"/>
          <w:szCs w:val="21"/>
          <w:u w:val="none"/>
          <w:lang w:eastAsia="zh-CN"/>
        </w:rPr>
        <w:t>，</w:t>
      </w:r>
      <w:r>
        <w:rPr>
          <w:rFonts w:hint="eastAsia" w:ascii="宋体" w:hAnsi="宋体" w:eastAsia="宋体" w:cs="宋体"/>
          <w:spacing w:val="-6"/>
          <w:sz w:val="21"/>
          <w:szCs w:val="21"/>
          <w:u w:val="none"/>
          <w:lang w:val="en-US" w:eastAsia="zh-CN"/>
        </w:rPr>
        <w:t>不含税价格为</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u w:val="none"/>
          <w:lang w:val="en-US" w:eastAsia="zh-CN"/>
        </w:rPr>
        <w:t>元（大写</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u w:val="none"/>
          <w:lang w:val="en-US" w:eastAsia="zh-CN"/>
        </w:rPr>
        <w:t>）。</w:t>
      </w:r>
    </w:p>
    <w:p w14:paraId="1BDB5745">
      <w:pPr>
        <w:spacing w:line="590" w:lineRule="exact"/>
        <w:ind w:right="-512" w:rightChars="-244" w:firstLine="396" w:firstLineChars="200"/>
        <w:rPr>
          <w:rFonts w:hint="eastAsia" w:ascii="宋体" w:hAnsi="宋体" w:eastAsia="宋体" w:cs="宋体"/>
          <w:color w:val="auto"/>
          <w:spacing w:val="-6"/>
          <w:sz w:val="21"/>
          <w:szCs w:val="21"/>
          <w:lang w:eastAsia="zh-CN"/>
        </w:rPr>
      </w:pPr>
      <w:r>
        <w:rPr>
          <w:rFonts w:hint="eastAsia" w:ascii="宋体" w:hAnsi="宋体" w:eastAsia="宋体" w:cs="宋体"/>
          <w:spacing w:val="-6"/>
          <w:sz w:val="21"/>
          <w:szCs w:val="21"/>
          <w:highlight w:val="none"/>
        </w:rPr>
        <w:t>说明：免租期</w:t>
      </w:r>
      <w:r>
        <w:rPr>
          <w:rFonts w:hint="eastAsia" w:ascii="宋体" w:hAnsi="宋体" w:cs="宋体"/>
          <w:spacing w:val="-6"/>
          <w:sz w:val="21"/>
          <w:szCs w:val="21"/>
          <w:highlight w:val="none"/>
          <w:u w:val="single"/>
          <w:lang w:val="en-US" w:eastAsia="zh-CN"/>
        </w:rPr>
        <w:t>1</w:t>
      </w:r>
      <w:r>
        <w:rPr>
          <w:rFonts w:hint="eastAsia" w:ascii="宋体" w:hAnsi="宋体" w:eastAsia="宋体" w:cs="宋体"/>
          <w:spacing w:val="-6"/>
          <w:sz w:val="21"/>
          <w:szCs w:val="21"/>
          <w:highlight w:val="none"/>
        </w:rPr>
        <w:t>个月，</w:t>
      </w:r>
      <w:r>
        <w:rPr>
          <w:rFonts w:hint="eastAsia" w:ascii="宋体" w:hAnsi="宋体" w:eastAsia="宋体" w:cs="宋体"/>
          <w:spacing w:val="-6"/>
          <w:sz w:val="21"/>
          <w:szCs w:val="21"/>
        </w:rPr>
        <w:t>若合同正常履约满一年且乙方无任何违约</w:t>
      </w:r>
      <w:r>
        <w:rPr>
          <w:rFonts w:hint="eastAsia" w:ascii="宋体" w:hAnsi="宋体" w:eastAsia="宋体" w:cs="宋体"/>
          <w:color w:val="auto"/>
          <w:spacing w:val="-6"/>
          <w:sz w:val="21"/>
          <w:szCs w:val="21"/>
        </w:rPr>
        <w:t>行为，则</w:t>
      </w:r>
      <w:r>
        <w:rPr>
          <w:rFonts w:hint="eastAsia" w:ascii="宋体" w:hAnsi="宋体" w:eastAsia="宋体" w:cs="宋体"/>
          <w:color w:val="auto"/>
          <w:spacing w:val="-6"/>
          <w:sz w:val="21"/>
          <w:szCs w:val="21"/>
          <w:lang w:val="en-US" w:eastAsia="zh-CN"/>
        </w:rPr>
        <w:t>经乙方书面申请，在第</w:t>
      </w:r>
      <w:r>
        <w:rPr>
          <w:rFonts w:hint="eastAsia" w:ascii="宋体" w:hAnsi="宋体" w:cs="宋体"/>
          <w:color w:val="auto"/>
          <w:spacing w:val="-6"/>
          <w:sz w:val="21"/>
          <w:szCs w:val="21"/>
          <w:u w:val="single"/>
          <w:lang w:val="en-US" w:eastAsia="zh-CN"/>
        </w:rPr>
        <w:t>3</w:t>
      </w:r>
      <w:r>
        <w:rPr>
          <w:rFonts w:hint="eastAsia" w:ascii="宋体" w:hAnsi="宋体" w:eastAsia="宋体" w:cs="宋体"/>
          <w:color w:val="auto"/>
          <w:spacing w:val="-6"/>
          <w:sz w:val="21"/>
          <w:szCs w:val="21"/>
          <w:lang w:val="en-US" w:eastAsia="zh-CN"/>
        </w:rPr>
        <w:t>期费用中直接减免，</w:t>
      </w:r>
      <w:r>
        <w:rPr>
          <w:rFonts w:hint="eastAsia" w:ascii="宋体" w:hAnsi="宋体" w:eastAsia="宋体" w:cs="宋体"/>
          <w:color w:val="auto"/>
          <w:spacing w:val="-6"/>
          <w:sz w:val="21"/>
          <w:szCs w:val="21"/>
        </w:rPr>
        <w:t>否则按</w:t>
      </w:r>
      <w:r>
        <w:rPr>
          <w:rFonts w:hint="eastAsia" w:ascii="宋体" w:hAnsi="宋体" w:eastAsia="宋体" w:cs="宋体"/>
          <w:color w:val="auto"/>
          <w:spacing w:val="-6"/>
          <w:sz w:val="21"/>
          <w:szCs w:val="21"/>
          <w:lang w:val="en-US" w:eastAsia="zh-CN"/>
        </w:rPr>
        <w:t>原</w:t>
      </w:r>
      <w:r>
        <w:rPr>
          <w:rFonts w:hint="eastAsia" w:ascii="宋体" w:hAnsi="宋体" w:eastAsia="宋体" w:cs="宋体"/>
          <w:color w:val="auto"/>
          <w:spacing w:val="-6"/>
          <w:sz w:val="21"/>
          <w:szCs w:val="21"/>
        </w:rPr>
        <w:t>租金金额全额计取。若交付日期有调整，上表租赁期、应缴时间同步调整</w:t>
      </w:r>
      <w:r>
        <w:rPr>
          <w:rFonts w:hint="eastAsia" w:ascii="宋体" w:hAnsi="宋体" w:eastAsia="宋体" w:cs="宋体"/>
          <w:color w:val="auto"/>
          <w:spacing w:val="-6"/>
          <w:sz w:val="21"/>
          <w:szCs w:val="21"/>
          <w:lang w:eastAsia="zh-CN"/>
        </w:rPr>
        <w:t>。</w:t>
      </w:r>
    </w:p>
    <w:p w14:paraId="48B7D26A">
      <w:pPr>
        <w:pStyle w:val="27"/>
        <w:tabs>
          <w:tab w:val="left" w:pos="1440"/>
        </w:tabs>
        <w:snapToGrid w:val="0"/>
        <w:spacing w:line="360" w:lineRule="auto"/>
        <w:ind w:left="360" w:right="-512" w:rightChars="-244"/>
        <w:jc w:val="both"/>
        <w:rPr>
          <w:rFonts w:hint="eastAsia" w:ascii="宋体" w:hAnsi="宋体" w:eastAsia="宋体" w:cs="宋体"/>
          <w:color w:val="000000"/>
          <w:spacing w:val="6"/>
          <w:kern w:val="2"/>
          <w:sz w:val="21"/>
          <w:szCs w:val="21"/>
          <w:lang w:eastAsia="zh-CN"/>
        </w:rPr>
      </w:pPr>
    </w:p>
    <w:p w14:paraId="0CE0BF4D">
      <w:pPr>
        <w:pStyle w:val="27"/>
        <w:tabs>
          <w:tab w:val="left" w:pos="1440"/>
        </w:tabs>
        <w:snapToGrid w:val="0"/>
        <w:spacing w:line="360" w:lineRule="auto"/>
        <w:ind w:left="360" w:right="-512" w:rightChars="-244"/>
        <w:jc w:val="both"/>
        <w:rPr>
          <w:rFonts w:hint="eastAsia" w:ascii="宋体" w:hAnsi="宋体" w:eastAsia="宋体" w:cs="宋体"/>
          <w:color w:val="000000"/>
          <w:spacing w:val="6"/>
          <w:kern w:val="2"/>
          <w:sz w:val="21"/>
          <w:szCs w:val="21"/>
        </w:rPr>
      </w:pPr>
      <w:r>
        <w:rPr>
          <w:rFonts w:hint="eastAsia" w:ascii="宋体" w:hAnsi="宋体" w:eastAsia="宋体" w:cs="宋体"/>
          <w:color w:val="000000"/>
          <w:spacing w:val="6"/>
          <w:kern w:val="2"/>
          <w:sz w:val="21"/>
          <w:szCs w:val="21"/>
        </w:rPr>
        <w:t>（2）</w:t>
      </w:r>
      <w:r>
        <w:rPr>
          <w:rFonts w:hint="eastAsia" w:ascii="宋体" w:hAnsi="宋体" w:eastAsia="宋体" w:cs="宋体"/>
          <w:color w:val="000000"/>
          <w:spacing w:val="6"/>
          <w:kern w:val="2"/>
          <w:sz w:val="21"/>
          <w:szCs w:val="21"/>
          <w:lang w:eastAsia="zh-CN"/>
        </w:rPr>
        <w:t>场地使用费</w:t>
      </w:r>
      <w:r>
        <w:rPr>
          <w:rFonts w:hint="eastAsia" w:ascii="宋体" w:hAnsi="宋体" w:eastAsia="宋体" w:cs="宋体"/>
          <w:color w:val="000000"/>
          <w:spacing w:val="6"/>
          <w:kern w:val="2"/>
          <w:sz w:val="21"/>
          <w:szCs w:val="21"/>
        </w:rPr>
        <w:t>支付</w:t>
      </w:r>
    </w:p>
    <w:p w14:paraId="2560305C">
      <w:pPr>
        <w:pStyle w:val="27"/>
        <w:tabs>
          <w:tab w:val="left" w:pos="1800"/>
        </w:tabs>
        <w:adjustRightInd w:val="0"/>
        <w:snapToGrid w:val="0"/>
        <w:spacing w:line="360" w:lineRule="auto"/>
        <w:ind w:left="0" w:right="-512" w:rightChars="-244" w:firstLine="0" w:firstLineChars="0"/>
        <w:jc w:val="both"/>
        <w:rPr>
          <w:rFonts w:hint="eastAsia" w:ascii="宋体" w:hAnsi="宋体" w:eastAsia="宋体" w:cs="宋体"/>
          <w:b/>
          <w:spacing w:val="6"/>
          <w:sz w:val="21"/>
          <w:szCs w:val="21"/>
          <w:highlight w:val="none"/>
        </w:rPr>
      </w:pPr>
      <w:r>
        <w:rPr>
          <w:rFonts w:hint="eastAsia" w:ascii="宋体" w:hAnsi="宋体" w:eastAsia="宋体" w:cs="宋体"/>
          <w:spacing w:val="6"/>
          <w:sz w:val="21"/>
          <w:szCs w:val="21"/>
          <w:highlight w:val="none"/>
          <w:lang w:val="en-US" w:eastAsia="zh-CN"/>
        </w:rPr>
        <w:t>场地使用费</w:t>
      </w:r>
      <w:r>
        <w:rPr>
          <w:rFonts w:hint="eastAsia" w:ascii="宋体" w:hAnsi="宋体" w:eastAsia="宋体" w:cs="宋体"/>
          <w:spacing w:val="6"/>
          <w:sz w:val="21"/>
          <w:szCs w:val="21"/>
          <w:highlight w:val="none"/>
          <w:lang w:eastAsia="zh-CN"/>
        </w:rPr>
        <w:t>采用先付后用的原则，乙方应按</w:t>
      </w:r>
      <w:r>
        <w:rPr>
          <w:rFonts w:hint="eastAsia" w:ascii="宋体" w:hAnsi="宋体" w:eastAsia="宋体" w:cs="宋体"/>
          <w:spacing w:val="6"/>
          <w:sz w:val="21"/>
          <w:szCs w:val="21"/>
          <w:highlight w:val="none"/>
          <w:lang w:val="en-US" w:eastAsia="zh-CN"/>
        </w:rPr>
        <w:t>场地使用费</w:t>
      </w:r>
      <w:r>
        <w:rPr>
          <w:rFonts w:hint="eastAsia" w:ascii="宋体" w:hAnsi="宋体" w:eastAsia="宋体" w:cs="宋体"/>
          <w:spacing w:val="6"/>
          <w:sz w:val="21"/>
          <w:szCs w:val="21"/>
          <w:highlight w:val="none"/>
          <w:lang w:eastAsia="zh-CN"/>
        </w:rPr>
        <w:t>支付明细表中应缴时间向甲方及时支付每期</w:t>
      </w:r>
      <w:r>
        <w:rPr>
          <w:rFonts w:hint="eastAsia" w:ascii="宋体" w:hAnsi="宋体" w:eastAsia="宋体" w:cs="宋体"/>
          <w:spacing w:val="6"/>
          <w:sz w:val="21"/>
          <w:szCs w:val="21"/>
          <w:highlight w:val="none"/>
          <w:lang w:val="en-US" w:eastAsia="zh-CN"/>
        </w:rPr>
        <w:t>场地使用费</w:t>
      </w:r>
      <w:r>
        <w:rPr>
          <w:rFonts w:hint="eastAsia" w:ascii="宋体" w:hAnsi="宋体" w:eastAsia="宋体" w:cs="宋体"/>
          <w:spacing w:val="6"/>
          <w:sz w:val="21"/>
          <w:szCs w:val="21"/>
          <w:highlight w:val="none"/>
          <w:lang w:eastAsia="zh-CN"/>
        </w:rPr>
        <w:t>。</w:t>
      </w:r>
    </w:p>
    <w:p w14:paraId="3DFC26F1">
      <w:pPr>
        <w:pStyle w:val="26"/>
        <w:adjustRightInd w:val="0"/>
        <w:snapToGrid w:val="0"/>
        <w:spacing w:line="360" w:lineRule="auto"/>
        <w:ind w:left="360" w:right="-512" w:rightChars="-244" w:firstLine="0" w:firstLineChars="0"/>
        <w:rPr>
          <w:rFonts w:hint="eastAsia" w:ascii="宋体" w:hAnsi="宋体" w:eastAsia="宋体" w:cs="宋体"/>
          <w:bCs/>
          <w:color w:val="auto"/>
          <w:spacing w:val="6"/>
          <w:sz w:val="21"/>
          <w:szCs w:val="21"/>
        </w:rPr>
      </w:pPr>
    </w:p>
    <w:p w14:paraId="3A492338">
      <w:pPr>
        <w:pStyle w:val="27"/>
        <w:numPr>
          <w:ilvl w:val="0"/>
          <w:numId w:val="23"/>
        </w:numPr>
        <w:tabs>
          <w:tab w:val="left" w:pos="1353"/>
        </w:tabs>
        <w:snapToGrid w:val="0"/>
        <w:spacing w:line="360" w:lineRule="auto"/>
        <w:ind w:right="-512" w:rightChars="-244"/>
        <w:jc w:val="both"/>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lang w:eastAsia="zh-CN"/>
        </w:rPr>
        <w:t>提成使用费</w:t>
      </w:r>
      <w:r>
        <w:rPr>
          <w:rFonts w:hint="eastAsia" w:ascii="宋体" w:hAnsi="宋体" w:eastAsia="宋体" w:cs="宋体"/>
          <w:color w:val="auto"/>
          <w:spacing w:val="6"/>
          <w:sz w:val="21"/>
          <w:szCs w:val="21"/>
        </w:rPr>
        <w:t>模式，具体为：</w:t>
      </w:r>
    </w:p>
    <w:p w14:paraId="5BEEDB26">
      <w:pPr>
        <w:pStyle w:val="27"/>
        <w:tabs>
          <w:tab w:val="left" w:pos="1353"/>
        </w:tabs>
        <w:snapToGrid w:val="0"/>
        <w:spacing w:line="360" w:lineRule="auto"/>
        <w:ind w:left="360" w:right="-512" w:rightChars="-244"/>
        <w:jc w:val="both"/>
        <w:rPr>
          <w:rFonts w:hint="eastAsia" w:ascii="宋体" w:hAnsi="宋体" w:eastAsia="宋体" w:cs="宋体"/>
          <w:color w:val="auto"/>
          <w:spacing w:val="6"/>
          <w:sz w:val="21"/>
          <w:szCs w:val="21"/>
        </w:rPr>
      </w:pPr>
    </w:p>
    <w:p w14:paraId="1630D505">
      <w:pPr>
        <w:pStyle w:val="27"/>
        <w:tabs>
          <w:tab w:val="left" w:pos="1353"/>
        </w:tabs>
        <w:snapToGrid w:val="0"/>
        <w:spacing w:line="360" w:lineRule="auto"/>
        <w:ind w:left="1800" w:right="-512" w:rightChars="-244" w:hanging="1800"/>
        <w:jc w:val="both"/>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w:t>
      </w:r>
      <w:r>
        <w:rPr>
          <w:rFonts w:hint="eastAsia" w:ascii="宋体" w:hAnsi="宋体" w:eastAsia="宋体" w:cs="宋体"/>
          <w:color w:val="auto"/>
          <w:spacing w:val="6"/>
          <w:sz w:val="21"/>
          <w:szCs w:val="21"/>
          <w:lang w:eastAsia="zh-CN"/>
        </w:rPr>
        <w:t>场地使用费</w:t>
      </w:r>
      <w:r>
        <w:rPr>
          <w:rFonts w:hint="eastAsia" w:ascii="宋体" w:hAnsi="宋体" w:eastAsia="宋体" w:cs="宋体"/>
          <w:color w:val="auto"/>
          <w:spacing w:val="6"/>
          <w:sz w:val="21"/>
          <w:szCs w:val="21"/>
        </w:rPr>
        <w:t>标准</w:t>
      </w:r>
    </w:p>
    <w:p w14:paraId="14C52EFF">
      <w:pPr>
        <w:pStyle w:val="27"/>
        <w:tabs>
          <w:tab w:val="left" w:pos="1440"/>
        </w:tabs>
        <w:snapToGrid w:val="0"/>
        <w:spacing w:line="360" w:lineRule="auto"/>
        <w:ind w:right="-512" w:rightChars="-244" w:firstLine="444" w:firstLineChars="200"/>
        <w:jc w:val="both"/>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月提成使用费=月营业额总额×相应月份的提成比例。</w:t>
      </w:r>
    </w:p>
    <w:p w14:paraId="15515D43">
      <w:pPr>
        <w:pStyle w:val="27"/>
        <w:tabs>
          <w:tab w:val="left" w:pos="1440"/>
        </w:tabs>
        <w:snapToGrid w:val="0"/>
        <w:spacing w:line="360" w:lineRule="auto"/>
        <w:ind w:right="-512" w:rightChars="-244" w:firstLine="444" w:firstLineChars="200"/>
        <w:jc w:val="both"/>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rPr>
        <w:t>自【</w:t>
      </w:r>
      <w:r>
        <w:rPr>
          <w:rFonts w:hint="eastAsia" w:ascii="宋体" w:hAnsi="宋体" w:eastAsia="宋体" w:cs="宋体"/>
          <w:color w:val="auto"/>
          <w:spacing w:val="6"/>
          <w:sz w:val="21"/>
          <w:szCs w:val="21"/>
          <w:lang w:val="en-US" w:eastAsia="zh-CN"/>
        </w:rPr>
        <w:t>/</w:t>
      </w:r>
      <w:r>
        <w:rPr>
          <w:rFonts w:hint="eastAsia" w:ascii="宋体" w:hAnsi="宋体" w:eastAsia="宋体" w:cs="宋体"/>
          <w:color w:val="auto"/>
          <w:spacing w:val="6"/>
          <w:sz w:val="21"/>
          <w:szCs w:val="21"/>
        </w:rPr>
        <w:t>】年【</w:t>
      </w:r>
      <w:r>
        <w:rPr>
          <w:rFonts w:hint="eastAsia" w:ascii="宋体" w:hAnsi="宋体" w:eastAsia="宋体" w:cs="宋体"/>
          <w:color w:val="auto"/>
          <w:spacing w:val="6"/>
          <w:sz w:val="21"/>
          <w:szCs w:val="21"/>
          <w:lang w:val="en-US" w:eastAsia="zh-CN"/>
        </w:rPr>
        <w:t>/</w:t>
      </w:r>
      <w:r>
        <w:rPr>
          <w:rFonts w:hint="eastAsia" w:ascii="宋体" w:hAnsi="宋体" w:eastAsia="宋体" w:cs="宋体"/>
          <w:color w:val="auto"/>
          <w:spacing w:val="6"/>
          <w:sz w:val="21"/>
          <w:szCs w:val="21"/>
        </w:rPr>
        <w:t>】月【</w:t>
      </w:r>
      <w:r>
        <w:rPr>
          <w:rFonts w:hint="eastAsia" w:ascii="宋体" w:hAnsi="宋体" w:eastAsia="宋体" w:cs="宋体"/>
          <w:color w:val="auto"/>
          <w:spacing w:val="6"/>
          <w:sz w:val="21"/>
          <w:szCs w:val="21"/>
          <w:lang w:val="en-US" w:eastAsia="zh-CN"/>
        </w:rPr>
        <w:t>/</w:t>
      </w:r>
      <w:r>
        <w:rPr>
          <w:rFonts w:hint="eastAsia" w:ascii="宋体" w:hAnsi="宋体" w:eastAsia="宋体" w:cs="宋体"/>
          <w:color w:val="auto"/>
          <w:spacing w:val="6"/>
          <w:sz w:val="21"/>
          <w:szCs w:val="21"/>
        </w:rPr>
        <w:t>】日起至【</w:t>
      </w:r>
      <w:r>
        <w:rPr>
          <w:rFonts w:hint="eastAsia" w:ascii="宋体" w:hAnsi="宋体" w:eastAsia="宋体" w:cs="宋体"/>
          <w:color w:val="auto"/>
          <w:spacing w:val="6"/>
          <w:sz w:val="21"/>
          <w:szCs w:val="21"/>
          <w:lang w:val="en-US" w:eastAsia="zh-CN"/>
        </w:rPr>
        <w:t>/</w:t>
      </w:r>
      <w:r>
        <w:rPr>
          <w:rFonts w:hint="eastAsia" w:ascii="宋体" w:hAnsi="宋体" w:eastAsia="宋体" w:cs="宋体"/>
          <w:color w:val="auto"/>
          <w:spacing w:val="6"/>
          <w:sz w:val="21"/>
          <w:szCs w:val="21"/>
        </w:rPr>
        <w:t>】年【</w:t>
      </w:r>
      <w:r>
        <w:rPr>
          <w:rFonts w:hint="eastAsia" w:ascii="宋体" w:hAnsi="宋体" w:eastAsia="宋体" w:cs="宋体"/>
          <w:color w:val="auto"/>
          <w:spacing w:val="6"/>
          <w:sz w:val="21"/>
          <w:szCs w:val="21"/>
          <w:lang w:val="en-US" w:eastAsia="zh-CN"/>
        </w:rPr>
        <w:t>/</w:t>
      </w:r>
      <w:r>
        <w:rPr>
          <w:rFonts w:hint="eastAsia" w:ascii="宋体" w:hAnsi="宋体" w:eastAsia="宋体" w:cs="宋体"/>
          <w:color w:val="auto"/>
          <w:spacing w:val="6"/>
          <w:sz w:val="21"/>
          <w:szCs w:val="21"/>
        </w:rPr>
        <w:t>】月【</w:t>
      </w:r>
      <w:r>
        <w:rPr>
          <w:rFonts w:hint="eastAsia" w:ascii="宋体" w:hAnsi="宋体" w:eastAsia="宋体" w:cs="宋体"/>
          <w:color w:val="auto"/>
          <w:spacing w:val="6"/>
          <w:sz w:val="21"/>
          <w:szCs w:val="21"/>
          <w:lang w:val="en-US" w:eastAsia="zh-CN"/>
        </w:rPr>
        <w:t>/</w:t>
      </w:r>
      <w:r>
        <w:rPr>
          <w:rFonts w:hint="eastAsia" w:ascii="宋体" w:hAnsi="宋体" w:eastAsia="宋体" w:cs="宋体"/>
          <w:color w:val="auto"/>
          <w:spacing w:val="6"/>
          <w:sz w:val="21"/>
          <w:szCs w:val="21"/>
        </w:rPr>
        <w:t>】日，提成比例为营业额的【</w:t>
      </w:r>
      <w:r>
        <w:rPr>
          <w:rFonts w:hint="eastAsia" w:ascii="宋体" w:hAnsi="宋体" w:eastAsia="宋体" w:cs="宋体"/>
          <w:color w:val="auto"/>
          <w:spacing w:val="6"/>
          <w:sz w:val="21"/>
          <w:szCs w:val="21"/>
          <w:lang w:val="en-US" w:eastAsia="zh-CN"/>
        </w:rPr>
        <w:t>/</w:t>
      </w:r>
      <w:r>
        <w:rPr>
          <w:rFonts w:hint="eastAsia" w:ascii="宋体" w:hAnsi="宋体" w:eastAsia="宋体" w:cs="宋体"/>
          <w:color w:val="auto"/>
          <w:spacing w:val="6"/>
          <w:sz w:val="21"/>
          <w:szCs w:val="21"/>
        </w:rPr>
        <w:t>】%</w:t>
      </w:r>
      <w:r>
        <w:rPr>
          <w:rFonts w:hint="eastAsia" w:ascii="宋体" w:hAnsi="宋体" w:eastAsia="宋体" w:cs="宋体"/>
          <w:color w:val="auto"/>
          <w:spacing w:val="6"/>
          <w:sz w:val="21"/>
          <w:szCs w:val="21"/>
          <w:lang w:eastAsia="zh-CN"/>
        </w:rPr>
        <w:t>。</w:t>
      </w:r>
    </w:p>
    <w:p w14:paraId="77814BE4">
      <w:pPr>
        <w:pStyle w:val="27"/>
        <w:tabs>
          <w:tab w:val="left" w:pos="1440"/>
        </w:tabs>
        <w:snapToGrid w:val="0"/>
        <w:spacing w:line="360" w:lineRule="auto"/>
        <w:ind w:right="-512" w:rightChars="-244" w:firstLine="444" w:firstLineChars="200"/>
        <w:jc w:val="both"/>
        <w:rPr>
          <w:rFonts w:hint="eastAsia" w:ascii="宋体" w:hAnsi="宋体" w:eastAsia="宋体" w:cs="宋体"/>
          <w:color w:val="auto"/>
          <w:spacing w:val="6"/>
          <w:sz w:val="21"/>
          <w:szCs w:val="21"/>
          <w:lang w:eastAsia="zh-CN"/>
        </w:rPr>
      </w:pPr>
    </w:p>
    <w:p w14:paraId="12D48D94">
      <w:pPr>
        <w:pStyle w:val="27"/>
        <w:numPr>
          <w:ilvl w:val="0"/>
          <w:numId w:val="25"/>
        </w:numPr>
        <w:tabs>
          <w:tab w:val="left" w:pos="1440"/>
        </w:tabs>
        <w:snapToGrid w:val="0"/>
        <w:spacing w:line="360" w:lineRule="auto"/>
        <w:ind w:right="-512" w:rightChars="-244"/>
        <w:jc w:val="both"/>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提成使用费结算</w:t>
      </w:r>
    </w:p>
    <w:p w14:paraId="692E1163">
      <w:pPr>
        <w:pStyle w:val="27"/>
        <w:snapToGrid w:val="0"/>
        <w:spacing w:line="360" w:lineRule="auto"/>
        <w:ind w:right="-512" w:rightChars="-244" w:firstLine="444" w:firstLineChars="200"/>
        <w:jc w:val="both"/>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rPr>
        <w:t>提成使用费按【</w:t>
      </w:r>
      <w:r>
        <w:rPr>
          <w:rFonts w:hint="eastAsia" w:ascii="宋体" w:hAnsi="宋体" w:eastAsia="宋体" w:cs="宋体"/>
          <w:color w:val="auto"/>
          <w:spacing w:val="6"/>
          <w:sz w:val="21"/>
          <w:szCs w:val="21"/>
          <w:lang w:val="en-US" w:eastAsia="zh-CN"/>
        </w:rPr>
        <w:t>/</w:t>
      </w:r>
      <w:r>
        <w:rPr>
          <w:rFonts w:hint="eastAsia" w:ascii="宋体" w:hAnsi="宋体" w:eastAsia="宋体" w:cs="宋体"/>
          <w:color w:val="auto"/>
          <w:spacing w:val="6"/>
          <w:sz w:val="21"/>
          <w:szCs w:val="21"/>
        </w:rPr>
        <w:t>】个月为一个期结算一</w:t>
      </w:r>
      <w:r>
        <w:rPr>
          <w:rFonts w:hint="eastAsia" w:ascii="宋体" w:hAnsi="宋体" w:eastAsia="宋体" w:cs="宋体"/>
          <w:color w:val="auto"/>
          <w:spacing w:val="6"/>
          <w:sz w:val="21"/>
          <w:szCs w:val="21"/>
          <w:lang w:eastAsia="zh-CN"/>
        </w:rPr>
        <w:t>次，乙方每个付款周期的第【</w:t>
      </w:r>
      <w:r>
        <w:rPr>
          <w:rFonts w:hint="eastAsia" w:ascii="宋体" w:hAnsi="宋体" w:eastAsia="宋体" w:cs="宋体"/>
          <w:color w:val="auto"/>
          <w:spacing w:val="6"/>
          <w:sz w:val="21"/>
          <w:szCs w:val="21"/>
          <w:lang w:val="en-US" w:eastAsia="zh-CN"/>
        </w:rPr>
        <w:t>/</w:t>
      </w:r>
      <w:r>
        <w:rPr>
          <w:rFonts w:hint="eastAsia" w:ascii="宋体" w:hAnsi="宋体" w:eastAsia="宋体" w:cs="宋体"/>
          <w:color w:val="auto"/>
          <w:spacing w:val="6"/>
          <w:sz w:val="21"/>
          <w:szCs w:val="21"/>
          <w:lang w:eastAsia="zh-CN"/>
        </w:rPr>
        <w:t>】日前须依据上述营业额提成计算方式支付上个付款周期的营业额提成。</w:t>
      </w:r>
    </w:p>
    <w:p w14:paraId="2BA1876B">
      <w:pPr>
        <w:pStyle w:val="27"/>
        <w:tabs>
          <w:tab w:val="left" w:pos="1353"/>
        </w:tabs>
        <w:snapToGrid w:val="0"/>
        <w:spacing w:line="360" w:lineRule="auto"/>
        <w:ind w:right="-512" w:rightChars="-244"/>
        <w:jc w:val="both"/>
        <w:rPr>
          <w:rFonts w:hint="eastAsia" w:ascii="宋体" w:hAnsi="宋体" w:eastAsia="宋体" w:cs="宋体"/>
          <w:color w:val="auto"/>
          <w:spacing w:val="6"/>
          <w:sz w:val="21"/>
          <w:szCs w:val="21"/>
          <w:highlight w:val="none"/>
        </w:rPr>
      </w:pPr>
    </w:p>
    <w:p w14:paraId="7C72C0A7">
      <w:pPr>
        <w:pStyle w:val="27"/>
        <w:tabs>
          <w:tab w:val="left" w:pos="1353"/>
        </w:tabs>
        <w:snapToGrid w:val="0"/>
        <w:spacing w:line="360" w:lineRule="auto"/>
        <w:ind w:left="1800" w:right="-512" w:rightChars="-244" w:hanging="1800"/>
        <w:jc w:val="both"/>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eastAsia="zh-CN"/>
        </w:rPr>
        <w:t>3、</w:t>
      </w:r>
      <w:r>
        <w:rPr>
          <w:rFonts w:hint="eastAsia" w:ascii="宋体" w:hAnsi="宋体" w:eastAsia="宋体" w:cs="宋体"/>
          <w:color w:val="auto"/>
          <w:spacing w:val="6"/>
          <w:sz w:val="21"/>
          <w:szCs w:val="21"/>
          <w:highlight w:val="none"/>
          <w:lang w:val="en-US" w:eastAsia="zh-CN"/>
        </w:rPr>
        <w:t>场地</w:t>
      </w:r>
      <w:r>
        <w:rPr>
          <w:rFonts w:hint="eastAsia" w:ascii="宋体" w:hAnsi="宋体" w:eastAsia="宋体" w:cs="宋体"/>
          <w:color w:val="auto"/>
          <w:spacing w:val="6"/>
          <w:sz w:val="21"/>
          <w:szCs w:val="21"/>
          <w:highlight w:val="none"/>
          <w:lang w:eastAsia="zh-CN"/>
        </w:rPr>
        <w:t>管理费</w:t>
      </w:r>
      <w:r>
        <w:rPr>
          <w:rFonts w:hint="eastAsia" w:ascii="宋体" w:hAnsi="宋体" w:eastAsia="宋体" w:cs="宋体"/>
          <w:color w:val="auto"/>
          <w:spacing w:val="6"/>
          <w:sz w:val="21"/>
          <w:szCs w:val="21"/>
          <w:highlight w:val="none"/>
        </w:rPr>
        <w:t>标准</w:t>
      </w:r>
    </w:p>
    <w:p w14:paraId="2BC79EE0">
      <w:pPr>
        <w:tabs>
          <w:tab w:val="left" w:pos="840"/>
          <w:tab w:val="left" w:pos="1791"/>
        </w:tabs>
        <w:adjustRightInd w:val="0"/>
        <w:snapToGrid w:val="0"/>
        <w:spacing w:line="360" w:lineRule="auto"/>
        <w:ind w:right="-512" w:rightChars="-244"/>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（1）【202</w:t>
      </w:r>
      <w:r>
        <w:rPr>
          <w:rFonts w:hint="eastAsia" w:ascii="宋体" w:hAnsi="宋体" w:eastAsia="宋体" w:cs="宋体"/>
          <w:color w:val="auto"/>
          <w:spacing w:val="6"/>
          <w:sz w:val="21"/>
          <w:szCs w:val="21"/>
          <w:highlight w:val="none"/>
          <w:lang w:val="en-US" w:eastAsia="zh-CN"/>
        </w:rPr>
        <w:t>6</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】日起至【202</w:t>
      </w:r>
      <w:r>
        <w:rPr>
          <w:rFonts w:hint="eastAsia" w:ascii="宋体" w:hAnsi="宋体" w:eastAsia="宋体" w:cs="宋体"/>
          <w:color w:val="auto"/>
          <w:spacing w:val="6"/>
          <w:sz w:val="21"/>
          <w:szCs w:val="21"/>
          <w:highlight w:val="none"/>
          <w:lang w:val="en-US" w:eastAsia="zh-CN"/>
        </w:rPr>
        <w:t>8</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】日期间，每月每平方米为人民币【15.00】元，每月人民币【】元；</w:t>
      </w:r>
    </w:p>
    <w:p w14:paraId="137F9134">
      <w:pPr>
        <w:tabs>
          <w:tab w:val="left" w:pos="840"/>
          <w:tab w:val="left" w:pos="1791"/>
        </w:tabs>
        <w:adjustRightInd w:val="0"/>
        <w:snapToGrid w:val="0"/>
        <w:spacing w:line="360" w:lineRule="auto"/>
        <w:ind w:right="-512" w:rightChars="-244"/>
        <w:rPr>
          <w:rFonts w:hint="eastAsia" w:ascii="宋体" w:hAnsi="宋体" w:eastAsia="宋体" w:cs="宋体"/>
          <w:spacing w:val="6"/>
          <w:sz w:val="21"/>
          <w:szCs w:val="21"/>
        </w:rPr>
      </w:pPr>
    </w:p>
    <w:p w14:paraId="50848877">
      <w:pPr>
        <w:pStyle w:val="27"/>
        <w:tabs>
          <w:tab w:val="left" w:pos="1440"/>
        </w:tabs>
        <w:snapToGrid w:val="0"/>
        <w:spacing w:line="360" w:lineRule="auto"/>
        <w:ind w:right="-512" w:rightChars="-244"/>
        <w:rPr>
          <w:rFonts w:hint="eastAsia" w:ascii="宋体" w:hAnsi="宋体" w:eastAsia="宋体" w:cs="宋体"/>
          <w:spacing w:val="6"/>
          <w:sz w:val="21"/>
          <w:szCs w:val="21"/>
        </w:rPr>
      </w:pPr>
      <w:r>
        <w:rPr>
          <w:rFonts w:hint="eastAsia" w:ascii="宋体" w:hAnsi="宋体" w:eastAsia="宋体" w:cs="宋体"/>
          <w:color w:val="000000"/>
          <w:spacing w:val="6"/>
          <w:sz w:val="21"/>
          <w:szCs w:val="21"/>
        </w:rPr>
        <w:t>（2）</w:t>
      </w:r>
      <w:r>
        <w:rPr>
          <w:rFonts w:hint="eastAsia" w:ascii="宋体" w:hAnsi="宋体" w:eastAsia="宋体" w:cs="宋体"/>
          <w:color w:val="000000"/>
          <w:spacing w:val="6"/>
          <w:kern w:val="2"/>
          <w:sz w:val="21"/>
          <w:szCs w:val="21"/>
          <w:lang w:eastAsia="zh-CN"/>
        </w:rPr>
        <w:t>场地管理费</w:t>
      </w:r>
      <w:r>
        <w:rPr>
          <w:rFonts w:hint="eastAsia" w:ascii="宋体" w:hAnsi="宋体" w:eastAsia="宋体" w:cs="宋体"/>
          <w:color w:val="000000"/>
          <w:spacing w:val="6"/>
          <w:kern w:val="2"/>
          <w:sz w:val="21"/>
          <w:szCs w:val="21"/>
        </w:rPr>
        <w:t>支付</w:t>
      </w:r>
    </w:p>
    <w:p w14:paraId="18DBBA28">
      <w:pPr>
        <w:adjustRightInd w:val="0"/>
        <w:snapToGrid w:val="0"/>
        <w:spacing w:line="360" w:lineRule="auto"/>
        <w:ind w:right="-512" w:rightChars="-244"/>
        <w:rPr>
          <w:rFonts w:hint="eastAsia" w:ascii="宋体" w:hAnsi="宋体" w:eastAsia="宋体" w:cs="宋体"/>
          <w:b/>
          <w:spacing w:val="6"/>
          <w:sz w:val="21"/>
          <w:szCs w:val="21"/>
          <w:lang w:val="en-US" w:eastAsia="zh-CN"/>
        </w:rPr>
      </w:pPr>
      <w:r>
        <w:rPr>
          <w:rFonts w:hint="eastAsia" w:ascii="宋体" w:hAnsi="宋体" w:eastAsia="宋体" w:cs="宋体"/>
          <w:color w:val="000000"/>
          <w:spacing w:val="6"/>
          <w:sz w:val="21"/>
          <w:szCs w:val="21"/>
        </w:rPr>
        <w:t>支付时间和方式：</w:t>
      </w:r>
      <w:r>
        <w:rPr>
          <w:rFonts w:hint="eastAsia" w:ascii="宋体" w:hAnsi="宋体" w:eastAsia="宋体" w:cs="宋体"/>
          <w:spacing w:val="6"/>
          <w:sz w:val="21"/>
          <w:szCs w:val="21"/>
        </w:rPr>
        <w:t>管理费采用先付后用的原则，按自然季度支付。乙方应于</w:t>
      </w:r>
      <w:r>
        <w:rPr>
          <w:rFonts w:hint="eastAsia" w:ascii="宋体" w:hAnsi="宋体" w:eastAsia="宋体" w:cs="宋体"/>
          <w:spacing w:val="6"/>
          <w:kern w:val="0"/>
          <w:sz w:val="21"/>
          <w:szCs w:val="21"/>
          <w:lang w:val="en-US" w:eastAsia="zh-TW" w:bidi="ar-SA"/>
        </w:rPr>
        <w:t>合同签订后</w:t>
      </w:r>
      <w:r>
        <w:rPr>
          <w:rFonts w:hint="eastAsia" w:ascii="宋体" w:hAnsi="宋体" w:eastAsia="宋体" w:cs="宋体"/>
          <w:spacing w:val="6"/>
          <w:kern w:val="0"/>
          <w:sz w:val="21"/>
          <w:szCs w:val="21"/>
          <w:lang w:val="en-US" w:eastAsia="zh-CN" w:bidi="ar-SA"/>
        </w:rPr>
        <w:t>10</w:t>
      </w:r>
      <w:r>
        <w:rPr>
          <w:rFonts w:hint="eastAsia" w:ascii="宋体" w:hAnsi="宋体" w:eastAsia="宋体" w:cs="宋体"/>
          <w:spacing w:val="6"/>
          <w:kern w:val="0"/>
          <w:sz w:val="21"/>
          <w:szCs w:val="21"/>
          <w:lang w:val="en-US" w:eastAsia="zh-TW" w:bidi="ar-SA"/>
        </w:rPr>
        <w:t>日</w:t>
      </w:r>
      <w:r>
        <w:rPr>
          <w:rFonts w:hint="eastAsia" w:ascii="宋体" w:hAnsi="宋体" w:eastAsia="宋体" w:cs="宋体"/>
          <w:spacing w:val="6"/>
          <w:kern w:val="0"/>
          <w:sz w:val="21"/>
          <w:szCs w:val="21"/>
          <w:lang w:val="en-US" w:eastAsia="zh-CN" w:bidi="ar-SA"/>
        </w:rPr>
        <w:t>内</w:t>
      </w:r>
      <w:r>
        <w:rPr>
          <w:rFonts w:hint="eastAsia" w:ascii="宋体" w:hAnsi="宋体" w:eastAsia="宋体" w:cs="宋体"/>
          <w:spacing w:val="6"/>
          <w:kern w:val="0"/>
          <w:sz w:val="21"/>
          <w:szCs w:val="21"/>
          <w:lang w:val="en-US" w:eastAsia="zh-TW" w:bidi="ar-SA"/>
        </w:rPr>
        <w:t>前向甲方支付首期场地管</w:t>
      </w:r>
      <w:r>
        <w:rPr>
          <w:rFonts w:hint="eastAsia" w:ascii="宋体" w:hAnsi="宋体" w:eastAsia="宋体" w:cs="宋体"/>
          <w:spacing w:val="6"/>
          <w:sz w:val="21"/>
          <w:szCs w:val="21"/>
        </w:rPr>
        <w:t>理费（即自</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000000"/>
          <w:spacing w:val="6"/>
          <w:sz w:val="21"/>
          <w:szCs w:val="21"/>
        </w:rPr>
        <w:t>日起至</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000000"/>
          <w:spacing w:val="6"/>
          <w:sz w:val="21"/>
          <w:szCs w:val="21"/>
        </w:rPr>
        <w:t>日的场地管理费</w:t>
      </w:r>
      <w:r>
        <w:rPr>
          <w:rFonts w:hint="eastAsia" w:ascii="宋体" w:hAnsi="宋体" w:eastAsia="宋体" w:cs="宋体"/>
          <w:spacing w:val="6"/>
          <w:sz w:val="21"/>
          <w:szCs w:val="21"/>
        </w:rPr>
        <w:t>）计人民币【</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】元，第二期场地管理费（</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spacing w:val="6"/>
          <w:sz w:val="21"/>
          <w:szCs w:val="21"/>
        </w:rPr>
        <w:t>日起至</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spacing w:val="6"/>
          <w:sz w:val="21"/>
          <w:szCs w:val="21"/>
        </w:rPr>
        <w:t>日）计人民币【</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】元应于</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spacing w:val="6"/>
          <w:sz w:val="21"/>
          <w:szCs w:val="21"/>
        </w:rPr>
        <w:t>日前支付，以后各期场地管理费每期提前支付一次，具体</w:t>
      </w:r>
      <w:r>
        <w:rPr>
          <w:rFonts w:hint="eastAsia" w:ascii="宋体" w:hAnsi="宋体" w:eastAsia="宋体" w:cs="宋体"/>
          <w:spacing w:val="6"/>
          <w:sz w:val="21"/>
          <w:szCs w:val="21"/>
          <w:lang w:val="en-US" w:eastAsia="zh-CN"/>
        </w:rPr>
        <w:t>与租金支付时间一致。</w:t>
      </w:r>
    </w:p>
    <w:p w14:paraId="7C760901">
      <w:pPr>
        <w:pStyle w:val="27"/>
        <w:snapToGrid w:val="0"/>
        <w:spacing w:line="360" w:lineRule="auto"/>
        <w:ind w:right="-512" w:rightChars="-244"/>
        <w:jc w:val="both"/>
        <w:rPr>
          <w:rFonts w:hint="eastAsia" w:ascii="宋体" w:hAnsi="宋体" w:eastAsia="宋体" w:cs="宋体"/>
          <w:b/>
          <w:color w:val="000000"/>
          <w:spacing w:val="6"/>
          <w:sz w:val="21"/>
          <w:szCs w:val="21"/>
          <w:lang w:eastAsia="zh-CN"/>
        </w:rPr>
      </w:pPr>
    </w:p>
    <w:p w14:paraId="0D9D091C">
      <w:pPr>
        <w:pStyle w:val="27"/>
        <w:snapToGrid w:val="0"/>
        <w:spacing w:line="360" w:lineRule="auto"/>
        <w:ind w:right="-512" w:rightChars="-244"/>
        <w:jc w:val="both"/>
        <w:rPr>
          <w:rFonts w:hint="eastAsia" w:ascii="宋体" w:hAnsi="宋体" w:eastAsia="宋体" w:cs="宋体"/>
          <w:b/>
          <w:color w:val="000000"/>
          <w:spacing w:val="6"/>
          <w:sz w:val="21"/>
          <w:szCs w:val="21"/>
          <w:lang w:eastAsia="zh-CN"/>
        </w:rPr>
      </w:pPr>
    </w:p>
    <w:p w14:paraId="1BFE3511">
      <w:pPr>
        <w:adjustRightInd w:val="0"/>
        <w:snapToGrid w:val="0"/>
        <w:spacing w:line="360" w:lineRule="auto"/>
        <w:ind w:right="-512" w:rightChars="-244"/>
        <w:rPr>
          <w:rFonts w:hint="eastAsia" w:ascii="宋体" w:hAnsi="宋体" w:eastAsia="宋体" w:cs="宋体"/>
          <w:b/>
          <w:color w:val="000000"/>
          <w:spacing w:val="6"/>
          <w:sz w:val="21"/>
          <w:szCs w:val="21"/>
        </w:rPr>
      </w:pPr>
      <w:r>
        <w:rPr>
          <w:rFonts w:hint="eastAsia" w:ascii="宋体" w:hAnsi="宋体" w:eastAsia="宋体" w:cs="宋体"/>
          <w:b/>
          <w:color w:val="000000"/>
          <w:spacing w:val="6"/>
          <w:kern w:val="0"/>
          <w:sz w:val="21"/>
          <w:szCs w:val="21"/>
        </w:rPr>
        <w:t>第三部分</w:t>
      </w:r>
    </w:p>
    <w:p w14:paraId="6C53A87A">
      <w:pPr>
        <w:tabs>
          <w:tab w:val="left" w:pos="1800"/>
        </w:tabs>
        <w:adjustRightInd w:val="0"/>
        <w:snapToGrid w:val="0"/>
        <w:spacing w:line="360" w:lineRule="auto"/>
        <w:ind w:right="-512" w:rightChars="-244"/>
        <w:rPr>
          <w:rFonts w:hint="eastAsia" w:ascii="宋体" w:hAnsi="宋体" w:eastAsia="宋体" w:cs="宋体"/>
          <w:color w:val="000000"/>
          <w:spacing w:val="6"/>
          <w:kern w:val="0"/>
          <w:sz w:val="21"/>
          <w:szCs w:val="21"/>
        </w:rPr>
      </w:pPr>
    </w:p>
    <w:p w14:paraId="192B4377">
      <w:pPr>
        <w:tabs>
          <w:tab w:val="left" w:pos="1800"/>
        </w:tabs>
        <w:adjustRightInd w:val="0"/>
        <w:snapToGrid w:val="0"/>
        <w:spacing w:line="360" w:lineRule="auto"/>
        <w:ind w:right="-512" w:rightChars="-244"/>
        <w:rPr>
          <w:rFonts w:hint="eastAsia" w:ascii="宋体" w:hAnsi="宋体" w:eastAsia="宋体" w:cs="宋体"/>
          <w:color w:val="auto"/>
          <w:spacing w:val="6"/>
          <w:sz w:val="21"/>
          <w:szCs w:val="21"/>
          <w:highlight w:val="none"/>
        </w:rPr>
      </w:pPr>
      <w:r>
        <w:rPr>
          <w:rFonts w:hint="eastAsia" w:ascii="宋体" w:hAnsi="宋体" w:eastAsia="宋体" w:cs="宋体"/>
          <w:color w:val="auto"/>
          <w:spacing w:val="6"/>
          <w:kern w:val="0"/>
          <w:sz w:val="21"/>
          <w:szCs w:val="21"/>
          <w:highlight w:val="none"/>
        </w:rPr>
        <w:t>装修押金：人民币【</w:t>
      </w:r>
      <w:r>
        <w:rPr>
          <w:rFonts w:hint="eastAsia" w:ascii="宋体" w:hAnsi="宋体" w:eastAsia="宋体" w:cs="宋体"/>
          <w:color w:val="auto"/>
          <w:spacing w:val="6"/>
          <w:kern w:val="0"/>
          <w:sz w:val="21"/>
          <w:szCs w:val="21"/>
          <w:highlight w:val="none"/>
          <w:lang w:val="en-US" w:eastAsia="zh-CN"/>
        </w:rPr>
        <w:t>/</w:t>
      </w:r>
      <w:r>
        <w:rPr>
          <w:rFonts w:hint="eastAsia" w:ascii="宋体" w:hAnsi="宋体" w:eastAsia="宋体" w:cs="宋体"/>
          <w:color w:val="auto"/>
          <w:spacing w:val="6"/>
          <w:kern w:val="0"/>
          <w:sz w:val="21"/>
          <w:szCs w:val="21"/>
          <w:highlight w:val="none"/>
        </w:rPr>
        <w:t>】元</w:t>
      </w:r>
    </w:p>
    <w:p w14:paraId="1A557D71">
      <w:pPr>
        <w:tabs>
          <w:tab w:val="left" w:pos="1440"/>
        </w:tabs>
        <w:adjustRightInd w:val="0"/>
        <w:snapToGrid w:val="0"/>
        <w:spacing w:line="360" w:lineRule="auto"/>
        <w:ind w:left="1920" w:right="-512" w:rightChars="-244" w:hanging="192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kern w:val="0"/>
          <w:sz w:val="21"/>
          <w:szCs w:val="21"/>
          <w:highlight w:val="none"/>
        </w:rPr>
        <w:t>装修管理费：人民币【</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6"/>
          <w:kern w:val="0"/>
          <w:sz w:val="21"/>
          <w:szCs w:val="21"/>
          <w:highlight w:val="none"/>
        </w:rPr>
        <w:t>】元</w:t>
      </w:r>
    </w:p>
    <w:p w14:paraId="012EB7B2">
      <w:pPr>
        <w:tabs>
          <w:tab w:val="left" w:pos="1440"/>
        </w:tabs>
        <w:adjustRightInd w:val="0"/>
        <w:snapToGrid w:val="0"/>
        <w:spacing w:line="360" w:lineRule="auto"/>
        <w:ind w:left="1920" w:right="-512" w:rightChars="-244" w:hanging="1920"/>
        <w:rPr>
          <w:rFonts w:hint="eastAsia" w:ascii="宋体" w:hAnsi="宋体" w:eastAsia="宋体" w:cs="宋体"/>
          <w:color w:val="auto"/>
          <w:spacing w:val="6"/>
          <w:sz w:val="21"/>
          <w:szCs w:val="21"/>
          <w:highlight w:val="none"/>
        </w:rPr>
      </w:pPr>
    </w:p>
    <w:p w14:paraId="4477BB7B">
      <w:pPr>
        <w:tabs>
          <w:tab w:val="left" w:pos="1731"/>
        </w:tabs>
        <w:adjustRightInd w:val="0"/>
        <w:snapToGrid w:val="0"/>
        <w:spacing w:line="360" w:lineRule="auto"/>
        <w:ind w:left="1828" w:right="-512" w:rightChars="-244" w:hanging="1749" w:hangingChars="785"/>
        <w:rPr>
          <w:rFonts w:hint="eastAsia" w:ascii="宋体" w:hAnsi="宋体" w:eastAsia="宋体" w:cs="宋体"/>
          <w:b/>
          <w:color w:val="auto"/>
          <w:spacing w:val="6"/>
          <w:kern w:val="0"/>
          <w:sz w:val="21"/>
          <w:szCs w:val="21"/>
          <w:highlight w:val="none"/>
        </w:rPr>
      </w:pPr>
      <w:r>
        <w:rPr>
          <w:rFonts w:hint="eastAsia" w:ascii="宋体" w:hAnsi="宋体" w:eastAsia="宋体" w:cs="宋体"/>
          <w:b/>
          <w:color w:val="auto"/>
          <w:spacing w:val="6"/>
          <w:kern w:val="0"/>
          <w:sz w:val="21"/>
          <w:szCs w:val="21"/>
          <w:highlight w:val="none"/>
        </w:rPr>
        <w:t>支付时间：乙方应在</w:t>
      </w:r>
      <w:r>
        <w:rPr>
          <w:rFonts w:hint="eastAsia" w:ascii="宋体" w:hAnsi="宋体" w:eastAsia="宋体" w:cs="宋体"/>
          <w:b/>
          <w:color w:val="auto"/>
          <w:kern w:val="0"/>
          <w:sz w:val="21"/>
          <w:szCs w:val="21"/>
          <w:highlight w:val="none"/>
        </w:rPr>
        <w:t>本合同签署后【10】个工作日内</w:t>
      </w:r>
      <w:r>
        <w:rPr>
          <w:rFonts w:hint="eastAsia" w:ascii="宋体" w:hAnsi="宋体" w:eastAsia="宋体" w:cs="宋体"/>
          <w:b/>
          <w:color w:val="auto"/>
          <w:spacing w:val="6"/>
          <w:kern w:val="0"/>
          <w:sz w:val="21"/>
          <w:szCs w:val="21"/>
          <w:highlight w:val="none"/>
        </w:rPr>
        <w:t>支付。</w:t>
      </w:r>
    </w:p>
    <w:p w14:paraId="51D6E69B">
      <w:pPr>
        <w:pStyle w:val="27"/>
        <w:snapToGrid w:val="0"/>
        <w:spacing w:line="360" w:lineRule="auto"/>
        <w:ind w:left="1800" w:right="-512" w:rightChars="-244" w:hanging="1800"/>
        <w:jc w:val="both"/>
        <w:rPr>
          <w:rFonts w:hint="eastAsia" w:ascii="宋体" w:hAnsi="宋体" w:eastAsia="宋体" w:cs="宋体"/>
          <w:b/>
          <w:color w:val="auto"/>
          <w:spacing w:val="6"/>
          <w:sz w:val="21"/>
          <w:szCs w:val="21"/>
          <w:highlight w:val="none"/>
          <w:lang w:eastAsia="zh-CN"/>
        </w:rPr>
      </w:pPr>
    </w:p>
    <w:p w14:paraId="09C91ADF">
      <w:pPr>
        <w:pStyle w:val="27"/>
        <w:snapToGrid w:val="0"/>
        <w:spacing w:line="360" w:lineRule="auto"/>
        <w:ind w:left="1800" w:right="-512" w:rightChars="-244" w:hanging="1800"/>
        <w:jc w:val="both"/>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第</w:t>
      </w:r>
      <w:r>
        <w:rPr>
          <w:rFonts w:hint="eastAsia" w:ascii="宋体" w:hAnsi="宋体" w:eastAsia="宋体" w:cs="宋体"/>
          <w:b/>
          <w:color w:val="auto"/>
          <w:spacing w:val="6"/>
          <w:sz w:val="21"/>
          <w:szCs w:val="21"/>
          <w:highlight w:val="none"/>
          <w:lang w:eastAsia="zh-CN"/>
        </w:rPr>
        <w:t>四</w:t>
      </w:r>
      <w:r>
        <w:rPr>
          <w:rFonts w:hint="eastAsia" w:ascii="宋体" w:hAnsi="宋体" w:eastAsia="宋体" w:cs="宋体"/>
          <w:b/>
          <w:color w:val="auto"/>
          <w:spacing w:val="6"/>
          <w:sz w:val="21"/>
          <w:szCs w:val="21"/>
          <w:highlight w:val="none"/>
        </w:rPr>
        <w:t>部分</w:t>
      </w:r>
    </w:p>
    <w:p w14:paraId="6330FEDC">
      <w:pPr>
        <w:pStyle w:val="27"/>
        <w:snapToGrid w:val="0"/>
        <w:spacing w:line="360" w:lineRule="auto"/>
        <w:ind w:left="1800" w:right="-512" w:rightChars="-244" w:hanging="1800"/>
        <w:jc w:val="both"/>
        <w:rPr>
          <w:rFonts w:hint="eastAsia" w:ascii="宋体" w:hAnsi="宋体" w:eastAsia="宋体" w:cs="宋体"/>
          <w:color w:val="auto"/>
          <w:spacing w:val="6"/>
          <w:sz w:val="21"/>
          <w:szCs w:val="21"/>
          <w:highlight w:val="none"/>
        </w:rPr>
      </w:pPr>
    </w:p>
    <w:p w14:paraId="5EE3E5D4">
      <w:pPr>
        <w:tabs>
          <w:tab w:val="left" w:pos="1731"/>
        </w:tabs>
        <w:adjustRightInd w:val="0"/>
        <w:snapToGrid w:val="0"/>
        <w:spacing w:line="360" w:lineRule="auto"/>
        <w:ind w:right="-512" w:rightChars="-244"/>
        <w:rPr>
          <w:rFonts w:hint="eastAsia" w:ascii="宋体" w:hAnsi="宋体" w:eastAsia="宋体" w:cs="宋体"/>
          <w:color w:val="auto"/>
          <w:spacing w:val="6"/>
          <w:kern w:val="0"/>
          <w:sz w:val="21"/>
          <w:szCs w:val="21"/>
          <w:highlight w:val="none"/>
        </w:rPr>
      </w:pPr>
      <w:r>
        <w:rPr>
          <w:rFonts w:hint="eastAsia" w:ascii="宋体" w:hAnsi="宋体" w:eastAsia="宋体" w:cs="宋体"/>
          <w:color w:val="auto"/>
          <w:spacing w:val="6"/>
          <w:kern w:val="0"/>
          <w:sz w:val="21"/>
          <w:szCs w:val="21"/>
          <w:highlight w:val="none"/>
        </w:rPr>
        <w:t>能源费：从交付之日起计算。在使用期内该单元所发生的水、电、燃气、通讯、设备、及空调供应（如有）等相关费用由乙方按照管理公司出具的账单支付。因使用公用设施所引起的一切费用均由乙方承担。</w:t>
      </w:r>
    </w:p>
    <w:p w14:paraId="029F1F3A">
      <w:pPr>
        <w:tabs>
          <w:tab w:val="left" w:pos="1731"/>
        </w:tabs>
        <w:adjustRightInd w:val="0"/>
        <w:snapToGrid w:val="0"/>
        <w:spacing w:line="360" w:lineRule="auto"/>
        <w:ind w:right="-512" w:rightChars="-244"/>
        <w:rPr>
          <w:rFonts w:hint="eastAsia" w:ascii="宋体" w:hAnsi="宋体" w:eastAsia="宋体" w:cs="宋体"/>
          <w:b/>
          <w:bCs/>
          <w:color w:val="auto"/>
          <w:spacing w:val="6"/>
          <w:kern w:val="0"/>
          <w:sz w:val="21"/>
          <w:szCs w:val="21"/>
          <w:highlight w:val="none"/>
        </w:rPr>
      </w:pPr>
    </w:p>
    <w:p w14:paraId="4FA782BF">
      <w:pPr>
        <w:tabs>
          <w:tab w:val="left" w:pos="1800"/>
        </w:tabs>
        <w:adjustRightInd w:val="0"/>
        <w:snapToGrid w:val="0"/>
        <w:spacing w:line="360" w:lineRule="auto"/>
        <w:ind w:right="-512" w:rightChars="-244"/>
        <w:rPr>
          <w:rFonts w:hint="eastAsia" w:ascii="宋体" w:hAnsi="宋体" w:eastAsia="宋体" w:cs="宋体"/>
          <w:b/>
          <w:color w:val="auto"/>
          <w:spacing w:val="6"/>
          <w:kern w:val="0"/>
          <w:sz w:val="21"/>
          <w:szCs w:val="21"/>
          <w:highlight w:val="none"/>
          <w:lang w:bidi="zh-CN"/>
        </w:rPr>
      </w:pPr>
      <w:r>
        <w:rPr>
          <w:rFonts w:hint="eastAsia" w:ascii="宋体" w:hAnsi="宋体" w:eastAsia="宋体" w:cs="宋体"/>
          <w:b/>
          <w:color w:val="auto"/>
          <w:spacing w:val="6"/>
          <w:kern w:val="0"/>
          <w:sz w:val="21"/>
          <w:szCs w:val="21"/>
          <w:highlight w:val="none"/>
          <w:lang w:bidi="zh-CN"/>
        </w:rPr>
        <w:t>水费：3.5元/吨，电费：依照政府职能部门收费标准+10%电损耗。</w:t>
      </w:r>
    </w:p>
    <w:p w14:paraId="72A4E9D8">
      <w:pPr>
        <w:tabs>
          <w:tab w:val="left" w:pos="1731"/>
        </w:tabs>
        <w:adjustRightInd w:val="0"/>
        <w:snapToGrid w:val="0"/>
        <w:spacing w:line="360" w:lineRule="auto"/>
        <w:ind w:left="1821" w:right="-512" w:rightChars="-244" w:hanging="1742" w:hangingChars="785"/>
        <w:rPr>
          <w:rFonts w:hint="eastAsia" w:ascii="宋体" w:hAnsi="宋体" w:eastAsia="宋体" w:cs="宋体"/>
          <w:color w:val="auto"/>
          <w:spacing w:val="6"/>
          <w:kern w:val="0"/>
          <w:sz w:val="21"/>
          <w:szCs w:val="21"/>
          <w:highlight w:val="none"/>
        </w:rPr>
      </w:pPr>
    </w:p>
    <w:p w14:paraId="1706DA97">
      <w:pPr>
        <w:tabs>
          <w:tab w:val="left" w:pos="1800"/>
        </w:tabs>
        <w:adjustRightInd w:val="0"/>
        <w:snapToGrid w:val="0"/>
        <w:spacing w:line="360" w:lineRule="auto"/>
        <w:ind w:right="-512" w:rightChars="-244"/>
        <w:rPr>
          <w:rFonts w:hint="eastAsia" w:ascii="宋体" w:hAnsi="宋体" w:eastAsia="宋体" w:cs="宋体"/>
          <w:color w:val="000000"/>
          <w:spacing w:val="6"/>
          <w:sz w:val="21"/>
          <w:szCs w:val="21"/>
        </w:rPr>
      </w:pPr>
      <w:r>
        <w:rPr>
          <w:rFonts w:hint="eastAsia" w:ascii="宋体" w:hAnsi="宋体" w:eastAsia="宋体" w:cs="宋体"/>
          <w:b/>
          <w:color w:val="000000"/>
          <w:spacing w:val="6"/>
          <w:kern w:val="0"/>
          <w:sz w:val="21"/>
          <w:szCs w:val="21"/>
        </w:rPr>
        <w:t>支付时间和方式：乙方应于每月【15】日或之前按照管理公司通知账单支付上月水费和电费。</w:t>
      </w:r>
    </w:p>
    <w:p w14:paraId="1CFAEB2D">
      <w:pPr>
        <w:pStyle w:val="27"/>
        <w:snapToGrid w:val="0"/>
        <w:spacing w:line="360" w:lineRule="auto"/>
        <w:ind w:right="-512" w:rightChars="-244"/>
        <w:jc w:val="both"/>
        <w:rPr>
          <w:rFonts w:hint="eastAsia" w:ascii="宋体" w:hAnsi="宋体" w:eastAsia="宋体" w:cs="宋体"/>
          <w:color w:val="000000"/>
          <w:spacing w:val="6"/>
          <w:sz w:val="21"/>
          <w:szCs w:val="21"/>
        </w:rPr>
      </w:pPr>
    </w:p>
    <w:p w14:paraId="4A9BBD5D">
      <w:pPr>
        <w:adjustRightInd w:val="0"/>
        <w:snapToGrid w:val="0"/>
        <w:spacing w:line="360" w:lineRule="auto"/>
        <w:ind w:right="-512" w:rightChars="-244"/>
        <w:rPr>
          <w:rFonts w:hint="eastAsia" w:ascii="宋体" w:hAnsi="宋体" w:eastAsia="宋体" w:cs="宋体"/>
          <w:b/>
          <w:color w:val="000000"/>
          <w:spacing w:val="6"/>
          <w:kern w:val="0"/>
          <w:sz w:val="21"/>
          <w:szCs w:val="21"/>
        </w:rPr>
      </w:pPr>
      <w:r>
        <w:rPr>
          <w:rFonts w:hint="eastAsia" w:ascii="宋体" w:hAnsi="宋体" w:eastAsia="宋体" w:cs="宋体"/>
          <w:b/>
          <w:color w:val="000000"/>
          <w:spacing w:val="6"/>
          <w:kern w:val="0"/>
          <w:sz w:val="21"/>
          <w:szCs w:val="21"/>
        </w:rPr>
        <w:t>第五部分</w:t>
      </w:r>
    </w:p>
    <w:p w14:paraId="7A023853">
      <w:pPr>
        <w:adjustRightInd w:val="0"/>
        <w:snapToGrid w:val="0"/>
        <w:spacing w:line="360" w:lineRule="auto"/>
        <w:ind w:right="-512" w:rightChars="-244"/>
        <w:rPr>
          <w:rFonts w:hint="eastAsia" w:ascii="宋体" w:hAnsi="宋体" w:eastAsia="宋体" w:cs="宋体"/>
          <w:b/>
          <w:color w:val="000000"/>
          <w:spacing w:val="6"/>
          <w:kern w:val="0"/>
          <w:sz w:val="21"/>
          <w:szCs w:val="21"/>
        </w:rPr>
      </w:pPr>
    </w:p>
    <w:p w14:paraId="3E0CC90D">
      <w:pPr>
        <w:pStyle w:val="27"/>
        <w:snapToGrid w:val="0"/>
        <w:spacing w:line="360" w:lineRule="auto"/>
        <w:ind w:right="-512" w:rightChars="-244"/>
        <w:jc w:val="both"/>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支付币种：</w:t>
      </w:r>
      <w:r>
        <w:rPr>
          <w:rFonts w:hint="eastAsia" w:ascii="宋体" w:hAnsi="宋体" w:eastAsia="宋体" w:cs="宋体"/>
          <w:color w:val="000000"/>
          <w:spacing w:val="6"/>
          <w:sz w:val="21"/>
          <w:szCs w:val="21"/>
        </w:rPr>
        <w:tab/>
      </w:r>
      <w:r>
        <w:rPr>
          <w:rFonts w:hint="eastAsia" w:ascii="宋体" w:hAnsi="宋体" w:eastAsia="宋体" w:cs="宋体"/>
          <w:color w:val="000000"/>
          <w:spacing w:val="6"/>
          <w:sz w:val="21"/>
          <w:szCs w:val="21"/>
          <w:lang w:eastAsia="zh-CN"/>
        </w:rPr>
        <w:t>使用费</w:t>
      </w:r>
      <w:r>
        <w:rPr>
          <w:rFonts w:hint="eastAsia" w:ascii="宋体" w:hAnsi="宋体" w:eastAsia="宋体" w:cs="宋体"/>
          <w:color w:val="000000"/>
          <w:spacing w:val="6"/>
          <w:sz w:val="21"/>
          <w:szCs w:val="21"/>
        </w:rPr>
        <w:t>及本合同项下的其它价款、费用以人民币支付。</w:t>
      </w:r>
    </w:p>
    <w:p w14:paraId="607EA1FD">
      <w:pPr>
        <w:pStyle w:val="27"/>
        <w:snapToGrid w:val="0"/>
        <w:spacing w:line="360" w:lineRule="auto"/>
        <w:ind w:left="1800" w:right="-512" w:rightChars="-244" w:hanging="1800"/>
        <w:jc w:val="both"/>
        <w:rPr>
          <w:rFonts w:hint="eastAsia" w:ascii="宋体" w:hAnsi="宋体" w:eastAsia="宋体" w:cs="宋体"/>
          <w:color w:val="000000"/>
          <w:spacing w:val="6"/>
          <w:sz w:val="21"/>
          <w:szCs w:val="21"/>
        </w:rPr>
      </w:pPr>
    </w:p>
    <w:p w14:paraId="68C0F81D">
      <w:pPr>
        <w:pStyle w:val="28"/>
        <w:snapToGrid w:val="0"/>
        <w:spacing w:before="0" w:beforeAutospacing="0" w:after="0" w:afterAutospacing="0" w:line="360" w:lineRule="auto"/>
        <w:ind w:left="1800" w:right="-512" w:rightChars="-244" w:hanging="1800"/>
        <w:jc w:val="both"/>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支付账户：</w:t>
      </w:r>
      <w:r>
        <w:rPr>
          <w:rFonts w:hint="eastAsia" w:ascii="宋体" w:hAnsi="宋体" w:eastAsia="宋体" w:cs="宋体"/>
          <w:color w:val="000000"/>
          <w:spacing w:val="6"/>
          <w:sz w:val="21"/>
          <w:szCs w:val="21"/>
        </w:rPr>
        <w:tab/>
      </w:r>
      <w:r>
        <w:rPr>
          <w:rFonts w:hint="eastAsia" w:ascii="宋体" w:hAnsi="宋体" w:eastAsia="宋体" w:cs="宋体"/>
          <w:color w:val="000000"/>
          <w:spacing w:val="6"/>
          <w:sz w:val="21"/>
          <w:szCs w:val="21"/>
        </w:rPr>
        <w:t>乙方应该将场地使用费、场地管理费、保证金、装修押金、装修管理费、能源费支付到甲方开立的以下账户：</w:t>
      </w:r>
    </w:p>
    <w:p w14:paraId="04EE0EE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776" w:firstLineChars="800"/>
        <w:jc w:val="left"/>
        <w:textAlignment w:val="auto"/>
        <w:rPr>
          <w:rFonts w:hint="eastAsia" w:ascii="宋体" w:hAnsi="宋体" w:eastAsia="宋体" w:cs="宋体"/>
          <w:color w:val="000000"/>
          <w:spacing w:val="6"/>
          <w:kern w:val="0"/>
          <w:sz w:val="21"/>
          <w:szCs w:val="21"/>
          <w:lang w:val="en-US" w:eastAsia="zh-CN" w:bidi="ar-SA"/>
        </w:rPr>
      </w:pPr>
      <w:r>
        <w:rPr>
          <w:rFonts w:hint="eastAsia" w:ascii="宋体" w:hAnsi="宋体" w:eastAsia="宋体" w:cs="宋体"/>
          <w:color w:val="000000"/>
          <w:spacing w:val="6"/>
          <w:kern w:val="0"/>
          <w:sz w:val="21"/>
          <w:szCs w:val="21"/>
          <w:lang w:val="en-US" w:eastAsia="zh-CN" w:bidi="ar-SA"/>
        </w:rPr>
        <w:t>户名：南通轨道资源开发有限公司</w:t>
      </w:r>
    </w:p>
    <w:p w14:paraId="67030AE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776" w:firstLineChars="800"/>
        <w:jc w:val="left"/>
        <w:textAlignment w:val="auto"/>
        <w:rPr>
          <w:rFonts w:hint="eastAsia" w:ascii="宋体" w:hAnsi="宋体" w:eastAsia="宋体" w:cs="宋体"/>
          <w:color w:val="000000"/>
          <w:spacing w:val="6"/>
          <w:kern w:val="0"/>
          <w:sz w:val="21"/>
          <w:szCs w:val="21"/>
          <w:lang w:val="en-US" w:eastAsia="zh-CN" w:bidi="ar-SA"/>
        </w:rPr>
      </w:pPr>
      <w:r>
        <w:rPr>
          <w:rFonts w:hint="eastAsia" w:ascii="宋体" w:hAnsi="宋体" w:eastAsia="宋体" w:cs="宋体"/>
          <w:color w:val="000000"/>
          <w:spacing w:val="6"/>
          <w:kern w:val="0"/>
          <w:sz w:val="21"/>
          <w:szCs w:val="21"/>
          <w:lang w:val="en-US" w:eastAsia="zh-CN" w:bidi="ar-SA"/>
        </w:rPr>
        <w:t>账号：326008602011000291381</w:t>
      </w:r>
    </w:p>
    <w:p w14:paraId="373919B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776" w:firstLineChars="800"/>
        <w:jc w:val="left"/>
        <w:textAlignment w:val="auto"/>
        <w:rPr>
          <w:rFonts w:hint="eastAsia" w:ascii="宋体" w:hAnsi="宋体" w:eastAsia="宋体" w:cs="宋体"/>
          <w:color w:val="000000"/>
          <w:spacing w:val="6"/>
          <w:kern w:val="0"/>
          <w:sz w:val="21"/>
          <w:szCs w:val="21"/>
          <w:lang w:val="en-US" w:eastAsia="zh-CN" w:bidi="ar-SA"/>
        </w:rPr>
      </w:pPr>
      <w:r>
        <w:rPr>
          <w:rFonts w:hint="eastAsia" w:ascii="宋体" w:hAnsi="宋体" w:eastAsia="宋体" w:cs="宋体"/>
          <w:color w:val="000000"/>
          <w:spacing w:val="6"/>
          <w:kern w:val="0"/>
          <w:sz w:val="21"/>
          <w:szCs w:val="21"/>
          <w:lang w:val="en-US" w:eastAsia="zh-CN" w:bidi="ar-SA"/>
        </w:rPr>
        <w:t>开户银行：交通银行南通分行营业部</w:t>
      </w:r>
    </w:p>
    <w:p w14:paraId="0B47E37F">
      <w:pPr>
        <w:pStyle w:val="28"/>
        <w:snapToGrid w:val="0"/>
        <w:spacing w:before="0" w:beforeAutospacing="0" w:after="0" w:afterAutospacing="0" w:line="360" w:lineRule="auto"/>
        <w:ind w:left="1802" w:leftChars="858" w:right="-512" w:rightChars="-244"/>
        <w:rPr>
          <w:rFonts w:hint="eastAsia" w:ascii="宋体" w:hAnsi="宋体" w:eastAsia="宋体" w:cs="宋体"/>
          <w:color w:val="000000"/>
          <w:spacing w:val="6"/>
          <w:sz w:val="21"/>
          <w:szCs w:val="21"/>
        </w:rPr>
      </w:pPr>
    </w:p>
    <w:p w14:paraId="43EE728D">
      <w:pPr>
        <w:pStyle w:val="28"/>
        <w:snapToGrid w:val="0"/>
        <w:spacing w:before="0" w:beforeAutospacing="0" w:after="0" w:afterAutospacing="0" w:line="360" w:lineRule="auto"/>
        <w:ind w:left="1802" w:leftChars="858" w:right="-512" w:rightChars="-244"/>
        <w:rPr>
          <w:rFonts w:hint="eastAsia" w:ascii="宋体" w:hAnsi="宋体" w:eastAsia="宋体" w:cs="宋体"/>
          <w:b/>
          <w:color w:val="000000"/>
          <w:sz w:val="21"/>
          <w:szCs w:val="21"/>
        </w:rPr>
      </w:pPr>
      <w:r>
        <w:rPr>
          <w:rFonts w:hint="eastAsia" w:ascii="宋体" w:hAnsi="宋体" w:eastAsia="宋体" w:cs="宋体"/>
          <w:color w:val="000000"/>
          <w:spacing w:val="6"/>
          <w:sz w:val="21"/>
          <w:szCs w:val="21"/>
        </w:rPr>
        <w:t>使用期限内，甲方或管理公司有权根据实际需要即时更新上述账户信息，但应当提前书面通知乙方，乙方同意按照甲方或管理公司通知更新的账户进行付款。</w:t>
      </w:r>
    </w:p>
    <w:p w14:paraId="0BE7A353">
      <w:pPr>
        <w:pStyle w:val="28"/>
        <w:snapToGrid w:val="0"/>
        <w:spacing w:before="0" w:beforeAutospacing="0" w:after="0" w:afterAutospacing="0" w:line="360" w:lineRule="auto"/>
        <w:ind w:left="1800" w:hanging="1800"/>
        <w:rPr>
          <w:rFonts w:hint="eastAsia" w:ascii="宋体" w:hAnsi="宋体" w:eastAsia="宋体" w:cs="宋体"/>
          <w:b/>
          <w:color w:val="000000"/>
          <w:sz w:val="21"/>
          <w:szCs w:val="21"/>
        </w:rPr>
      </w:pPr>
      <w:r>
        <w:rPr>
          <w:rFonts w:hint="eastAsia" w:ascii="宋体" w:hAnsi="宋体" w:eastAsia="宋体" w:cs="宋体"/>
          <w:b/>
          <w:color w:val="000000"/>
          <w:sz w:val="21"/>
          <w:szCs w:val="21"/>
        </w:rPr>
        <w:br w:type="page"/>
      </w:r>
    </w:p>
    <w:p w14:paraId="1BA7E6F6">
      <w:pPr>
        <w:pStyle w:val="28"/>
        <w:snapToGrid w:val="0"/>
        <w:spacing w:before="0" w:beforeAutospacing="0" w:after="0" w:afterAutospacing="0" w:line="360" w:lineRule="auto"/>
        <w:ind w:left="1800" w:hanging="1800"/>
        <w:rPr>
          <w:rFonts w:hint="eastAsia" w:ascii="宋体" w:hAnsi="宋体" w:eastAsia="宋体" w:cs="宋体"/>
          <w:b/>
          <w:color w:val="000000"/>
          <w:sz w:val="21"/>
          <w:szCs w:val="21"/>
        </w:rPr>
      </w:pPr>
      <w:r>
        <w:rPr>
          <w:rFonts w:hint="eastAsia" w:ascii="宋体" w:hAnsi="宋体" w:eastAsia="宋体" w:cs="宋体"/>
          <w:b/>
          <w:color w:val="000000"/>
          <w:sz w:val="21"/>
          <w:szCs w:val="21"/>
        </w:rPr>
        <w:t>附件三、场地位置图及平面图</w:t>
      </w:r>
      <w:r>
        <w:rPr>
          <w:rFonts w:hint="eastAsia" w:ascii="宋体" w:hAnsi="宋体" w:eastAsia="宋体" w:cs="宋体"/>
          <w:sz w:val="21"/>
          <w:szCs w:val="21"/>
        </w:rPr>
        <mc:AlternateContent>
          <mc:Choice Requires="wps">
            <w:drawing>
              <wp:anchor distT="0" distB="0" distL="114300" distR="114300" simplePos="0" relativeHeight="251660288" behindDoc="0" locked="0" layoutInCell="1" allowOverlap="1">
                <wp:simplePos x="0" y="0"/>
                <wp:positionH relativeFrom="column">
                  <wp:posOffset>-5010150</wp:posOffset>
                </wp:positionH>
                <wp:positionV relativeFrom="paragraph">
                  <wp:posOffset>3861435</wp:posOffset>
                </wp:positionV>
                <wp:extent cx="1485900" cy="396240"/>
                <wp:effectExtent l="0" t="0" r="0" b="0"/>
                <wp:wrapNone/>
                <wp:docPr id="1" name="Text Box 2"/>
                <wp:cNvGraphicFramePr/>
                <a:graphic xmlns:a="http://schemas.openxmlformats.org/drawingml/2006/main">
                  <a:graphicData uri="http://schemas.microsoft.com/office/word/2010/wordprocessingShape">
                    <wps:wsp>
                      <wps:cNvSpPr txBox="1"/>
                      <wps:spPr bwMode="auto">
                        <a:xfrm>
                          <a:off x="0" y="0"/>
                          <a:ext cx="1485900" cy="396240"/>
                        </a:xfrm>
                        <a:prstGeom prst="rect">
                          <a:avLst/>
                        </a:prstGeom>
                        <a:noFill/>
                        <a:ln>
                          <a:noFill/>
                        </a:ln>
                      </wps:spPr>
                      <wps:txbx>
                        <w:txbxContent>
                          <w:p w14:paraId="65282AB5">
                            <w:pPr>
                              <w:rPr>
                                <w:b/>
                                <w:sz w:val="28"/>
                                <w:szCs w:val="28"/>
                              </w:rPr>
                            </w:pPr>
                            <w:r>
                              <w:rPr>
                                <w:rFonts w:hint="eastAsia"/>
                                <w:b/>
                                <w:sz w:val="28"/>
                                <w:szCs w:val="28"/>
                              </w:rPr>
                              <w:t>北区负二层</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394.5pt;margin-top:304.05pt;height:31.2pt;width:117pt;z-index:251660288;mso-width-relative:page;mso-height-relative:page;" filled="f" stroked="f" coordsize="21600,21600" o:gfxdata="UEsDBAoAAAAAAIdO4kAAAAAAAAAAAAAAAAAEAAAAZHJzL1BLAwQUAAAACACHTuJAx3cmI9kAAAAN&#10;AQAADwAAAGRycy9kb3ducmV2LnhtbE2PzU7DMBCE70i8g7VI3FI7CLdpiNMDiCuI8iNxc+NtEhGv&#10;o9htwtuznOC4s6OZb6rd4gdxxin2gQzkKwUCqQmup9bA2+tjVoCIyZKzQyA08I0RdvXlRWVLF2Z6&#10;wfM+tYJDKJbWQJfSWEoZmw69jaswIvHvGCZvE59TK91kZw73g7xRai297YkbOjvifYfN1/7kDbw/&#10;HT8/btVz++D1OIdFSfJbacz1Va7uQCRc0p8ZfvEZHWpmOoQTuSgGA9mm2PKYZGCtihwEWzKtNUsH&#10;ljZKg6wr+X9F/QNQSwMEFAAAAAgAh07iQHjnxlfsAQAA5AMAAA4AAABkcnMvZTJvRG9jLnhtbK1T&#10;wW7bMAy9D9g/CLovdry0a4w4xbagw4CtG9DuA2RZjgVYokYpsbOvHyW7WdZdethFoEjqke+R2tyO&#10;pmdHhV6DrfhykXOmrIRG233FfzzevbnhzAdhG9GDVRU/Kc9vt69fbQZXqgI66BuFjECsLwdX8S4E&#10;V2aZl50ywi/AKUvBFtCIQFfcZw2KgdBNnxV5fp0NgI1DkMp78u6mIJ8R8SWA0LZaqh3Ig1E2TKio&#10;ehGIku+083ybum1bJcO3tvUqsL7ixDSkk4qQXccz225EuUfhOi3nFsRLWnjGyQhtqegZaieCYAfU&#10;/0AZLRE8tGEhwWQTkaQIsVjmz7R56IRTiQtJ7d1ZdP//YOX98Tsy3dAmcGaFoYE/qjGwDzCyIqoz&#10;OF9S0oOjtDCSO2bOfh+d9fAVGnomDgGSBGOLJkpB5Bhlk9Kns9IRWkaI1c3VOqeQpNjb9XWxSqPI&#10;RPn02qEPnxQYFo2KI00yoYvjFx+oPqU+pcRiFu5036dp9vYvByVGTxaJxIYnSmGsx5lFDc2JeCBM&#10;y0Ffg4wO8BdnAy1Gxf3Pg0DFWf/ZkvLr5YqaZSFdVlfvCrrgZaS+jAgrCarigbPJ/Bim7Ts41PuO&#10;Ki0TLQvvSb9WJ2qx1amruW8afmI8L2rcrst7yvrzOb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d3JiPZAAAADQEAAA8AAAAAAAAAAQAgAAAAIgAAAGRycy9kb3ducmV2LnhtbFBLAQIUABQAAAAI&#10;AIdO4kB458ZX7AEAAOQDAAAOAAAAAAAAAAEAIAAAACgBAABkcnMvZTJvRG9jLnhtbFBLBQYAAAAA&#10;BgAGAFkBAACGBQAAAAA=&#10;">
                <v:fill on="f" focussize="0,0"/>
                <v:stroke on="f"/>
                <v:imagedata o:title=""/>
                <o:lock v:ext="edit" aspectratio="f"/>
                <v:textbox>
                  <w:txbxContent>
                    <w:p w14:paraId="65282AB5">
                      <w:pPr>
                        <w:rPr>
                          <w:b/>
                          <w:sz w:val="28"/>
                          <w:szCs w:val="28"/>
                        </w:rPr>
                      </w:pPr>
                      <w:r>
                        <w:rPr>
                          <w:rFonts w:hint="eastAsia"/>
                          <w:b/>
                          <w:sz w:val="28"/>
                          <w:szCs w:val="28"/>
                        </w:rPr>
                        <w:t>北区负二层</w:t>
                      </w: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61312" behindDoc="0" locked="0" layoutInCell="1" allowOverlap="1">
                <wp:simplePos x="0" y="0"/>
                <wp:positionH relativeFrom="column">
                  <wp:posOffset>-4095750</wp:posOffset>
                </wp:positionH>
                <wp:positionV relativeFrom="paragraph">
                  <wp:posOffset>1583055</wp:posOffset>
                </wp:positionV>
                <wp:extent cx="457200" cy="352425"/>
                <wp:effectExtent l="7620" t="7620" r="11430" b="11430"/>
                <wp:wrapNone/>
                <wp:docPr id="4" name="Rectangle 3" descr="宽上对角线"/>
                <wp:cNvGraphicFramePr/>
                <a:graphic xmlns:a="http://schemas.openxmlformats.org/drawingml/2006/main">
                  <a:graphicData uri="http://schemas.microsoft.com/office/word/2010/wordprocessingShape">
                    <wps:wsp>
                      <wps:cNvSpPr/>
                      <wps:spPr bwMode="auto">
                        <a:xfrm>
                          <a:off x="0" y="0"/>
                          <a:ext cx="457200" cy="352425"/>
                        </a:xfrm>
                        <a:prstGeom prst="rect">
                          <a:avLst/>
                        </a:prstGeom>
                        <a:blipFill dpi="0" rotWithShape="0">
                          <a:blip r:embed="rId15"/>
                          <a:srcRect/>
                          <a:tile tx="0" ty="0" sx="100000" sy="100000" flip="none" algn="tl"/>
                        </a:blipFill>
                        <a:ln w="15875">
                          <a:solidFill>
                            <a:srgbClr val="0070C0"/>
                          </a:solidFill>
                          <a:miter lim="800000"/>
                        </a:ln>
                      </wps:spPr>
                      <wps:bodyPr rot="0" vert="horz" wrap="square" lIns="91440" tIns="45720" rIns="91440" bIns="45720" anchor="t" anchorCtr="0" upright="1">
                        <a:noAutofit/>
                      </wps:bodyPr>
                    </wps:wsp>
                  </a:graphicData>
                </a:graphic>
              </wp:anchor>
            </w:drawing>
          </mc:Choice>
          <mc:Fallback>
            <w:pict>
              <v:rect id="Rectangle 3" o:spid="_x0000_s1026" o:spt="1" alt="宽上对角线" style="position:absolute;left:0pt;margin-left:-322.5pt;margin-top:124.65pt;height:27.75pt;width:36pt;z-index:251661312;mso-width-relative:page;mso-height-relative:page;" filled="t" stroked="t" coordsize="21600,21600" o:gfxdata="UEsDBAoAAAAAAIdO4kAAAAAAAAAAAAAAAAAEAAAAZHJzL1BLAwQUAAAACACHTuJAj5vKT90AAAAN&#10;AQAADwAAAGRycy9kb3ducmV2LnhtbE2PS0/DMBCE70j8B2uRuKV2mkdLiFOhAkKVuNAWcXXjJQn4&#10;Rew25d9jTnCcndHsN/XqrBU54egHazikMwYETWvlYDoO+91jsgTigzBSKGuQwzd6WDWXF7WopJ3M&#10;C562oSOxxPhKcOhDcBWlvu1RCz+zDk303u2oRYhy7KgcxRTLtaJzxkqqxWDih144XPfYfm6PmoN2&#10;z+nHpnh6dWqP64fpq7x/uys5v75K2S2QgOfwF4Zf/IgOTWQ62KORnigOSZkXcUzgMM9vMiAxkhSL&#10;LJ4OHDKWL4E2Nf2/ovkBUEsDBBQAAAAIAIdO4kB7RgKhgAIAAA8FAAAOAAAAZHJzL2Uyb0RvYy54&#10;bWytVM1u1DAQviPxDpbvNNntLi1RsxVqVVSJn4qCODuOk1hybGN7N1segSMvwQ2ugIR4GSp4DD47&#10;u6WUSw/NIZrx2J/n+2bGB4frXpGVcF4aXdLJTk6J0NzUUrclff3q5ME+JT4wXTNltCjphfD0cHH/&#10;3sFgCzE1nVG1cAQg2heDLWkXgi2yzPNO9MzvGCs0go1xPQtwXZvVjg1A71U2zfOH2WBcbZ3hwnus&#10;Ho9BukF0twE0TSO5ODZ82QsdRlQnFAug5DtpPV2kbJtG8PCiabwIRJUUTEP64xLYVfxniwNWtI7Z&#10;TvJNCuw2Kdzg1DOpcekV1DELjCyd/A+ql9wZb5qww02fjUSSImAxyW9oc94xKxIXSO3tlej+7mD5&#10;89WZI7Iu6YwSzXoU/CVEY7pVguxSUgvPIdflp+8/v7y//Pz198cPv779iLIN1hc4fW7P3MbzMEk1&#10;PDM1UNgymKTIunF9VAZcyToJf3ElvFgHwrE4m++hNSjhCO3Op7PpPN6QsWJ72DofngjTk2iU1CHF&#10;BM5WT30Yt263xLsqJe2JVIrUFiUAsDPhjQxdEjQubDfdbdcRV4i+EhDTndaTsbe841FQ5MiKICFq&#10;GEUISQXi4U3y+GHqsLS1GzAoqcYEUsJUi0kNaqPJllxEVJoMODTf35snTt4oWUfmMehdWx0pR1Ys&#10;Nn++lx+lfoes/2zrZcBAK9mXdH/MZBRUaZQgVjnWdax3ZeoL1BhqJlXxisDojHtHyYAZKql/u2QO&#10;KatTjSZ9NJnNwCskJ9UYlbgeqa5HmOaAAlEwTuZRGAd1aZ1sO9w0SRy1eYzeamSqe8xvzGqTLOYk&#10;dc5mpuMgXvfTrr/v2OIPUEsDBAoAAAAAAIdO4kAAAAAAAAAAAAAAAAAKAAAAZHJzL21lZGlhL1BL&#10;AwQUAAAACACHTuJA4vnnzKwAAACnAAAAFAAAAGRycy9tZWRpYS9pbWFnZTEucG5nAacAWP+JUE5H&#10;DQoaCgAAAA1JSERSAAAACAAAAAgIBgAAAMQPvosAAAABc1JHQgCuzhzpAAAACXBIWXMAAAsTAAAL&#10;EwEAmpwYAAAATElEQVQYGWNkKDjw/3+/PQM6YCw8CBZi/A8EuCRB4kz4JEEmoyiAGQvSBLMWrgCb&#10;JEghWAEuSZACRpAvQAwQgBkL4UFIuBXYJEEmAwDcuh1osif8iwAAAABJRU5ErkJgg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CqJg6+tgAAACEB&#10;AAAZAAAAZHJzL19yZWxzL2Uyb0RvYy54bWwucmVsc4WPQWrDMBBF94XcQcw+lp1FKMWyN6HgbUgO&#10;MEhjWcQaCUkt9e0jyCaBQJfzP/89ph///Cp+KWUXWEHXtCCIdTCOrYLr5Xv/CSIXZINrYFKwUYZx&#10;2H30Z1qx1FFeXMyiUjgrWEqJX1JmvZDH3IRIXJs5JI+lnsnKiPqGluShbY8yPTNgeGGKyShIk+lA&#10;XLZYzf+zwzw7TaegfzxxeaOQzld3BWKyVBR4Mg4fYddEtiCHXr48NtwBUEsDBBQAAAAIAIdO4kB5&#10;57oEBAEAABMCAAATAAAAW0NvbnRlbnRfVHlwZXNdLnhtbJWRwU7DMAyG70i8Q5QralN2QAit3YGO&#10;IyA0HiBK3DaicaI4lO3tSbpNgokh7Rjb3+8vyXK1tSObIJBxWPPbsuIMUDltsK/5++apuOeMokQt&#10;R4dQ8x0QXzXXV8vNzgOxRCPVfIjRPwhBagArqXQeMHU6F6yM6Rh64aX6kD2IRVXdCeUwAsYi5gze&#10;LFvo5OcY2XqbynsTjz1nj/u5vKrmxmY+18WfRICRThDp/WiUjOluYkJ94lUcnMpEzjM0GE83SfzM&#10;htz57fRzwYF7SY8ZjAb2KkN8ljaZCx1IaPeFAaby/5BsaalwXWcUlG2gNmFvMB2tzqXDwrVOXRq+&#10;nqljtpi/tPkGUEsBAhQAFAAAAAgAh07iQHnnugQEAQAAEwIAABMAAAAAAAAAAQAgAAAAEQcAAFtD&#10;b250ZW50X1R5cGVzXS54bWxQSwECFAAKAAAAAACHTuJAAAAAAAAAAAAAAAAABgAAAAAAAAAAABAA&#10;AADeBAAAX3JlbHMvUEsBAhQAFAAAAAgAh07iQIoUZjzRAAAAlAEAAAsAAAAAAAAAAQAgAAAAAgUA&#10;AF9yZWxzLy5yZWxzUEsBAhQACgAAAAAAh07iQAAAAAAAAAAAAAAAAAQAAAAAAAAAAAAQAAAAAAAA&#10;AGRycy9QSwECFAAKAAAAAACHTuJAAAAAAAAAAAAAAAAACgAAAAAAAAAAABAAAAD8BQAAZHJzL19y&#10;ZWxzL1BLAQIUABQAAAAIAIdO4kCqJg6+tgAAACEBAAAZAAAAAAAAAAEAIAAAACQGAABkcnMvX3Jl&#10;bHMvZTJvRG9jLnhtbC5yZWxzUEsBAhQAFAAAAAgAh07iQI+byk/dAAAADQEAAA8AAAAAAAAAAQAg&#10;AAAAIgAAAGRycy9kb3ducmV2LnhtbFBLAQIUABQAAAAIAIdO4kB7RgKhgAIAAA8FAAAOAAAAAAAA&#10;AAEAIAAAACwBAABkcnMvZTJvRG9jLnhtbFBLAQIUAAoAAAAAAIdO4kAAAAAAAAAAAAAAAAAKAAAA&#10;AAAAAAAAEAAAANgDAABkcnMvbWVkaWEvUEsBAhQAFAAAAAgAh07iQOL558ysAAAApwAAABQAAAAA&#10;AAAAAQAgAAAAAAQAAGRycy9tZWRpYS9pbWFnZTEucG5nUEsFBgAAAAAKAAoAUgIAAEYIAAAAAA==&#10;">
                <v:fill type="tile" on="t" o:title="宽上对角线" focussize="0,0" recolor="t" r:id="rId15"/>
                <v:stroke weight="1.25pt" color="#0070C0" miterlimit="8" joinstyle="miter"/>
                <v:imagedata o:title=""/>
                <o:lock v:ext="edit" aspectratio="f"/>
              </v:rect>
            </w:pict>
          </mc:Fallback>
        </mc:AlternateContent>
      </w:r>
    </w:p>
    <w:p w14:paraId="008D05CE">
      <w:pPr>
        <w:pStyle w:val="28"/>
        <w:snapToGrid w:val="0"/>
        <w:spacing w:before="0" w:beforeAutospacing="0" w:after="0" w:afterAutospacing="0" w:line="360" w:lineRule="auto"/>
        <w:ind w:left="1800" w:hanging="1800"/>
        <w:rPr>
          <w:rFonts w:hint="eastAsia" w:ascii="宋体" w:hAnsi="宋体" w:eastAsia="宋体" w:cs="宋体"/>
          <w:sz w:val="21"/>
          <w:szCs w:val="21"/>
        </w:rPr>
      </w:pPr>
      <w:r>
        <w:rPr>
          <w:rFonts w:hint="eastAsia" w:ascii="宋体" w:hAnsi="宋体" w:eastAsia="宋体" w:cs="宋体"/>
          <w:highlight w:val="none"/>
          <w:lang w:val="en-US" w:eastAsia="zh-CN"/>
        </w:rPr>
        <w:drawing>
          <wp:inline distT="0" distB="0" distL="114300" distR="114300">
            <wp:extent cx="5608955" cy="4204970"/>
            <wp:effectExtent l="0" t="0" r="1270" b="5080"/>
            <wp:docPr id="9" name="图片 9" descr="70f959aa35856f394a9761cdb066e9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0f959aa35856f394a9761cdb066e9eb"/>
                    <pic:cNvPicPr>
                      <a:picLocks noChangeAspect="1"/>
                    </pic:cNvPicPr>
                  </pic:nvPicPr>
                  <pic:blipFill>
                    <a:blip r:embed="rId14"/>
                    <a:stretch>
                      <a:fillRect/>
                    </a:stretch>
                  </pic:blipFill>
                  <pic:spPr>
                    <a:xfrm>
                      <a:off x="0" y="0"/>
                      <a:ext cx="5608955" cy="4204970"/>
                    </a:xfrm>
                    <a:prstGeom prst="rect">
                      <a:avLst/>
                    </a:prstGeom>
                  </pic:spPr>
                </pic:pic>
              </a:graphicData>
            </a:graphic>
          </wp:inline>
        </w:drawing>
      </w:r>
    </w:p>
    <w:p w14:paraId="37349CD7">
      <w:pPr>
        <w:pStyle w:val="28"/>
        <w:snapToGrid w:val="0"/>
        <w:spacing w:before="0" w:beforeAutospacing="0" w:after="0" w:afterAutospacing="0" w:line="360" w:lineRule="auto"/>
        <w:ind w:left="1800" w:hanging="1800"/>
        <w:rPr>
          <w:rFonts w:hint="eastAsia" w:ascii="宋体" w:hAnsi="宋体" w:eastAsia="宋体" w:cs="宋体"/>
          <w:sz w:val="21"/>
          <w:szCs w:val="21"/>
        </w:rPr>
      </w:pPr>
    </w:p>
    <w:p w14:paraId="527CF410">
      <w:pPr>
        <w:pStyle w:val="28"/>
        <w:snapToGrid w:val="0"/>
        <w:spacing w:before="0" w:beforeAutospacing="0" w:after="0" w:afterAutospacing="0" w:line="360" w:lineRule="auto"/>
        <w:rPr>
          <w:rFonts w:hint="eastAsia" w:ascii="宋体" w:hAnsi="宋体" w:eastAsia="宋体" w:cs="宋体"/>
          <w:b/>
          <w:color w:val="000000"/>
          <w:sz w:val="21"/>
          <w:szCs w:val="21"/>
        </w:rPr>
      </w:pPr>
    </w:p>
    <w:p w14:paraId="36F3CF96">
      <w:pPr>
        <w:pStyle w:val="28"/>
        <w:snapToGrid w:val="0"/>
        <w:spacing w:before="0" w:beforeAutospacing="0" w:after="0" w:afterAutospacing="0" w:line="360" w:lineRule="auto"/>
        <w:rPr>
          <w:rFonts w:hint="eastAsia" w:ascii="宋体" w:hAnsi="宋体" w:eastAsia="宋体" w:cs="宋体"/>
          <w:b/>
          <w:color w:val="000000"/>
          <w:sz w:val="21"/>
          <w:szCs w:val="21"/>
        </w:rPr>
      </w:pPr>
    </w:p>
    <w:p w14:paraId="48CA449C">
      <w:pPr>
        <w:pStyle w:val="28"/>
        <w:snapToGrid w:val="0"/>
        <w:spacing w:before="0" w:beforeAutospacing="0" w:after="0" w:afterAutospacing="0" w:line="360" w:lineRule="auto"/>
        <w:rPr>
          <w:rFonts w:hint="eastAsia" w:ascii="宋体" w:hAnsi="宋体" w:eastAsia="宋体" w:cs="宋体"/>
          <w:b/>
          <w:color w:val="000000"/>
          <w:sz w:val="21"/>
          <w:szCs w:val="21"/>
        </w:rPr>
      </w:pPr>
      <w:r>
        <w:rPr>
          <w:rFonts w:hint="eastAsia" w:ascii="宋体" w:hAnsi="宋体" w:eastAsia="宋体" w:cs="宋体"/>
          <w:sz w:val="21"/>
          <w:szCs w:val="21"/>
        </w:rPr>
        <mc:AlternateContent>
          <mc:Choice Requires="wps">
            <w:drawing>
              <wp:anchor distT="0" distB="0" distL="114300" distR="114300" simplePos="0" relativeHeight="251662336" behindDoc="0" locked="0" layoutInCell="1" allowOverlap="1">
                <wp:simplePos x="0" y="0"/>
                <wp:positionH relativeFrom="column">
                  <wp:posOffset>-3042285</wp:posOffset>
                </wp:positionH>
                <wp:positionV relativeFrom="paragraph">
                  <wp:posOffset>480060</wp:posOffset>
                </wp:positionV>
                <wp:extent cx="280670" cy="214630"/>
                <wp:effectExtent l="19050" t="19050" r="24130" b="23495"/>
                <wp:wrapNone/>
                <wp:docPr id="15" name="圆角矩形 15"/>
                <wp:cNvGraphicFramePr/>
                <a:graphic xmlns:a="http://schemas.openxmlformats.org/drawingml/2006/main">
                  <a:graphicData uri="http://schemas.microsoft.com/office/word/2010/wordprocessingShape">
                    <wps:wsp>
                      <wps:cNvSpPr/>
                      <wps:spPr>
                        <a:xfrm>
                          <a:off x="0" y="0"/>
                          <a:ext cx="280670" cy="214630"/>
                        </a:xfrm>
                        <a:prstGeom prst="roundRect">
                          <a:avLst/>
                        </a:prstGeom>
                        <a:ln w="38100">
                          <a:solidFill>
                            <a:srgbClr val="FF0000"/>
                          </a:solidFill>
                        </a:ln>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9.55pt;margin-top:37.8pt;height:16.9pt;width:22.1pt;z-index:251662336;v-text-anchor:middle;mso-width-relative:page;mso-height-relative:page;" filled="f" stroked="t" coordsize="21600,21600" arcsize="0.166666666666667" o:gfxdata="UEsDBAoAAAAAAIdO4kAAAAAAAAAAAAAAAAAEAAAAZHJzL1BLAwQUAAAACACHTuJAQ8sgd9oAAAAM&#10;AQAADwAAAGRycy9kb3ducmV2LnhtbE2PMU/DMBCFdyT+g3VIbKmdJrRNiNOhCLHSFgY2N3bjiPgc&#10;YqcN/55jgvH0Pr33XbWdXc8uZgydRwnpQgAz2HjdYSvh7ficbICFqFCr3qOR8G0CbOvbm0qV2l9x&#10;by6H2DIqwVAqCTbGoeQ8NNY4FRZ+MEjZ2Y9ORTrHlutRXanc9XwpxIo71SEtWDWYnTXN52FyEjQu&#10;z5vX7CV8fcw4Zbtj+rS371Le36XiEVg0c/yD4Vef1KEmp5OfUAfWS0jydZESK2H9sAJGRJJneQHs&#10;RKwocuB1xf8/Uf8AUEsDBBQAAAAIAIdO4kBaPEwXfAIAANcEAAAOAAAAZHJzL2Uyb0RvYy54bWyt&#10;VM1uEzEQviPxDpbvdJM0bUPUTRU1CkKqaEVBnB2vN2vJf9hONuUBeADOSEhcEA/B41TwGHz2bn8o&#10;HHogh82MZ/yN5/M3Pj7ZaUW2wgdpTUmHewNKhOG2kmZd0rdvls8mlITITMWUNaKkVyLQk9nTJ8et&#10;m4qRbayqhCcAMWHaupI2MbppUQTeCM3CnnXCIFhbr1mE69dF5VkLdK2K0WBwWLTWV85bLkLA6qIL&#10;0h7RPwbQ1rXkYmH5RgsTO1QvFItoKTTSBTrLp61rweN5XQcRiSopOo35iyKwV+lbzI7ZdO2ZayTv&#10;j8Aec4QHPWkmDYreQi1YZGTj5V9QWnJvg63jHre66BrJjKCL4eABN5cNcyL3AqqDuyU9/D9Y/mp7&#10;4YmsoIQDSgzTuPHrzx9/ffv088v36x9fCZbBUevCFKmX7sL3XoCZGt7VXqd/tEJ2mderW17FLhKO&#10;xdFkcHgExjlCo+H4cD/zXtxtdj7EF8JqkoySersx1WvcXaaUbc9CRFXk3+SlgsYupVL5/pQhbUn3&#10;J8NBKsIgyhpigKkdGgtmTQlTa6idR58hg1WyStsTUPDr1anyZMugkeVygF9qGeX+SEu1Fyw0XV4O&#10;derRMmIglNQlnaTNN7uVAUgirqMqWStbXYFubzsdBseXErBnLMQL5iE8nB+jGc/xqZVFU7a3KGms&#10;//Cv9ZQPPSBKSQsho+H3G+YFJeqlgVKeD8djwMbsjA+ORnD8/cjqfsRs9KkFD0M8Ao5nM+VHdWPW&#10;3up3mOB5qooQMxy1O2p75zR2A4Y3gIv5PKdB7Y7FM3PpeALvLnC+ibaW+W7v2OlJg97zHfSzmQbq&#10;vp+z7t6j2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DyyB32gAAAAwBAAAPAAAAAAAAAAEAIAAA&#10;ACIAAABkcnMvZG93bnJldi54bWxQSwECFAAUAAAACACHTuJAWjxMF3wCAADXBAAADgAAAAAAAAAB&#10;ACAAAAApAQAAZHJzL2Uyb0RvYy54bWxQSwUGAAAAAAYABgBZAQAAFwYAAAAA&#10;">
                <v:fill on="f" focussize="0,0"/>
                <v:stroke weight="3pt" color="#FF0000 [3204]" miterlimit="8" joinstyle="miter"/>
                <v:imagedata o:title=""/>
                <o:lock v:ext="edit" aspectratio="f"/>
              </v:roundrect>
            </w:pict>
          </mc:Fallback>
        </mc:AlternateContent>
      </w:r>
      <w:r>
        <w:rPr>
          <w:rFonts w:hint="eastAsia" w:ascii="宋体" w:hAnsi="宋体" w:eastAsia="宋体" w:cs="宋体"/>
          <w:b/>
          <w:color w:val="000000"/>
          <w:sz w:val="21"/>
          <w:szCs w:val="21"/>
        </w:rPr>
        <w:br w:type="page"/>
      </w:r>
      <w:r>
        <w:rPr>
          <w:rFonts w:hint="eastAsia" w:ascii="宋体" w:hAnsi="宋体" w:eastAsia="宋体" w:cs="宋体"/>
          <w:b/>
          <w:color w:val="000000"/>
          <w:sz w:val="21"/>
          <w:szCs w:val="21"/>
        </w:rPr>
        <w:t>附件四、场地交付标准</w:t>
      </w:r>
    </w:p>
    <w:p w14:paraId="5BB73ED2">
      <w:pPr>
        <w:spacing w:line="360" w:lineRule="auto"/>
        <w:ind w:left="630" w:leftChars="300" w:firstLine="105" w:firstLineChars="50"/>
        <w:rPr>
          <w:rFonts w:hint="eastAsia" w:ascii="宋体" w:hAnsi="宋体" w:eastAsia="宋体" w:cs="宋体"/>
          <w:bCs/>
          <w:color w:val="000000"/>
          <w:sz w:val="21"/>
          <w:szCs w:val="21"/>
        </w:rPr>
      </w:pPr>
      <w:r>
        <w:rPr>
          <w:rFonts w:hint="eastAsia" w:ascii="宋体" w:hAnsi="宋体" w:eastAsia="宋体" w:cs="宋体"/>
          <w:bCs/>
          <w:color w:val="000000"/>
          <w:sz w:val="21"/>
          <w:szCs w:val="21"/>
        </w:rPr>
        <w:t>（以现场实际交付状况为准，后附照片）</w:t>
      </w:r>
    </w:p>
    <w:p w14:paraId="62120256">
      <w:pPr>
        <w:spacing w:line="360" w:lineRule="auto"/>
        <w:ind w:left="630" w:leftChars="300" w:firstLine="105" w:firstLineChars="5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店铺设备清单</w:t>
      </w:r>
    </w:p>
    <w:p w14:paraId="7C775617">
      <w:pPr>
        <w:spacing w:line="360" w:lineRule="auto"/>
        <w:rPr>
          <w:rFonts w:hint="eastAsia" w:ascii="宋体" w:hAnsi="宋体" w:eastAsia="宋体" w:cs="宋体"/>
          <w:bCs/>
          <w:color w:val="000000"/>
          <w:sz w:val="21"/>
          <w:szCs w:val="21"/>
        </w:rPr>
      </w:pPr>
    </w:p>
    <w:tbl>
      <w:tblPr>
        <w:tblStyle w:val="13"/>
        <w:tblpPr w:leftFromText="180" w:rightFromText="180" w:vertAnchor="text" w:horzAnchor="margin" w:tblpY="751"/>
        <w:tblOverlap w:val="never"/>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659"/>
        <w:gridCol w:w="1248"/>
        <w:gridCol w:w="1248"/>
        <w:gridCol w:w="1249"/>
        <w:gridCol w:w="1249"/>
        <w:gridCol w:w="1249"/>
      </w:tblGrid>
      <w:tr w14:paraId="43F4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38" w:type="dxa"/>
            <w:tcBorders>
              <w:top w:val="single" w:color="auto" w:sz="12" w:space="0"/>
              <w:left w:val="single" w:color="auto" w:sz="12" w:space="0"/>
            </w:tcBorders>
            <w:noWrap/>
            <w:vAlign w:val="center"/>
          </w:tcPr>
          <w:p w14:paraId="757FE534">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59" w:type="dxa"/>
            <w:tcBorders>
              <w:top w:val="single" w:color="auto" w:sz="12" w:space="0"/>
            </w:tcBorders>
            <w:noWrap/>
            <w:vAlign w:val="center"/>
          </w:tcPr>
          <w:p w14:paraId="37DA82C1">
            <w:pPr>
              <w:jc w:val="center"/>
              <w:rPr>
                <w:rFonts w:hint="eastAsia" w:ascii="宋体" w:hAnsi="宋体" w:eastAsia="宋体" w:cs="宋体"/>
                <w:sz w:val="21"/>
                <w:szCs w:val="21"/>
              </w:rPr>
            </w:pPr>
            <w:r>
              <w:rPr>
                <w:rFonts w:hint="eastAsia" w:ascii="宋体" w:hAnsi="宋体" w:eastAsia="宋体" w:cs="宋体"/>
                <w:sz w:val="21"/>
                <w:szCs w:val="21"/>
              </w:rPr>
              <w:t>项目</w:t>
            </w:r>
          </w:p>
        </w:tc>
        <w:tc>
          <w:tcPr>
            <w:tcW w:w="1248" w:type="dxa"/>
            <w:tcBorders>
              <w:top w:val="single" w:color="auto" w:sz="12" w:space="0"/>
            </w:tcBorders>
            <w:noWrap/>
            <w:vAlign w:val="center"/>
          </w:tcPr>
          <w:p w14:paraId="6F2F69F3">
            <w:pPr>
              <w:jc w:val="center"/>
              <w:rPr>
                <w:rFonts w:hint="eastAsia" w:ascii="宋体" w:hAnsi="宋体" w:eastAsia="宋体" w:cs="宋体"/>
                <w:sz w:val="21"/>
                <w:szCs w:val="21"/>
              </w:rPr>
            </w:pPr>
            <w:r>
              <w:rPr>
                <w:rFonts w:hint="eastAsia" w:ascii="宋体" w:hAnsi="宋体" w:eastAsia="宋体" w:cs="宋体"/>
                <w:sz w:val="21"/>
                <w:szCs w:val="21"/>
              </w:rPr>
              <w:t>内容</w:t>
            </w:r>
          </w:p>
        </w:tc>
        <w:tc>
          <w:tcPr>
            <w:tcW w:w="1248" w:type="dxa"/>
            <w:tcBorders>
              <w:top w:val="single" w:color="auto" w:sz="12" w:space="0"/>
            </w:tcBorders>
            <w:noWrap/>
            <w:vAlign w:val="center"/>
          </w:tcPr>
          <w:p w14:paraId="0465AF0E">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1249" w:type="dxa"/>
            <w:tcBorders>
              <w:top w:val="single" w:color="auto" w:sz="12" w:space="0"/>
            </w:tcBorders>
            <w:noWrap/>
            <w:vAlign w:val="center"/>
          </w:tcPr>
          <w:p w14:paraId="085043A3">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1249" w:type="dxa"/>
            <w:tcBorders>
              <w:top w:val="single" w:color="auto" w:sz="12" w:space="0"/>
            </w:tcBorders>
            <w:noWrap/>
            <w:vAlign w:val="center"/>
          </w:tcPr>
          <w:p w14:paraId="46612F30">
            <w:pPr>
              <w:jc w:val="center"/>
              <w:rPr>
                <w:rFonts w:hint="eastAsia" w:ascii="宋体" w:hAnsi="宋体" w:eastAsia="宋体" w:cs="宋体"/>
                <w:sz w:val="21"/>
                <w:szCs w:val="21"/>
              </w:rPr>
            </w:pPr>
            <w:r>
              <w:rPr>
                <w:rFonts w:hint="eastAsia" w:ascii="宋体" w:hAnsi="宋体" w:eastAsia="宋体" w:cs="宋体"/>
                <w:sz w:val="21"/>
                <w:szCs w:val="21"/>
              </w:rPr>
              <w:t>型号</w:t>
            </w:r>
          </w:p>
        </w:tc>
        <w:tc>
          <w:tcPr>
            <w:tcW w:w="1249" w:type="dxa"/>
            <w:tcBorders>
              <w:top w:val="single" w:color="auto" w:sz="12" w:space="0"/>
              <w:right w:val="single" w:color="auto" w:sz="12" w:space="0"/>
            </w:tcBorders>
            <w:noWrap/>
            <w:vAlign w:val="center"/>
          </w:tcPr>
          <w:p w14:paraId="7B626FF1">
            <w:pPr>
              <w:jc w:val="center"/>
              <w:rPr>
                <w:rFonts w:hint="eastAsia" w:ascii="宋体" w:hAnsi="宋体" w:eastAsia="宋体" w:cs="宋体"/>
                <w:sz w:val="21"/>
                <w:szCs w:val="21"/>
              </w:rPr>
            </w:pPr>
            <w:r>
              <w:rPr>
                <w:rFonts w:hint="eastAsia" w:ascii="宋体" w:hAnsi="宋体" w:eastAsia="宋体" w:cs="宋体"/>
                <w:sz w:val="21"/>
                <w:szCs w:val="21"/>
              </w:rPr>
              <w:t>备注</w:t>
            </w:r>
          </w:p>
        </w:tc>
      </w:tr>
      <w:tr w14:paraId="512E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38" w:type="dxa"/>
            <w:tcBorders>
              <w:left w:val="single" w:color="auto" w:sz="12" w:space="0"/>
            </w:tcBorders>
            <w:noWrap/>
            <w:vAlign w:val="center"/>
          </w:tcPr>
          <w:p w14:paraId="4EC0DF5F">
            <w:pPr>
              <w:jc w:val="center"/>
              <w:rPr>
                <w:rFonts w:hint="eastAsia" w:ascii="宋体" w:hAnsi="宋体" w:eastAsia="宋体" w:cs="宋体"/>
                <w:sz w:val="21"/>
                <w:szCs w:val="21"/>
              </w:rPr>
            </w:pPr>
            <w:r>
              <w:rPr>
                <w:rFonts w:hint="eastAsia" w:ascii="宋体" w:hAnsi="宋体" w:eastAsia="宋体" w:cs="宋体"/>
                <w:sz w:val="21"/>
                <w:szCs w:val="21"/>
              </w:rPr>
              <w:t>1</w:t>
            </w:r>
          </w:p>
        </w:tc>
        <w:tc>
          <w:tcPr>
            <w:tcW w:w="1659" w:type="dxa"/>
            <w:noWrap/>
            <w:vAlign w:val="center"/>
          </w:tcPr>
          <w:p w14:paraId="21D333EA">
            <w:pPr>
              <w:jc w:val="center"/>
              <w:rPr>
                <w:rFonts w:hint="eastAsia" w:ascii="宋体" w:hAnsi="宋体" w:eastAsia="宋体" w:cs="宋体"/>
                <w:sz w:val="21"/>
                <w:szCs w:val="21"/>
              </w:rPr>
            </w:pPr>
            <w:r>
              <w:rPr>
                <w:rFonts w:hint="eastAsia" w:ascii="宋体" w:hAnsi="宋体" w:eastAsia="宋体" w:cs="宋体"/>
                <w:sz w:val="21"/>
                <w:szCs w:val="21"/>
              </w:rPr>
              <w:t>电气</w:t>
            </w:r>
          </w:p>
        </w:tc>
        <w:tc>
          <w:tcPr>
            <w:tcW w:w="1248" w:type="dxa"/>
            <w:noWrap/>
            <w:vAlign w:val="center"/>
          </w:tcPr>
          <w:p w14:paraId="5E0C51C7">
            <w:pPr>
              <w:jc w:val="center"/>
              <w:rPr>
                <w:rFonts w:hint="eastAsia" w:ascii="宋体" w:hAnsi="宋体" w:eastAsia="宋体" w:cs="宋体"/>
                <w:sz w:val="21"/>
                <w:szCs w:val="21"/>
              </w:rPr>
            </w:pPr>
            <w:r>
              <w:rPr>
                <w:rFonts w:hint="eastAsia" w:ascii="宋体" w:hAnsi="宋体" w:eastAsia="宋体" w:cs="宋体"/>
                <w:sz w:val="21"/>
                <w:szCs w:val="21"/>
              </w:rPr>
              <w:t>隔离箱</w:t>
            </w:r>
          </w:p>
        </w:tc>
        <w:tc>
          <w:tcPr>
            <w:tcW w:w="1248" w:type="dxa"/>
            <w:noWrap/>
            <w:vAlign w:val="center"/>
          </w:tcPr>
          <w:p w14:paraId="2DBD4D8F">
            <w:pPr>
              <w:jc w:val="center"/>
              <w:rPr>
                <w:rFonts w:hint="eastAsia" w:ascii="宋体" w:hAnsi="宋体" w:eastAsia="宋体" w:cs="宋体"/>
                <w:sz w:val="21"/>
                <w:szCs w:val="21"/>
              </w:rPr>
            </w:pPr>
          </w:p>
        </w:tc>
        <w:tc>
          <w:tcPr>
            <w:tcW w:w="1249" w:type="dxa"/>
            <w:noWrap/>
            <w:vAlign w:val="center"/>
          </w:tcPr>
          <w:p w14:paraId="78A3A8D6">
            <w:pPr>
              <w:jc w:val="center"/>
              <w:rPr>
                <w:rFonts w:hint="eastAsia" w:ascii="宋体" w:hAnsi="宋体" w:eastAsia="宋体" w:cs="宋体"/>
                <w:sz w:val="21"/>
                <w:szCs w:val="21"/>
              </w:rPr>
            </w:pPr>
          </w:p>
        </w:tc>
        <w:tc>
          <w:tcPr>
            <w:tcW w:w="1249" w:type="dxa"/>
            <w:noWrap/>
            <w:vAlign w:val="center"/>
          </w:tcPr>
          <w:p w14:paraId="4EC1DB28">
            <w:pPr>
              <w:jc w:val="center"/>
              <w:rPr>
                <w:rFonts w:hint="eastAsia" w:ascii="宋体" w:hAnsi="宋体" w:eastAsia="宋体" w:cs="宋体"/>
                <w:sz w:val="21"/>
                <w:szCs w:val="21"/>
              </w:rPr>
            </w:pPr>
          </w:p>
        </w:tc>
        <w:tc>
          <w:tcPr>
            <w:tcW w:w="1249" w:type="dxa"/>
            <w:tcBorders>
              <w:right w:val="single" w:color="auto" w:sz="12" w:space="0"/>
            </w:tcBorders>
            <w:noWrap/>
            <w:vAlign w:val="center"/>
          </w:tcPr>
          <w:p w14:paraId="759EBD5B">
            <w:pPr>
              <w:jc w:val="center"/>
              <w:rPr>
                <w:rFonts w:hint="eastAsia" w:ascii="宋体" w:hAnsi="宋体" w:eastAsia="宋体" w:cs="宋体"/>
                <w:sz w:val="21"/>
                <w:szCs w:val="21"/>
              </w:rPr>
            </w:pPr>
          </w:p>
        </w:tc>
      </w:tr>
      <w:tr w14:paraId="22AC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38" w:type="dxa"/>
            <w:vMerge w:val="restart"/>
            <w:tcBorders>
              <w:left w:val="single" w:color="auto" w:sz="12" w:space="0"/>
            </w:tcBorders>
            <w:noWrap/>
            <w:vAlign w:val="center"/>
          </w:tcPr>
          <w:p w14:paraId="4F4E9E9F">
            <w:pPr>
              <w:jc w:val="center"/>
              <w:rPr>
                <w:rFonts w:hint="eastAsia" w:ascii="宋体" w:hAnsi="宋体" w:eastAsia="宋体" w:cs="宋体"/>
                <w:sz w:val="21"/>
                <w:szCs w:val="21"/>
              </w:rPr>
            </w:pPr>
            <w:r>
              <w:rPr>
                <w:rFonts w:hint="eastAsia" w:ascii="宋体" w:hAnsi="宋体" w:eastAsia="宋体" w:cs="宋体"/>
                <w:sz w:val="21"/>
                <w:szCs w:val="21"/>
              </w:rPr>
              <w:t>2</w:t>
            </w:r>
          </w:p>
        </w:tc>
        <w:tc>
          <w:tcPr>
            <w:tcW w:w="1659" w:type="dxa"/>
            <w:vMerge w:val="restart"/>
            <w:noWrap/>
            <w:vAlign w:val="center"/>
          </w:tcPr>
          <w:p w14:paraId="4EF6FD9A">
            <w:pPr>
              <w:jc w:val="center"/>
              <w:rPr>
                <w:rFonts w:hint="eastAsia" w:ascii="宋体" w:hAnsi="宋体" w:eastAsia="宋体" w:cs="宋体"/>
                <w:sz w:val="21"/>
                <w:szCs w:val="21"/>
              </w:rPr>
            </w:pPr>
            <w:r>
              <w:rPr>
                <w:rFonts w:hint="eastAsia" w:ascii="宋体" w:hAnsi="宋体" w:eastAsia="宋体" w:cs="宋体"/>
                <w:sz w:val="21"/>
                <w:szCs w:val="21"/>
              </w:rPr>
              <w:t>消防</w:t>
            </w:r>
          </w:p>
        </w:tc>
        <w:tc>
          <w:tcPr>
            <w:tcW w:w="1248" w:type="dxa"/>
            <w:noWrap/>
            <w:vAlign w:val="center"/>
          </w:tcPr>
          <w:p w14:paraId="60E0FFD3">
            <w:pPr>
              <w:jc w:val="center"/>
              <w:rPr>
                <w:rFonts w:hint="eastAsia" w:ascii="宋体" w:hAnsi="宋体" w:eastAsia="宋体" w:cs="宋体"/>
                <w:sz w:val="21"/>
                <w:szCs w:val="21"/>
              </w:rPr>
            </w:pPr>
            <w:r>
              <w:rPr>
                <w:rFonts w:hint="eastAsia" w:ascii="宋体" w:hAnsi="宋体" w:eastAsia="宋体" w:cs="宋体"/>
                <w:sz w:val="21"/>
                <w:szCs w:val="21"/>
              </w:rPr>
              <w:t>喷淋头</w:t>
            </w:r>
          </w:p>
        </w:tc>
        <w:tc>
          <w:tcPr>
            <w:tcW w:w="1248" w:type="dxa"/>
            <w:noWrap/>
            <w:vAlign w:val="center"/>
          </w:tcPr>
          <w:p w14:paraId="5F72DCEE">
            <w:pPr>
              <w:jc w:val="center"/>
              <w:rPr>
                <w:rFonts w:hint="eastAsia" w:ascii="宋体" w:hAnsi="宋体" w:eastAsia="宋体" w:cs="宋体"/>
                <w:sz w:val="21"/>
                <w:szCs w:val="21"/>
              </w:rPr>
            </w:pPr>
          </w:p>
        </w:tc>
        <w:tc>
          <w:tcPr>
            <w:tcW w:w="1249" w:type="dxa"/>
            <w:noWrap/>
            <w:vAlign w:val="center"/>
          </w:tcPr>
          <w:p w14:paraId="22A03E5C">
            <w:pPr>
              <w:jc w:val="center"/>
              <w:rPr>
                <w:rFonts w:hint="eastAsia" w:ascii="宋体" w:hAnsi="宋体" w:eastAsia="宋体" w:cs="宋体"/>
                <w:sz w:val="21"/>
                <w:szCs w:val="21"/>
              </w:rPr>
            </w:pPr>
          </w:p>
        </w:tc>
        <w:tc>
          <w:tcPr>
            <w:tcW w:w="1249" w:type="dxa"/>
            <w:noWrap/>
            <w:vAlign w:val="center"/>
          </w:tcPr>
          <w:p w14:paraId="642BF888">
            <w:pPr>
              <w:jc w:val="center"/>
              <w:rPr>
                <w:rFonts w:hint="eastAsia" w:ascii="宋体" w:hAnsi="宋体" w:eastAsia="宋体" w:cs="宋体"/>
                <w:sz w:val="21"/>
                <w:szCs w:val="21"/>
              </w:rPr>
            </w:pPr>
          </w:p>
        </w:tc>
        <w:tc>
          <w:tcPr>
            <w:tcW w:w="1249" w:type="dxa"/>
            <w:tcBorders>
              <w:right w:val="single" w:color="auto" w:sz="12" w:space="0"/>
            </w:tcBorders>
            <w:noWrap/>
            <w:vAlign w:val="center"/>
          </w:tcPr>
          <w:p w14:paraId="6FC482B9">
            <w:pPr>
              <w:jc w:val="center"/>
              <w:rPr>
                <w:rFonts w:hint="eastAsia" w:ascii="宋体" w:hAnsi="宋体" w:eastAsia="宋体" w:cs="宋体"/>
                <w:sz w:val="21"/>
                <w:szCs w:val="21"/>
              </w:rPr>
            </w:pPr>
          </w:p>
        </w:tc>
      </w:tr>
      <w:tr w14:paraId="36B8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38" w:type="dxa"/>
            <w:vMerge w:val="continue"/>
            <w:tcBorders>
              <w:left w:val="single" w:color="auto" w:sz="12" w:space="0"/>
            </w:tcBorders>
            <w:noWrap/>
            <w:vAlign w:val="center"/>
          </w:tcPr>
          <w:p w14:paraId="3F1D96F0">
            <w:pPr>
              <w:jc w:val="center"/>
              <w:rPr>
                <w:rFonts w:hint="eastAsia" w:ascii="宋体" w:hAnsi="宋体" w:eastAsia="宋体" w:cs="宋体"/>
                <w:sz w:val="21"/>
                <w:szCs w:val="21"/>
              </w:rPr>
            </w:pPr>
          </w:p>
        </w:tc>
        <w:tc>
          <w:tcPr>
            <w:tcW w:w="1659" w:type="dxa"/>
            <w:vMerge w:val="continue"/>
            <w:noWrap/>
            <w:vAlign w:val="center"/>
          </w:tcPr>
          <w:p w14:paraId="3FD954A0">
            <w:pPr>
              <w:jc w:val="center"/>
              <w:rPr>
                <w:rFonts w:hint="eastAsia" w:ascii="宋体" w:hAnsi="宋体" w:eastAsia="宋体" w:cs="宋体"/>
                <w:sz w:val="21"/>
                <w:szCs w:val="21"/>
              </w:rPr>
            </w:pPr>
          </w:p>
        </w:tc>
        <w:tc>
          <w:tcPr>
            <w:tcW w:w="1248" w:type="dxa"/>
            <w:noWrap/>
            <w:vAlign w:val="center"/>
          </w:tcPr>
          <w:p w14:paraId="1108C5D2">
            <w:pPr>
              <w:jc w:val="center"/>
              <w:rPr>
                <w:rFonts w:hint="eastAsia" w:ascii="宋体" w:hAnsi="宋体" w:eastAsia="宋体" w:cs="宋体"/>
                <w:sz w:val="21"/>
                <w:szCs w:val="21"/>
              </w:rPr>
            </w:pPr>
            <w:r>
              <w:rPr>
                <w:rFonts w:hint="eastAsia" w:ascii="宋体" w:hAnsi="宋体" w:eastAsia="宋体" w:cs="宋体"/>
                <w:sz w:val="21"/>
                <w:szCs w:val="21"/>
              </w:rPr>
              <w:t>消防栓</w:t>
            </w:r>
          </w:p>
        </w:tc>
        <w:tc>
          <w:tcPr>
            <w:tcW w:w="1248" w:type="dxa"/>
            <w:noWrap/>
            <w:vAlign w:val="center"/>
          </w:tcPr>
          <w:p w14:paraId="27F48F8E">
            <w:pPr>
              <w:jc w:val="center"/>
              <w:rPr>
                <w:rFonts w:hint="eastAsia" w:ascii="宋体" w:hAnsi="宋体" w:eastAsia="宋体" w:cs="宋体"/>
                <w:sz w:val="21"/>
                <w:szCs w:val="21"/>
              </w:rPr>
            </w:pPr>
          </w:p>
        </w:tc>
        <w:tc>
          <w:tcPr>
            <w:tcW w:w="1249" w:type="dxa"/>
            <w:noWrap/>
            <w:vAlign w:val="center"/>
          </w:tcPr>
          <w:p w14:paraId="47ADD8A4">
            <w:pPr>
              <w:jc w:val="center"/>
              <w:rPr>
                <w:rFonts w:hint="eastAsia" w:ascii="宋体" w:hAnsi="宋体" w:eastAsia="宋体" w:cs="宋体"/>
                <w:sz w:val="21"/>
                <w:szCs w:val="21"/>
              </w:rPr>
            </w:pPr>
          </w:p>
        </w:tc>
        <w:tc>
          <w:tcPr>
            <w:tcW w:w="1249" w:type="dxa"/>
            <w:noWrap/>
            <w:vAlign w:val="center"/>
          </w:tcPr>
          <w:p w14:paraId="2C7003A1">
            <w:pPr>
              <w:jc w:val="center"/>
              <w:rPr>
                <w:rFonts w:hint="eastAsia" w:ascii="宋体" w:hAnsi="宋体" w:eastAsia="宋体" w:cs="宋体"/>
                <w:sz w:val="21"/>
                <w:szCs w:val="21"/>
              </w:rPr>
            </w:pPr>
          </w:p>
        </w:tc>
        <w:tc>
          <w:tcPr>
            <w:tcW w:w="1249" w:type="dxa"/>
            <w:tcBorders>
              <w:right w:val="single" w:color="auto" w:sz="12" w:space="0"/>
            </w:tcBorders>
            <w:noWrap/>
            <w:vAlign w:val="center"/>
          </w:tcPr>
          <w:p w14:paraId="31A70262">
            <w:pPr>
              <w:jc w:val="center"/>
              <w:rPr>
                <w:rFonts w:hint="eastAsia" w:ascii="宋体" w:hAnsi="宋体" w:eastAsia="宋体" w:cs="宋体"/>
                <w:sz w:val="21"/>
                <w:szCs w:val="21"/>
              </w:rPr>
            </w:pPr>
          </w:p>
        </w:tc>
      </w:tr>
      <w:tr w14:paraId="11E4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38" w:type="dxa"/>
            <w:vMerge w:val="continue"/>
            <w:tcBorders>
              <w:left w:val="single" w:color="auto" w:sz="12" w:space="0"/>
            </w:tcBorders>
            <w:noWrap/>
            <w:vAlign w:val="center"/>
          </w:tcPr>
          <w:p w14:paraId="263A1A8E">
            <w:pPr>
              <w:jc w:val="center"/>
              <w:rPr>
                <w:rFonts w:hint="eastAsia" w:ascii="宋体" w:hAnsi="宋体" w:eastAsia="宋体" w:cs="宋体"/>
                <w:sz w:val="21"/>
                <w:szCs w:val="21"/>
              </w:rPr>
            </w:pPr>
          </w:p>
        </w:tc>
        <w:tc>
          <w:tcPr>
            <w:tcW w:w="1659" w:type="dxa"/>
            <w:vMerge w:val="continue"/>
            <w:noWrap/>
            <w:vAlign w:val="center"/>
          </w:tcPr>
          <w:p w14:paraId="03585D29">
            <w:pPr>
              <w:jc w:val="center"/>
              <w:rPr>
                <w:rFonts w:hint="eastAsia" w:ascii="宋体" w:hAnsi="宋体" w:eastAsia="宋体" w:cs="宋体"/>
                <w:sz w:val="21"/>
                <w:szCs w:val="21"/>
              </w:rPr>
            </w:pPr>
          </w:p>
        </w:tc>
        <w:tc>
          <w:tcPr>
            <w:tcW w:w="1248" w:type="dxa"/>
            <w:noWrap/>
            <w:vAlign w:val="center"/>
          </w:tcPr>
          <w:p w14:paraId="3D4CC117">
            <w:pPr>
              <w:jc w:val="center"/>
              <w:rPr>
                <w:rFonts w:hint="eastAsia" w:ascii="宋体" w:hAnsi="宋体" w:eastAsia="宋体" w:cs="宋体"/>
                <w:sz w:val="21"/>
                <w:szCs w:val="21"/>
              </w:rPr>
            </w:pPr>
            <w:r>
              <w:rPr>
                <w:rFonts w:hint="eastAsia" w:ascii="宋体" w:hAnsi="宋体" w:eastAsia="宋体" w:cs="宋体"/>
                <w:sz w:val="21"/>
                <w:szCs w:val="21"/>
              </w:rPr>
              <w:t>烟感探头</w:t>
            </w:r>
          </w:p>
        </w:tc>
        <w:tc>
          <w:tcPr>
            <w:tcW w:w="1248" w:type="dxa"/>
            <w:noWrap/>
            <w:vAlign w:val="center"/>
          </w:tcPr>
          <w:p w14:paraId="1652F9CC">
            <w:pPr>
              <w:jc w:val="center"/>
              <w:rPr>
                <w:rFonts w:hint="eastAsia" w:ascii="宋体" w:hAnsi="宋体" w:eastAsia="宋体" w:cs="宋体"/>
                <w:sz w:val="21"/>
                <w:szCs w:val="21"/>
              </w:rPr>
            </w:pPr>
          </w:p>
        </w:tc>
        <w:tc>
          <w:tcPr>
            <w:tcW w:w="1249" w:type="dxa"/>
            <w:noWrap/>
            <w:vAlign w:val="center"/>
          </w:tcPr>
          <w:p w14:paraId="4EA16BAE">
            <w:pPr>
              <w:jc w:val="center"/>
              <w:rPr>
                <w:rFonts w:hint="eastAsia" w:ascii="宋体" w:hAnsi="宋体" w:eastAsia="宋体" w:cs="宋体"/>
                <w:sz w:val="21"/>
                <w:szCs w:val="21"/>
              </w:rPr>
            </w:pPr>
          </w:p>
        </w:tc>
        <w:tc>
          <w:tcPr>
            <w:tcW w:w="1249" w:type="dxa"/>
            <w:noWrap/>
            <w:vAlign w:val="center"/>
          </w:tcPr>
          <w:p w14:paraId="25305C95">
            <w:pPr>
              <w:jc w:val="center"/>
              <w:rPr>
                <w:rFonts w:hint="eastAsia" w:ascii="宋体" w:hAnsi="宋体" w:eastAsia="宋体" w:cs="宋体"/>
                <w:sz w:val="21"/>
                <w:szCs w:val="21"/>
              </w:rPr>
            </w:pPr>
          </w:p>
        </w:tc>
        <w:tc>
          <w:tcPr>
            <w:tcW w:w="1249" w:type="dxa"/>
            <w:tcBorders>
              <w:right w:val="single" w:color="auto" w:sz="12" w:space="0"/>
            </w:tcBorders>
            <w:noWrap/>
            <w:vAlign w:val="center"/>
          </w:tcPr>
          <w:p w14:paraId="6DFF9463">
            <w:pPr>
              <w:jc w:val="center"/>
              <w:rPr>
                <w:rFonts w:hint="eastAsia" w:ascii="宋体" w:hAnsi="宋体" w:eastAsia="宋体" w:cs="宋体"/>
                <w:sz w:val="21"/>
                <w:szCs w:val="21"/>
              </w:rPr>
            </w:pPr>
          </w:p>
        </w:tc>
      </w:tr>
      <w:tr w14:paraId="26FE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38" w:type="dxa"/>
            <w:vMerge w:val="continue"/>
            <w:tcBorders>
              <w:left w:val="single" w:color="auto" w:sz="12" w:space="0"/>
            </w:tcBorders>
            <w:noWrap/>
            <w:vAlign w:val="center"/>
          </w:tcPr>
          <w:p w14:paraId="67F5C1F7">
            <w:pPr>
              <w:jc w:val="center"/>
              <w:rPr>
                <w:rFonts w:hint="eastAsia" w:ascii="宋体" w:hAnsi="宋体" w:eastAsia="宋体" w:cs="宋体"/>
                <w:sz w:val="21"/>
                <w:szCs w:val="21"/>
              </w:rPr>
            </w:pPr>
          </w:p>
        </w:tc>
        <w:tc>
          <w:tcPr>
            <w:tcW w:w="1659" w:type="dxa"/>
            <w:vMerge w:val="continue"/>
            <w:noWrap/>
            <w:vAlign w:val="center"/>
          </w:tcPr>
          <w:p w14:paraId="38EA36C1">
            <w:pPr>
              <w:jc w:val="center"/>
              <w:rPr>
                <w:rFonts w:hint="eastAsia" w:ascii="宋体" w:hAnsi="宋体" w:eastAsia="宋体" w:cs="宋体"/>
                <w:sz w:val="21"/>
                <w:szCs w:val="21"/>
              </w:rPr>
            </w:pPr>
          </w:p>
        </w:tc>
        <w:tc>
          <w:tcPr>
            <w:tcW w:w="1248" w:type="dxa"/>
            <w:noWrap/>
            <w:vAlign w:val="center"/>
          </w:tcPr>
          <w:p w14:paraId="7C15F72B">
            <w:pPr>
              <w:jc w:val="center"/>
              <w:rPr>
                <w:rFonts w:hint="eastAsia" w:ascii="宋体" w:hAnsi="宋体" w:eastAsia="宋体" w:cs="宋体"/>
                <w:sz w:val="21"/>
                <w:szCs w:val="21"/>
              </w:rPr>
            </w:pPr>
            <w:r>
              <w:rPr>
                <w:rFonts w:hint="eastAsia" w:ascii="宋体" w:hAnsi="宋体" w:eastAsia="宋体" w:cs="宋体"/>
                <w:sz w:val="21"/>
                <w:szCs w:val="21"/>
              </w:rPr>
              <w:t>消防排烟</w:t>
            </w:r>
          </w:p>
        </w:tc>
        <w:tc>
          <w:tcPr>
            <w:tcW w:w="1248" w:type="dxa"/>
            <w:noWrap/>
            <w:vAlign w:val="center"/>
          </w:tcPr>
          <w:p w14:paraId="4D68413A">
            <w:pPr>
              <w:jc w:val="center"/>
              <w:rPr>
                <w:rFonts w:hint="eastAsia" w:ascii="宋体" w:hAnsi="宋体" w:eastAsia="宋体" w:cs="宋体"/>
                <w:sz w:val="21"/>
                <w:szCs w:val="21"/>
              </w:rPr>
            </w:pPr>
          </w:p>
        </w:tc>
        <w:tc>
          <w:tcPr>
            <w:tcW w:w="1249" w:type="dxa"/>
            <w:noWrap/>
            <w:vAlign w:val="center"/>
          </w:tcPr>
          <w:p w14:paraId="27551E1D">
            <w:pPr>
              <w:jc w:val="center"/>
              <w:rPr>
                <w:rFonts w:hint="eastAsia" w:ascii="宋体" w:hAnsi="宋体" w:eastAsia="宋体" w:cs="宋体"/>
                <w:sz w:val="21"/>
                <w:szCs w:val="21"/>
              </w:rPr>
            </w:pPr>
          </w:p>
        </w:tc>
        <w:tc>
          <w:tcPr>
            <w:tcW w:w="1249" w:type="dxa"/>
            <w:noWrap/>
            <w:vAlign w:val="center"/>
          </w:tcPr>
          <w:p w14:paraId="131F3496">
            <w:pPr>
              <w:jc w:val="center"/>
              <w:rPr>
                <w:rFonts w:hint="eastAsia" w:ascii="宋体" w:hAnsi="宋体" w:eastAsia="宋体" w:cs="宋体"/>
                <w:sz w:val="21"/>
                <w:szCs w:val="21"/>
              </w:rPr>
            </w:pPr>
          </w:p>
        </w:tc>
        <w:tc>
          <w:tcPr>
            <w:tcW w:w="1249" w:type="dxa"/>
            <w:tcBorders>
              <w:right w:val="single" w:color="auto" w:sz="12" w:space="0"/>
            </w:tcBorders>
            <w:noWrap/>
            <w:vAlign w:val="center"/>
          </w:tcPr>
          <w:p w14:paraId="3BF83D59">
            <w:pPr>
              <w:jc w:val="center"/>
              <w:rPr>
                <w:rFonts w:hint="eastAsia" w:ascii="宋体" w:hAnsi="宋体" w:eastAsia="宋体" w:cs="宋体"/>
                <w:sz w:val="21"/>
                <w:szCs w:val="21"/>
              </w:rPr>
            </w:pPr>
          </w:p>
        </w:tc>
      </w:tr>
      <w:tr w14:paraId="5914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38" w:type="dxa"/>
            <w:vMerge w:val="continue"/>
            <w:tcBorders>
              <w:left w:val="single" w:color="auto" w:sz="12" w:space="0"/>
            </w:tcBorders>
            <w:noWrap/>
            <w:vAlign w:val="center"/>
          </w:tcPr>
          <w:p w14:paraId="7AEF2154">
            <w:pPr>
              <w:jc w:val="center"/>
              <w:rPr>
                <w:rFonts w:hint="eastAsia" w:ascii="宋体" w:hAnsi="宋体" w:eastAsia="宋体" w:cs="宋体"/>
                <w:sz w:val="21"/>
                <w:szCs w:val="21"/>
              </w:rPr>
            </w:pPr>
          </w:p>
        </w:tc>
        <w:tc>
          <w:tcPr>
            <w:tcW w:w="1659" w:type="dxa"/>
            <w:vMerge w:val="continue"/>
            <w:noWrap/>
            <w:vAlign w:val="center"/>
          </w:tcPr>
          <w:p w14:paraId="375AB501">
            <w:pPr>
              <w:jc w:val="center"/>
              <w:rPr>
                <w:rFonts w:hint="eastAsia" w:ascii="宋体" w:hAnsi="宋体" w:eastAsia="宋体" w:cs="宋体"/>
                <w:sz w:val="21"/>
                <w:szCs w:val="21"/>
              </w:rPr>
            </w:pPr>
          </w:p>
        </w:tc>
        <w:tc>
          <w:tcPr>
            <w:tcW w:w="1248" w:type="dxa"/>
            <w:noWrap/>
            <w:vAlign w:val="center"/>
          </w:tcPr>
          <w:p w14:paraId="1A5102DF">
            <w:pPr>
              <w:jc w:val="center"/>
              <w:rPr>
                <w:rFonts w:hint="eastAsia" w:ascii="宋体" w:hAnsi="宋体" w:eastAsia="宋体" w:cs="宋体"/>
                <w:sz w:val="21"/>
                <w:szCs w:val="21"/>
              </w:rPr>
            </w:pPr>
            <w:r>
              <w:rPr>
                <w:rFonts w:hint="eastAsia" w:ascii="宋体" w:hAnsi="宋体" w:eastAsia="宋体" w:cs="宋体"/>
                <w:sz w:val="21"/>
                <w:szCs w:val="21"/>
              </w:rPr>
              <w:t>消防补风</w:t>
            </w:r>
          </w:p>
        </w:tc>
        <w:tc>
          <w:tcPr>
            <w:tcW w:w="1248" w:type="dxa"/>
            <w:noWrap/>
            <w:vAlign w:val="center"/>
          </w:tcPr>
          <w:p w14:paraId="7251823E">
            <w:pPr>
              <w:jc w:val="center"/>
              <w:rPr>
                <w:rFonts w:hint="eastAsia" w:ascii="宋体" w:hAnsi="宋体" w:eastAsia="宋体" w:cs="宋体"/>
                <w:sz w:val="21"/>
                <w:szCs w:val="21"/>
              </w:rPr>
            </w:pPr>
          </w:p>
        </w:tc>
        <w:tc>
          <w:tcPr>
            <w:tcW w:w="1249" w:type="dxa"/>
            <w:noWrap/>
            <w:vAlign w:val="center"/>
          </w:tcPr>
          <w:p w14:paraId="318D0603">
            <w:pPr>
              <w:jc w:val="center"/>
              <w:rPr>
                <w:rFonts w:hint="eastAsia" w:ascii="宋体" w:hAnsi="宋体" w:eastAsia="宋体" w:cs="宋体"/>
                <w:sz w:val="21"/>
                <w:szCs w:val="21"/>
              </w:rPr>
            </w:pPr>
          </w:p>
        </w:tc>
        <w:tc>
          <w:tcPr>
            <w:tcW w:w="1249" w:type="dxa"/>
            <w:noWrap/>
            <w:vAlign w:val="center"/>
          </w:tcPr>
          <w:p w14:paraId="140B4D88">
            <w:pPr>
              <w:jc w:val="center"/>
              <w:rPr>
                <w:rFonts w:hint="eastAsia" w:ascii="宋体" w:hAnsi="宋体" w:eastAsia="宋体" w:cs="宋体"/>
                <w:sz w:val="21"/>
                <w:szCs w:val="21"/>
              </w:rPr>
            </w:pPr>
          </w:p>
        </w:tc>
        <w:tc>
          <w:tcPr>
            <w:tcW w:w="1249" w:type="dxa"/>
            <w:tcBorders>
              <w:right w:val="single" w:color="auto" w:sz="12" w:space="0"/>
            </w:tcBorders>
            <w:noWrap/>
            <w:vAlign w:val="center"/>
          </w:tcPr>
          <w:p w14:paraId="74AD72EE">
            <w:pPr>
              <w:jc w:val="center"/>
              <w:rPr>
                <w:rFonts w:hint="eastAsia" w:ascii="宋体" w:hAnsi="宋体" w:eastAsia="宋体" w:cs="宋体"/>
                <w:sz w:val="21"/>
                <w:szCs w:val="21"/>
              </w:rPr>
            </w:pPr>
          </w:p>
        </w:tc>
      </w:tr>
      <w:tr w14:paraId="1BB0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38" w:type="dxa"/>
            <w:vMerge w:val="continue"/>
            <w:tcBorders>
              <w:left w:val="single" w:color="auto" w:sz="12" w:space="0"/>
            </w:tcBorders>
            <w:noWrap/>
            <w:vAlign w:val="center"/>
          </w:tcPr>
          <w:p w14:paraId="720BE549">
            <w:pPr>
              <w:jc w:val="center"/>
              <w:rPr>
                <w:rFonts w:hint="eastAsia" w:ascii="宋体" w:hAnsi="宋体" w:eastAsia="宋体" w:cs="宋体"/>
                <w:sz w:val="21"/>
                <w:szCs w:val="21"/>
              </w:rPr>
            </w:pPr>
          </w:p>
        </w:tc>
        <w:tc>
          <w:tcPr>
            <w:tcW w:w="1659" w:type="dxa"/>
            <w:vMerge w:val="continue"/>
            <w:noWrap/>
            <w:vAlign w:val="center"/>
          </w:tcPr>
          <w:p w14:paraId="4529F1B9">
            <w:pPr>
              <w:jc w:val="center"/>
              <w:rPr>
                <w:rFonts w:hint="eastAsia" w:ascii="宋体" w:hAnsi="宋体" w:eastAsia="宋体" w:cs="宋体"/>
                <w:sz w:val="21"/>
                <w:szCs w:val="21"/>
              </w:rPr>
            </w:pPr>
          </w:p>
        </w:tc>
        <w:tc>
          <w:tcPr>
            <w:tcW w:w="1248" w:type="dxa"/>
            <w:noWrap/>
            <w:vAlign w:val="center"/>
          </w:tcPr>
          <w:p w14:paraId="774247AC">
            <w:pPr>
              <w:jc w:val="center"/>
              <w:rPr>
                <w:rFonts w:hint="eastAsia" w:ascii="宋体" w:hAnsi="宋体" w:eastAsia="宋体" w:cs="宋体"/>
                <w:sz w:val="21"/>
                <w:szCs w:val="21"/>
              </w:rPr>
            </w:pPr>
            <w:r>
              <w:rPr>
                <w:rFonts w:hint="eastAsia" w:ascii="宋体" w:hAnsi="宋体" w:eastAsia="宋体" w:cs="宋体"/>
                <w:sz w:val="21"/>
                <w:szCs w:val="21"/>
              </w:rPr>
              <w:t>消防广播</w:t>
            </w:r>
          </w:p>
        </w:tc>
        <w:tc>
          <w:tcPr>
            <w:tcW w:w="1248" w:type="dxa"/>
            <w:noWrap/>
            <w:vAlign w:val="center"/>
          </w:tcPr>
          <w:p w14:paraId="312D11D8">
            <w:pPr>
              <w:jc w:val="center"/>
              <w:rPr>
                <w:rFonts w:hint="eastAsia" w:ascii="宋体" w:hAnsi="宋体" w:eastAsia="宋体" w:cs="宋体"/>
                <w:sz w:val="21"/>
                <w:szCs w:val="21"/>
              </w:rPr>
            </w:pPr>
          </w:p>
        </w:tc>
        <w:tc>
          <w:tcPr>
            <w:tcW w:w="1249" w:type="dxa"/>
            <w:noWrap/>
            <w:vAlign w:val="center"/>
          </w:tcPr>
          <w:p w14:paraId="0C34E6DF">
            <w:pPr>
              <w:jc w:val="center"/>
              <w:rPr>
                <w:rFonts w:hint="eastAsia" w:ascii="宋体" w:hAnsi="宋体" w:eastAsia="宋体" w:cs="宋体"/>
                <w:sz w:val="21"/>
                <w:szCs w:val="21"/>
              </w:rPr>
            </w:pPr>
          </w:p>
        </w:tc>
        <w:tc>
          <w:tcPr>
            <w:tcW w:w="1249" w:type="dxa"/>
            <w:noWrap/>
            <w:vAlign w:val="center"/>
          </w:tcPr>
          <w:p w14:paraId="475F45E9">
            <w:pPr>
              <w:jc w:val="center"/>
              <w:rPr>
                <w:rFonts w:hint="eastAsia" w:ascii="宋体" w:hAnsi="宋体" w:eastAsia="宋体" w:cs="宋体"/>
                <w:sz w:val="21"/>
                <w:szCs w:val="21"/>
              </w:rPr>
            </w:pPr>
          </w:p>
        </w:tc>
        <w:tc>
          <w:tcPr>
            <w:tcW w:w="1249" w:type="dxa"/>
            <w:tcBorders>
              <w:right w:val="single" w:color="auto" w:sz="12" w:space="0"/>
            </w:tcBorders>
            <w:noWrap/>
            <w:vAlign w:val="center"/>
          </w:tcPr>
          <w:p w14:paraId="734CACB5">
            <w:pPr>
              <w:jc w:val="center"/>
              <w:rPr>
                <w:rFonts w:hint="eastAsia" w:ascii="宋体" w:hAnsi="宋体" w:eastAsia="宋体" w:cs="宋体"/>
                <w:sz w:val="21"/>
                <w:szCs w:val="21"/>
              </w:rPr>
            </w:pPr>
          </w:p>
        </w:tc>
      </w:tr>
      <w:tr w14:paraId="0E1A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38" w:type="dxa"/>
            <w:vMerge w:val="restart"/>
            <w:tcBorders>
              <w:left w:val="single" w:color="auto" w:sz="12" w:space="0"/>
            </w:tcBorders>
            <w:noWrap/>
            <w:vAlign w:val="center"/>
          </w:tcPr>
          <w:p w14:paraId="6B2DECA7">
            <w:pPr>
              <w:jc w:val="center"/>
              <w:rPr>
                <w:rFonts w:hint="eastAsia" w:ascii="宋体" w:hAnsi="宋体" w:eastAsia="宋体" w:cs="宋体"/>
                <w:sz w:val="21"/>
                <w:szCs w:val="21"/>
              </w:rPr>
            </w:pPr>
            <w:r>
              <w:rPr>
                <w:rFonts w:hint="eastAsia" w:ascii="宋体" w:hAnsi="宋体" w:eastAsia="宋体" w:cs="宋体"/>
                <w:sz w:val="21"/>
                <w:szCs w:val="21"/>
              </w:rPr>
              <w:t>3</w:t>
            </w:r>
          </w:p>
        </w:tc>
        <w:tc>
          <w:tcPr>
            <w:tcW w:w="1659" w:type="dxa"/>
            <w:vMerge w:val="restart"/>
            <w:tcBorders>
              <w:right w:val="single" w:color="auto" w:sz="4" w:space="0"/>
            </w:tcBorders>
            <w:noWrap/>
            <w:vAlign w:val="center"/>
          </w:tcPr>
          <w:p w14:paraId="7BAC46C4">
            <w:pPr>
              <w:jc w:val="center"/>
              <w:rPr>
                <w:rFonts w:hint="eastAsia" w:ascii="宋体" w:hAnsi="宋体" w:eastAsia="宋体" w:cs="宋体"/>
                <w:sz w:val="21"/>
                <w:szCs w:val="21"/>
              </w:rPr>
            </w:pPr>
            <w:r>
              <w:rPr>
                <w:rFonts w:hint="eastAsia" w:ascii="宋体" w:hAnsi="宋体" w:eastAsia="宋体" w:cs="宋体"/>
                <w:sz w:val="21"/>
                <w:szCs w:val="21"/>
              </w:rPr>
              <w:t>空调</w:t>
            </w:r>
          </w:p>
        </w:tc>
        <w:tc>
          <w:tcPr>
            <w:tcW w:w="1248" w:type="dxa"/>
            <w:tcBorders>
              <w:left w:val="single" w:color="auto" w:sz="4" w:space="0"/>
            </w:tcBorders>
            <w:noWrap/>
            <w:vAlign w:val="center"/>
          </w:tcPr>
          <w:p w14:paraId="297CD8B6">
            <w:pPr>
              <w:jc w:val="center"/>
              <w:rPr>
                <w:rFonts w:hint="eastAsia" w:ascii="宋体" w:hAnsi="宋体" w:eastAsia="宋体" w:cs="宋体"/>
                <w:sz w:val="21"/>
                <w:szCs w:val="21"/>
              </w:rPr>
            </w:pPr>
            <w:r>
              <w:rPr>
                <w:rFonts w:hint="eastAsia" w:ascii="宋体" w:hAnsi="宋体" w:eastAsia="宋体" w:cs="宋体"/>
                <w:sz w:val="21"/>
                <w:szCs w:val="21"/>
              </w:rPr>
              <w:t>空调箱</w:t>
            </w:r>
          </w:p>
        </w:tc>
        <w:tc>
          <w:tcPr>
            <w:tcW w:w="1248" w:type="dxa"/>
            <w:noWrap/>
            <w:vAlign w:val="center"/>
          </w:tcPr>
          <w:p w14:paraId="69A56D3D">
            <w:pPr>
              <w:jc w:val="center"/>
              <w:rPr>
                <w:rFonts w:hint="eastAsia" w:ascii="宋体" w:hAnsi="宋体" w:eastAsia="宋体" w:cs="宋体"/>
                <w:sz w:val="21"/>
                <w:szCs w:val="21"/>
              </w:rPr>
            </w:pPr>
          </w:p>
        </w:tc>
        <w:tc>
          <w:tcPr>
            <w:tcW w:w="1249" w:type="dxa"/>
            <w:noWrap/>
            <w:vAlign w:val="center"/>
          </w:tcPr>
          <w:p w14:paraId="6989BF69">
            <w:pPr>
              <w:jc w:val="center"/>
              <w:rPr>
                <w:rFonts w:hint="eastAsia" w:ascii="宋体" w:hAnsi="宋体" w:eastAsia="宋体" w:cs="宋体"/>
                <w:sz w:val="21"/>
                <w:szCs w:val="21"/>
              </w:rPr>
            </w:pPr>
          </w:p>
        </w:tc>
        <w:tc>
          <w:tcPr>
            <w:tcW w:w="1249" w:type="dxa"/>
            <w:noWrap/>
            <w:vAlign w:val="center"/>
          </w:tcPr>
          <w:p w14:paraId="6C1B3F63">
            <w:pPr>
              <w:jc w:val="center"/>
              <w:rPr>
                <w:rFonts w:hint="eastAsia" w:ascii="宋体" w:hAnsi="宋体" w:eastAsia="宋体" w:cs="宋体"/>
                <w:sz w:val="21"/>
                <w:szCs w:val="21"/>
              </w:rPr>
            </w:pPr>
          </w:p>
        </w:tc>
        <w:tc>
          <w:tcPr>
            <w:tcW w:w="1249" w:type="dxa"/>
            <w:tcBorders>
              <w:right w:val="single" w:color="auto" w:sz="12" w:space="0"/>
            </w:tcBorders>
            <w:noWrap/>
            <w:vAlign w:val="center"/>
          </w:tcPr>
          <w:p w14:paraId="32FD8A4B">
            <w:pPr>
              <w:jc w:val="center"/>
              <w:rPr>
                <w:rFonts w:hint="eastAsia" w:ascii="宋体" w:hAnsi="宋体" w:eastAsia="宋体" w:cs="宋体"/>
                <w:sz w:val="21"/>
                <w:szCs w:val="21"/>
              </w:rPr>
            </w:pPr>
          </w:p>
        </w:tc>
      </w:tr>
      <w:tr w14:paraId="164B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38" w:type="dxa"/>
            <w:vMerge w:val="continue"/>
            <w:tcBorders>
              <w:left w:val="single" w:color="auto" w:sz="12" w:space="0"/>
            </w:tcBorders>
            <w:noWrap/>
            <w:vAlign w:val="center"/>
          </w:tcPr>
          <w:p w14:paraId="037308BB">
            <w:pPr>
              <w:jc w:val="center"/>
              <w:rPr>
                <w:rFonts w:hint="eastAsia" w:ascii="宋体" w:hAnsi="宋体" w:eastAsia="宋体" w:cs="宋体"/>
                <w:sz w:val="21"/>
                <w:szCs w:val="21"/>
              </w:rPr>
            </w:pPr>
          </w:p>
        </w:tc>
        <w:tc>
          <w:tcPr>
            <w:tcW w:w="1659" w:type="dxa"/>
            <w:vMerge w:val="continue"/>
            <w:tcBorders>
              <w:right w:val="single" w:color="auto" w:sz="4" w:space="0"/>
            </w:tcBorders>
            <w:noWrap/>
            <w:vAlign w:val="center"/>
          </w:tcPr>
          <w:p w14:paraId="25B34627">
            <w:pPr>
              <w:jc w:val="center"/>
              <w:rPr>
                <w:rFonts w:hint="eastAsia" w:ascii="宋体" w:hAnsi="宋体" w:eastAsia="宋体" w:cs="宋体"/>
                <w:sz w:val="21"/>
                <w:szCs w:val="21"/>
              </w:rPr>
            </w:pPr>
          </w:p>
        </w:tc>
        <w:tc>
          <w:tcPr>
            <w:tcW w:w="1248" w:type="dxa"/>
            <w:tcBorders>
              <w:left w:val="single" w:color="auto" w:sz="4" w:space="0"/>
            </w:tcBorders>
            <w:noWrap/>
            <w:vAlign w:val="center"/>
          </w:tcPr>
          <w:p w14:paraId="06D6FA43">
            <w:pPr>
              <w:jc w:val="center"/>
              <w:rPr>
                <w:rFonts w:hint="eastAsia" w:ascii="宋体" w:hAnsi="宋体" w:eastAsia="宋体" w:cs="宋体"/>
                <w:sz w:val="21"/>
                <w:szCs w:val="21"/>
              </w:rPr>
            </w:pPr>
            <w:r>
              <w:rPr>
                <w:rFonts w:hint="eastAsia" w:ascii="宋体" w:hAnsi="宋体" w:eastAsia="宋体" w:cs="宋体"/>
                <w:sz w:val="21"/>
                <w:szCs w:val="21"/>
              </w:rPr>
              <w:t>新风机</w:t>
            </w:r>
          </w:p>
        </w:tc>
        <w:tc>
          <w:tcPr>
            <w:tcW w:w="1248" w:type="dxa"/>
            <w:noWrap/>
            <w:vAlign w:val="center"/>
          </w:tcPr>
          <w:p w14:paraId="5BAA1D83">
            <w:pPr>
              <w:jc w:val="center"/>
              <w:rPr>
                <w:rFonts w:hint="eastAsia" w:ascii="宋体" w:hAnsi="宋体" w:eastAsia="宋体" w:cs="宋体"/>
                <w:sz w:val="21"/>
                <w:szCs w:val="21"/>
              </w:rPr>
            </w:pPr>
          </w:p>
        </w:tc>
        <w:tc>
          <w:tcPr>
            <w:tcW w:w="1249" w:type="dxa"/>
            <w:noWrap/>
            <w:vAlign w:val="center"/>
          </w:tcPr>
          <w:p w14:paraId="70FE9FF2">
            <w:pPr>
              <w:jc w:val="center"/>
              <w:rPr>
                <w:rFonts w:hint="eastAsia" w:ascii="宋体" w:hAnsi="宋体" w:eastAsia="宋体" w:cs="宋体"/>
                <w:sz w:val="21"/>
                <w:szCs w:val="21"/>
              </w:rPr>
            </w:pPr>
          </w:p>
        </w:tc>
        <w:tc>
          <w:tcPr>
            <w:tcW w:w="1249" w:type="dxa"/>
            <w:noWrap/>
            <w:vAlign w:val="center"/>
          </w:tcPr>
          <w:p w14:paraId="08BA0642">
            <w:pPr>
              <w:jc w:val="center"/>
              <w:rPr>
                <w:rFonts w:hint="eastAsia" w:ascii="宋体" w:hAnsi="宋体" w:eastAsia="宋体" w:cs="宋体"/>
                <w:sz w:val="21"/>
                <w:szCs w:val="21"/>
              </w:rPr>
            </w:pPr>
          </w:p>
        </w:tc>
        <w:tc>
          <w:tcPr>
            <w:tcW w:w="1249" w:type="dxa"/>
            <w:tcBorders>
              <w:right w:val="single" w:color="auto" w:sz="12" w:space="0"/>
            </w:tcBorders>
            <w:noWrap/>
            <w:vAlign w:val="center"/>
          </w:tcPr>
          <w:p w14:paraId="7703E538">
            <w:pPr>
              <w:jc w:val="center"/>
              <w:rPr>
                <w:rFonts w:hint="eastAsia" w:ascii="宋体" w:hAnsi="宋体" w:eastAsia="宋体" w:cs="宋体"/>
                <w:sz w:val="21"/>
                <w:szCs w:val="21"/>
              </w:rPr>
            </w:pPr>
          </w:p>
        </w:tc>
      </w:tr>
      <w:tr w14:paraId="6765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38" w:type="dxa"/>
            <w:tcBorders>
              <w:left w:val="single" w:color="auto" w:sz="12" w:space="0"/>
            </w:tcBorders>
            <w:noWrap/>
            <w:vAlign w:val="center"/>
          </w:tcPr>
          <w:p w14:paraId="472B7F9C">
            <w:pPr>
              <w:jc w:val="center"/>
              <w:rPr>
                <w:rFonts w:hint="eastAsia" w:ascii="宋体" w:hAnsi="宋体" w:eastAsia="宋体" w:cs="宋体"/>
                <w:sz w:val="21"/>
                <w:szCs w:val="21"/>
              </w:rPr>
            </w:pPr>
            <w:r>
              <w:rPr>
                <w:rFonts w:hint="eastAsia" w:ascii="宋体" w:hAnsi="宋体" w:eastAsia="宋体" w:cs="宋体"/>
                <w:sz w:val="21"/>
                <w:szCs w:val="21"/>
              </w:rPr>
              <w:t>4</w:t>
            </w:r>
          </w:p>
        </w:tc>
        <w:tc>
          <w:tcPr>
            <w:tcW w:w="1659" w:type="dxa"/>
            <w:noWrap/>
            <w:vAlign w:val="center"/>
          </w:tcPr>
          <w:p w14:paraId="5D2B3B6B">
            <w:pPr>
              <w:jc w:val="center"/>
              <w:rPr>
                <w:rFonts w:hint="eastAsia" w:ascii="宋体" w:hAnsi="宋体" w:eastAsia="宋体" w:cs="宋体"/>
                <w:sz w:val="21"/>
                <w:szCs w:val="21"/>
              </w:rPr>
            </w:pPr>
            <w:r>
              <w:rPr>
                <w:rFonts w:hint="eastAsia" w:ascii="宋体" w:hAnsi="宋体" w:eastAsia="宋体" w:cs="宋体"/>
                <w:sz w:val="21"/>
                <w:szCs w:val="21"/>
              </w:rPr>
              <w:t>其他</w:t>
            </w:r>
          </w:p>
        </w:tc>
        <w:tc>
          <w:tcPr>
            <w:tcW w:w="1248" w:type="dxa"/>
            <w:noWrap/>
            <w:vAlign w:val="center"/>
          </w:tcPr>
          <w:p w14:paraId="272A6B0D">
            <w:pPr>
              <w:jc w:val="center"/>
              <w:rPr>
                <w:rFonts w:hint="eastAsia" w:ascii="宋体" w:hAnsi="宋体" w:eastAsia="宋体" w:cs="宋体"/>
                <w:sz w:val="21"/>
                <w:szCs w:val="21"/>
              </w:rPr>
            </w:pPr>
          </w:p>
        </w:tc>
        <w:tc>
          <w:tcPr>
            <w:tcW w:w="1248" w:type="dxa"/>
            <w:noWrap/>
            <w:vAlign w:val="center"/>
          </w:tcPr>
          <w:p w14:paraId="077F63B0">
            <w:pPr>
              <w:jc w:val="center"/>
              <w:rPr>
                <w:rFonts w:hint="eastAsia" w:ascii="宋体" w:hAnsi="宋体" w:eastAsia="宋体" w:cs="宋体"/>
                <w:sz w:val="21"/>
                <w:szCs w:val="21"/>
              </w:rPr>
            </w:pPr>
          </w:p>
        </w:tc>
        <w:tc>
          <w:tcPr>
            <w:tcW w:w="1249" w:type="dxa"/>
            <w:noWrap/>
            <w:vAlign w:val="center"/>
          </w:tcPr>
          <w:p w14:paraId="1178A6B6">
            <w:pPr>
              <w:jc w:val="center"/>
              <w:rPr>
                <w:rFonts w:hint="eastAsia" w:ascii="宋体" w:hAnsi="宋体" w:eastAsia="宋体" w:cs="宋体"/>
                <w:sz w:val="21"/>
                <w:szCs w:val="21"/>
              </w:rPr>
            </w:pPr>
          </w:p>
        </w:tc>
        <w:tc>
          <w:tcPr>
            <w:tcW w:w="1249" w:type="dxa"/>
            <w:noWrap/>
            <w:vAlign w:val="center"/>
          </w:tcPr>
          <w:p w14:paraId="4FBD8FEC">
            <w:pPr>
              <w:jc w:val="center"/>
              <w:rPr>
                <w:rFonts w:hint="eastAsia" w:ascii="宋体" w:hAnsi="宋体" w:eastAsia="宋体" w:cs="宋体"/>
                <w:sz w:val="21"/>
                <w:szCs w:val="21"/>
              </w:rPr>
            </w:pPr>
          </w:p>
        </w:tc>
        <w:tc>
          <w:tcPr>
            <w:tcW w:w="1249" w:type="dxa"/>
            <w:tcBorders>
              <w:right w:val="single" w:color="auto" w:sz="12" w:space="0"/>
            </w:tcBorders>
            <w:noWrap/>
            <w:vAlign w:val="center"/>
          </w:tcPr>
          <w:p w14:paraId="1DDBF726">
            <w:pPr>
              <w:jc w:val="center"/>
              <w:rPr>
                <w:rFonts w:hint="eastAsia" w:ascii="宋体" w:hAnsi="宋体" w:eastAsia="宋体" w:cs="宋体"/>
                <w:sz w:val="21"/>
                <w:szCs w:val="21"/>
              </w:rPr>
            </w:pPr>
          </w:p>
        </w:tc>
      </w:tr>
    </w:tbl>
    <w:p w14:paraId="3228091A">
      <w:pPr>
        <w:widowControl/>
        <w:tabs>
          <w:tab w:val="left" w:pos="720"/>
          <w:tab w:val="left" w:pos="1260"/>
        </w:tabs>
        <w:spacing w:line="500" w:lineRule="exact"/>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br w:type="page"/>
      </w:r>
    </w:p>
    <w:p w14:paraId="3AAFDC79">
      <w:pPr>
        <w:widowControl/>
        <w:tabs>
          <w:tab w:val="left" w:pos="720"/>
          <w:tab w:val="left" w:pos="1260"/>
        </w:tabs>
        <w:spacing w:line="500" w:lineRule="exact"/>
        <w:ind w:right="-519" w:rightChars="-247"/>
        <w:jc w:val="left"/>
        <w:rPr>
          <w:rFonts w:hint="eastAsia" w:ascii="宋体" w:hAnsi="宋体" w:eastAsia="宋体" w:cs="宋体"/>
          <w:b/>
          <w:kern w:val="0"/>
          <w:sz w:val="21"/>
          <w:szCs w:val="21"/>
        </w:rPr>
      </w:pPr>
      <w:r>
        <w:rPr>
          <w:rFonts w:hint="eastAsia" w:ascii="宋体" w:hAnsi="宋体" w:eastAsia="宋体" w:cs="宋体"/>
          <w:b/>
          <w:kern w:val="0"/>
          <w:sz w:val="21"/>
          <w:szCs w:val="21"/>
        </w:rPr>
        <w:t>附件五：关于场地使用之特别约定</w:t>
      </w:r>
    </w:p>
    <w:p w14:paraId="50FF8D0A">
      <w:pPr>
        <w:widowControl/>
        <w:tabs>
          <w:tab w:val="left" w:pos="720"/>
          <w:tab w:val="left" w:pos="1260"/>
        </w:tabs>
        <w:spacing w:line="500" w:lineRule="exact"/>
        <w:ind w:right="-519" w:rightChars="-247"/>
        <w:jc w:val="center"/>
        <w:rPr>
          <w:rFonts w:hint="eastAsia" w:ascii="宋体" w:hAnsi="宋体" w:eastAsia="宋体" w:cs="宋体"/>
          <w:b/>
          <w:kern w:val="0"/>
          <w:sz w:val="21"/>
          <w:szCs w:val="21"/>
        </w:rPr>
      </w:pPr>
    </w:p>
    <w:p w14:paraId="0B4D6C4B">
      <w:pPr>
        <w:widowControl/>
        <w:numPr>
          <w:ilvl w:val="0"/>
          <w:numId w:val="26"/>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乙方同意甲方或其代理人管理公司向乙方提出书面通知后，可在约定或指定时间进入该场地进行相关检测；</w:t>
      </w:r>
    </w:p>
    <w:p w14:paraId="608B915F">
      <w:pPr>
        <w:widowControl/>
        <w:numPr>
          <w:ilvl w:val="0"/>
          <w:numId w:val="26"/>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为保证物业之清洁卫生，乙方须负责把该场地的干式垃圾、废物，以管理公司指定的废物箱盛载，在管理公司指定的地点倒卸；湿式垃圾由乙方按照管理公司指定的方式处理；</w:t>
      </w:r>
    </w:p>
    <w:p w14:paraId="66B3791F">
      <w:pPr>
        <w:widowControl/>
        <w:numPr>
          <w:ilvl w:val="0"/>
          <w:numId w:val="26"/>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为保证物业之清洁卫生，乙方须负责把该场地的垃圾、废物，以管理公司指定的废物箱盛载，在管理公司指定的地点倒卸，因清理某种特殊种类的垃圾、废物(包括商业性垃圾)而产生的额外费用应由乙方负担；</w:t>
      </w:r>
    </w:p>
    <w:p w14:paraId="4C233A6E">
      <w:pPr>
        <w:widowControl/>
        <w:numPr>
          <w:ilvl w:val="0"/>
          <w:numId w:val="26"/>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为维护物业业主、租户正常经营的权利，</w:t>
      </w:r>
      <w:bookmarkStart w:id="37" w:name="_Hlk507779654"/>
      <w:r>
        <w:rPr>
          <w:rFonts w:hint="eastAsia" w:ascii="宋体" w:hAnsi="宋体" w:eastAsia="宋体" w:cs="宋体"/>
          <w:kern w:val="0"/>
          <w:sz w:val="21"/>
          <w:szCs w:val="21"/>
        </w:rPr>
        <w:t>乙方不得在该场地做出任何可能骚扰甲方、其它场地的业主、租客、使用人或任何毗邻该物业的建筑物的业主、租客、使用人的行为。倘经甲方2次警告后仍违反前述规定，甲方有权解除本合同</w:t>
      </w:r>
      <w:bookmarkEnd w:id="37"/>
      <w:r>
        <w:rPr>
          <w:rFonts w:hint="eastAsia" w:ascii="宋体" w:hAnsi="宋体" w:eastAsia="宋体" w:cs="宋体"/>
          <w:kern w:val="0"/>
          <w:sz w:val="21"/>
          <w:szCs w:val="21"/>
        </w:rPr>
        <w:t>；</w:t>
      </w:r>
    </w:p>
    <w:p w14:paraId="77EA3A56">
      <w:pPr>
        <w:widowControl/>
        <w:numPr>
          <w:ilvl w:val="0"/>
          <w:numId w:val="26"/>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为保障物业公共安全，乙方同意不应在该场地内产生、向外渗透、泄漏或容许在该场地内产生、向外渗透、泄漏有毒及有害的气体或气味；</w:t>
      </w:r>
    </w:p>
    <w:p w14:paraId="7A33F0AB">
      <w:pPr>
        <w:widowControl/>
        <w:numPr>
          <w:ilvl w:val="0"/>
          <w:numId w:val="26"/>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为保障物业公共安全，乙方同意不应在该物业任何进出口、楼梯、平台、通道、大堂或其它公共地方，铺设、安装、竖立、附加任何电线、电缆，或堆放或容许他人堆放任何货物、纸盒或障碍物等。因此而引起的所有损失、索赔、罚款或费用由乙方负责。管理公司有权处理该等物品，乙方承担相关费用；</w:t>
      </w:r>
    </w:p>
    <w:p w14:paraId="6C927FFE">
      <w:pPr>
        <w:widowControl/>
        <w:numPr>
          <w:ilvl w:val="0"/>
          <w:numId w:val="26"/>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为保障物业公共安全，除本合同明确列明乙方可在该场地内经营餐饮行业外，乙方同意不在该场地内预备食物，亦不使用器具烹煮或加热任何食物(正常商铺小型茶水间除外)；乙方同意不允许任何人士在该场地内留宿；</w:t>
      </w:r>
    </w:p>
    <w:p w14:paraId="42C818D5">
      <w:pPr>
        <w:widowControl/>
        <w:numPr>
          <w:ilvl w:val="0"/>
          <w:numId w:val="26"/>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为保障物业公共安全及清洁卫生，乙方同意不自行或允许任何第三方在该场地内饲养或放置任何宠物等；</w:t>
      </w:r>
    </w:p>
    <w:p w14:paraId="708A1D6D">
      <w:pPr>
        <w:widowControl/>
        <w:numPr>
          <w:ilvl w:val="0"/>
          <w:numId w:val="26"/>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为保障物业公共安全及清洁卫生，乙方须自费采取足够的措施及遵从甲方要求的步骤及预防措施，以防止白蚁、老鼠、蟑螂或其它害虫或寄生虫滋生；</w:t>
      </w:r>
    </w:p>
    <w:p w14:paraId="79972D3A">
      <w:pPr>
        <w:widowControl/>
        <w:numPr>
          <w:ilvl w:val="0"/>
          <w:numId w:val="26"/>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为保障物业公共安全和整体商业形象，乙方未征得甲方书面同意不应在该物业及该场地安装任何天线、接收器、管道、附属物、遮阳物、凉蓬、其它任何类型、性质的安装物和附属物；</w:t>
      </w:r>
    </w:p>
    <w:p w14:paraId="7E5DD485">
      <w:pPr>
        <w:widowControl/>
        <w:numPr>
          <w:ilvl w:val="0"/>
          <w:numId w:val="26"/>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为保持物业整体商业形象，乙方同意不在该场地外、该物业之内进行任何兜售、招徕；</w:t>
      </w:r>
    </w:p>
    <w:p w14:paraId="207C200C">
      <w:pPr>
        <w:widowControl/>
        <w:numPr>
          <w:ilvl w:val="0"/>
          <w:numId w:val="26"/>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为保持物业正常商业秩序，倘须装卸货物，乙方须使用管理公司指定的货物装卸区、出入口处及货物电梯，并在管理公司规定的时间内装卸货物；</w:t>
      </w:r>
    </w:p>
    <w:p w14:paraId="467A570C">
      <w:pPr>
        <w:widowControl/>
        <w:numPr>
          <w:ilvl w:val="0"/>
          <w:numId w:val="26"/>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为保障物业公共安全，乙方同意不以消费者电梯或自动扶梯作运货用途；</w:t>
      </w:r>
    </w:p>
    <w:p w14:paraId="4C119B55">
      <w:pPr>
        <w:widowControl/>
        <w:numPr>
          <w:ilvl w:val="0"/>
          <w:numId w:val="26"/>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为保障物业公共安全和整体商业形象，乙方同意不破坏、损毁或涂污该物业结构的任何部分，或该物业公共地方，包括楼梯、电梯、自动扶梯的任何装饰外貌，以及该物业的任何树木、植物、灌木及花草；</w:t>
      </w:r>
    </w:p>
    <w:p w14:paraId="0D91610B">
      <w:pPr>
        <w:widowControl/>
        <w:numPr>
          <w:ilvl w:val="0"/>
          <w:numId w:val="26"/>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为保障物业公共安全，乙方未获得甲方书面同意，不应改装该场地门户、消防出口现有之门锁、门闩及装配；</w:t>
      </w:r>
    </w:p>
    <w:p w14:paraId="0EEB13AE">
      <w:pPr>
        <w:widowControl/>
        <w:numPr>
          <w:ilvl w:val="0"/>
          <w:numId w:val="26"/>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为保障物业公共安全，乙方同意不在该场地内安装任何重量超过该场地原本楼板任何一部分设计所能承受的任何对象或器皿；</w:t>
      </w:r>
    </w:p>
    <w:p w14:paraId="0D8ED05B">
      <w:pPr>
        <w:widowControl/>
        <w:numPr>
          <w:ilvl w:val="0"/>
          <w:numId w:val="26"/>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乙方同意将承担疏忽或不当使用水管、沟渠、管道而造成该等设备出现任何破裂、堵塞及损毁而引起的由甲方进行维修的费用；</w:t>
      </w:r>
    </w:p>
    <w:p w14:paraId="76B4847D">
      <w:pPr>
        <w:widowControl/>
        <w:numPr>
          <w:ilvl w:val="0"/>
          <w:numId w:val="26"/>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乙方须在使用期内根据公共卫生机构或有关政府主管部门颁布的条例自费维持该场地内所使用的卫生间、卫生及储水设备，并一直处于令主管部门满意的清洁及可使用状态；</w:t>
      </w:r>
    </w:p>
    <w:p w14:paraId="280E9257">
      <w:pPr>
        <w:widowControl/>
        <w:numPr>
          <w:ilvl w:val="0"/>
          <w:numId w:val="26"/>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为保持物业良好的商业形象，乙方须在使用期内维持该场地包括所有的外围橱窗照明灯具、店面玻璃一直处于干净、清洁状态。</w:t>
      </w:r>
    </w:p>
    <w:p w14:paraId="32165ECA">
      <w:pPr>
        <w:widowControl/>
        <w:numPr>
          <w:ilvl w:val="0"/>
          <w:numId w:val="26"/>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乙方同意承担因乙方造成该物业公共地方任何部位的损坏而发生的维修费用及损失；</w:t>
      </w:r>
    </w:p>
    <w:p w14:paraId="5223A684">
      <w:pPr>
        <w:widowControl/>
        <w:numPr>
          <w:ilvl w:val="0"/>
          <w:numId w:val="26"/>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为保证物业能更好地符合使用需求及公共安全的目的，甲方保留在使用期内的任何时候，变更、修缮、及临时封闭该物业公共地方的门户、窗户、电动装置、电缆电线、水管通道、燃气管道、电梯、自动扶梯、防火、保安设备、空气调节设备等的权利，同时亦保留改变该物业公共地方布局、结构及安排的权利。甲方均无须对造成的影响向乙方作出补偿或赔偿。</w:t>
      </w:r>
    </w:p>
    <w:p w14:paraId="379B6BB1">
      <w:pPr>
        <w:widowControl/>
        <w:numPr>
          <w:ilvl w:val="0"/>
          <w:numId w:val="26"/>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乙方应注意对店铺人员进行安全操作教育及督促，并保证设备正常运作，因乙方操作不当或设备故障等原因引起任何安全事故，甲方有权对乙方断水断电，并要求乙方暂停营业，待安全隐患去除并取得甲方书面同意后再行营业，相关责任和损失由乙方自行承担。如造成甲方任何损失的，包括但不限于财产、人员、名誉等损失，甲方有权解除本合同本要求乙方承担相应违约责任。</w:t>
      </w:r>
    </w:p>
    <w:p w14:paraId="6ECBB95F">
      <w:pPr>
        <w:widowControl/>
        <w:numPr>
          <w:ilvl w:val="0"/>
          <w:numId w:val="26"/>
        </w:numPr>
        <w:tabs>
          <w:tab w:val="left" w:pos="720"/>
          <w:tab w:val="left" w:pos="1260"/>
        </w:tabs>
        <w:spacing w:line="500" w:lineRule="exact"/>
        <w:ind w:right="-519" w:rightChars="-247"/>
        <w:rPr>
          <w:rFonts w:hint="eastAsia" w:ascii="宋体" w:hAnsi="宋体" w:eastAsia="宋体" w:cs="宋体"/>
          <w:b/>
          <w:kern w:val="0"/>
          <w:sz w:val="21"/>
          <w:szCs w:val="21"/>
        </w:rPr>
      </w:pPr>
      <w:r>
        <w:rPr>
          <w:rFonts w:hint="eastAsia" w:ascii="宋体" w:hAnsi="宋体" w:eastAsia="宋体" w:cs="宋体"/>
          <w:b/>
          <w:kern w:val="0"/>
          <w:sz w:val="21"/>
          <w:szCs w:val="21"/>
        </w:rPr>
        <w:t>餐饮业特别条款：</w:t>
      </w:r>
    </w:p>
    <w:p w14:paraId="3E8CA439">
      <w:pPr>
        <w:widowControl/>
        <w:numPr>
          <w:ilvl w:val="0"/>
          <w:numId w:val="27"/>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乙方不得在该场地内使用液化石油汽或罐装气体；</w:t>
      </w:r>
    </w:p>
    <w:p w14:paraId="3966F495">
      <w:pPr>
        <w:widowControl/>
        <w:numPr>
          <w:ilvl w:val="0"/>
          <w:numId w:val="27"/>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乙方在该场地内所使用的盛载食物之容器、垃圾袋均需能化解并不含氯氟烃成分；</w:t>
      </w:r>
    </w:p>
    <w:p w14:paraId="5E4C6B49">
      <w:pPr>
        <w:widowControl/>
        <w:numPr>
          <w:ilvl w:val="0"/>
          <w:numId w:val="27"/>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乙方不得在该场地内进行生产、制造、加工或储存任何货物或商品，但与乙方在该场地内进行的餐饮业务活动有关的食品、饮料等货物或商品除外；</w:t>
      </w:r>
    </w:p>
    <w:p w14:paraId="7A1431E8">
      <w:pPr>
        <w:widowControl/>
        <w:numPr>
          <w:ilvl w:val="0"/>
          <w:numId w:val="27"/>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乙方须于对外营业之前根据有关政府环保单位、公共卫生部门等相关部门颁发的法规、规定自费在该场地内安装下列厨房、烹饪设备及排水设施（如适用），且该些设备、设施的款式设计在安装之前需征得甲方事先书面同意，并达到环保及公共卫生等部门要求：</w:t>
      </w:r>
    </w:p>
    <w:p w14:paraId="0254843B">
      <w:pPr>
        <w:widowControl/>
        <w:numPr>
          <w:ilvl w:val="0"/>
          <w:numId w:val="28"/>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水擦机；</w:t>
      </w:r>
    </w:p>
    <w:p w14:paraId="7E0CB642">
      <w:pPr>
        <w:widowControl/>
        <w:numPr>
          <w:ilvl w:val="0"/>
          <w:numId w:val="28"/>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油烟机及油烟净化装置；</w:t>
      </w:r>
    </w:p>
    <w:p w14:paraId="16CF22AE">
      <w:pPr>
        <w:widowControl/>
        <w:numPr>
          <w:ilvl w:val="0"/>
          <w:numId w:val="28"/>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碳水过滤器；</w:t>
      </w:r>
    </w:p>
    <w:p w14:paraId="6C224E20">
      <w:pPr>
        <w:widowControl/>
        <w:numPr>
          <w:ilvl w:val="0"/>
          <w:numId w:val="28"/>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隔油箱；</w:t>
      </w:r>
    </w:p>
    <w:p w14:paraId="408E3982">
      <w:pPr>
        <w:widowControl/>
        <w:numPr>
          <w:ilvl w:val="0"/>
          <w:numId w:val="28"/>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中段隔油井；</w:t>
      </w:r>
    </w:p>
    <w:p w14:paraId="4EF6797C">
      <w:pPr>
        <w:widowControl/>
        <w:numPr>
          <w:ilvl w:val="0"/>
          <w:numId w:val="28"/>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喷水折合篷；</w:t>
      </w:r>
    </w:p>
    <w:p w14:paraId="7183B207">
      <w:pPr>
        <w:widowControl/>
        <w:numPr>
          <w:ilvl w:val="0"/>
          <w:numId w:val="28"/>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排风扇；</w:t>
      </w:r>
    </w:p>
    <w:p w14:paraId="72FF5D21">
      <w:pPr>
        <w:widowControl/>
        <w:numPr>
          <w:ilvl w:val="0"/>
          <w:numId w:val="28"/>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泵及沟渠等排水设施；</w:t>
      </w:r>
    </w:p>
    <w:p w14:paraId="52B4B0B5">
      <w:pPr>
        <w:widowControl/>
        <w:numPr>
          <w:ilvl w:val="0"/>
          <w:numId w:val="28"/>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乙方专用的卫生间等卫生设施；</w:t>
      </w:r>
    </w:p>
    <w:p w14:paraId="37A37A8F">
      <w:pPr>
        <w:widowControl/>
        <w:numPr>
          <w:ilvl w:val="0"/>
          <w:numId w:val="28"/>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其他甲方要求安装的有关设备、设施；</w:t>
      </w:r>
    </w:p>
    <w:p w14:paraId="32AEA707">
      <w:pPr>
        <w:widowControl/>
        <w:numPr>
          <w:ilvl w:val="0"/>
          <w:numId w:val="28"/>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室内燃气管；</w:t>
      </w:r>
    </w:p>
    <w:p w14:paraId="3A32D6C6">
      <w:pPr>
        <w:widowControl/>
        <w:numPr>
          <w:ilvl w:val="0"/>
          <w:numId w:val="28"/>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燃气泄漏报警器；</w:t>
      </w:r>
    </w:p>
    <w:p w14:paraId="0F165B5E">
      <w:pPr>
        <w:widowControl/>
        <w:numPr>
          <w:ilvl w:val="0"/>
          <w:numId w:val="28"/>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燃气泄漏强制排风；</w:t>
      </w:r>
    </w:p>
    <w:p w14:paraId="21C03897">
      <w:pPr>
        <w:widowControl/>
        <w:numPr>
          <w:ilvl w:val="0"/>
          <w:numId w:val="27"/>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乙方须在使用期内根据甲方的要求自费维修保养、更新替换、清洁在该场地内由乙方安装的前述设备、设施，并使该等设备、设施在使用过程中一直处于甲方满意的清洁、畅通及可使用状态。若甲方要求，乙方应向甲方提供有关的该等设备、设施维修保养的合同或契约。若乙方未能按甲方的要求负责对该等设施、设备进行维修保养、更新替换、清洁，则甲方有权自行聘请其他专业人员提供该等服务，因此而产生的一切费用应由乙方承担。</w:t>
      </w:r>
    </w:p>
    <w:p w14:paraId="4F852D8B">
      <w:pPr>
        <w:widowControl/>
        <w:numPr>
          <w:ilvl w:val="0"/>
          <w:numId w:val="27"/>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在使用期内，乙方必须遵守及符合国家有关废气排放、废物或污物处理的法律、法规或规章的规定以及有关政府主管部门（包括但不限于环保部门）颁布的条例、广泛性文件或规定，并根据法律、法规的有关规定安装、设立或设置任何必须的设备或设施。</w:t>
      </w:r>
    </w:p>
    <w:p w14:paraId="20467E2A">
      <w:pPr>
        <w:widowControl/>
        <w:numPr>
          <w:ilvl w:val="0"/>
          <w:numId w:val="27"/>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乙方保证按照国家及地方有关食品安全的法律法规从事经营活动，因乙方违反上述规定造成顾客或其他第三人损失的，由乙方自行解决并承担全部责任，甲方对此不承担任何责任；由此造成甲方被顾客或其他第三人投诉、提起诉讼、仲裁、被有关主管部门处罚或影响甲方商业形象或商业信誉的，由乙方承担全部责任，包括但不限于赔偿甲方因此受到的索赔、处罚、支付的损害赔偿金、诉讼费、律师费及在大型媒体上因给甲方造成的商业形象或信誉损害作出公开澄清、赔偿等，甲方亦有权单方面解除合同。</w:t>
      </w:r>
    </w:p>
    <w:p w14:paraId="39C06CA2">
      <w:pPr>
        <w:widowControl/>
        <w:numPr>
          <w:ilvl w:val="0"/>
          <w:numId w:val="26"/>
        </w:numPr>
        <w:tabs>
          <w:tab w:val="left" w:pos="720"/>
          <w:tab w:val="left" w:pos="1260"/>
        </w:tabs>
        <w:spacing w:line="500" w:lineRule="exact"/>
        <w:ind w:right="-519" w:rightChars="-247"/>
        <w:rPr>
          <w:rFonts w:hint="eastAsia" w:ascii="宋体" w:hAnsi="宋体" w:eastAsia="宋体" w:cs="宋体"/>
          <w:b/>
          <w:kern w:val="0"/>
          <w:sz w:val="21"/>
          <w:szCs w:val="21"/>
        </w:rPr>
      </w:pPr>
      <w:r>
        <w:rPr>
          <w:rFonts w:hint="eastAsia" w:ascii="宋体" w:hAnsi="宋体" w:eastAsia="宋体" w:cs="宋体"/>
          <w:b/>
          <w:kern w:val="0"/>
          <w:sz w:val="21"/>
          <w:szCs w:val="21"/>
        </w:rPr>
        <w:t>储值型商户特别条款</w:t>
      </w:r>
    </w:p>
    <w:p w14:paraId="0EF1F13C">
      <w:pPr>
        <w:widowControl/>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如乙方使用该场地发售或委托发售会员卡等任何形式的商业预付卡，应遵守本条款之特别约定：</w:t>
      </w:r>
    </w:p>
    <w:p w14:paraId="57A1A1FB">
      <w:pPr>
        <w:widowControl/>
        <w:numPr>
          <w:ilvl w:val="0"/>
          <w:numId w:val="29"/>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乙方承诺，按照相关法律规定的程序进行会员卡的发行工作，包括按规定进行备案、开立资金存管账户等。</w:t>
      </w:r>
    </w:p>
    <w:p w14:paraId="51FC43B4">
      <w:pPr>
        <w:widowControl/>
        <w:numPr>
          <w:ilvl w:val="0"/>
          <w:numId w:val="29"/>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乙方承诺，在使用期满至少提前三个月（如使用合同提前终止的，乙方应在合同终止后5日内），在场地张贴一份甲方指定内容的《关于停止会员卡充值和使用的通知》，如乙方逾期未履行的，甲方有权自行或委托第三方发布相关内容，乙方对此确认无异议。</w:t>
      </w:r>
    </w:p>
    <w:p w14:paraId="37B2A4EE">
      <w:pPr>
        <w:widowControl/>
        <w:numPr>
          <w:ilvl w:val="0"/>
          <w:numId w:val="29"/>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使用期届满或本合同提前终止时，乙方承诺自行处理与其消费者之间的费用结算等事宜，包括但不限于商业预付卡卡内余额退还等，甲方对此不承担任何责</w:t>
      </w:r>
    </w:p>
    <w:p w14:paraId="67F4A853">
      <w:pPr>
        <w:widowControl/>
        <w:numPr>
          <w:ilvl w:val="255"/>
          <w:numId w:val="0"/>
        </w:numPr>
        <w:spacing w:line="500" w:lineRule="exact"/>
        <w:ind w:left="712" w:leftChars="339" w:right="-519" w:rightChars="-247"/>
        <w:jc w:val="left"/>
        <w:rPr>
          <w:rFonts w:hint="eastAsia" w:ascii="宋体" w:hAnsi="宋体" w:eastAsia="宋体" w:cs="宋体"/>
          <w:kern w:val="0"/>
          <w:sz w:val="21"/>
          <w:szCs w:val="21"/>
        </w:rPr>
      </w:pPr>
      <w:r>
        <w:rPr>
          <w:rFonts w:hint="eastAsia" w:ascii="宋体" w:hAnsi="宋体" w:eastAsia="宋体" w:cs="宋体"/>
          <w:kern w:val="0"/>
          <w:sz w:val="21"/>
          <w:szCs w:val="21"/>
        </w:rPr>
        <w:t>任。甲方因处理前述事宜而支出费用或受到损失的，由此发生的一切费用和损失均由乙方承担。</w:t>
      </w:r>
    </w:p>
    <w:p w14:paraId="3E68C85B">
      <w:pPr>
        <w:widowControl/>
        <w:numPr>
          <w:ilvl w:val="0"/>
          <w:numId w:val="29"/>
        </w:numPr>
        <w:tabs>
          <w:tab w:val="left" w:pos="720"/>
          <w:tab w:val="left" w:pos="1260"/>
        </w:tabs>
        <w:spacing w:line="500" w:lineRule="exact"/>
        <w:ind w:right="-519" w:rightChars="-247"/>
        <w:rPr>
          <w:rFonts w:hint="eastAsia" w:ascii="宋体" w:hAnsi="宋体" w:eastAsia="宋体" w:cs="宋体"/>
          <w:kern w:val="0"/>
          <w:sz w:val="21"/>
          <w:szCs w:val="21"/>
        </w:rPr>
      </w:pPr>
      <w:r>
        <w:rPr>
          <w:rFonts w:hint="eastAsia" w:ascii="宋体" w:hAnsi="宋体" w:eastAsia="宋体" w:cs="宋体"/>
          <w:kern w:val="0"/>
          <w:sz w:val="21"/>
          <w:szCs w:val="21"/>
        </w:rPr>
        <w:t xml:space="preserve"> 乙方承诺遵守本合同第十四条之约定并承诺放弃该条款规定的“被视为放弃物”物品的所有权，甲方届时有权拍卖、变卖、自行使用或以其他方式处置该等物品，并有权将处置该等物品所得价款用于处理相关消费者索赔及投诉事宜。</w:t>
      </w:r>
    </w:p>
    <w:p w14:paraId="35CD7A5A">
      <w:pPr>
        <w:spacing w:line="360" w:lineRule="auto"/>
        <w:ind w:right="-519" w:rightChars="-247"/>
        <w:rPr>
          <w:rFonts w:hint="eastAsia" w:ascii="宋体" w:hAnsi="宋体" w:eastAsia="宋体" w:cs="宋体"/>
          <w:bCs/>
          <w:color w:val="000000"/>
          <w:sz w:val="21"/>
          <w:szCs w:val="21"/>
        </w:rPr>
      </w:pPr>
      <w:r>
        <w:rPr>
          <w:rFonts w:hint="eastAsia" w:ascii="宋体" w:hAnsi="宋体" w:eastAsia="宋体" w:cs="宋体"/>
          <w:bCs/>
          <w:color w:val="000000"/>
          <w:sz w:val="21"/>
          <w:szCs w:val="21"/>
        </w:rPr>
        <w:t>（以下无正文）</w:t>
      </w:r>
    </w:p>
    <w:p w14:paraId="4F3FFBA8">
      <w:pPr>
        <w:spacing w:line="360" w:lineRule="auto"/>
        <w:ind w:left="630" w:leftChars="300" w:right="-519" w:rightChars="-247"/>
        <w:rPr>
          <w:rFonts w:hint="eastAsia" w:ascii="宋体" w:hAnsi="宋体" w:eastAsia="宋体" w:cs="宋体"/>
          <w:b/>
          <w:bCs/>
          <w:color w:val="000000"/>
          <w:sz w:val="21"/>
          <w:szCs w:val="21"/>
        </w:rPr>
      </w:pPr>
    </w:p>
    <w:p w14:paraId="41C83AA2">
      <w:pPr>
        <w:spacing w:line="360" w:lineRule="auto"/>
        <w:ind w:right="-519" w:rightChars="-247"/>
        <w:rPr>
          <w:rFonts w:hint="eastAsia" w:ascii="宋体" w:hAnsi="宋体" w:eastAsia="宋体" w:cs="宋体"/>
          <w:sz w:val="21"/>
          <w:szCs w:val="21"/>
        </w:rPr>
        <w:sectPr>
          <w:pgSz w:w="11906" w:h="16838"/>
          <w:pgMar w:top="1440" w:right="1800" w:bottom="1440" w:left="1800" w:header="851" w:footer="992" w:gutter="0"/>
          <w:pgNumType w:fmt="decimal"/>
          <w:cols w:space="425" w:num="1"/>
          <w:docGrid w:type="lines" w:linePitch="312" w:charSpace="0"/>
        </w:sectPr>
      </w:pPr>
    </w:p>
    <w:p w14:paraId="25D8B0E6">
      <w:pPr>
        <w:pStyle w:val="18"/>
        <w:ind w:right="-519" w:rightChars="-247"/>
        <w:rPr>
          <w:rFonts w:hint="eastAsia" w:ascii="宋体" w:hAnsi="宋体" w:eastAsia="宋体" w:cs="宋体"/>
          <w:b/>
          <w:bCs w:val="0"/>
          <w:sz w:val="21"/>
          <w:szCs w:val="21"/>
        </w:rPr>
      </w:pPr>
      <w:r>
        <w:rPr>
          <w:rFonts w:hint="eastAsia" w:ascii="宋体" w:hAnsi="宋体" w:eastAsia="宋体" w:cs="宋体"/>
          <w:b/>
          <w:bCs w:val="0"/>
          <w:sz w:val="21"/>
          <w:szCs w:val="21"/>
        </w:rPr>
        <w:t>附件六：</w:t>
      </w:r>
    </w:p>
    <w:p w14:paraId="1ED15DC5">
      <w:pPr>
        <w:pStyle w:val="2"/>
        <w:spacing w:line="360" w:lineRule="auto"/>
        <w:ind w:right="-519" w:rightChars="-247" w:firstLine="0"/>
        <w:jc w:val="center"/>
        <w:rPr>
          <w:rFonts w:hint="eastAsia" w:ascii="宋体" w:hAnsi="宋体" w:eastAsia="宋体" w:cs="宋体"/>
          <w:sz w:val="21"/>
          <w:szCs w:val="21"/>
        </w:rPr>
      </w:pPr>
      <w:r>
        <w:rPr>
          <w:rFonts w:hint="eastAsia" w:ascii="宋体" w:hAnsi="宋体" w:eastAsia="宋体" w:cs="宋体"/>
          <w:b/>
          <w:sz w:val="21"/>
          <w:szCs w:val="21"/>
        </w:rPr>
        <w:t>南通轨道资源开发有限公司外单位作业安全、消防、治安管理协议</w:t>
      </w:r>
    </w:p>
    <w:p w14:paraId="0D8683CD">
      <w:pPr>
        <w:adjustRightInd w:val="0"/>
        <w:snapToGrid w:val="0"/>
        <w:spacing w:line="360" w:lineRule="auto"/>
        <w:ind w:right="-519" w:rightChars="-247" w:firstLine="420" w:firstLineChars="200"/>
        <w:rPr>
          <w:rFonts w:hint="eastAsia" w:ascii="宋体" w:hAnsi="宋体" w:eastAsia="宋体" w:cs="宋体"/>
          <w:sz w:val="21"/>
          <w:szCs w:val="21"/>
        </w:rPr>
      </w:pPr>
    </w:p>
    <w:p w14:paraId="10ABC265">
      <w:pPr>
        <w:adjustRightInd w:val="0"/>
        <w:snapToGrid w:val="0"/>
        <w:spacing w:line="360" w:lineRule="auto"/>
        <w:ind w:right="-519" w:rightChars="-247"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甲方：南通轨道资源开发有限公司</w:t>
      </w:r>
    </w:p>
    <w:p w14:paraId="51EE848C">
      <w:pPr>
        <w:adjustRightInd w:val="0"/>
        <w:snapToGrid w:val="0"/>
        <w:spacing w:line="360" w:lineRule="auto"/>
        <w:ind w:right="-519" w:rightChars="-247"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乙方：                        </w:t>
      </w:r>
    </w:p>
    <w:p w14:paraId="75F9A9BF">
      <w:pPr>
        <w:adjustRightInd w:val="0"/>
        <w:snapToGrid w:val="0"/>
        <w:spacing w:line="360" w:lineRule="auto"/>
        <w:ind w:right="-519" w:rightChars="-247"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为了认真贯彻落实《中华人民共和国安全生产法》、《中华人民共和国消防法》、《江苏省安全生产条例》等相关安全生产的法律法规要求，创造安全的经营环境，甲乙双方自愿达成本协议，共同遵守执行。</w:t>
      </w:r>
    </w:p>
    <w:p w14:paraId="1E0C242F">
      <w:pPr>
        <w:adjustRightInd w:val="0"/>
        <w:snapToGrid w:val="0"/>
        <w:spacing w:line="360" w:lineRule="auto"/>
        <w:ind w:right="-519" w:rightChars="-247"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一、项目概况：</w:t>
      </w:r>
    </w:p>
    <w:p w14:paraId="39AC8048">
      <w:pPr>
        <w:adjustRightInd w:val="0"/>
        <w:snapToGrid w:val="0"/>
        <w:spacing w:line="360" w:lineRule="auto"/>
        <w:ind w:right="-519" w:rightChars="-247"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项目名称：南通轨道交通1、2号线一期工程场地出租项目</w:t>
      </w:r>
    </w:p>
    <w:p w14:paraId="6FF87E39">
      <w:pPr>
        <w:adjustRightInd w:val="0"/>
        <w:snapToGrid w:val="0"/>
        <w:spacing w:line="360" w:lineRule="auto"/>
        <w:ind w:right="-519" w:rightChars="-247" w:firstLine="420" w:firstLineChars="200"/>
        <w:rPr>
          <w:rFonts w:hint="eastAsia" w:ascii="宋体" w:hAnsi="宋体" w:eastAsia="宋体" w:cs="宋体"/>
          <w:color w:val="000000"/>
          <w:spacing w:val="6"/>
          <w:kern w:val="0"/>
          <w:sz w:val="21"/>
          <w:szCs w:val="21"/>
          <w:highlight w:val="none"/>
        </w:rPr>
      </w:pPr>
      <w:r>
        <w:rPr>
          <w:rFonts w:hint="eastAsia" w:ascii="宋体" w:hAnsi="宋体" w:eastAsia="宋体" w:cs="宋体"/>
          <w:sz w:val="21"/>
          <w:szCs w:val="21"/>
          <w:highlight w:val="none"/>
        </w:rPr>
        <w:t>项目地点：</w:t>
      </w:r>
      <w:r>
        <w:rPr>
          <w:rFonts w:hint="eastAsia" w:ascii="宋体" w:hAnsi="宋体" w:eastAsia="宋体" w:cs="宋体"/>
          <w:color w:val="000000"/>
          <w:spacing w:val="6"/>
          <w:kern w:val="0"/>
          <w:sz w:val="21"/>
          <w:szCs w:val="21"/>
          <w:highlight w:val="none"/>
        </w:rPr>
        <w:t>【体育公园</w:t>
      </w:r>
      <w:r>
        <w:rPr>
          <w:rFonts w:hint="eastAsia" w:ascii="宋体" w:hAnsi="宋体" w:eastAsia="宋体" w:cs="宋体"/>
          <w:sz w:val="21"/>
          <w:szCs w:val="21"/>
          <w:highlight w:val="none"/>
        </w:rPr>
        <w:t>附属空间</w:t>
      </w:r>
      <w:r>
        <w:rPr>
          <w:rFonts w:hint="eastAsia" w:ascii="宋体" w:hAnsi="宋体" w:eastAsia="宋体" w:cs="宋体"/>
          <w:color w:val="000000"/>
          <w:spacing w:val="6"/>
          <w:kern w:val="0"/>
          <w:sz w:val="21"/>
          <w:szCs w:val="21"/>
          <w:highlight w:val="none"/>
        </w:rPr>
        <w:t>】区域【10</w:t>
      </w:r>
      <w:r>
        <w:rPr>
          <w:rFonts w:hint="eastAsia" w:ascii="宋体" w:hAnsi="宋体" w:eastAsia="宋体" w:cs="宋体"/>
          <w:color w:val="000000"/>
          <w:spacing w:val="6"/>
          <w:kern w:val="0"/>
          <w:sz w:val="21"/>
          <w:szCs w:val="21"/>
          <w:highlight w:val="none"/>
          <w:lang w:val="en-US" w:eastAsia="zh-CN"/>
        </w:rPr>
        <w:t>5</w:t>
      </w:r>
      <w:r>
        <w:rPr>
          <w:rFonts w:hint="eastAsia" w:ascii="宋体" w:hAnsi="宋体" w:eastAsia="宋体" w:cs="宋体"/>
          <w:color w:val="000000"/>
          <w:spacing w:val="6"/>
          <w:kern w:val="0"/>
          <w:sz w:val="21"/>
          <w:szCs w:val="21"/>
          <w:highlight w:val="none"/>
        </w:rPr>
        <w:t>】号</w:t>
      </w:r>
    </w:p>
    <w:p w14:paraId="6EC7EB5A">
      <w:pPr>
        <w:adjustRightInd w:val="0"/>
        <w:snapToGrid w:val="0"/>
        <w:spacing w:line="360" w:lineRule="auto"/>
        <w:ind w:right="-519" w:rightChars="-247"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项目负责人：</w:t>
      </w:r>
    </w:p>
    <w:p w14:paraId="6E5BD9E9">
      <w:pPr>
        <w:adjustRightInd w:val="0"/>
        <w:snapToGrid w:val="0"/>
        <w:spacing w:line="360" w:lineRule="auto"/>
        <w:ind w:right="-519" w:rightChars="-247" w:firstLine="422" w:firstLineChars="200"/>
        <w:rPr>
          <w:rFonts w:hint="eastAsia" w:ascii="宋体" w:hAnsi="宋体" w:eastAsia="宋体" w:cs="宋体"/>
          <w:b/>
          <w:bCs/>
          <w:sz w:val="21"/>
          <w:szCs w:val="21"/>
        </w:rPr>
      </w:pPr>
      <w:r>
        <w:rPr>
          <w:rFonts w:hint="eastAsia" w:ascii="宋体" w:hAnsi="宋体" w:eastAsia="宋体" w:cs="宋体"/>
          <w:b/>
          <w:bCs/>
          <w:sz w:val="21"/>
          <w:szCs w:val="21"/>
        </w:rPr>
        <w:t>二、安全目标：</w:t>
      </w:r>
    </w:p>
    <w:p w14:paraId="55522A75">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1.不发生生产安全死亡事故及重伤事故。</w:t>
      </w:r>
    </w:p>
    <w:p w14:paraId="3BD7C33D">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2.不发生由政府相关部门负责调查处理的火灾（爆炸）事故。</w:t>
      </w:r>
    </w:p>
    <w:p w14:paraId="619E8C71">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3.不发生中毒、污染事故。</w:t>
      </w:r>
    </w:p>
    <w:p w14:paraId="34E3F989">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4.不发生产生重大影响的社会安全事件和公共卫生事件。</w:t>
      </w:r>
    </w:p>
    <w:p w14:paraId="7A1BCC36">
      <w:pPr>
        <w:adjustRightInd w:val="0"/>
        <w:snapToGrid w:val="0"/>
        <w:spacing w:line="360" w:lineRule="auto"/>
        <w:ind w:right="-519" w:rightChars="-247" w:firstLine="422" w:firstLineChars="200"/>
        <w:rPr>
          <w:rFonts w:hint="eastAsia" w:ascii="宋体" w:hAnsi="宋体" w:eastAsia="宋体" w:cs="宋体"/>
          <w:b/>
          <w:bCs/>
          <w:sz w:val="21"/>
          <w:szCs w:val="21"/>
        </w:rPr>
      </w:pPr>
      <w:r>
        <w:rPr>
          <w:rFonts w:hint="eastAsia" w:ascii="宋体" w:hAnsi="宋体" w:eastAsia="宋体" w:cs="宋体"/>
          <w:b/>
          <w:bCs/>
          <w:sz w:val="21"/>
          <w:szCs w:val="21"/>
        </w:rPr>
        <w:t>三、甲方安全责任和义务</w:t>
      </w:r>
    </w:p>
    <w:p w14:paraId="12738630">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1、甲方应向乙方提供必要的技术或相关资料；</w:t>
      </w:r>
    </w:p>
    <w:p w14:paraId="6D1942BF">
      <w:pPr>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2、甲方应对乙方的安全生产工作统一协调、管理，定期进行安全检查并记录。</w:t>
      </w:r>
    </w:p>
    <w:p w14:paraId="52F32ADB">
      <w:pPr>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3、甲方负责督促乙方开展安全达标活动，及时传达和部署上级的有关安全生产精神和要求，加强安全生产的指导和协调。</w:t>
      </w:r>
    </w:p>
    <w:p w14:paraId="71704178">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4、甲方负责对乙方安全管理情况进行监督检查，对发现的不合格项甲方有权制止、责成其限期整改。因乙方的过失造成的经济损失由乙方承担。</w:t>
      </w:r>
    </w:p>
    <w:p w14:paraId="36669AEC">
      <w:pPr>
        <w:adjustRightInd w:val="0"/>
        <w:snapToGrid w:val="0"/>
        <w:spacing w:line="360" w:lineRule="auto"/>
        <w:ind w:right="-519" w:rightChars="-247" w:firstLine="422" w:firstLineChars="200"/>
        <w:rPr>
          <w:rFonts w:hint="eastAsia" w:ascii="宋体" w:hAnsi="宋体" w:eastAsia="宋体" w:cs="宋体"/>
          <w:b/>
          <w:bCs/>
          <w:sz w:val="21"/>
          <w:szCs w:val="21"/>
        </w:rPr>
      </w:pPr>
      <w:r>
        <w:rPr>
          <w:rFonts w:hint="eastAsia" w:ascii="宋体" w:hAnsi="宋体" w:eastAsia="宋体" w:cs="宋体"/>
          <w:b/>
          <w:bCs/>
          <w:sz w:val="21"/>
          <w:szCs w:val="21"/>
        </w:rPr>
        <w:t>二、乙方安全责任和义务</w:t>
      </w:r>
    </w:p>
    <w:p w14:paraId="3A3C5CEF">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1、安全生产坚持“谁主管，谁负责”的原则，乙方必须履行甲方各项安全生产管理规章制度，对违反相关安全管理制度和规章，造成事件和不良事件的，乙方承担相应责任。</w:t>
      </w:r>
    </w:p>
    <w:p w14:paraId="18490666">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2、乙方应自觉遵守、执行国家有关安全生产的各项法律法规、规章及规范性文件，并严格遵守甲方有关安全生产的各项规章制度和管理，及时宣贯、落实甲方管理要求，加强自身安全生产管理，履行自身的安全义务。</w:t>
      </w:r>
    </w:p>
    <w:p w14:paraId="702156B5">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3、乙方必须对乙方各岗位人员进行安全教育和安全培训，保证相关人员具备安全生产知识，熟悉安全生产规章制度和安全操作规程，掌握本岗位的安全操作技能，了解事故（事件）应急处理措施。</w:t>
      </w:r>
    </w:p>
    <w:p w14:paraId="00DC67FE">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4、乙方应确保经营期间不出售或存放任何危险性、易燃易爆性、腐蚀性、毒性物品和所有管制物品；应确保经营期间不使用明火等同类性质的产品，不产生明烟、异味等干扰或有可能干扰地铁正常运营的因素。</w:t>
      </w:r>
    </w:p>
    <w:p w14:paraId="0B893873">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5、乙方应应主动及时完成经营所需的工商登记、税务登记、食品卫生等证照，以及必要的环保、治安、消防等手续，严格执行政府职能部门有关商品质量、物价、安全、消防、卫生、环保等方面的法律、法规。</w:t>
      </w:r>
    </w:p>
    <w:p w14:paraId="6B7D40B4">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6、乙方须规范用工，遵从国家劳动人事法律法规，确保任何情况下不因其经济纠纷或与员工的任何纠纷，导致经营期间发生群体性事件，影响地铁的整体形象。</w:t>
      </w:r>
    </w:p>
    <w:p w14:paraId="358B808D">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7、对于占用公共空间的乙方物品，甲方有权移去并对物品遗失概不负责，并有权向乙方收取因此产生的一切费用，若因乙方物品占用公共空间导致安全事故，相关责任及费用由乙方承担。</w:t>
      </w:r>
    </w:p>
    <w:p w14:paraId="06C27046">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8、本项目及地铁车站内严禁吸烟，携带宠物。乙方发现顾客在本项目内有吸烟、携带宠物行为，须及时阻止。</w:t>
      </w:r>
    </w:p>
    <w:p w14:paraId="437162FB">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9、乙方运送各类用具、货物、设备、装置或大件物品的时间须避开地铁运营高峰时段（以甲方指定的时间为准），仅可使用指定的设备及路线运送上述物件，不得妨碍交通、消防通道，不得影响地铁的正常运营。严禁擅自使用客用手扶电梯和残疾人电梯运送货物或大件物品。</w:t>
      </w:r>
    </w:p>
    <w:p w14:paraId="41EE9587">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10、甲方、地铁公安部门相关人员出示证件后有权进入本项目场地，对治安、消防、卫生及商品进行检查。乙方有责任配合工商、税务、公安等部门依法处理各种违法违纪事件。</w:t>
      </w:r>
    </w:p>
    <w:p w14:paraId="4D4A4550">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11、乙方须定期对线路、设备使用情况进行检查，发现故障、隐患须立即排除。</w:t>
      </w:r>
    </w:p>
    <w:p w14:paraId="521ADD89">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12、乙方须保持本项目设施及其附属物，包括所有的卷帘门、电动装置、电线、水管等处于正常、良好、清洁及妥当的修缮状态；不得妨碍任何消防设备的正常操作，严禁占用或堵塞消防通道，保持消防区及楼梯通道和出口畅通无阻。</w:t>
      </w:r>
    </w:p>
    <w:p w14:paraId="2614A530">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13、每日营业时间结束后，乙方及其员工须对本项目进行彻底检查，清除安全隐患，关闭不必要的用电设备，做好防火、防盗工作，检查无误后方可离开；乙方员工不允许在本项目内留宿，或利用其室内作住宿用途。</w:t>
      </w:r>
    </w:p>
    <w:p w14:paraId="3CD8A588">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14、乙方须根据消防规范要求在本项目内配备合格的灭火器，并定期检查、更换，确保各种消防器材和装置处于良好状态。灭火器应放置于容易取用的地方并遵守地铁属地管理单位提出的管理规定。</w:t>
      </w:r>
    </w:p>
    <w:p w14:paraId="3FC0AF1A">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15、乙方应维护本项目持续稳定经营的经营氛围与良好环境。严禁在本项目内起哄闹事，打架斗殴和聚赌等。</w:t>
      </w:r>
    </w:p>
    <w:p w14:paraId="71DE52E0">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16、发生治安、火灾等突发案件或发现可疑对象，乙方须及时报告地铁车站、车站派出所和甲方。</w:t>
      </w:r>
    </w:p>
    <w:p w14:paraId="5CB5EA7C">
      <w:pPr>
        <w:adjustRightInd w:val="0"/>
        <w:snapToGrid w:val="0"/>
        <w:spacing w:line="360" w:lineRule="auto"/>
        <w:ind w:right="-519" w:rightChars="-247" w:firstLine="420" w:firstLineChars="200"/>
        <w:rPr>
          <w:rFonts w:hint="eastAsia" w:ascii="宋体" w:hAnsi="宋体" w:eastAsia="宋体" w:cs="宋体"/>
          <w:sz w:val="21"/>
          <w:szCs w:val="21"/>
        </w:rPr>
      </w:pPr>
      <w:r>
        <w:rPr>
          <w:rFonts w:hint="eastAsia" w:ascii="宋体" w:hAnsi="宋体" w:eastAsia="宋体" w:cs="宋体"/>
          <w:sz w:val="21"/>
          <w:szCs w:val="21"/>
        </w:rPr>
        <w:t>17、乙方应认真学习《南通轨道资源开发有限公司安全管理办法》、《南通轨道资源开发有限公司外单位作业安全管理办法》，按甲方管理要求开展各项安全生产工作。</w:t>
      </w:r>
    </w:p>
    <w:p w14:paraId="2834FE02">
      <w:pPr>
        <w:adjustRightInd w:val="0"/>
        <w:snapToGrid w:val="0"/>
        <w:spacing w:line="360" w:lineRule="auto"/>
        <w:rPr>
          <w:rFonts w:hint="eastAsia" w:ascii="宋体" w:hAnsi="宋体" w:eastAsia="宋体" w:cs="宋体"/>
          <w:sz w:val="21"/>
          <w:szCs w:val="21"/>
        </w:rPr>
      </w:pP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0"/>
        <w:gridCol w:w="4256"/>
      </w:tblGrid>
      <w:tr w14:paraId="2148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1CECB5F6">
            <w:pPr>
              <w:adjustRightInd w:val="0"/>
              <w:snapToGrid w:val="0"/>
              <w:spacing w:line="480" w:lineRule="auto"/>
              <w:jc w:val="both"/>
              <w:rPr>
                <w:rFonts w:hint="eastAsia" w:ascii="宋体" w:hAnsi="宋体" w:eastAsia="宋体" w:cs="宋体"/>
                <w:sz w:val="21"/>
                <w:szCs w:val="21"/>
              </w:rPr>
            </w:pPr>
            <w:r>
              <w:rPr>
                <w:rFonts w:hint="eastAsia" w:ascii="宋体" w:hAnsi="宋体" w:eastAsia="宋体" w:cs="宋体"/>
                <w:sz w:val="21"/>
                <w:szCs w:val="21"/>
              </w:rPr>
              <w:t>甲方(公章)：</w:t>
            </w:r>
          </w:p>
        </w:tc>
        <w:tc>
          <w:tcPr>
            <w:tcW w:w="4419" w:type="dxa"/>
            <w:vAlign w:val="center"/>
          </w:tcPr>
          <w:p w14:paraId="1B12F1EC">
            <w:pPr>
              <w:adjustRightInd w:val="0"/>
              <w:snapToGrid w:val="0"/>
              <w:spacing w:line="480" w:lineRule="auto"/>
              <w:jc w:val="both"/>
              <w:rPr>
                <w:rFonts w:hint="eastAsia" w:ascii="宋体" w:hAnsi="宋体" w:eastAsia="宋体" w:cs="宋体"/>
                <w:sz w:val="21"/>
                <w:szCs w:val="21"/>
              </w:rPr>
            </w:pPr>
            <w:r>
              <w:rPr>
                <w:rFonts w:hint="eastAsia" w:ascii="宋体" w:hAnsi="宋体" w:eastAsia="宋体" w:cs="宋体"/>
                <w:sz w:val="21"/>
                <w:szCs w:val="21"/>
              </w:rPr>
              <w:t>乙方(公章):</w:t>
            </w:r>
          </w:p>
        </w:tc>
      </w:tr>
      <w:tr w14:paraId="342A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2D627EE2">
            <w:pPr>
              <w:adjustRightInd w:val="0"/>
              <w:snapToGrid w:val="0"/>
              <w:spacing w:line="480" w:lineRule="auto"/>
              <w:jc w:val="both"/>
              <w:rPr>
                <w:rFonts w:hint="eastAsia" w:ascii="宋体" w:hAnsi="宋体" w:eastAsia="宋体" w:cs="宋体"/>
                <w:sz w:val="21"/>
                <w:szCs w:val="21"/>
              </w:rPr>
            </w:pPr>
          </w:p>
          <w:p w14:paraId="5E62DDBF">
            <w:pPr>
              <w:adjustRightInd w:val="0"/>
              <w:snapToGrid w:val="0"/>
              <w:spacing w:line="480" w:lineRule="auto"/>
              <w:jc w:val="both"/>
              <w:rPr>
                <w:rFonts w:hint="eastAsia" w:ascii="宋体" w:hAnsi="宋体" w:eastAsia="宋体" w:cs="宋体"/>
                <w:sz w:val="21"/>
                <w:szCs w:val="21"/>
              </w:rPr>
            </w:pPr>
            <w:r>
              <w:rPr>
                <w:rFonts w:hint="eastAsia" w:ascii="宋体" w:hAnsi="宋体" w:eastAsia="宋体" w:cs="宋体"/>
                <w:sz w:val="21"/>
                <w:szCs w:val="21"/>
              </w:rPr>
              <w:t>法定代表人：</w:t>
            </w:r>
          </w:p>
        </w:tc>
        <w:tc>
          <w:tcPr>
            <w:tcW w:w="4419" w:type="dxa"/>
            <w:vAlign w:val="center"/>
          </w:tcPr>
          <w:p w14:paraId="202861DF">
            <w:pPr>
              <w:adjustRightInd w:val="0"/>
              <w:snapToGrid w:val="0"/>
              <w:spacing w:line="480" w:lineRule="auto"/>
              <w:jc w:val="both"/>
              <w:rPr>
                <w:rFonts w:hint="eastAsia" w:ascii="宋体" w:hAnsi="宋体" w:eastAsia="宋体" w:cs="宋体"/>
                <w:sz w:val="21"/>
                <w:szCs w:val="21"/>
              </w:rPr>
            </w:pPr>
          </w:p>
          <w:p w14:paraId="3989C6D3">
            <w:pPr>
              <w:adjustRightInd w:val="0"/>
              <w:snapToGrid w:val="0"/>
              <w:spacing w:line="480" w:lineRule="auto"/>
              <w:jc w:val="both"/>
              <w:rPr>
                <w:rFonts w:hint="eastAsia" w:ascii="宋体" w:hAnsi="宋体" w:eastAsia="宋体" w:cs="宋体"/>
                <w:sz w:val="21"/>
                <w:szCs w:val="21"/>
              </w:rPr>
            </w:pPr>
            <w:r>
              <w:rPr>
                <w:rFonts w:hint="eastAsia" w:ascii="宋体" w:hAnsi="宋体" w:eastAsia="宋体" w:cs="宋体"/>
                <w:sz w:val="21"/>
                <w:szCs w:val="21"/>
              </w:rPr>
              <w:t>法定代表人：</w:t>
            </w:r>
          </w:p>
        </w:tc>
      </w:tr>
      <w:tr w14:paraId="0B830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04636BF7">
            <w:pPr>
              <w:adjustRightInd w:val="0"/>
              <w:snapToGrid w:val="0"/>
              <w:spacing w:line="480" w:lineRule="auto"/>
              <w:jc w:val="both"/>
              <w:rPr>
                <w:rFonts w:hint="eastAsia" w:ascii="宋体" w:hAnsi="宋体" w:eastAsia="宋体" w:cs="宋体"/>
                <w:sz w:val="21"/>
                <w:szCs w:val="21"/>
              </w:rPr>
            </w:pPr>
          </w:p>
        </w:tc>
        <w:tc>
          <w:tcPr>
            <w:tcW w:w="4419" w:type="dxa"/>
            <w:vAlign w:val="center"/>
          </w:tcPr>
          <w:p w14:paraId="500B52A6">
            <w:pPr>
              <w:adjustRightInd w:val="0"/>
              <w:snapToGrid w:val="0"/>
              <w:spacing w:line="480" w:lineRule="auto"/>
              <w:jc w:val="both"/>
              <w:rPr>
                <w:rFonts w:hint="eastAsia" w:ascii="宋体" w:hAnsi="宋体" w:eastAsia="宋体" w:cs="宋体"/>
                <w:sz w:val="21"/>
                <w:szCs w:val="21"/>
                <w:highlight w:val="yellow"/>
              </w:rPr>
            </w:pPr>
          </w:p>
        </w:tc>
      </w:tr>
      <w:tr w14:paraId="49C5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1A2A6083">
            <w:pPr>
              <w:adjustRightInd w:val="0"/>
              <w:snapToGrid w:val="0"/>
              <w:spacing w:line="480" w:lineRule="auto"/>
              <w:jc w:val="both"/>
              <w:rPr>
                <w:rFonts w:hint="eastAsia" w:ascii="宋体" w:hAnsi="宋体" w:eastAsia="宋体" w:cs="宋体"/>
                <w:sz w:val="21"/>
                <w:szCs w:val="21"/>
              </w:rPr>
            </w:pPr>
            <w:r>
              <w:rPr>
                <w:rFonts w:hint="eastAsia" w:ascii="宋体" w:hAnsi="宋体" w:eastAsia="宋体" w:cs="宋体"/>
                <w:sz w:val="21"/>
                <w:szCs w:val="21"/>
              </w:rPr>
              <w:t>日期：      年     月     日</w:t>
            </w:r>
          </w:p>
        </w:tc>
        <w:tc>
          <w:tcPr>
            <w:tcW w:w="4419" w:type="dxa"/>
            <w:vAlign w:val="center"/>
          </w:tcPr>
          <w:p w14:paraId="1C016FD1">
            <w:pPr>
              <w:adjustRightInd w:val="0"/>
              <w:snapToGrid w:val="0"/>
              <w:spacing w:line="480" w:lineRule="auto"/>
              <w:jc w:val="both"/>
              <w:rPr>
                <w:rFonts w:hint="eastAsia" w:ascii="宋体" w:hAnsi="宋体" w:eastAsia="宋体" w:cs="宋体"/>
                <w:sz w:val="21"/>
                <w:szCs w:val="21"/>
              </w:rPr>
            </w:pPr>
            <w:r>
              <w:rPr>
                <w:rFonts w:hint="eastAsia" w:ascii="宋体" w:hAnsi="宋体" w:eastAsia="宋体" w:cs="宋体"/>
                <w:sz w:val="21"/>
                <w:szCs w:val="21"/>
              </w:rPr>
              <w:t>日期：      年     月     日</w:t>
            </w:r>
          </w:p>
        </w:tc>
      </w:tr>
    </w:tbl>
    <w:p w14:paraId="411E00FA">
      <w:pPr>
        <w:adjustRightInd w:val="0"/>
        <w:snapToGrid w:val="0"/>
        <w:spacing w:line="360" w:lineRule="auto"/>
        <w:rPr>
          <w:rFonts w:hint="eastAsia" w:ascii="宋体" w:hAnsi="宋体" w:eastAsia="宋体" w:cs="宋体"/>
          <w:sz w:val="21"/>
          <w:szCs w:val="21"/>
        </w:rPr>
      </w:pPr>
    </w:p>
    <w:p w14:paraId="51329B89">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p w14:paraId="2139C8F6">
      <w:pPr>
        <w:adjustRightInd w:val="0"/>
        <w:snapToGrid w:val="0"/>
        <w:spacing w:line="360" w:lineRule="auto"/>
        <w:rPr>
          <w:rFonts w:hint="eastAsia" w:ascii="宋体" w:hAnsi="宋体" w:eastAsia="宋体" w:cs="宋体"/>
          <w:kern w:val="0"/>
          <w:sz w:val="21"/>
          <w:szCs w:val="21"/>
        </w:rPr>
      </w:pPr>
      <w:r>
        <w:rPr>
          <w:rFonts w:hint="eastAsia" w:ascii="宋体" w:hAnsi="宋体" w:eastAsia="宋体" w:cs="宋体"/>
          <w:sz w:val="21"/>
          <w:szCs w:val="21"/>
        </w:rPr>
        <w:t xml:space="preserve">                 </w:t>
      </w:r>
    </w:p>
    <w:p w14:paraId="024CDD37">
      <w:pPr>
        <w:spacing w:line="360" w:lineRule="auto"/>
        <w:rPr>
          <w:rFonts w:hint="eastAsia" w:ascii="宋体" w:hAnsi="宋体" w:eastAsia="宋体" w:cs="宋体"/>
          <w:bCs/>
          <w:color w:val="000000"/>
          <w:sz w:val="21"/>
          <w:szCs w:val="21"/>
        </w:rPr>
      </w:pPr>
      <w:r>
        <w:rPr>
          <w:rFonts w:hint="eastAsia" w:ascii="宋体" w:hAnsi="宋体" w:eastAsia="宋体" w:cs="宋体"/>
          <w:bCs/>
          <w:color w:val="000000"/>
          <w:sz w:val="21"/>
          <w:szCs w:val="21"/>
        </w:rPr>
        <w:t>（以下无正文）</w:t>
      </w:r>
    </w:p>
    <w:p w14:paraId="66532310">
      <w:pPr>
        <w:spacing w:line="360" w:lineRule="auto"/>
        <w:ind w:left="630" w:leftChars="300"/>
        <w:rPr>
          <w:rFonts w:hint="eastAsia" w:ascii="宋体" w:hAnsi="宋体" w:eastAsia="宋体" w:cs="宋体"/>
          <w:b/>
          <w:bCs/>
          <w:color w:val="000000"/>
          <w:sz w:val="22"/>
          <w:szCs w:val="22"/>
        </w:rPr>
      </w:pPr>
    </w:p>
    <w:p w14:paraId="782437A4">
      <w:pPr>
        <w:spacing w:line="360" w:lineRule="auto"/>
        <w:rPr>
          <w:rFonts w:hint="eastAsia" w:ascii="宋体" w:hAnsi="宋体" w:eastAsia="宋体" w:cs="宋体"/>
          <w:sz w:val="22"/>
        </w:rPr>
      </w:pPr>
    </w:p>
    <w:p w14:paraId="7B76A491">
      <w:pPr>
        <w:spacing w:line="360" w:lineRule="auto"/>
        <w:rPr>
          <w:rFonts w:hint="eastAsia" w:ascii="宋体" w:hAnsi="宋体" w:eastAsia="宋体" w:cs="宋体"/>
          <w:sz w:val="22"/>
        </w:rPr>
      </w:pPr>
    </w:p>
    <w:p w14:paraId="1E59FC95">
      <w:pPr>
        <w:spacing w:line="360" w:lineRule="auto"/>
        <w:ind w:right="-519" w:rightChars="-247" w:firstLine="420" w:firstLineChars="200"/>
        <w:rPr>
          <w:rFonts w:hint="eastAsia" w:ascii="宋体" w:hAnsi="宋体" w:eastAsia="宋体" w:cs="宋体"/>
          <w:sz w:val="21"/>
          <w:szCs w:val="21"/>
          <w:highlight w:val="none"/>
          <w:lang w:eastAsia="zh-CN"/>
        </w:rPr>
      </w:pPr>
    </w:p>
    <w:p w14:paraId="0F644BBF">
      <w:pPr>
        <w:rPr>
          <w:rFonts w:hint="eastAsia" w:ascii="宋体" w:hAnsi="宋体" w:eastAsia="宋体" w:cs="宋体"/>
          <w:highlight w:val="none"/>
        </w:rPr>
      </w:pPr>
    </w:p>
    <w:p w14:paraId="4147E5A9">
      <w:pPr>
        <w:bidi w:val="0"/>
        <w:rPr>
          <w:rFonts w:hint="eastAsia" w:ascii="宋体" w:hAnsi="宋体" w:eastAsia="宋体" w:cs="宋体"/>
          <w:color w:val="auto"/>
          <w:highlight w:val="none"/>
        </w:rPr>
      </w:pPr>
    </w:p>
    <w:p w14:paraId="752A63C0">
      <w:pPr>
        <w:spacing w:line="360" w:lineRule="auto"/>
        <w:ind w:right="-199" w:rightChars="-95" w:firstLine="420" w:firstLineChars="200"/>
        <w:rPr>
          <w:rFonts w:hint="eastAsia" w:ascii="宋体" w:hAnsi="宋体" w:eastAsia="宋体" w:cs="宋体"/>
          <w:bCs/>
          <w:color w:val="auto"/>
          <w:sz w:val="24"/>
          <w:highlight w:val="none"/>
        </w:rPr>
      </w:pPr>
      <w:r>
        <w:rPr>
          <w:rFonts w:hint="eastAsia" w:ascii="宋体" w:hAnsi="宋体" w:eastAsia="宋体" w:cs="宋体"/>
          <w:color w:val="auto"/>
          <w:highlight w:val="none"/>
        </w:rPr>
        <w:br w:type="page"/>
      </w:r>
    </w:p>
    <w:p w14:paraId="76F11042">
      <w:pPr>
        <w:pStyle w:val="4"/>
        <w:bidi w:val="0"/>
        <w:outlineLvl w:val="0"/>
        <w:rPr>
          <w:rFonts w:hint="eastAsia" w:ascii="宋体" w:hAnsi="宋体" w:eastAsia="宋体" w:cs="宋体"/>
          <w:color w:val="auto"/>
          <w:sz w:val="24"/>
          <w:szCs w:val="24"/>
          <w:highlight w:val="none"/>
          <w:lang w:val="en-US" w:eastAsia="zh-CN"/>
        </w:rPr>
      </w:pPr>
      <w:bookmarkStart w:id="38" w:name="_Toc30100"/>
      <w:bookmarkStart w:id="39" w:name="_Toc20680"/>
      <w:bookmarkStart w:id="40" w:name="_Toc23606"/>
      <w:bookmarkStart w:id="41" w:name="_Toc20468"/>
      <w:bookmarkStart w:id="42" w:name="_Toc29099"/>
      <w:bookmarkStart w:id="43" w:name="_Toc20415"/>
      <w:r>
        <w:rPr>
          <w:rFonts w:hint="eastAsia" w:ascii="宋体" w:hAnsi="宋体" w:eastAsia="宋体" w:cs="宋体"/>
          <w:color w:val="auto"/>
          <w:sz w:val="24"/>
          <w:szCs w:val="24"/>
          <w:highlight w:val="none"/>
          <w:lang w:val="en-US" w:eastAsia="zh-CN"/>
        </w:rPr>
        <w:t>附件5-1. 竞选文件格式</w:t>
      </w:r>
      <w:r>
        <w:rPr>
          <w:rFonts w:hint="eastAsia" w:ascii="宋体" w:hAnsi="宋体" w:eastAsia="宋体" w:cs="宋体"/>
          <w:b/>
          <w:bCs/>
          <w:color w:val="auto"/>
          <w:sz w:val="24"/>
          <w:szCs w:val="24"/>
          <w:highlight w:val="none"/>
          <w:lang w:val="en-US" w:eastAsia="zh-CN"/>
        </w:rPr>
        <w:t>（法人版）</w:t>
      </w:r>
      <w:bookmarkEnd w:id="38"/>
    </w:p>
    <w:p w14:paraId="39448117">
      <w:pPr>
        <w:rPr>
          <w:rFonts w:hint="eastAsia" w:ascii="宋体" w:hAnsi="宋体" w:eastAsia="宋体" w:cs="宋体"/>
          <w:color w:val="auto"/>
          <w:highlight w:val="none"/>
        </w:rPr>
      </w:pPr>
    </w:p>
    <w:bookmarkEnd w:id="39"/>
    <w:bookmarkEnd w:id="40"/>
    <w:bookmarkEnd w:id="41"/>
    <w:bookmarkEnd w:id="42"/>
    <w:bookmarkEnd w:id="43"/>
    <w:p w14:paraId="1610A21B">
      <w:pPr>
        <w:jc w:val="center"/>
        <w:outlineLvl w:val="1"/>
        <w:rPr>
          <w:rFonts w:hint="eastAsia" w:ascii="宋体" w:hAnsi="宋体" w:eastAsia="宋体" w:cs="宋体"/>
          <w:b/>
          <w:bCs/>
          <w:color w:val="auto"/>
          <w:sz w:val="32"/>
          <w:szCs w:val="32"/>
          <w:highlight w:val="none"/>
          <w:lang w:val="en-US" w:eastAsia="zh-CN"/>
        </w:rPr>
      </w:pPr>
      <w:bookmarkStart w:id="44" w:name="_Toc20605"/>
      <w:r>
        <w:rPr>
          <w:rFonts w:hint="eastAsia" w:ascii="宋体" w:hAnsi="宋体" w:eastAsia="宋体" w:cs="宋体"/>
          <w:b/>
          <w:bCs/>
          <w:color w:val="auto"/>
          <w:sz w:val="32"/>
          <w:szCs w:val="32"/>
          <w:highlight w:val="none"/>
          <w:lang w:val="en-US" w:eastAsia="zh-CN"/>
        </w:rPr>
        <w:t>一、授权委托书</w:t>
      </w:r>
      <w:bookmarkEnd w:id="44"/>
    </w:p>
    <w:p w14:paraId="2DF4DF76">
      <w:pPr>
        <w:keepNext w:val="0"/>
        <w:keepLines w:val="0"/>
        <w:widowControl/>
        <w:suppressLineNumbers w:val="0"/>
        <w:jc w:val="center"/>
        <w:rPr>
          <w:rFonts w:hint="eastAsia" w:ascii="宋体" w:hAnsi="宋体" w:eastAsia="宋体" w:cs="宋体"/>
          <w:color w:val="auto"/>
          <w:sz w:val="28"/>
          <w:szCs w:val="28"/>
          <w:highlight w:val="none"/>
        </w:rPr>
      </w:pPr>
    </w:p>
    <w:p w14:paraId="464B9EE4">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1F717365">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本授权委托书声明： </w:t>
      </w:r>
    </w:p>
    <w:p w14:paraId="0319C53B">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本人</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，系</w:t>
      </w:r>
      <w:r>
        <w:rPr>
          <w:rFonts w:hint="eastAsia" w:ascii="宋体" w:hAnsi="宋体" w:eastAsia="宋体" w:cs="宋体"/>
          <w:color w:val="auto"/>
          <w:kern w:val="0"/>
          <w:sz w:val="21"/>
          <w:szCs w:val="21"/>
          <w:highlight w:val="none"/>
          <w:u w:val="single"/>
          <w:lang w:val="en-US" w:eastAsia="zh-CN" w:bidi="ar"/>
        </w:rPr>
        <w:t xml:space="preserve"> （意向承租方名称）</w:t>
      </w:r>
      <w:r>
        <w:rPr>
          <w:rFonts w:hint="eastAsia" w:ascii="宋体" w:hAnsi="宋体" w:eastAsia="宋体" w:cs="宋体"/>
          <w:color w:val="auto"/>
          <w:kern w:val="0"/>
          <w:sz w:val="21"/>
          <w:szCs w:val="21"/>
          <w:highlight w:val="none"/>
          <w:lang w:val="en-US" w:eastAsia="zh-CN" w:bidi="ar"/>
        </w:rPr>
        <w:t>的法定代表人，现授权委托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 xml:space="preserve">（职务）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，为我公司委托代理人，以本公司的名义参加</w:t>
      </w:r>
      <w:r>
        <w:rPr>
          <w:rFonts w:hint="eastAsia" w:ascii="宋体" w:hAnsi="宋体" w:eastAsia="宋体" w:cs="宋体"/>
          <w:color w:val="auto"/>
          <w:kern w:val="0"/>
          <w:sz w:val="21"/>
          <w:szCs w:val="21"/>
          <w:highlight w:val="none"/>
          <w:u w:val="single"/>
          <w:lang w:val="en-US" w:eastAsia="zh-CN" w:bidi="ar"/>
        </w:rPr>
        <w:t xml:space="preserve">（项目名称）                 </w:t>
      </w:r>
      <w:r>
        <w:rPr>
          <w:rFonts w:hint="eastAsia" w:ascii="宋体" w:hAnsi="宋体" w:eastAsia="宋体" w:cs="宋体"/>
          <w:color w:val="auto"/>
          <w:kern w:val="0"/>
          <w:sz w:val="21"/>
          <w:szCs w:val="21"/>
          <w:highlight w:val="none"/>
          <w:lang w:val="en-US" w:eastAsia="zh-CN" w:bidi="ar"/>
        </w:rPr>
        <w:t xml:space="preserve">竞价活动。 </w:t>
      </w:r>
    </w:p>
    <w:p w14:paraId="562B0406">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委托代理人在竞选文件递交、澄清、合同谈判及办理与本次招租活动有关的一切事务，我均予以承认。 </w:t>
      </w:r>
    </w:p>
    <w:p w14:paraId="4F80CFC0">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特此委托。 </w:t>
      </w:r>
    </w:p>
    <w:p w14:paraId="3FEB071E">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7ABB8CB8">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意向承租方（公章）： </w:t>
      </w:r>
    </w:p>
    <w:p w14:paraId="3FB8B257">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法定代表人（签字或盖章）： </w:t>
      </w:r>
    </w:p>
    <w:p w14:paraId="565A487E">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委托代理人（签字或盖章）： </w:t>
      </w:r>
    </w:p>
    <w:p w14:paraId="5E0BD467">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委托代理人联系方式：</w:t>
      </w:r>
    </w:p>
    <w:p w14:paraId="34C56B7F">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w:t>
      </w:r>
    </w:p>
    <w:p w14:paraId="53205543">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邮政编码：</w:t>
      </w:r>
    </w:p>
    <w:p w14:paraId="5DD1864B">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开户银行：</w:t>
      </w:r>
    </w:p>
    <w:p w14:paraId="05C7105F">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银行帐号：</w:t>
      </w:r>
    </w:p>
    <w:p w14:paraId="78B8AB0F">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项目负责人姓名： </w:t>
      </w:r>
    </w:p>
    <w:p w14:paraId="7351F0E4">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项目负责人身份证号：</w:t>
      </w:r>
    </w:p>
    <w:p w14:paraId="12E0B444">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项目负责人联系方式：</w:t>
      </w:r>
    </w:p>
    <w:p w14:paraId="4E087102">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日期：   年   月   日 </w:t>
      </w:r>
    </w:p>
    <w:p w14:paraId="64838E2E">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17DC7217">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注：1、本委托书后需附法定代表人及委托代理人身份证复印件并加盖公章； </w:t>
      </w:r>
    </w:p>
    <w:p w14:paraId="3BD36B24">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2、本委托书中委托代理人的签名笔迹是核对由其签发的文件有效性的依据。</w:t>
      </w:r>
    </w:p>
    <w:p w14:paraId="03096980">
      <w:pPr>
        <w:jc w:val="center"/>
        <w:outlineLvl w:val="1"/>
        <w:rPr>
          <w:rFonts w:hint="eastAsia" w:ascii="宋体" w:hAnsi="宋体" w:eastAsia="宋体" w:cs="宋体"/>
          <w:b/>
          <w:bCs/>
          <w:color w:val="auto"/>
          <w:sz w:val="32"/>
          <w:szCs w:val="32"/>
          <w:highlight w:val="none"/>
          <w:lang w:val="en-US" w:eastAsia="zh-CN"/>
        </w:rPr>
      </w:pPr>
      <w:bookmarkStart w:id="45" w:name="_Toc6389"/>
      <w:r>
        <w:rPr>
          <w:rFonts w:hint="eastAsia" w:ascii="宋体" w:hAnsi="宋体" w:eastAsia="宋体" w:cs="宋体"/>
          <w:b/>
          <w:bCs/>
          <w:color w:val="auto"/>
          <w:sz w:val="32"/>
          <w:szCs w:val="32"/>
          <w:highlight w:val="none"/>
          <w:lang w:val="en-US" w:eastAsia="zh-CN"/>
        </w:rPr>
        <w:t>二、营业执照</w:t>
      </w:r>
      <w:bookmarkEnd w:id="45"/>
    </w:p>
    <w:p w14:paraId="40F127C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须提供营业执照复印件或扫描件。</w:t>
      </w:r>
    </w:p>
    <w:p w14:paraId="5FBC403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16567044">
      <w:pPr>
        <w:jc w:val="center"/>
        <w:outlineLvl w:val="1"/>
        <w:rPr>
          <w:rFonts w:hint="eastAsia" w:ascii="宋体" w:hAnsi="宋体" w:eastAsia="宋体" w:cs="宋体"/>
          <w:b/>
          <w:bCs/>
          <w:color w:val="auto"/>
          <w:sz w:val="32"/>
          <w:szCs w:val="32"/>
          <w:highlight w:val="none"/>
          <w:lang w:val="en-US" w:eastAsia="zh-CN"/>
        </w:rPr>
      </w:pPr>
      <w:bookmarkStart w:id="46" w:name="_Toc25060"/>
      <w:r>
        <w:rPr>
          <w:rFonts w:hint="eastAsia" w:ascii="宋体" w:hAnsi="宋体" w:eastAsia="宋体" w:cs="宋体"/>
          <w:b/>
          <w:bCs/>
          <w:color w:val="auto"/>
          <w:sz w:val="32"/>
          <w:szCs w:val="32"/>
          <w:highlight w:val="none"/>
          <w:lang w:val="en-US" w:eastAsia="zh-CN"/>
        </w:rPr>
        <w:t>三、承诺书</w:t>
      </w:r>
      <w:bookmarkEnd w:id="46"/>
    </w:p>
    <w:p w14:paraId="4AA90EBF">
      <w:pPr>
        <w:keepNext w:val="0"/>
        <w:keepLines w:val="0"/>
        <w:widowControl/>
        <w:suppressLineNumbers w:val="0"/>
        <w:jc w:val="center"/>
        <w:rPr>
          <w:rFonts w:hint="eastAsia" w:ascii="宋体" w:hAnsi="宋体" w:eastAsia="宋体" w:cs="宋体"/>
          <w:color w:val="auto"/>
          <w:sz w:val="28"/>
          <w:szCs w:val="28"/>
          <w:highlight w:val="none"/>
        </w:rPr>
      </w:pPr>
    </w:p>
    <w:p w14:paraId="73B47023">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41B2D9C9">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我公司郑重承诺： </w:t>
      </w:r>
    </w:p>
    <w:p w14:paraId="4C4039E3">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我公司的竞租行为已经获得必要的内部决策批准、同意及授权，按照规定缴纳相应的交易保证金，相关资金均为合法所得。 </w:t>
      </w:r>
    </w:p>
    <w:p w14:paraId="38D910C2">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我公司已认真阅读出租方所有挂牌文件，完全同意并接受出租方《</w:t>
      </w:r>
      <w:r>
        <w:rPr>
          <w:rFonts w:hint="eastAsia" w:ascii="宋体" w:hAnsi="宋体" w:eastAsia="宋体" w:cs="宋体"/>
          <w:color w:val="auto"/>
          <w:sz w:val="21"/>
          <w:szCs w:val="21"/>
          <w:highlight w:val="none"/>
          <w:lang w:val="en-US" w:eastAsia="zh-CN"/>
        </w:rPr>
        <w:t>南通轨道交通2号线一期体育公园站地面驿站出租项目招租公告</w:t>
      </w:r>
      <w:r>
        <w:rPr>
          <w:rFonts w:hint="eastAsia" w:ascii="宋体" w:hAnsi="宋体" w:eastAsia="宋体" w:cs="宋体"/>
          <w:color w:val="auto"/>
          <w:kern w:val="0"/>
          <w:sz w:val="21"/>
          <w:szCs w:val="21"/>
          <w:highlight w:val="none"/>
          <w:lang w:val="en-US" w:eastAsia="zh-CN" w:bidi="ar"/>
        </w:rPr>
        <w:t xml:space="preserve">》（以下简称“招租公告”）及附件中对意向承租方提出的各项要求，自愿按照《招租公告》及附件中的要求合法参与竞租，如有违反，我公司愿意承担相应法律后果。 </w:t>
      </w:r>
    </w:p>
    <w:p w14:paraId="446EF16F">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我公司认可《合同主要条款》所有内容，不对单价或其它条款和条件做任何改变。 </w:t>
      </w:r>
    </w:p>
    <w:p w14:paraId="2158C7A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我公司递交的全部报名材料均为真实材料，相关证明文件属实。 </w:t>
      </w:r>
    </w:p>
    <w:p w14:paraId="10791BFB">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 在报名截止时间前，</w:t>
      </w:r>
      <w:r>
        <w:rPr>
          <w:rFonts w:hint="eastAsia" w:ascii="宋体" w:hAnsi="宋体" w:eastAsia="宋体" w:cs="宋体"/>
          <w:b/>
          <w:bCs/>
          <w:color w:val="auto"/>
          <w:kern w:val="0"/>
          <w:sz w:val="21"/>
          <w:szCs w:val="21"/>
          <w:highlight w:val="none"/>
          <w:lang w:val="en-US" w:eastAsia="zh-CN" w:bidi="ar"/>
        </w:rPr>
        <w:t>我公司在“信用中国”平台中没有不良记录</w:t>
      </w:r>
      <w:r>
        <w:rPr>
          <w:rFonts w:hint="eastAsia" w:ascii="宋体" w:hAnsi="宋体" w:eastAsia="宋体" w:cs="宋体"/>
          <w:color w:val="auto"/>
          <w:kern w:val="0"/>
          <w:sz w:val="21"/>
          <w:szCs w:val="21"/>
          <w:highlight w:val="none"/>
          <w:lang w:val="en-US" w:eastAsia="zh-CN" w:bidi="ar"/>
        </w:rPr>
        <w:t xml:space="preserve">，我公司及我公司法定代表人未被人民法院列入失信被执行人名单。 </w:t>
      </w:r>
    </w:p>
    <w:p w14:paraId="3EECC8C1">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 我公司承诺租赁期内未经出租方书面批准，不对驿站进行任何形式的转租、分租、转让、转借、调换、合作经营或联营，不将驿站及设施对外实施抵押、质押等处分行为；</w:t>
      </w:r>
      <w:r>
        <w:rPr>
          <w:rFonts w:hint="eastAsia" w:ascii="宋体" w:hAnsi="宋体" w:eastAsia="宋体" w:cs="宋体"/>
          <w:b/>
          <w:bCs/>
          <w:color w:val="auto"/>
          <w:kern w:val="0"/>
          <w:sz w:val="21"/>
          <w:szCs w:val="21"/>
          <w:highlight w:val="none"/>
          <w:lang w:val="en-US" w:eastAsia="zh-CN" w:bidi="ar"/>
        </w:rPr>
        <w:t xml:space="preserve">租赁期内不出现违反公序良俗的行为。 </w:t>
      </w:r>
    </w:p>
    <w:p w14:paraId="20E3B3B6">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7. 我公司承诺已知悉驿站交付状态为现状交付，并已自行完成驿站现场踏勘，知悉驿站的供电量、上/下水、排污排烟等情况。 </w:t>
      </w:r>
    </w:p>
    <w:p w14:paraId="61FF4FAB">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以上内容我公司已认真阅读，本公司如有违反承诺内容的行为，自愿依法接受取消报名资格、计入信用档案、取消承租资格、没收保证金等有关处理，愿意承担法律责任，给出租方造成损失的，依法承担赔偿责任。</w:t>
      </w:r>
    </w:p>
    <w:p w14:paraId="5FF6001C">
      <w:pPr>
        <w:ind w:left="0" w:leftChars="0" w:right="-512" w:rightChars="-244" w:firstLine="367" w:firstLineChars="175"/>
        <w:rPr>
          <w:rFonts w:hint="eastAsia" w:ascii="宋体" w:hAnsi="宋体" w:eastAsia="宋体" w:cs="宋体"/>
          <w:color w:val="auto"/>
          <w:sz w:val="21"/>
          <w:szCs w:val="21"/>
          <w:highlight w:val="none"/>
          <w:lang w:val="en-US" w:eastAsia="zh-CN"/>
        </w:rPr>
      </w:pPr>
    </w:p>
    <w:p w14:paraId="4926139F">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意向承租方（公章）： </w:t>
      </w:r>
    </w:p>
    <w:p w14:paraId="778D1135">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法定代表人或其委托代理人（签字</w:t>
      </w:r>
      <w:r>
        <w:rPr>
          <w:rFonts w:hint="eastAsia" w:ascii="宋体" w:hAnsi="宋体" w:eastAsia="宋体" w:cs="宋体"/>
          <w:color w:val="auto"/>
          <w:highlight w:val="none"/>
          <w:lang w:val="en-US" w:eastAsia="zh-CN"/>
        </w:rPr>
        <w:t>或盖章</w:t>
      </w:r>
      <w:r>
        <w:rPr>
          <w:rFonts w:hint="eastAsia" w:ascii="宋体" w:hAnsi="宋体" w:eastAsia="宋体" w:cs="宋体"/>
          <w:color w:val="auto"/>
          <w:sz w:val="21"/>
          <w:szCs w:val="21"/>
          <w:highlight w:val="none"/>
          <w:lang w:val="en-US" w:eastAsia="zh-CN"/>
        </w:rPr>
        <w:t xml:space="preserve">）： </w:t>
      </w:r>
    </w:p>
    <w:p w14:paraId="09C0EEE7">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525E0902">
      <w:pPr>
        <w:jc w:val="center"/>
        <w:outlineLvl w:val="1"/>
        <w:rPr>
          <w:rFonts w:hint="eastAsia" w:ascii="宋体" w:hAnsi="宋体" w:eastAsia="宋体" w:cs="宋体"/>
          <w:b/>
          <w:bCs/>
          <w:color w:val="auto"/>
          <w:sz w:val="32"/>
          <w:szCs w:val="32"/>
          <w:highlight w:val="none"/>
          <w:lang w:val="en-US" w:eastAsia="zh-CN"/>
        </w:rPr>
      </w:pPr>
      <w:bookmarkStart w:id="47" w:name="_Toc22080"/>
      <w:r>
        <w:rPr>
          <w:rFonts w:hint="eastAsia" w:ascii="宋体" w:hAnsi="宋体" w:eastAsia="宋体" w:cs="宋体"/>
          <w:b/>
          <w:bCs/>
          <w:color w:val="auto"/>
          <w:sz w:val="32"/>
          <w:szCs w:val="32"/>
          <w:highlight w:val="none"/>
          <w:lang w:val="en-US" w:eastAsia="zh-CN"/>
        </w:rPr>
        <w:t>四、经营业态</w:t>
      </w:r>
      <w:bookmarkEnd w:id="47"/>
    </w:p>
    <w:p w14:paraId="4C3996FF">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p>
    <w:p w14:paraId="404FB671">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3C8F8035">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南通轨道交通2号线一期体育公园站地面驿站出租项目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招租信息，我方经考察现场和认真研究上述招租公告及附件内容后，我方承认招租公告及附件的全部内容，并愿按招租公告及附件的要求参与本项目招租。 </w:t>
      </w:r>
    </w:p>
    <w:p w14:paraId="1321BEE5">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我方拟经营业态如下：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988"/>
        <w:gridCol w:w="2988"/>
      </w:tblGrid>
      <w:tr w14:paraId="3266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314DA40B">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2988" w:type="dxa"/>
            <w:vAlign w:val="center"/>
          </w:tcPr>
          <w:p w14:paraId="3E692996">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988" w:type="dxa"/>
            <w:vAlign w:val="center"/>
          </w:tcPr>
          <w:p w14:paraId="66FAACC1">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r>
      <w:tr w14:paraId="6E40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1E38EFAE">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1D040AFB">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5CF2C166">
            <w:pPr>
              <w:bidi w:val="0"/>
              <w:jc w:val="center"/>
              <w:rPr>
                <w:rFonts w:hint="eastAsia" w:ascii="宋体" w:hAnsi="宋体" w:eastAsia="宋体" w:cs="宋体"/>
                <w:color w:val="auto"/>
                <w:highlight w:val="none"/>
                <w:vertAlign w:val="baseline"/>
                <w:lang w:val="en-US" w:eastAsia="zh-CN"/>
              </w:rPr>
            </w:pPr>
          </w:p>
        </w:tc>
      </w:tr>
      <w:tr w14:paraId="6887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7BF97112">
            <w:pPr>
              <w:bidi w:val="0"/>
              <w:jc w:val="center"/>
              <w:rPr>
                <w:rFonts w:hint="eastAsia" w:ascii="宋体" w:hAnsi="宋体" w:eastAsia="宋体" w:cs="宋体"/>
                <w:color w:val="auto"/>
                <w:highlight w:val="none"/>
                <w:vertAlign w:val="baseline"/>
                <w:lang w:val="en-US" w:eastAsia="zh-CN"/>
              </w:rPr>
            </w:pPr>
          </w:p>
        </w:tc>
        <w:tc>
          <w:tcPr>
            <w:tcW w:w="2988" w:type="dxa"/>
          </w:tcPr>
          <w:p w14:paraId="20845582">
            <w:pPr>
              <w:bidi w:val="0"/>
              <w:jc w:val="both"/>
              <w:rPr>
                <w:rFonts w:hint="eastAsia" w:ascii="宋体" w:hAnsi="宋体" w:eastAsia="宋体" w:cs="宋体"/>
                <w:color w:val="auto"/>
                <w:highlight w:val="none"/>
                <w:vertAlign w:val="baseline"/>
                <w:lang w:val="en-US" w:eastAsia="zh-CN"/>
              </w:rPr>
            </w:pPr>
          </w:p>
        </w:tc>
        <w:tc>
          <w:tcPr>
            <w:tcW w:w="2988" w:type="dxa"/>
          </w:tcPr>
          <w:p w14:paraId="0F3428D8">
            <w:pPr>
              <w:bidi w:val="0"/>
              <w:jc w:val="both"/>
              <w:rPr>
                <w:rFonts w:hint="eastAsia" w:ascii="宋体" w:hAnsi="宋体" w:eastAsia="宋体" w:cs="宋体"/>
                <w:color w:val="auto"/>
                <w:highlight w:val="none"/>
                <w:vertAlign w:val="baseline"/>
                <w:lang w:val="en-US" w:eastAsia="zh-CN"/>
              </w:rPr>
            </w:pPr>
          </w:p>
        </w:tc>
      </w:tr>
      <w:tr w14:paraId="326F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5F98793F">
            <w:pPr>
              <w:bidi w:val="0"/>
              <w:jc w:val="center"/>
              <w:rPr>
                <w:rFonts w:hint="eastAsia" w:ascii="宋体" w:hAnsi="宋体" w:eastAsia="宋体" w:cs="宋体"/>
                <w:color w:val="auto"/>
                <w:highlight w:val="none"/>
                <w:vertAlign w:val="baseline"/>
                <w:lang w:val="en-US" w:eastAsia="zh-CN"/>
              </w:rPr>
            </w:pPr>
          </w:p>
        </w:tc>
        <w:tc>
          <w:tcPr>
            <w:tcW w:w="2988" w:type="dxa"/>
          </w:tcPr>
          <w:p w14:paraId="0BBB977D">
            <w:pPr>
              <w:bidi w:val="0"/>
              <w:jc w:val="both"/>
              <w:rPr>
                <w:rFonts w:hint="eastAsia" w:ascii="宋体" w:hAnsi="宋体" w:eastAsia="宋体" w:cs="宋体"/>
                <w:color w:val="auto"/>
                <w:highlight w:val="none"/>
                <w:vertAlign w:val="baseline"/>
                <w:lang w:val="en-US" w:eastAsia="zh-CN"/>
              </w:rPr>
            </w:pPr>
          </w:p>
        </w:tc>
        <w:tc>
          <w:tcPr>
            <w:tcW w:w="2988" w:type="dxa"/>
          </w:tcPr>
          <w:p w14:paraId="3AE1461E">
            <w:pPr>
              <w:bidi w:val="0"/>
              <w:jc w:val="both"/>
              <w:rPr>
                <w:rFonts w:hint="eastAsia" w:ascii="宋体" w:hAnsi="宋体" w:eastAsia="宋体" w:cs="宋体"/>
                <w:color w:val="auto"/>
                <w:highlight w:val="none"/>
                <w:vertAlign w:val="baseline"/>
                <w:lang w:val="en-US" w:eastAsia="zh-CN"/>
              </w:rPr>
            </w:pPr>
          </w:p>
        </w:tc>
      </w:tr>
      <w:tr w14:paraId="36DA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42" w:type="dxa"/>
            <w:vAlign w:val="center"/>
          </w:tcPr>
          <w:p w14:paraId="0C24A9D1">
            <w:pPr>
              <w:bidi w:val="0"/>
              <w:jc w:val="center"/>
              <w:rPr>
                <w:rFonts w:hint="eastAsia" w:ascii="宋体" w:hAnsi="宋体" w:eastAsia="宋体" w:cs="宋体"/>
                <w:color w:val="auto"/>
                <w:highlight w:val="none"/>
                <w:vertAlign w:val="baseline"/>
                <w:lang w:val="en-US" w:eastAsia="zh-CN"/>
              </w:rPr>
            </w:pPr>
          </w:p>
        </w:tc>
        <w:tc>
          <w:tcPr>
            <w:tcW w:w="2988" w:type="dxa"/>
          </w:tcPr>
          <w:p w14:paraId="095BBDBF">
            <w:pPr>
              <w:bidi w:val="0"/>
              <w:jc w:val="both"/>
              <w:rPr>
                <w:rFonts w:hint="eastAsia" w:ascii="宋体" w:hAnsi="宋体" w:eastAsia="宋体" w:cs="宋体"/>
                <w:color w:val="auto"/>
                <w:highlight w:val="none"/>
                <w:vertAlign w:val="baseline"/>
                <w:lang w:val="en-US" w:eastAsia="zh-CN"/>
              </w:rPr>
            </w:pPr>
          </w:p>
        </w:tc>
        <w:tc>
          <w:tcPr>
            <w:tcW w:w="2988" w:type="dxa"/>
          </w:tcPr>
          <w:p w14:paraId="75508DD4">
            <w:pPr>
              <w:bidi w:val="0"/>
              <w:jc w:val="both"/>
              <w:rPr>
                <w:rFonts w:hint="eastAsia" w:ascii="宋体" w:hAnsi="宋体" w:eastAsia="宋体" w:cs="宋体"/>
                <w:color w:val="auto"/>
                <w:highlight w:val="none"/>
                <w:vertAlign w:val="baseline"/>
                <w:lang w:val="en-US" w:eastAsia="zh-CN"/>
              </w:rPr>
            </w:pPr>
          </w:p>
        </w:tc>
      </w:tr>
    </w:tbl>
    <w:p w14:paraId="172CD030">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注：营业业态中选后不得随意更换（出租方同意除外）。</w:t>
      </w:r>
    </w:p>
    <w:p w14:paraId="2A55463F">
      <w:pPr>
        <w:bidi w:val="0"/>
        <w:ind w:left="0" w:leftChars="0" w:firstLine="420" w:firstLineChars="200"/>
        <w:rPr>
          <w:rFonts w:hint="eastAsia" w:ascii="宋体" w:hAnsi="宋体" w:eastAsia="宋体" w:cs="宋体"/>
          <w:color w:val="auto"/>
          <w:highlight w:val="none"/>
          <w:lang w:val="en-US" w:eastAsia="zh-CN"/>
        </w:rPr>
      </w:pPr>
    </w:p>
    <w:p w14:paraId="6467EF1F">
      <w:pPr>
        <w:bidi w:val="0"/>
        <w:ind w:left="0" w:leftChars="0" w:firstLine="420" w:firstLineChars="200"/>
        <w:rPr>
          <w:rFonts w:hint="eastAsia" w:ascii="宋体" w:hAnsi="宋体" w:eastAsia="宋体" w:cs="宋体"/>
          <w:color w:val="auto"/>
          <w:highlight w:val="none"/>
          <w:lang w:val="en-US" w:eastAsia="zh-CN"/>
        </w:rPr>
      </w:pPr>
    </w:p>
    <w:p w14:paraId="499E01C6">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意向承租方（公章）： </w:t>
      </w:r>
    </w:p>
    <w:p w14:paraId="5046D5ED">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法定代表人或其委托代理人（签字或盖章）： </w:t>
      </w:r>
    </w:p>
    <w:p w14:paraId="3269A452">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日期：   年   月   日 </w:t>
      </w:r>
      <w:r>
        <w:rPr>
          <w:rFonts w:hint="eastAsia" w:ascii="宋体" w:hAnsi="宋体" w:eastAsia="宋体" w:cs="宋体"/>
          <w:color w:val="auto"/>
          <w:highlight w:val="none"/>
          <w:lang w:val="en-US" w:eastAsia="zh-CN"/>
        </w:rPr>
        <w:br w:type="page"/>
      </w:r>
    </w:p>
    <w:p w14:paraId="76A83F92">
      <w:pPr>
        <w:jc w:val="center"/>
        <w:outlineLvl w:val="1"/>
        <w:rPr>
          <w:rFonts w:hint="eastAsia" w:ascii="宋体" w:hAnsi="宋体" w:eastAsia="宋体" w:cs="宋体"/>
          <w:b/>
          <w:bCs/>
          <w:color w:val="auto"/>
          <w:sz w:val="32"/>
          <w:szCs w:val="32"/>
          <w:highlight w:val="none"/>
          <w:lang w:val="en-US" w:eastAsia="zh-CN"/>
        </w:rPr>
      </w:pPr>
      <w:bookmarkStart w:id="48" w:name="_Toc10532"/>
      <w:r>
        <w:rPr>
          <w:rFonts w:hint="eastAsia" w:ascii="宋体" w:hAnsi="宋体" w:eastAsia="宋体" w:cs="宋体"/>
          <w:b/>
          <w:bCs/>
          <w:color w:val="auto"/>
          <w:sz w:val="32"/>
          <w:szCs w:val="32"/>
          <w:highlight w:val="none"/>
          <w:lang w:val="en-US" w:eastAsia="zh-CN"/>
        </w:rPr>
        <w:t>五、报价函</w:t>
      </w:r>
      <w:bookmarkEnd w:id="48"/>
    </w:p>
    <w:p w14:paraId="6A7B28D8">
      <w:pPr>
        <w:keepNext w:val="0"/>
        <w:keepLines w:val="0"/>
        <w:widowControl/>
        <w:suppressLineNumbers w:val="0"/>
        <w:jc w:val="center"/>
        <w:rPr>
          <w:rFonts w:hint="eastAsia" w:ascii="宋体" w:hAnsi="宋体" w:eastAsia="宋体" w:cs="宋体"/>
          <w:color w:val="auto"/>
          <w:sz w:val="28"/>
          <w:szCs w:val="28"/>
          <w:highlight w:val="none"/>
        </w:rPr>
      </w:pPr>
    </w:p>
    <w:p w14:paraId="6C509478">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13F59EDD">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南通轨道交通2号线一期体育公园站地面驿站出租项目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招租信息，我方经考察现场和认真研究上述招租公告及附件内容后，我方承认招租公告及附件的全部内容，并愿按招租公告及附件的要求进行本次报价。 </w:t>
      </w:r>
    </w:p>
    <w:p w14:paraId="1A25D23A">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我方同意承担我单位为本次报价所发生的一切费用。 </w:t>
      </w:r>
    </w:p>
    <w:p w14:paraId="30B66C51">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我方报价如下：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399"/>
        <w:gridCol w:w="2089"/>
        <w:gridCol w:w="3486"/>
      </w:tblGrid>
      <w:tr w14:paraId="566B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424" w:type="dxa"/>
            <w:vAlign w:val="center"/>
          </w:tcPr>
          <w:p w14:paraId="5FA9FD10">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1399" w:type="dxa"/>
            <w:vAlign w:val="center"/>
          </w:tcPr>
          <w:p w14:paraId="6E3F0000">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089" w:type="dxa"/>
            <w:vAlign w:val="center"/>
          </w:tcPr>
          <w:p w14:paraId="7ADE77B4">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c>
          <w:tcPr>
            <w:tcW w:w="3486" w:type="dxa"/>
            <w:vAlign w:val="center"/>
          </w:tcPr>
          <w:p w14:paraId="3E4ADACF">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租金报价（元/年）</w:t>
            </w:r>
          </w:p>
        </w:tc>
      </w:tr>
      <w:tr w14:paraId="4AFD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5CCEB919">
            <w:pPr>
              <w:bidi w:val="0"/>
              <w:jc w:val="center"/>
              <w:rPr>
                <w:rFonts w:hint="eastAsia" w:ascii="宋体" w:hAnsi="宋体" w:eastAsia="宋体" w:cs="宋体"/>
                <w:color w:val="auto"/>
                <w:highlight w:val="none"/>
                <w:vertAlign w:val="baseline"/>
                <w:lang w:val="en-US" w:eastAsia="zh-CN"/>
              </w:rPr>
            </w:pPr>
          </w:p>
        </w:tc>
        <w:tc>
          <w:tcPr>
            <w:tcW w:w="1399" w:type="dxa"/>
            <w:vAlign w:val="center"/>
          </w:tcPr>
          <w:p w14:paraId="26A9CE70">
            <w:pPr>
              <w:bidi w:val="0"/>
              <w:jc w:val="center"/>
              <w:rPr>
                <w:rFonts w:hint="eastAsia" w:ascii="宋体" w:hAnsi="宋体" w:eastAsia="宋体" w:cs="宋体"/>
                <w:color w:val="auto"/>
                <w:highlight w:val="none"/>
                <w:vertAlign w:val="baseline"/>
                <w:lang w:val="en-US" w:eastAsia="zh-CN"/>
              </w:rPr>
            </w:pPr>
          </w:p>
        </w:tc>
        <w:tc>
          <w:tcPr>
            <w:tcW w:w="2089" w:type="dxa"/>
            <w:vAlign w:val="center"/>
          </w:tcPr>
          <w:p w14:paraId="4B91084C">
            <w:pPr>
              <w:bidi w:val="0"/>
              <w:jc w:val="center"/>
              <w:rPr>
                <w:rFonts w:hint="eastAsia" w:ascii="宋体" w:hAnsi="宋体" w:eastAsia="宋体" w:cs="宋体"/>
                <w:color w:val="auto"/>
                <w:highlight w:val="none"/>
                <w:vertAlign w:val="baseline"/>
                <w:lang w:val="en-US" w:eastAsia="zh-CN"/>
              </w:rPr>
            </w:pPr>
          </w:p>
        </w:tc>
        <w:tc>
          <w:tcPr>
            <w:tcW w:w="3486" w:type="dxa"/>
          </w:tcPr>
          <w:p w14:paraId="377B720D">
            <w:pPr>
              <w:bidi w:val="0"/>
              <w:jc w:val="center"/>
              <w:rPr>
                <w:rFonts w:hint="eastAsia" w:ascii="宋体" w:hAnsi="宋体" w:eastAsia="宋体" w:cs="宋体"/>
                <w:color w:val="auto"/>
                <w:highlight w:val="none"/>
                <w:vertAlign w:val="baseline"/>
                <w:lang w:val="en-US" w:eastAsia="zh-CN"/>
              </w:rPr>
            </w:pPr>
          </w:p>
        </w:tc>
      </w:tr>
      <w:tr w14:paraId="5E09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7B1BF7B6">
            <w:pPr>
              <w:bidi w:val="0"/>
              <w:jc w:val="center"/>
              <w:rPr>
                <w:rFonts w:hint="eastAsia" w:ascii="宋体" w:hAnsi="宋体" w:eastAsia="宋体" w:cs="宋体"/>
                <w:color w:val="auto"/>
                <w:highlight w:val="none"/>
                <w:vertAlign w:val="baseline"/>
                <w:lang w:val="en-US" w:eastAsia="zh-CN"/>
              </w:rPr>
            </w:pPr>
          </w:p>
        </w:tc>
        <w:tc>
          <w:tcPr>
            <w:tcW w:w="1399" w:type="dxa"/>
          </w:tcPr>
          <w:p w14:paraId="0458E942">
            <w:pPr>
              <w:bidi w:val="0"/>
              <w:jc w:val="both"/>
              <w:rPr>
                <w:rFonts w:hint="eastAsia" w:ascii="宋体" w:hAnsi="宋体" w:eastAsia="宋体" w:cs="宋体"/>
                <w:color w:val="auto"/>
                <w:highlight w:val="none"/>
                <w:vertAlign w:val="baseline"/>
                <w:lang w:val="en-US" w:eastAsia="zh-CN"/>
              </w:rPr>
            </w:pPr>
          </w:p>
        </w:tc>
        <w:tc>
          <w:tcPr>
            <w:tcW w:w="2089" w:type="dxa"/>
          </w:tcPr>
          <w:p w14:paraId="6004CDDB">
            <w:pPr>
              <w:bidi w:val="0"/>
              <w:jc w:val="both"/>
              <w:rPr>
                <w:rFonts w:hint="eastAsia" w:ascii="宋体" w:hAnsi="宋体" w:eastAsia="宋体" w:cs="宋体"/>
                <w:color w:val="auto"/>
                <w:highlight w:val="none"/>
                <w:vertAlign w:val="baseline"/>
                <w:lang w:val="en-US" w:eastAsia="zh-CN"/>
              </w:rPr>
            </w:pPr>
          </w:p>
        </w:tc>
        <w:tc>
          <w:tcPr>
            <w:tcW w:w="3486" w:type="dxa"/>
          </w:tcPr>
          <w:p w14:paraId="65AA1985">
            <w:pPr>
              <w:bidi w:val="0"/>
              <w:jc w:val="both"/>
              <w:rPr>
                <w:rFonts w:hint="eastAsia" w:ascii="宋体" w:hAnsi="宋体" w:eastAsia="宋体" w:cs="宋体"/>
                <w:color w:val="auto"/>
                <w:highlight w:val="none"/>
                <w:vertAlign w:val="baseline"/>
                <w:lang w:val="en-US" w:eastAsia="zh-CN"/>
              </w:rPr>
            </w:pPr>
          </w:p>
        </w:tc>
      </w:tr>
      <w:tr w14:paraId="2622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45FBA205">
            <w:pPr>
              <w:bidi w:val="0"/>
              <w:jc w:val="center"/>
              <w:rPr>
                <w:rFonts w:hint="eastAsia" w:ascii="宋体" w:hAnsi="宋体" w:eastAsia="宋体" w:cs="宋体"/>
                <w:color w:val="auto"/>
                <w:highlight w:val="none"/>
                <w:vertAlign w:val="baseline"/>
                <w:lang w:val="en-US" w:eastAsia="zh-CN"/>
              </w:rPr>
            </w:pPr>
          </w:p>
        </w:tc>
        <w:tc>
          <w:tcPr>
            <w:tcW w:w="1399" w:type="dxa"/>
          </w:tcPr>
          <w:p w14:paraId="4A175076">
            <w:pPr>
              <w:bidi w:val="0"/>
              <w:jc w:val="both"/>
              <w:rPr>
                <w:rFonts w:hint="eastAsia" w:ascii="宋体" w:hAnsi="宋体" w:eastAsia="宋体" w:cs="宋体"/>
                <w:color w:val="auto"/>
                <w:highlight w:val="none"/>
                <w:vertAlign w:val="baseline"/>
                <w:lang w:val="en-US" w:eastAsia="zh-CN"/>
              </w:rPr>
            </w:pPr>
          </w:p>
        </w:tc>
        <w:tc>
          <w:tcPr>
            <w:tcW w:w="2089" w:type="dxa"/>
          </w:tcPr>
          <w:p w14:paraId="1F0915FD">
            <w:pPr>
              <w:bidi w:val="0"/>
              <w:jc w:val="both"/>
              <w:rPr>
                <w:rFonts w:hint="eastAsia" w:ascii="宋体" w:hAnsi="宋体" w:eastAsia="宋体" w:cs="宋体"/>
                <w:color w:val="auto"/>
                <w:highlight w:val="none"/>
                <w:vertAlign w:val="baseline"/>
                <w:lang w:val="en-US" w:eastAsia="zh-CN"/>
              </w:rPr>
            </w:pPr>
          </w:p>
        </w:tc>
        <w:tc>
          <w:tcPr>
            <w:tcW w:w="3486" w:type="dxa"/>
          </w:tcPr>
          <w:p w14:paraId="502C93B0">
            <w:pPr>
              <w:bidi w:val="0"/>
              <w:jc w:val="both"/>
              <w:rPr>
                <w:rFonts w:hint="eastAsia" w:ascii="宋体" w:hAnsi="宋体" w:eastAsia="宋体" w:cs="宋体"/>
                <w:color w:val="auto"/>
                <w:highlight w:val="none"/>
                <w:vertAlign w:val="baseline"/>
                <w:lang w:val="en-US" w:eastAsia="zh-CN"/>
              </w:rPr>
            </w:pPr>
          </w:p>
        </w:tc>
      </w:tr>
      <w:tr w14:paraId="0707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04A2EA33">
            <w:pPr>
              <w:bidi w:val="0"/>
              <w:jc w:val="center"/>
              <w:rPr>
                <w:rFonts w:hint="eastAsia" w:ascii="宋体" w:hAnsi="宋体" w:eastAsia="宋体" w:cs="宋体"/>
                <w:color w:val="auto"/>
                <w:highlight w:val="none"/>
                <w:vertAlign w:val="baseline"/>
                <w:lang w:val="en-US" w:eastAsia="zh-CN"/>
              </w:rPr>
            </w:pPr>
          </w:p>
        </w:tc>
        <w:tc>
          <w:tcPr>
            <w:tcW w:w="1399" w:type="dxa"/>
          </w:tcPr>
          <w:p w14:paraId="31DC9D40">
            <w:pPr>
              <w:bidi w:val="0"/>
              <w:jc w:val="both"/>
              <w:rPr>
                <w:rFonts w:hint="eastAsia" w:ascii="宋体" w:hAnsi="宋体" w:eastAsia="宋体" w:cs="宋体"/>
                <w:color w:val="auto"/>
                <w:highlight w:val="none"/>
                <w:vertAlign w:val="baseline"/>
                <w:lang w:val="en-US" w:eastAsia="zh-CN"/>
              </w:rPr>
            </w:pPr>
          </w:p>
        </w:tc>
        <w:tc>
          <w:tcPr>
            <w:tcW w:w="2089" w:type="dxa"/>
          </w:tcPr>
          <w:p w14:paraId="53452755">
            <w:pPr>
              <w:bidi w:val="0"/>
              <w:jc w:val="both"/>
              <w:rPr>
                <w:rFonts w:hint="eastAsia" w:ascii="宋体" w:hAnsi="宋体" w:eastAsia="宋体" w:cs="宋体"/>
                <w:color w:val="auto"/>
                <w:highlight w:val="none"/>
                <w:vertAlign w:val="baseline"/>
                <w:lang w:val="en-US" w:eastAsia="zh-CN"/>
              </w:rPr>
            </w:pPr>
          </w:p>
        </w:tc>
        <w:tc>
          <w:tcPr>
            <w:tcW w:w="3486" w:type="dxa"/>
          </w:tcPr>
          <w:p w14:paraId="3EFE7911">
            <w:pPr>
              <w:bidi w:val="0"/>
              <w:jc w:val="both"/>
              <w:rPr>
                <w:rFonts w:hint="eastAsia" w:ascii="宋体" w:hAnsi="宋体" w:eastAsia="宋体" w:cs="宋体"/>
                <w:color w:val="auto"/>
                <w:highlight w:val="none"/>
                <w:vertAlign w:val="baseline"/>
                <w:lang w:val="en-US" w:eastAsia="zh-CN"/>
              </w:rPr>
            </w:pPr>
          </w:p>
        </w:tc>
      </w:tr>
      <w:tr w14:paraId="5CAC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46201591">
            <w:pPr>
              <w:bidi w:val="0"/>
              <w:jc w:val="center"/>
              <w:rPr>
                <w:rFonts w:hint="eastAsia" w:ascii="宋体" w:hAnsi="宋体" w:eastAsia="宋体" w:cs="宋体"/>
                <w:color w:val="auto"/>
                <w:highlight w:val="none"/>
                <w:vertAlign w:val="baseline"/>
                <w:lang w:val="en-US" w:eastAsia="zh-CN"/>
              </w:rPr>
            </w:pPr>
          </w:p>
        </w:tc>
        <w:tc>
          <w:tcPr>
            <w:tcW w:w="1399" w:type="dxa"/>
          </w:tcPr>
          <w:p w14:paraId="6941FAF3">
            <w:pPr>
              <w:bidi w:val="0"/>
              <w:jc w:val="both"/>
              <w:rPr>
                <w:rFonts w:hint="eastAsia" w:ascii="宋体" w:hAnsi="宋体" w:eastAsia="宋体" w:cs="宋体"/>
                <w:color w:val="auto"/>
                <w:highlight w:val="none"/>
                <w:vertAlign w:val="baseline"/>
                <w:lang w:val="en-US" w:eastAsia="zh-CN"/>
              </w:rPr>
            </w:pPr>
          </w:p>
        </w:tc>
        <w:tc>
          <w:tcPr>
            <w:tcW w:w="2089" w:type="dxa"/>
          </w:tcPr>
          <w:p w14:paraId="2E7245A0">
            <w:pPr>
              <w:bidi w:val="0"/>
              <w:jc w:val="both"/>
              <w:rPr>
                <w:rFonts w:hint="eastAsia" w:ascii="宋体" w:hAnsi="宋体" w:eastAsia="宋体" w:cs="宋体"/>
                <w:color w:val="auto"/>
                <w:highlight w:val="none"/>
                <w:vertAlign w:val="baseline"/>
                <w:lang w:val="en-US" w:eastAsia="zh-CN"/>
              </w:rPr>
            </w:pPr>
          </w:p>
        </w:tc>
        <w:tc>
          <w:tcPr>
            <w:tcW w:w="3486" w:type="dxa"/>
          </w:tcPr>
          <w:p w14:paraId="4FED5B16">
            <w:pPr>
              <w:bidi w:val="0"/>
              <w:jc w:val="both"/>
              <w:rPr>
                <w:rFonts w:hint="eastAsia" w:ascii="宋体" w:hAnsi="宋体" w:eastAsia="宋体" w:cs="宋体"/>
                <w:color w:val="auto"/>
                <w:highlight w:val="none"/>
                <w:vertAlign w:val="baseline"/>
                <w:lang w:val="en-US" w:eastAsia="zh-CN"/>
              </w:rPr>
            </w:pPr>
          </w:p>
        </w:tc>
      </w:tr>
      <w:tr w14:paraId="3F9F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596C4189">
            <w:pPr>
              <w:bidi w:val="0"/>
              <w:jc w:val="center"/>
              <w:rPr>
                <w:rFonts w:hint="eastAsia" w:ascii="宋体" w:hAnsi="宋体" w:eastAsia="宋体" w:cs="宋体"/>
                <w:color w:val="auto"/>
                <w:highlight w:val="none"/>
                <w:vertAlign w:val="baseline"/>
                <w:lang w:val="en-US" w:eastAsia="zh-CN"/>
              </w:rPr>
            </w:pPr>
          </w:p>
        </w:tc>
        <w:tc>
          <w:tcPr>
            <w:tcW w:w="1399" w:type="dxa"/>
          </w:tcPr>
          <w:p w14:paraId="08BF0A4A">
            <w:pPr>
              <w:bidi w:val="0"/>
              <w:jc w:val="both"/>
              <w:rPr>
                <w:rFonts w:hint="eastAsia" w:ascii="宋体" w:hAnsi="宋体" w:eastAsia="宋体" w:cs="宋体"/>
                <w:color w:val="auto"/>
                <w:highlight w:val="none"/>
                <w:vertAlign w:val="baseline"/>
                <w:lang w:val="en-US" w:eastAsia="zh-CN"/>
              </w:rPr>
            </w:pPr>
          </w:p>
        </w:tc>
        <w:tc>
          <w:tcPr>
            <w:tcW w:w="2089" w:type="dxa"/>
          </w:tcPr>
          <w:p w14:paraId="1879AA58">
            <w:pPr>
              <w:bidi w:val="0"/>
              <w:jc w:val="both"/>
              <w:rPr>
                <w:rFonts w:hint="eastAsia" w:ascii="宋体" w:hAnsi="宋体" w:eastAsia="宋体" w:cs="宋体"/>
                <w:color w:val="auto"/>
                <w:highlight w:val="none"/>
                <w:vertAlign w:val="baseline"/>
                <w:lang w:val="en-US" w:eastAsia="zh-CN"/>
              </w:rPr>
            </w:pPr>
          </w:p>
        </w:tc>
        <w:tc>
          <w:tcPr>
            <w:tcW w:w="3486" w:type="dxa"/>
          </w:tcPr>
          <w:p w14:paraId="151B2A63">
            <w:pPr>
              <w:bidi w:val="0"/>
              <w:jc w:val="both"/>
              <w:rPr>
                <w:rFonts w:hint="eastAsia" w:ascii="宋体" w:hAnsi="宋体" w:eastAsia="宋体" w:cs="宋体"/>
                <w:color w:val="auto"/>
                <w:highlight w:val="none"/>
                <w:vertAlign w:val="baseline"/>
                <w:lang w:val="en-US" w:eastAsia="zh-CN"/>
              </w:rPr>
            </w:pPr>
          </w:p>
        </w:tc>
      </w:tr>
      <w:tr w14:paraId="0BEE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24" w:type="dxa"/>
            <w:vAlign w:val="center"/>
          </w:tcPr>
          <w:p w14:paraId="4872B24B">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99" w:type="dxa"/>
          </w:tcPr>
          <w:p w14:paraId="2310EC9E">
            <w:pPr>
              <w:bidi w:val="0"/>
              <w:jc w:val="both"/>
              <w:rPr>
                <w:rFonts w:hint="eastAsia" w:ascii="宋体" w:hAnsi="宋体" w:eastAsia="宋体" w:cs="宋体"/>
                <w:color w:val="auto"/>
                <w:highlight w:val="none"/>
                <w:vertAlign w:val="baseline"/>
                <w:lang w:val="en-US" w:eastAsia="zh-CN"/>
              </w:rPr>
            </w:pPr>
          </w:p>
        </w:tc>
        <w:tc>
          <w:tcPr>
            <w:tcW w:w="2089" w:type="dxa"/>
          </w:tcPr>
          <w:p w14:paraId="442C4C45">
            <w:pPr>
              <w:bidi w:val="0"/>
              <w:jc w:val="both"/>
              <w:rPr>
                <w:rFonts w:hint="eastAsia" w:ascii="宋体" w:hAnsi="宋体" w:eastAsia="宋体" w:cs="宋体"/>
                <w:color w:val="auto"/>
                <w:highlight w:val="none"/>
                <w:vertAlign w:val="baseline"/>
                <w:lang w:val="en-US" w:eastAsia="zh-CN"/>
              </w:rPr>
            </w:pPr>
          </w:p>
        </w:tc>
        <w:tc>
          <w:tcPr>
            <w:tcW w:w="3486" w:type="dxa"/>
          </w:tcPr>
          <w:p w14:paraId="05BEF016">
            <w:pPr>
              <w:bidi w:val="0"/>
              <w:jc w:val="both"/>
              <w:rPr>
                <w:rFonts w:hint="eastAsia" w:ascii="宋体" w:hAnsi="宋体" w:eastAsia="宋体" w:cs="宋体"/>
                <w:color w:val="auto"/>
                <w:highlight w:val="none"/>
                <w:vertAlign w:val="baseline"/>
                <w:lang w:val="en-US" w:eastAsia="zh-CN"/>
              </w:rPr>
            </w:pPr>
          </w:p>
        </w:tc>
      </w:tr>
    </w:tbl>
    <w:p w14:paraId="2AE93EC4">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备注：1、报价不得低于租金单价底价。 </w:t>
      </w:r>
    </w:p>
    <w:p w14:paraId="0586CA64">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2、以上价格不含水电费等其它费用。</w:t>
      </w:r>
    </w:p>
    <w:p w14:paraId="6C93B9B4">
      <w:pPr>
        <w:bidi w:val="0"/>
        <w:ind w:left="0" w:leftChars="0" w:firstLine="420" w:firstLineChars="200"/>
        <w:rPr>
          <w:rFonts w:hint="eastAsia" w:ascii="宋体" w:hAnsi="宋体" w:eastAsia="宋体" w:cs="宋体"/>
          <w:color w:val="auto"/>
          <w:highlight w:val="none"/>
          <w:lang w:val="en-US" w:eastAsia="zh-CN"/>
        </w:rPr>
      </w:pPr>
    </w:p>
    <w:p w14:paraId="47630057">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意向承租方（公章）： </w:t>
      </w:r>
    </w:p>
    <w:p w14:paraId="749450A7">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法定代表人或其委托代理人（签字或盖章）： </w:t>
      </w:r>
    </w:p>
    <w:p w14:paraId="5FC24C0A">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日期：   年   月   日 </w:t>
      </w:r>
      <w:r>
        <w:rPr>
          <w:rFonts w:hint="eastAsia" w:ascii="宋体" w:hAnsi="宋体" w:eastAsia="宋体" w:cs="宋体"/>
          <w:color w:val="auto"/>
          <w:highlight w:val="none"/>
          <w:lang w:val="en-US" w:eastAsia="zh-CN"/>
        </w:rPr>
        <w:br w:type="page"/>
      </w:r>
    </w:p>
    <w:p w14:paraId="514309DC">
      <w:pPr>
        <w:jc w:val="center"/>
        <w:outlineLvl w:val="1"/>
        <w:rPr>
          <w:rFonts w:hint="eastAsia" w:ascii="宋体" w:hAnsi="宋体" w:eastAsia="宋体" w:cs="宋体"/>
          <w:b/>
          <w:bCs/>
          <w:color w:val="auto"/>
          <w:sz w:val="32"/>
          <w:szCs w:val="32"/>
          <w:highlight w:val="none"/>
          <w:lang w:val="en-US" w:eastAsia="zh-CN"/>
        </w:rPr>
      </w:pPr>
      <w:bookmarkStart w:id="49" w:name="_Toc2117"/>
      <w:r>
        <w:rPr>
          <w:rFonts w:hint="eastAsia" w:ascii="宋体" w:hAnsi="宋体" w:eastAsia="宋体" w:cs="宋体"/>
          <w:b/>
          <w:bCs/>
          <w:color w:val="auto"/>
          <w:sz w:val="32"/>
          <w:szCs w:val="32"/>
          <w:highlight w:val="none"/>
          <w:lang w:val="en-US" w:eastAsia="zh-CN"/>
        </w:rPr>
        <w:t>六、交易保证金</w:t>
      </w:r>
    </w:p>
    <w:p w14:paraId="2B209858">
      <w:pPr>
        <w:keepNext w:val="0"/>
        <w:keepLines w:val="0"/>
        <w:widowControl/>
        <w:suppressLineNumbers w:val="0"/>
        <w:jc w:val="center"/>
        <w:rPr>
          <w:rFonts w:hint="eastAsia" w:ascii="宋体" w:hAnsi="宋体" w:eastAsia="宋体" w:cs="宋体"/>
          <w:color w:val="auto"/>
          <w:sz w:val="28"/>
          <w:szCs w:val="28"/>
          <w:highlight w:val="none"/>
        </w:rPr>
      </w:pPr>
    </w:p>
    <w:p w14:paraId="2C3DA807">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若采用现金方式，此处填写“采用现金方式交纳保证金”； </w:t>
      </w:r>
    </w:p>
    <w:p w14:paraId="1A36BEE2">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若采用本票或保函或保险或担保或数字人民币或转账方式，此处须附本票或保函或保险或担保或数字人民币或转账回单复印件或扫描件。</w:t>
      </w:r>
    </w:p>
    <w:p w14:paraId="5E3B3B16">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186C91C6">
      <w:pPr>
        <w:pStyle w:val="4"/>
        <w:bidi w:val="0"/>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附件5-2. 竞选文件格式</w:t>
      </w:r>
      <w:r>
        <w:rPr>
          <w:rFonts w:hint="eastAsia" w:ascii="宋体" w:hAnsi="宋体" w:eastAsia="宋体" w:cs="宋体"/>
          <w:b/>
          <w:bCs/>
          <w:color w:val="auto"/>
          <w:sz w:val="24"/>
          <w:szCs w:val="24"/>
          <w:highlight w:val="none"/>
          <w:lang w:val="en-US" w:eastAsia="zh-CN"/>
        </w:rPr>
        <w:t>（自然人版）</w:t>
      </w:r>
      <w:bookmarkEnd w:id="49"/>
    </w:p>
    <w:p w14:paraId="519E509E">
      <w:pPr>
        <w:spacing w:line="440" w:lineRule="exact"/>
        <w:jc w:val="center"/>
        <w:rPr>
          <w:rFonts w:hint="eastAsia" w:ascii="宋体" w:hAnsi="宋体" w:eastAsia="宋体" w:cs="宋体"/>
          <w:b/>
          <w:color w:val="auto"/>
          <w:sz w:val="36"/>
          <w:szCs w:val="36"/>
          <w:highlight w:val="none"/>
        </w:rPr>
      </w:pPr>
    </w:p>
    <w:p w14:paraId="4C86BDB6">
      <w:pPr>
        <w:jc w:val="center"/>
        <w:outlineLvl w:val="1"/>
        <w:rPr>
          <w:rFonts w:hint="eastAsia" w:ascii="宋体" w:hAnsi="宋体" w:eastAsia="宋体" w:cs="宋体"/>
          <w:b/>
          <w:bCs/>
          <w:color w:val="auto"/>
          <w:sz w:val="32"/>
          <w:szCs w:val="32"/>
          <w:highlight w:val="none"/>
          <w:lang w:val="en-US" w:eastAsia="zh-CN"/>
        </w:rPr>
      </w:pPr>
      <w:bookmarkStart w:id="50" w:name="_Toc27754"/>
      <w:r>
        <w:rPr>
          <w:rFonts w:hint="eastAsia" w:ascii="宋体" w:hAnsi="宋体" w:eastAsia="宋体" w:cs="宋体"/>
          <w:b/>
          <w:bCs/>
          <w:color w:val="auto"/>
          <w:sz w:val="32"/>
          <w:szCs w:val="32"/>
          <w:highlight w:val="none"/>
          <w:lang w:val="en-US" w:eastAsia="zh-CN"/>
        </w:rPr>
        <w:t>一、授权委托书</w:t>
      </w:r>
      <w:bookmarkEnd w:id="50"/>
    </w:p>
    <w:p w14:paraId="23DE8411">
      <w:pPr>
        <w:keepNext w:val="0"/>
        <w:keepLines w:val="0"/>
        <w:widowControl/>
        <w:suppressLineNumbers w:val="0"/>
        <w:jc w:val="center"/>
        <w:rPr>
          <w:rFonts w:hint="eastAsia" w:ascii="宋体" w:hAnsi="宋体" w:eastAsia="宋体" w:cs="宋体"/>
          <w:color w:val="auto"/>
          <w:sz w:val="28"/>
          <w:szCs w:val="28"/>
          <w:highlight w:val="none"/>
        </w:rPr>
      </w:pPr>
    </w:p>
    <w:p w14:paraId="1581A175">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68957AF8">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本授权委托书声明： </w:t>
      </w:r>
    </w:p>
    <w:p w14:paraId="02DF59E7">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本人</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，联系方式</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，为本人委托代理人，以本人的名义参加</w:t>
      </w:r>
      <w:r>
        <w:rPr>
          <w:rFonts w:hint="eastAsia" w:ascii="宋体" w:hAnsi="宋体" w:eastAsia="宋体" w:cs="宋体"/>
          <w:color w:val="auto"/>
          <w:kern w:val="0"/>
          <w:sz w:val="21"/>
          <w:szCs w:val="21"/>
          <w:highlight w:val="none"/>
          <w:u w:val="single"/>
          <w:lang w:val="en-US" w:eastAsia="zh-CN" w:bidi="ar"/>
        </w:rPr>
        <w:t xml:space="preserve">（项目名称）                 </w:t>
      </w:r>
      <w:r>
        <w:rPr>
          <w:rFonts w:hint="eastAsia" w:ascii="宋体" w:hAnsi="宋体" w:eastAsia="宋体" w:cs="宋体"/>
          <w:color w:val="auto"/>
          <w:kern w:val="0"/>
          <w:sz w:val="21"/>
          <w:szCs w:val="21"/>
          <w:highlight w:val="none"/>
          <w:lang w:val="en-US" w:eastAsia="zh-CN" w:bidi="ar"/>
        </w:rPr>
        <w:t xml:space="preserve">竞价活动。 </w:t>
      </w:r>
    </w:p>
    <w:p w14:paraId="258A7E59">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委托代理人在竞选文件递交、澄清、合同谈判及办理与本次招租活动有关的一切事务，我均予以承认。 </w:t>
      </w:r>
    </w:p>
    <w:p w14:paraId="6A4DD026">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特此委托。 </w:t>
      </w:r>
    </w:p>
    <w:p w14:paraId="329279B5">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7599DDDE">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委托人（签字并加盖手印）： </w:t>
      </w:r>
    </w:p>
    <w:p w14:paraId="6DA9D78E">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委托代理人（签字并加盖手印）： </w:t>
      </w:r>
    </w:p>
    <w:p w14:paraId="4350467A">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委托代理人联系方式：</w:t>
      </w:r>
    </w:p>
    <w:p w14:paraId="17267F50">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w:t>
      </w:r>
    </w:p>
    <w:p w14:paraId="43A5F79B">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邮政编码：</w:t>
      </w:r>
    </w:p>
    <w:p w14:paraId="669B6E74">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开户银行：</w:t>
      </w:r>
    </w:p>
    <w:p w14:paraId="2357F523">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银行帐号：</w:t>
      </w:r>
    </w:p>
    <w:p w14:paraId="23243533">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项目负责人姓名： </w:t>
      </w:r>
    </w:p>
    <w:p w14:paraId="52D2B77F">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项目负责人身份证号：</w:t>
      </w:r>
    </w:p>
    <w:p w14:paraId="10C5DAFB">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项目负责人联系方式：</w:t>
      </w:r>
    </w:p>
    <w:p w14:paraId="42299152">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日期：   年   月   日 </w:t>
      </w:r>
    </w:p>
    <w:p w14:paraId="081CF0A5">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1899F73F">
      <w:pPr>
        <w:keepNext w:val="0"/>
        <w:keepLines w:val="0"/>
        <w:widowControl/>
        <w:suppressLineNumbers w:val="0"/>
        <w:ind w:left="0" w:leftChars="0" w:right="-512" w:rightChars="-244"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注：1、本委托书中委托代理人的签名笔迹是核对由其签发的文件有效性的依据；</w:t>
      </w:r>
    </w:p>
    <w:p w14:paraId="4BD46A5F">
      <w:pPr>
        <w:keepNext w:val="0"/>
        <w:keepLines w:val="0"/>
        <w:widowControl/>
        <w:numPr>
          <w:ilvl w:val="0"/>
          <w:numId w:val="0"/>
        </w:numPr>
        <w:suppressLineNumbers w:val="0"/>
        <w:ind w:left="0" w:leftChars="0" w:right="-512" w:rightChars="-244"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2、若为自然人本人参加竞选，本授权委托书仍需提供，其中，“现授权委托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”此处无需填写。</w:t>
      </w:r>
    </w:p>
    <w:p w14:paraId="548BDE79">
      <w:pPr>
        <w:jc w:val="center"/>
        <w:outlineLvl w:val="1"/>
        <w:rPr>
          <w:rFonts w:hint="eastAsia" w:ascii="宋体" w:hAnsi="宋体" w:eastAsia="宋体" w:cs="宋体"/>
          <w:b/>
          <w:bCs/>
          <w:color w:val="auto"/>
          <w:sz w:val="32"/>
          <w:szCs w:val="32"/>
          <w:highlight w:val="none"/>
          <w:lang w:val="en-US" w:eastAsia="zh-CN"/>
        </w:rPr>
      </w:pPr>
      <w:bookmarkStart w:id="51" w:name="_Toc24723"/>
      <w:r>
        <w:rPr>
          <w:rFonts w:hint="eastAsia" w:ascii="宋体" w:hAnsi="宋体" w:eastAsia="宋体" w:cs="宋体"/>
          <w:b/>
          <w:bCs/>
          <w:color w:val="auto"/>
          <w:sz w:val="32"/>
          <w:szCs w:val="32"/>
          <w:highlight w:val="none"/>
          <w:lang w:val="en-US" w:eastAsia="zh-CN"/>
        </w:rPr>
        <w:t>二、身份证复印件</w:t>
      </w:r>
      <w:bookmarkEnd w:id="51"/>
    </w:p>
    <w:p w14:paraId="146C00F2">
      <w:pPr>
        <w:rPr>
          <w:rFonts w:hint="eastAsia" w:ascii="宋体" w:hAnsi="宋体" w:eastAsia="宋体" w:cs="宋体"/>
          <w:color w:val="auto"/>
          <w:highlight w:val="none"/>
          <w:lang w:val="en-US" w:eastAsia="zh-CN"/>
        </w:rPr>
      </w:pPr>
    </w:p>
    <w:p w14:paraId="50EFD4B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须提供委托人及委托代理人身份证复印件或扫描件。</w:t>
      </w:r>
    </w:p>
    <w:p w14:paraId="00A2578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注：若为自然人本人参加竞选，仅需提供自然人本人身份证复印件或扫描件。</w:t>
      </w:r>
    </w:p>
    <w:p w14:paraId="01064B03">
      <w:pPr>
        <w:pStyle w:val="18"/>
        <w:rPr>
          <w:rFonts w:hint="eastAsia" w:ascii="宋体" w:hAnsi="宋体" w:eastAsia="宋体" w:cs="宋体"/>
          <w:color w:val="auto"/>
          <w:highlight w:val="none"/>
          <w:lang w:val="en-US" w:eastAsia="zh-CN"/>
        </w:rPr>
      </w:pPr>
    </w:p>
    <w:p w14:paraId="79C2FD0A">
      <w:pPr>
        <w:pStyle w:val="18"/>
        <w:rPr>
          <w:rFonts w:hint="eastAsia" w:ascii="宋体" w:hAnsi="宋体" w:eastAsia="宋体" w:cs="宋体"/>
          <w:highlight w:val="none"/>
          <w:lang w:val="en-US" w:eastAsia="zh-CN"/>
        </w:rPr>
        <w:sectPr>
          <w:pgSz w:w="11906" w:h="16838"/>
          <w:pgMar w:top="1440" w:right="1803" w:bottom="1440" w:left="1803" w:header="851" w:footer="992" w:gutter="0"/>
          <w:pgNumType w:fmt="decimal"/>
          <w:cols w:space="0" w:num="1"/>
          <w:rtlGutter w:val="0"/>
          <w:docGrid w:type="lines" w:linePitch="319" w:charSpace="0"/>
        </w:sectPr>
      </w:pPr>
    </w:p>
    <w:p w14:paraId="23838AE3">
      <w:pPr>
        <w:jc w:val="center"/>
        <w:outlineLvl w:val="1"/>
        <w:rPr>
          <w:rFonts w:hint="eastAsia" w:ascii="宋体" w:hAnsi="宋体" w:eastAsia="宋体" w:cs="宋体"/>
          <w:b/>
          <w:bCs/>
          <w:color w:val="auto"/>
          <w:sz w:val="32"/>
          <w:szCs w:val="32"/>
          <w:highlight w:val="none"/>
          <w:lang w:val="en-US" w:eastAsia="zh-CN"/>
        </w:rPr>
      </w:pPr>
      <w:bookmarkStart w:id="52" w:name="_Toc29370"/>
      <w:r>
        <w:rPr>
          <w:rFonts w:hint="eastAsia" w:ascii="宋体" w:hAnsi="宋体" w:eastAsia="宋体" w:cs="宋体"/>
          <w:b/>
          <w:bCs/>
          <w:color w:val="auto"/>
          <w:sz w:val="32"/>
          <w:szCs w:val="32"/>
          <w:highlight w:val="none"/>
          <w:lang w:val="en-US" w:eastAsia="zh-CN"/>
        </w:rPr>
        <w:t>三、承诺书</w:t>
      </w:r>
      <w:bookmarkEnd w:id="52"/>
    </w:p>
    <w:p w14:paraId="5BD3AB2E">
      <w:pPr>
        <w:keepNext w:val="0"/>
        <w:keepLines w:val="0"/>
        <w:widowControl/>
        <w:suppressLineNumbers w:val="0"/>
        <w:jc w:val="center"/>
        <w:rPr>
          <w:rFonts w:hint="eastAsia" w:ascii="宋体" w:hAnsi="宋体" w:eastAsia="宋体" w:cs="宋体"/>
          <w:color w:val="auto"/>
          <w:sz w:val="28"/>
          <w:szCs w:val="28"/>
          <w:highlight w:val="none"/>
        </w:rPr>
      </w:pPr>
    </w:p>
    <w:p w14:paraId="18BF9DA5">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17BB7396">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本人郑重承诺： </w:t>
      </w:r>
    </w:p>
    <w:p w14:paraId="7BB48A12">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本人的竞租行为已经获得必要的内部决策批准、同意及授权，按照规定缴纳相应的交易保证金，相关资金均为合法所得。 </w:t>
      </w:r>
    </w:p>
    <w:p w14:paraId="33D00372">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本人已认真阅读出租方所有挂牌文件，完全同意并接受出租方《</w:t>
      </w:r>
      <w:r>
        <w:rPr>
          <w:rFonts w:hint="eastAsia" w:ascii="宋体" w:hAnsi="宋体" w:eastAsia="宋体" w:cs="宋体"/>
          <w:color w:val="auto"/>
          <w:sz w:val="21"/>
          <w:szCs w:val="21"/>
          <w:highlight w:val="none"/>
          <w:lang w:val="en-US" w:eastAsia="zh-CN"/>
        </w:rPr>
        <w:t>南通轨道交通2号线一期体育公园站地面驿站出租项目招租公告</w:t>
      </w:r>
      <w:r>
        <w:rPr>
          <w:rFonts w:hint="eastAsia" w:ascii="宋体" w:hAnsi="宋体" w:eastAsia="宋体" w:cs="宋体"/>
          <w:color w:val="auto"/>
          <w:kern w:val="0"/>
          <w:sz w:val="21"/>
          <w:szCs w:val="21"/>
          <w:highlight w:val="none"/>
          <w:lang w:val="en-US" w:eastAsia="zh-CN" w:bidi="ar"/>
        </w:rPr>
        <w:t xml:space="preserve">》（以下简称“招租公告”）及附件中对意向承租方提出的各项要求，自愿按照《招租公告》及附件中的要求合法参与竞租，如有违反，本人愿意承担相应法律后果。 </w:t>
      </w:r>
    </w:p>
    <w:p w14:paraId="32FB8052">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本人认可《合同主要条款》所有内容，不对单价或其它条款和条件做任何改变。 </w:t>
      </w:r>
    </w:p>
    <w:p w14:paraId="30692654">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本人递交的全部报名材料均为真实材料，相关证明文件属实。 </w:t>
      </w:r>
    </w:p>
    <w:p w14:paraId="0AB851E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 在报名截止时间前，</w:t>
      </w:r>
      <w:r>
        <w:rPr>
          <w:rFonts w:hint="eastAsia" w:ascii="宋体" w:hAnsi="宋体" w:eastAsia="宋体" w:cs="宋体"/>
          <w:b/>
          <w:bCs/>
          <w:color w:val="auto"/>
          <w:kern w:val="0"/>
          <w:sz w:val="21"/>
          <w:szCs w:val="21"/>
          <w:highlight w:val="none"/>
          <w:lang w:val="en-US" w:eastAsia="zh-CN" w:bidi="ar"/>
        </w:rPr>
        <w:t>本人在“信用中国”平台中没有不良记录</w:t>
      </w:r>
      <w:r>
        <w:rPr>
          <w:rFonts w:hint="eastAsia" w:ascii="宋体" w:hAnsi="宋体" w:eastAsia="宋体" w:cs="宋体"/>
          <w:color w:val="auto"/>
          <w:kern w:val="0"/>
          <w:sz w:val="21"/>
          <w:szCs w:val="21"/>
          <w:highlight w:val="none"/>
          <w:lang w:val="en-US" w:eastAsia="zh-CN" w:bidi="ar"/>
        </w:rPr>
        <w:t xml:space="preserve">，本人及本人法定代表人未被人民法院列入失信被执行人名单。 </w:t>
      </w:r>
    </w:p>
    <w:p w14:paraId="41F8CBB8">
      <w:pPr>
        <w:keepNext w:val="0"/>
        <w:keepLines w:val="0"/>
        <w:widowControl/>
        <w:suppressLineNumbers w:val="0"/>
        <w:ind w:left="0" w:leftChars="0" w:right="-512" w:rightChars="-244" w:firstLine="367" w:firstLineChars="175"/>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 本人承诺具有良好的财务状况和支付能力。</w:t>
      </w:r>
    </w:p>
    <w:p w14:paraId="277C3CAF">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 本人承诺租赁期内未经出租方书面批准，不对驿站进行任何形式的转租、分租、转让、转借、调换、合作经营或联营，不将驿站及设施对外实施抵押、质押等处分行为；</w:t>
      </w:r>
      <w:r>
        <w:rPr>
          <w:rFonts w:hint="eastAsia" w:ascii="宋体" w:hAnsi="宋体" w:eastAsia="宋体" w:cs="宋体"/>
          <w:b/>
          <w:bCs/>
          <w:color w:val="auto"/>
          <w:kern w:val="0"/>
          <w:sz w:val="21"/>
          <w:szCs w:val="21"/>
          <w:highlight w:val="none"/>
          <w:lang w:val="en-US" w:eastAsia="zh-CN" w:bidi="ar"/>
        </w:rPr>
        <w:t xml:space="preserve">租赁期内不出现违反公序良俗的行为。 </w:t>
      </w:r>
    </w:p>
    <w:p w14:paraId="3DB1D8C9">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8. 本人承诺已知悉驿站交付状态为现状交付，并已自行完成驿站现场踏勘，知悉驿站的供电量、上/下水、排污排烟等情况。 </w:t>
      </w:r>
    </w:p>
    <w:p w14:paraId="14D5AD12">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以上内容本人已认真阅读，本公司如有违反承诺内容的行为，自愿依法接受取消报名资格、计入信用档案、取消承租资格、没收保证金等有关处理，愿意承担法律责任，给出租方造成损失的，依法承担赔偿责任。</w:t>
      </w:r>
    </w:p>
    <w:p w14:paraId="2C30281D">
      <w:pPr>
        <w:ind w:left="0" w:leftChars="0" w:right="-512" w:rightChars="-244" w:firstLine="367" w:firstLineChars="175"/>
        <w:rPr>
          <w:rFonts w:hint="eastAsia" w:ascii="宋体" w:hAnsi="宋体" w:eastAsia="宋体" w:cs="宋体"/>
          <w:color w:val="auto"/>
          <w:sz w:val="21"/>
          <w:szCs w:val="21"/>
          <w:highlight w:val="none"/>
          <w:lang w:val="en-US" w:eastAsia="zh-CN"/>
        </w:rPr>
      </w:pPr>
    </w:p>
    <w:p w14:paraId="7B82E24C">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意向承租方本人或委托代理人（签字</w:t>
      </w:r>
      <w:r>
        <w:rPr>
          <w:rFonts w:hint="eastAsia" w:ascii="宋体" w:hAnsi="宋体" w:eastAsia="宋体" w:cs="宋体"/>
          <w:color w:val="auto"/>
          <w:kern w:val="0"/>
          <w:sz w:val="21"/>
          <w:szCs w:val="21"/>
          <w:highlight w:val="none"/>
          <w:lang w:val="en-US" w:eastAsia="zh-CN" w:bidi="ar"/>
        </w:rPr>
        <w:t>并加盖手印</w:t>
      </w:r>
      <w:r>
        <w:rPr>
          <w:rFonts w:hint="eastAsia" w:ascii="宋体" w:hAnsi="宋体" w:eastAsia="宋体" w:cs="宋体"/>
          <w:color w:val="auto"/>
          <w:sz w:val="21"/>
          <w:szCs w:val="21"/>
          <w:highlight w:val="none"/>
          <w:lang w:val="en-US" w:eastAsia="zh-CN"/>
        </w:rPr>
        <w:t xml:space="preserve">）： </w:t>
      </w:r>
    </w:p>
    <w:p w14:paraId="1AA50F24">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382E8962">
      <w:pPr>
        <w:jc w:val="center"/>
        <w:outlineLvl w:val="1"/>
        <w:rPr>
          <w:rFonts w:hint="eastAsia" w:ascii="宋体" w:hAnsi="宋体" w:eastAsia="宋体" w:cs="宋体"/>
          <w:b/>
          <w:bCs/>
          <w:color w:val="auto"/>
          <w:sz w:val="32"/>
          <w:szCs w:val="32"/>
          <w:highlight w:val="none"/>
          <w:lang w:val="en-US" w:eastAsia="zh-CN"/>
        </w:rPr>
      </w:pPr>
      <w:bookmarkStart w:id="53" w:name="_Toc16138"/>
      <w:r>
        <w:rPr>
          <w:rFonts w:hint="eastAsia" w:ascii="宋体" w:hAnsi="宋体" w:eastAsia="宋体" w:cs="宋体"/>
          <w:b/>
          <w:bCs/>
          <w:color w:val="auto"/>
          <w:sz w:val="32"/>
          <w:szCs w:val="32"/>
          <w:highlight w:val="none"/>
          <w:lang w:val="en-US" w:eastAsia="zh-CN"/>
        </w:rPr>
        <w:t>四、经营业态</w:t>
      </w:r>
      <w:bookmarkEnd w:id="53"/>
    </w:p>
    <w:p w14:paraId="3868671E">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p>
    <w:p w14:paraId="5C9DCED3">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67D782A7">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南通轨道交通2号线一期体育公园站地面驿站出租项目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招租信息，我方经考察现场和认真研究上述招租公告及附件内容后，我方承认招租公告及附件的全部内容，并愿按招租公告及附件的要求参与本项目招租。 </w:t>
      </w:r>
    </w:p>
    <w:p w14:paraId="58482D2A">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我方拟经营业态如下：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988"/>
        <w:gridCol w:w="2988"/>
      </w:tblGrid>
      <w:tr w14:paraId="500E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5EE43ABF">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2988" w:type="dxa"/>
            <w:vAlign w:val="center"/>
          </w:tcPr>
          <w:p w14:paraId="5C0EF6CB">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988" w:type="dxa"/>
            <w:vAlign w:val="center"/>
          </w:tcPr>
          <w:p w14:paraId="691066AF">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r>
      <w:tr w14:paraId="7CD2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01D8FBEC">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3D1D5482">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7BEC7AEC">
            <w:pPr>
              <w:bidi w:val="0"/>
              <w:jc w:val="center"/>
              <w:rPr>
                <w:rFonts w:hint="eastAsia" w:ascii="宋体" w:hAnsi="宋体" w:eastAsia="宋体" w:cs="宋体"/>
                <w:color w:val="auto"/>
                <w:highlight w:val="none"/>
                <w:vertAlign w:val="baseline"/>
                <w:lang w:val="en-US" w:eastAsia="zh-CN"/>
              </w:rPr>
            </w:pPr>
          </w:p>
        </w:tc>
      </w:tr>
      <w:tr w14:paraId="63B1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64737EF3">
            <w:pPr>
              <w:bidi w:val="0"/>
              <w:jc w:val="center"/>
              <w:rPr>
                <w:rFonts w:hint="eastAsia" w:ascii="宋体" w:hAnsi="宋体" w:eastAsia="宋体" w:cs="宋体"/>
                <w:color w:val="auto"/>
                <w:highlight w:val="none"/>
                <w:vertAlign w:val="baseline"/>
                <w:lang w:val="en-US" w:eastAsia="zh-CN"/>
              </w:rPr>
            </w:pPr>
          </w:p>
        </w:tc>
        <w:tc>
          <w:tcPr>
            <w:tcW w:w="2988" w:type="dxa"/>
          </w:tcPr>
          <w:p w14:paraId="40C07D3D">
            <w:pPr>
              <w:bidi w:val="0"/>
              <w:jc w:val="both"/>
              <w:rPr>
                <w:rFonts w:hint="eastAsia" w:ascii="宋体" w:hAnsi="宋体" w:eastAsia="宋体" w:cs="宋体"/>
                <w:color w:val="auto"/>
                <w:highlight w:val="none"/>
                <w:vertAlign w:val="baseline"/>
                <w:lang w:val="en-US" w:eastAsia="zh-CN"/>
              </w:rPr>
            </w:pPr>
          </w:p>
        </w:tc>
        <w:tc>
          <w:tcPr>
            <w:tcW w:w="2988" w:type="dxa"/>
          </w:tcPr>
          <w:p w14:paraId="5483DE97">
            <w:pPr>
              <w:bidi w:val="0"/>
              <w:jc w:val="both"/>
              <w:rPr>
                <w:rFonts w:hint="eastAsia" w:ascii="宋体" w:hAnsi="宋体" w:eastAsia="宋体" w:cs="宋体"/>
                <w:color w:val="auto"/>
                <w:highlight w:val="none"/>
                <w:vertAlign w:val="baseline"/>
                <w:lang w:val="en-US" w:eastAsia="zh-CN"/>
              </w:rPr>
            </w:pPr>
          </w:p>
        </w:tc>
      </w:tr>
      <w:tr w14:paraId="5385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5FE91D61">
            <w:pPr>
              <w:bidi w:val="0"/>
              <w:jc w:val="center"/>
              <w:rPr>
                <w:rFonts w:hint="eastAsia" w:ascii="宋体" w:hAnsi="宋体" w:eastAsia="宋体" w:cs="宋体"/>
                <w:color w:val="auto"/>
                <w:highlight w:val="none"/>
                <w:vertAlign w:val="baseline"/>
                <w:lang w:val="en-US" w:eastAsia="zh-CN"/>
              </w:rPr>
            </w:pPr>
          </w:p>
        </w:tc>
        <w:tc>
          <w:tcPr>
            <w:tcW w:w="2988" w:type="dxa"/>
          </w:tcPr>
          <w:p w14:paraId="277AFECF">
            <w:pPr>
              <w:bidi w:val="0"/>
              <w:jc w:val="both"/>
              <w:rPr>
                <w:rFonts w:hint="eastAsia" w:ascii="宋体" w:hAnsi="宋体" w:eastAsia="宋体" w:cs="宋体"/>
                <w:color w:val="auto"/>
                <w:highlight w:val="none"/>
                <w:vertAlign w:val="baseline"/>
                <w:lang w:val="en-US" w:eastAsia="zh-CN"/>
              </w:rPr>
            </w:pPr>
          </w:p>
        </w:tc>
        <w:tc>
          <w:tcPr>
            <w:tcW w:w="2988" w:type="dxa"/>
          </w:tcPr>
          <w:p w14:paraId="3EA5CBFA">
            <w:pPr>
              <w:bidi w:val="0"/>
              <w:jc w:val="both"/>
              <w:rPr>
                <w:rFonts w:hint="eastAsia" w:ascii="宋体" w:hAnsi="宋体" w:eastAsia="宋体" w:cs="宋体"/>
                <w:color w:val="auto"/>
                <w:highlight w:val="none"/>
                <w:vertAlign w:val="baseline"/>
                <w:lang w:val="en-US" w:eastAsia="zh-CN"/>
              </w:rPr>
            </w:pPr>
          </w:p>
        </w:tc>
      </w:tr>
      <w:tr w14:paraId="2577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42" w:type="dxa"/>
            <w:vAlign w:val="center"/>
          </w:tcPr>
          <w:p w14:paraId="6182DD40">
            <w:pPr>
              <w:bidi w:val="0"/>
              <w:jc w:val="center"/>
              <w:rPr>
                <w:rFonts w:hint="eastAsia" w:ascii="宋体" w:hAnsi="宋体" w:eastAsia="宋体" w:cs="宋体"/>
                <w:color w:val="auto"/>
                <w:highlight w:val="none"/>
                <w:vertAlign w:val="baseline"/>
                <w:lang w:val="en-US" w:eastAsia="zh-CN"/>
              </w:rPr>
            </w:pPr>
          </w:p>
        </w:tc>
        <w:tc>
          <w:tcPr>
            <w:tcW w:w="2988" w:type="dxa"/>
          </w:tcPr>
          <w:p w14:paraId="3CEA699F">
            <w:pPr>
              <w:bidi w:val="0"/>
              <w:jc w:val="both"/>
              <w:rPr>
                <w:rFonts w:hint="eastAsia" w:ascii="宋体" w:hAnsi="宋体" w:eastAsia="宋体" w:cs="宋体"/>
                <w:color w:val="auto"/>
                <w:highlight w:val="none"/>
                <w:vertAlign w:val="baseline"/>
                <w:lang w:val="en-US" w:eastAsia="zh-CN"/>
              </w:rPr>
            </w:pPr>
          </w:p>
        </w:tc>
        <w:tc>
          <w:tcPr>
            <w:tcW w:w="2988" w:type="dxa"/>
          </w:tcPr>
          <w:p w14:paraId="740CA858">
            <w:pPr>
              <w:bidi w:val="0"/>
              <w:jc w:val="both"/>
              <w:rPr>
                <w:rFonts w:hint="eastAsia" w:ascii="宋体" w:hAnsi="宋体" w:eastAsia="宋体" w:cs="宋体"/>
                <w:color w:val="auto"/>
                <w:highlight w:val="none"/>
                <w:vertAlign w:val="baseline"/>
                <w:lang w:val="en-US" w:eastAsia="zh-CN"/>
              </w:rPr>
            </w:pPr>
          </w:p>
        </w:tc>
      </w:tr>
    </w:tbl>
    <w:p w14:paraId="309F3ED1">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注：营业业态中选后不得随意更换（出租方同意除外）。</w:t>
      </w:r>
    </w:p>
    <w:p w14:paraId="2B1AC1ED">
      <w:pPr>
        <w:ind w:left="0" w:leftChars="0" w:right="-512" w:rightChars="-244" w:firstLine="367" w:firstLineChars="175"/>
        <w:rPr>
          <w:rFonts w:hint="eastAsia" w:ascii="宋体" w:hAnsi="宋体" w:eastAsia="宋体" w:cs="宋体"/>
          <w:color w:val="auto"/>
          <w:sz w:val="21"/>
          <w:szCs w:val="21"/>
          <w:highlight w:val="none"/>
          <w:lang w:val="en-US" w:eastAsia="zh-CN"/>
        </w:rPr>
      </w:pPr>
    </w:p>
    <w:p w14:paraId="017C9D82">
      <w:pPr>
        <w:ind w:left="0" w:leftChars="0" w:right="-512" w:rightChars="-244" w:firstLine="367" w:firstLineChars="175"/>
        <w:rPr>
          <w:rFonts w:hint="eastAsia" w:ascii="宋体" w:hAnsi="宋体" w:eastAsia="宋体" w:cs="宋体"/>
          <w:color w:val="auto"/>
          <w:sz w:val="21"/>
          <w:szCs w:val="21"/>
          <w:highlight w:val="none"/>
          <w:lang w:val="en-US" w:eastAsia="zh-CN"/>
        </w:rPr>
      </w:pPr>
    </w:p>
    <w:p w14:paraId="49FAF57F">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意向承租方本人或委托代理人（签字</w:t>
      </w:r>
      <w:r>
        <w:rPr>
          <w:rFonts w:hint="eastAsia" w:ascii="宋体" w:hAnsi="宋体" w:eastAsia="宋体" w:cs="宋体"/>
          <w:color w:val="auto"/>
          <w:kern w:val="0"/>
          <w:sz w:val="21"/>
          <w:szCs w:val="21"/>
          <w:highlight w:val="none"/>
          <w:lang w:val="en-US" w:eastAsia="zh-CN" w:bidi="ar"/>
        </w:rPr>
        <w:t>并加盖手印</w:t>
      </w:r>
      <w:r>
        <w:rPr>
          <w:rFonts w:hint="eastAsia" w:ascii="宋体" w:hAnsi="宋体" w:eastAsia="宋体" w:cs="宋体"/>
          <w:color w:val="auto"/>
          <w:sz w:val="21"/>
          <w:szCs w:val="21"/>
          <w:highlight w:val="none"/>
          <w:lang w:val="en-US" w:eastAsia="zh-CN"/>
        </w:rPr>
        <w:t xml:space="preserve">）： </w:t>
      </w:r>
    </w:p>
    <w:p w14:paraId="17248DD8">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2A5AC8F8">
      <w:pPr>
        <w:jc w:val="center"/>
        <w:outlineLvl w:val="1"/>
        <w:rPr>
          <w:rFonts w:hint="eastAsia" w:ascii="宋体" w:hAnsi="宋体" w:eastAsia="宋体" w:cs="宋体"/>
          <w:b/>
          <w:bCs/>
          <w:color w:val="auto"/>
          <w:sz w:val="32"/>
          <w:szCs w:val="32"/>
          <w:highlight w:val="none"/>
          <w:lang w:val="en-US" w:eastAsia="zh-CN"/>
        </w:rPr>
      </w:pPr>
      <w:bookmarkStart w:id="54" w:name="_Toc9664"/>
      <w:r>
        <w:rPr>
          <w:rFonts w:hint="eastAsia" w:ascii="宋体" w:hAnsi="宋体" w:eastAsia="宋体" w:cs="宋体"/>
          <w:b/>
          <w:bCs/>
          <w:color w:val="auto"/>
          <w:sz w:val="32"/>
          <w:szCs w:val="32"/>
          <w:highlight w:val="none"/>
          <w:lang w:val="en-US" w:eastAsia="zh-CN"/>
        </w:rPr>
        <w:t>五、报价函</w:t>
      </w:r>
      <w:bookmarkEnd w:id="54"/>
    </w:p>
    <w:p w14:paraId="643AB76D">
      <w:pPr>
        <w:keepNext w:val="0"/>
        <w:keepLines w:val="0"/>
        <w:widowControl/>
        <w:suppressLineNumbers w:val="0"/>
        <w:jc w:val="center"/>
        <w:rPr>
          <w:rFonts w:hint="eastAsia" w:ascii="宋体" w:hAnsi="宋体" w:eastAsia="宋体" w:cs="宋体"/>
          <w:color w:val="auto"/>
          <w:sz w:val="28"/>
          <w:szCs w:val="28"/>
          <w:highlight w:val="none"/>
        </w:rPr>
      </w:pPr>
    </w:p>
    <w:p w14:paraId="6A685F20">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3D9BAA5F">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南通轨道交通2号线一期体育公园站地面驿站出租项目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招租信息，我方经考察现场和认真研究上述招租公告及附件内容后，我方承认招租公告及附件的全部内容，并愿按招租公告及附件的要求进行本次报价。 </w:t>
      </w:r>
    </w:p>
    <w:p w14:paraId="1199F4D5">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我方同意承担我单位为本次报价所发生的一切费用。 </w:t>
      </w:r>
    </w:p>
    <w:p w14:paraId="483E4246">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我方报价如下：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399"/>
        <w:gridCol w:w="2089"/>
        <w:gridCol w:w="3486"/>
      </w:tblGrid>
      <w:tr w14:paraId="2E10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424" w:type="dxa"/>
            <w:vAlign w:val="center"/>
          </w:tcPr>
          <w:p w14:paraId="4568D701">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1399" w:type="dxa"/>
            <w:vAlign w:val="center"/>
          </w:tcPr>
          <w:p w14:paraId="0036DDB1">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089" w:type="dxa"/>
            <w:vAlign w:val="center"/>
          </w:tcPr>
          <w:p w14:paraId="55ADE87D">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c>
          <w:tcPr>
            <w:tcW w:w="3486" w:type="dxa"/>
            <w:vAlign w:val="center"/>
          </w:tcPr>
          <w:p w14:paraId="1F8698D0">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租金报价（元/年）</w:t>
            </w:r>
          </w:p>
        </w:tc>
      </w:tr>
      <w:tr w14:paraId="138A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08E5A1A5">
            <w:pPr>
              <w:bidi w:val="0"/>
              <w:jc w:val="center"/>
              <w:rPr>
                <w:rFonts w:hint="eastAsia" w:ascii="宋体" w:hAnsi="宋体" w:eastAsia="宋体" w:cs="宋体"/>
                <w:color w:val="auto"/>
                <w:highlight w:val="none"/>
                <w:vertAlign w:val="baseline"/>
                <w:lang w:val="en-US" w:eastAsia="zh-CN"/>
              </w:rPr>
            </w:pPr>
          </w:p>
        </w:tc>
        <w:tc>
          <w:tcPr>
            <w:tcW w:w="1399" w:type="dxa"/>
            <w:vAlign w:val="center"/>
          </w:tcPr>
          <w:p w14:paraId="7CFAA9CA">
            <w:pPr>
              <w:bidi w:val="0"/>
              <w:jc w:val="center"/>
              <w:rPr>
                <w:rFonts w:hint="eastAsia" w:ascii="宋体" w:hAnsi="宋体" w:eastAsia="宋体" w:cs="宋体"/>
                <w:color w:val="auto"/>
                <w:highlight w:val="none"/>
                <w:vertAlign w:val="baseline"/>
                <w:lang w:val="en-US" w:eastAsia="zh-CN"/>
              </w:rPr>
            </w:pPr>
          </w:p>
        </w:tc>
        <w:tc>
          <w:tcPr>
            <w:tcW w:w="2089" w:type="dxa"/>
            <w:vAlign w:val="center"/>
          </w:tcPr>
          <w:p w14:paraId="32EC982B">
            <w:pPr>
              <w:bidi w:val="0"/>
              <w:jc w:val="center"/>
              <w:rPr>
                <w:rFonts w:hint="eastAsia" w:ascii="宋体" w:hAnsi="宋体" w:eastAsia="宋体" w:cs="宋体"/>
                <w:color w:val="auto"/>
                <w:highlight w:val="none"/>
                <w:vertAlign w:val="baseline"/>
                <w:lang w:val="en-US" w:eastAsia="zh-CN"/>
              </w:rPr>
            </w:pPr>
          </w:p>
        </w:tc>
        <w:tc>
          <w:tcPr>
            <w:tcW w:w="3486" w:type="dxa"/>
          </w:tcPr>
          <w:p w14:paraId="1AA7217D">
            <w:pPr>
              <w:bidi w:val="0"/>
              <w:jc w:val="center"/>
              <w:rPr>
                <w:rFonts w:hint="eastAsia" w:ascii="宋体" w:hAnsi="宋体" w:eastAsia="宋体" w:cs="宋体"/>
                <w:color w:val="auto"/>
                <w:highlight w:val="none"/>
                <w:vertAlign w:val="baseline"/>
                <w:lang w:val="en-US" w:eastAsia="zh-CN"/>
              </w:rPr>
            </w:pPr>
          </w:p>
        </w:tc>
      </w:tr>
      <w:tr w14:paraId="5BB6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6F76DEF8">
            <w:pPr>
              <w:bidi w:val="0"/>
              <w:jc w:val="center"/>
              <w:rPr>
                <w:rFonts w:hint="eastAsia" w:ascii="宋体" w:hAnsi="宋体" w:eastAsia="宋体" w:cs="宋体"/>
                <w:color w:val="auto"/>
                <w:highlight w:val="none"/>
                <w:vertAlign w:val="baseline"/>
                <w:lang w:val="en-US" w:eastAsia="zh-CN"/>
              </w:rPr>
            </w:pPr>
          </w:p>
        </w:tc>
        <w:tc>
          <w:tcPr>
            <w:tcW w:w="1399" w:type="dxa"/>
          </w:tcPr>
          <w:p w14:paraId="28C639E7">
            <w:pPr>
              <w:bidi w:val="0"/>
              <w:jc w:val="both"/>
              <w:rPr>
                <w:rFonts w:hint="eastAsia" w:ascii="宋体" w:hAnsi="宋体" w:eastAsia="宋体" w:cs="宋体"/>
                <w:color w:val="auto"/>
                <w:highlight w:val="none"/>
                <w:vertAlign w:val="baseline"/>
                <w:lang w:val="en-US" w:eastAsia="zh-CN"/>
              </w:rPr>
            </w:pPr>
          </w:p>
        </w:tc>
        <w:tc>
          <w:tcPr>
            <w:tcW w:w="2089" w:type="dxa"/>
          </w:tcPr>
          <w:p w14:paraId="73E431B6">
            <w:pPr>
              <w:bidi w:val="0"/>
              <w:jc w:val="both"/>
              <w:rPr>
                <w:rFonts w:hint="eastAsia" w:ascii="宋体" w:hAnsi="宋体" w:eastAsia="宋体" w:cs="宋体"/>
                <w:color w:val="auto"/>
                <w:highlight w:val="none"/>
                <w:vertAlign w:val="baseline"/>
                <w:lang w:val="en-US" w:eastAsia="zh-CN"/>
              </w:rPr>
            </w:pPr>
          </w:p>
        </w:tc>
        <w:tc>
          <w:tcPr>
            <w:tcW w:w="3486" w:type="dxa"/>
          </w:tcPr>
          <w:p w14:paraId="53874CC1">
            <w:pPr>
              <w:bidi w:val="0"/>
              <w:jc w:val="both"/>
              <w:rPr>
                <w:rFonts w:hint="eastAsia" w:ascii="宋体" w:hAnsi="宋体" w:eastAsia="宋体" w:cs="宋体"/>
                <w:color w:val="auto"/>
                <w:highlight w:val="none"/>
                <w:vertAlign w:val="baseline"/>
                <w:lang w:val="en-US" w:eastAsia="zh-CN"/>
              </w:rPr>
            </w:pPr>
          </w:p>
        </w:tc>
      </w:tr>
      <w:tr w14:paraId="4F72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6BA26FBC">
            <w:pPr>
              <w:bidi w:val="0"/>
              <w:jc w:val="center"/>
              <w:rPr>
                <w:rFonts w:hint="eastAsia" w:ascii="宋体" w:hAnsi="宋体" w:eastAsia="宋体" w:cs="宋体"/>
                <w:color w:val="auto"/>
                <w:highlight w:val="none"/>
                <w:vertAlign w:val="baseline"/>
                <w:lang w:val="en-US" w:eastAsia="zh-CN"/>
              </w:rPr>
            </w:pPr>
          </w:p>
        </w:tc>
        <w:tc>
          <w:tcPr>
            <w:tcW w:w="1399" w:type="dxa"/>
          </w:tcPr>
          <w:p w14:paraId="05F9B960">
            <w:pPr>
              <w:bidi w:val="0"/>
              <w:jc w:val="both"/>
              <w:rPr>
                <w:rFonts w:hint="eastAsia" w:ascii="宋体" w:hAnsi="宋体" w:eastAsia="宋体" w:cs="宋体"/>
                <w:color w:val="auto"/>
                <w:highlight w:val="none"/>
                <w:vertAlign w:val="baseline"/>
                <w:lang w:val="en-US" w:eastAsia="zh-CN"/>
              </w:rPr>
            </w:pPr>
          </w:p>
        </w:tc>
        <w:tc>
          <w:tcPr>
            <w:tcW w:w="2089" w:type="dxa"/>
          </w:tcPr>
          <w:p w14:paraId="045537E7">
            <w:pPr>
              <w:bidi w:val="0"/>
              <w:jc w:val="both"/>
              <w:rPr>
                <w:rFonts w:hint="eastAsia" w:ascii="宋体" w:hAnsi="宋体" w:eastAsia="宋体" w:cs="宋体"/>
                <w:color w:val="auto"/>
                <w:highlight w:val="none"/>
                <w:vertAlign w:val="baseline"/>
                <w:lang w:val="en-US" w:eastAsia="zh-CN"/>
              </w:rPr>
            </w:pPr>
          </w:p>
        </w:tc>
        <w:tc>
          <w:tcPr>
            <w:tcW w:w="3486" w:type="dxa"/>
          </w:tcPr>
          <w:p w14:paraId="40AF33DF">
            <w:pPr>
              <w:bidi w:val="0"/>
              <w:jc w:val="both"/>
              <w:rPr>
                <w:rFonts w:hint="eastAsia" w:ascii="宋体" w:hAnsi="宋体" w:eastAsia="宋体" w:cs="宋体"/>
                <w:color w:val="auto"/>
                <w:highlight w:val="none"/>
                <w:vertAlign w:val="baseline"/>
                <w:lang w:val="en-US" w:eastAsia="zh-CN"/>
              </w:rPr>
            </w:pPr>
          </w:p>
        </w:tc>
      </w:tr>
      <w:tr w14:paraId="13B8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6C17280C">
            <w:pPr>
              <w:bidi w:val="0"/>
              <w:jc w:val="center"/>
              <w:rPr>
                <w:rFonts w:hint="eastAsia" w:ascii="宋体" w:hAnsi="宋体" w:eastAsia="宋体" w:cs="宋体"/>
                <w:color w:val="auto"/>
                <w:highlight w:val="none"/>
                <w:vertAlign w:val="baseline"/>
                <w:lang w:val="en-US" w:eastAsia="zh-CN"/>
              </w:rPr>
            </w:pPr>
          </w:p>
        </w:tc>
        <w:tc>
          <w:tcPr>
            <w:tcW w:w="1399" w:type="dxa"/>
          </w:tcPr>
          <w:p w14:paraId="041900A5">
            <w:pPr>
              <w:bidi w:val="0"/>
              <w:jc w:val="both"/>
              <w:rPr>
                <w:rFonts w:hint="eastAsia" w:ascii="宋体" w:hAnsi="宋体" w:eastAsia="宋体" w:cs="宋体"/>
                <w:color w:val="auto"/>
                <w:highlight w:val="none"/>
                <w:vertAlign w:val="baseline"/>
                <w:lang w:val="en-US" w:eastAsia="zh-CN"/>
              </w:rPr>
            </w:pPr>
          </w:p>
        </w:tc>
        <w:tc>
          <w:tcPr>
            <w:tcW w:w="2089" w:type="dxa"/>
          </w:tcPr>
          <w:p w14:paraId="34426C63">
            <w:pPr>
              <w:bidi w:val="0"/>
              <w:jc w:val="both"/>
              <w:rPr>
                <w:rFonts w:hint="eastAsia" w:ascii="宋体" w:hAnsi="宋体" w:eastAsia="宋体" w:cs="宋体"/>
                <w:color w:val="auto"/>
                <w:highlight w:val="none"/>
                <w:vertAlign w:val="baseline"/>
                <w:lang w:val="en-US" w:eastAsia="zh-CN"/>
              </w:rPr>
            </w:pPr>
          </w:p>
        </w:tc>
        <w:tc>
          <w:tcPr>
            <w:tcW w:w="3486" w:type="dxa"/>
          </w:tcPr>
          <w:p w14:paraId="27255EDA">
            <w:pPr>
              <w:bidi w:val="0"/>
              <w:jc w:val="both"/>
              <w:rPr>
                <w:rFonts w:hint="eastAsia" w:ascii="宋体" w:hAnsi="宋体" w:eastAsia="宋体" w:cs="宋体"/>
                <w:color w:val="auto"/>
                <w:highlight w:val="none"/>
                <w:vertAlign w:val="baseline"/>
                <w:lang w:val="en-US" w:eastAsia="zh-CN"/>
              </w:rPr>
            </w:pPr>
          </w:p>
        </w:tc>
      </w:tr>
      <w:tr w14:paraId="1B42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7933E431">
            <w:pPr>
              <w:bidi w:val="0"/>
              <w:jc w:val="center"/>
              <w:rPr>
                <w:rFonts w:hint="eastAsia" w:ascii="宋体" w:hAnsi="宋体" w:eastAsia="宋体" w:cs="宋体"/>
                <w:color w:val="auto"/>
                <w:highlight w:val="none"/>
                <w:vertAlign w:val="baseline"/>
                <w:lang w:val="en-US" w:eastAsia="zh-CN"/>
              </w:rPr>
            </w:pPr>
          </w:p>
        </w:tc>
        <w:tc>
          <w:tcPr>
            <w:tcW w:w="1399" w:type="dxa"/>
          </w:tcPr>
          <w:p w14:paraId="011CED80">
            <w:pPr>
              <w:bidi w:val="0"/>
              <w:jc w:val="both"/>
              <w:rPr>
                <w:rFonts w:hint="eastAsia" w:ascii="宋体" w:hAnsi="宋体" w:eastAsia="宋体" w:cs="宋体"/>
                <w:color w:val="auto"/>
                <w:highlight w:val="none"/>
                <w:vertAlign w:val="baseline"/>
                <w:lang w:val="en-US" w:eastAsia="zh-CN"/>
              </w:rPr>
            </w:pPr>
          </w:p>
        </w:tc>
        <w:tc>
          <w:tcPr>
            <w:tcW w:w="2089" w:type="dxa"/>
          </w:tcPr>
          <w:p w14:paraId="745E264A">
            <w:pPr>
              <w:bidi w:val="0"/>
              <w:jc w:val="both"/>
              <w:rPr>
                <w:rFonts w:hint="eastAsia" w:ascii="宋体" w:hAnsi="宋体" w:eastAsia="宋体" w:cs="宋体"/>
                <w:color w:val="auto"/>
                <w:highlight w:val="none"/>
                <w:vertAlign w:val="baseline"/>
                <w:lang w:val="en-US" w:eastAsia="zh-CN"/>
              </w:rPr>
            </w:pPr>
          </w:p>
        </w:tc>
        <w:tc>
          <w:tcPr>
            <w:tcW w:w="3486" w:type="dxa"/>
          </w:tcPr>
          <w:p w14:paraId="0D227248">
            <w:pPr>
              <w:bidi w:val="0"/>
              <w:jc w:val="both"/>
              <w:rPr>
                <w:rFonts w:hint="eastAsia" w:ascii="宋体" w:hAnsi="宋体" w:eastAsia="宋体" w:cs="宋体"/>
                <w:color w:val="auto"/>
                <w:highlight w:val="none"/>
                <w:vertAlign w:val="baseline"/>
                <w:lang w:val="en-US" w:eastAsia="zh-CN"/>
              </w:rPr>
            </w:pPr>
          </w:p>
        </w:tc>
      </w:tr>
      <w:tr w14:paraId="01E9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3B448709">
            <w:pPr>
              <w:bidi w:val="0"/>
              <w:jc w:val="center"/>
              <w:rPr>
                <w:rFonts w:hint="eastAsia" w:ascii="宋体" w:hAnsi="宋体" w:eastAsia="宋体" w:cs="宋体"/>
                <w:color w:val="auto"/>
                <w:highlight w:val="none"/>
                <w:vertAlign w:val="baseline"/>
                <w:lang w:val="en-US" w:eastAsia="zh-CN"/>
              </w:rPr>
            </w:pPr>
          </w:p>
        </w:tc>
        <w:tc>
          <w:tcPr>
            <w:tcW w:w="1399" w:type="dxa"/>
          </w:tcPr>
          <w:p w14:paraId="45BF2D1A">
            <w:pPr>
              <w:bidi w:val="0"/>
              <w:jc w:val="both"/>
              <w:rPr>
                <w:rFonts w:hint="eastAsia" w:ascii="宋体" w:hAnsi="宋体" w:eastAsia="宋体" w:cs="宋体"/>
                <w:color w:val="auto"/>
                <w:highlight w:val="none"/>
                <w:vertAlign w:val="baseline"/>
                <w:lang w:val="en-US" w:eastAsia="zh-CN"/>
              </w:rPr>
            </w:pPr>
          </w:p>
        </w:tc>
        <w:tc>
          <w:tcPr>
            <w:tcW w:w="2089" w:type="dxa"/>
          </w:tcPr>
          <w:p w14:paraId="3BDDB2D0">
            <w:pPr>
              <w:bidi w:val="0"/>
              <w:jc w:val="both"/>
              <w:rPr>
                <w:rFonts w:hint="eastAsia" w:ascii="宋体" w:hAnsi="宋体" w:eastAsia="宋体" w:cs="宋体"/>
                <w:color w:val="auto"/>
                <w:highlight w:val="none"/>
                <w:vertAlign w:val="baseline"/>
                <w:lang w:val="en-US" w:eastAsia="zh-CN"/>
              </w:rPr>
            </w:pPr>
          </w:p>
        </w:tc>
        <w:tc>
          <w:tcPr>
            <w:tcW w:w="3486" w:type="dxa"/>
          </w:tcPr>
          <w:p w14:paraId="3EF16EB5">
            <w:pPr>
              <w:bidi w:val="0"/>
              <w:jc w:val="both"/>
              <w:rPr>
                <w:rFonts w:hint="eastAsia" w:ascii="宋体" w:hAnsi="宋体" w:eastAsia="宋体" w:cs="宋体"/>
                <w:color w:val="auto"/>
                <w:highlight w:val="none"/>
                <w:vertAlign w:val="baseline"/>
                <w:lang w:val="en-US" w:eastAsia="zh-CN"/>
              </w:rPr>
            </w:pPr>
          </w:p>
        </w:tc>
      </w:tr>
      <w:tr w14:paraId="048A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24" w:type="dxa"/>
            <w:vAlign w:val="center"/>
          </w:tcPr>
          <w:p w14:paraId="7EC32CD4">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99" w:type="dxa"/>
          </w:tcPr>
          <w:p w14:paraId="586D6C01">
            <w:pPr>
              <w:bidi w:val="0"/>
              <w:jc w:val="both"/>
              <w:rPr>
                <w:rFonts w:hint="eastAsia" w:ascii="宋体" w:hAnsi="宋体" w:eastAsia="宋体" w:cs="宋体"/>
                <w:color w:val="auto"/>
                <w:highlight w:val="none"/>
                <w:vertAlign w:val="baseline"/>
                <w:lang w:val="en-US" w:eastAsia="zh-CN"/>
              </w:rPr>
            </w:pPr>
          </w:p>
        </w:tc>
        <w:tc>
          <w:tcPr>
            <w:tcW w:w="2089" w:type="dxa"/>
          </w:tcPr>
          <w:p w14:paraId="6F2DADFF">
            <w:pPr>
              <w:bidi w:val="0"/>
              <w:jc w:val="both"/>
              <w:rPr>
                <w:rFonts w:hint="eastAsia" w:ascii="宋体" w:hAnsi="宋体" w:eastAsia="宋体" w:cs="宋体"/>
                <w:color w:val="auto"/>
                <w:highlight w:val="none"/>
                <w:vertAlign w:val="baseline"/>
                <w:lang w:val="en-US" w:eastAsia="zh-CN"/>
              </w:rPr>
            </w:pPr>
          </w:p>
        </w:tc>
        <w:tc>
          <w:tcPr>
            <w:tcW w:w="3486" w:type="dxa"/>
          </w:tcPr>
          <w:p w14:paraId="143BED21">
            <w:pPr>
              <w:bidi w:val="0"/>
              <w:jc w:val="both"/>
              <w:rPr>
                <w:rFonts w:hint="eastAsia" w:ascii="宋体" w:hAnsi="宋体" w:eastAsia="宋体" w:cs="宋体"/>
                <w:color w:val="auto"/>
                <w:highlight w:val="none"/>
                <w:vertAlign w:val="baseline"/>
                <w:lang w:val="en-US" w:eastAsia="zh-CN"/>
              </w:rPr>
            </w:pPr>
          </w:p>
        </w:tc>
      </w:tr>
    </w:tbl>
    <w:p w14:paraId="0C63B584">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备注：1、报价不得低于租金单价底价。 </w:t>
      </w:r>
    </w:p>
    <w:p w14:paraId="5CE1DB3B">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2、以上价格不含水电费等其它费用。</w:t>
      </w:r>
    </w:p>
    <w:p w14:paraId="2ACC1D77">
      <w:pPr>
        <w:bidi w:val="0"/>
        <w:ind w:left="0" w:leftChars="0" w:firstLine="420" w:firstLineChars="200"/>
        <w:rPr>
          <w:rFonts w:hint="eastAsia" w:ascii="宋体" w:hAnsi="宋体" w:eastAsia="宋体" w:cs="宋体"/>
          <w:color w:val="auto"/>
          <w:highlight w:val="none"/>
          <w:lang w:val="en-US" w:eastAsia="zh-CN"/>
        </w:rPr>
      </w:pPr>
    </w:p>
    <w:p w14:paraId="5C197B96">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意向承租方本人或委托代理人（签字</w:t>
      </w:r>
      <w:r>
        <w:rPr>
          <w:rFonts w:hint="eastAsia" w:ascii="宋体" w:hAnsi="宋体" w:eastAsia="宋体" w:cs="宋体"/>
          <w:color w:val="auto"/>
          <w:kern w:val="0"/>
          <w:sz w:val="21"/>
          <w:szCs w:val="21"/>
          <w:highlight w:val="none"/>
          <w:lang w:val="en-US" w:eastAsia="zh-CN" w:bidi="ar"/>
        </w:rPr>
        <w:t>并加盖手印</w:t>
      </w:r>
      <w:r>
        <w:rPr>
          <w:rFonts w:hint="eastAsia" w:ascii="宋体" w:hAnsi="宋体" w:eastAsia="宋体" w:cs="宋体"/>
          <w:color w:val="auto"/>
          <w:sz w:val="21"/>
          <w:szCs w:val="21"/>
          <w:highlight w:val="none"/>
          <w:lang w:val="en-US" w:eastAsia="zh-CN"/>
        </w:rPr>
        <w:t xml:space="preserve">）： </w:t>
      </w:r>
    </w:p>
    <w:p w14:paraId="68C6345C">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p>
    <w:p w14:paraId="158AC8B9">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63F1E789">
      <w:pPr>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六、交易保证金</w:t>
      </w:r>
    </w:p>
    <w:p w14:paraId="6A8CEC78">
      <w:pPr>
        <w:keepNext w:val="0"/>
        <w:keepLines w:val="0"/>
        <w:widowControl/>
        <w:suppressLineNumbers w:val="0"/>
        <w:jc w:val="center"/>
        <w:rPr>
          <w:rFonts w:hint="eastAsia" w:ascii="宋体" w:hAnsi="宋体" w:eastAsia="宋体" w:cs="宋体"/>
          <w:color w:val="auto"/>
          <w:sz w:val="28"/>
          <w:szCs w:val="28"/>
          <w:highlight w:val="none"/>
        </w:rPr>
      </w:pPr>
    </w:p>
    <w:p w14:paraId="09934307">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若采用现金方式，此处填写“采用现金方式交纳保证金”； </w:t>
      </w:r>
    </w:p>
    <w:p w14:paraId="42E9DB30">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若采用本票或保函或保险或担保或数字人民币或转账方式，此处须附本票或保函或保险或担保或数字人民币或转账回单复印件或扫描件。</w:t>
      </w:r>
    </w:p>
    <w:p w14:paraId="72192ADB">
      <w:pPr>
        <w:pStyle w:val="18"/>
        <w:rPr>
          <w:rFonts w:hint="eastAsia" w:ascii="宋体" w:hAnsi="宋体" w:eastAsia="宋体" w:cs="宋体"/>
          <w:highlight w:val="none"/>
        </w:rPr>
      </w:pPr>
    </w:p>
    <w:sectPr>
      <w:pgSz w:w="11906" w:h="16838"/>
      <w:pgMar w:top="1440" w:right="1803" w:bottom="1440" w:left="1803" w:header="851" w:footer="992" w:gutter="0"/>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5DE5F">
    <w:pPr>
      <w:pStyle w:val="10"/>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2026F">
    <w:pPr>
      <w:pStyle w:val="10"/>
      <w:ind w:right="36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28F2A">
    <w:pPr>
      <w:pStyle w:val="10"/>
      <w:ind w:right="360"/>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5A09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7C5A09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5AE7">
    <w:pPr>
      <w:pStyle w:val="10"/>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8F5A2">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D8F5A2">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BB7EB">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A6CD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A4A6CD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B729E">
    <w:pPr>
      <w:pStyle w:val="11"/>
      <w:spacing w:line="240" w:lineRule="exact"/>
      <w:jc w:val="lef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A6D2">
    <w:pPr>
      <w:pStyle w:val="11"/>
      <w:rPr>
        <w:rFonts w:hint="defau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EBC30">
    <w:pPr>
      <w:pBdr>
        <w:bottom w:val="none" w:color="auto" w:sz="0" w:space="0"/>
      </w:pBdr>
      <w:ind w:left="-315" w:leftChars="-150"/>
      <w:jc w:val="left"/>
      <w:rPr>
        <w:rFonts w:hint="default" w:ascii="Times New Roman" w:hAnsi="Times New Roman" w:cs="Times New Roman"/>
        <w:b w:val="0"/>
        <w:bCs w:val="0"/>
        <w:color w:val="auto"/>
        <w:kern w:val="0"/>
        <w:sz w:val="18"/>
        <w:szCs w:val="18"/>
        <w:highlight w:val="none"/>
        <w:u w:val="single"/>
        <w:lang w:eastAsia="zh-CN" w:bidi="ar"/>
      </w:rPr>
    </w:pPr>
  </w:p>
  <w:p w14:paraId="08F12342">
    <w:pPr>
      <w:pBdr>
        <w:bottom w:val="none" w:color="auto" w:sz="0" w:space="0"/>
      </w:pBdr>
      <w:ind w:left="-315" w:leftChars="-150" w:firstLine="420" w:firstLineChars="200"/>
      <w:jc w:val="left"/>
      <w:rPr>
        <w:rFonts w:hint="default"/>
        <w:u w:val="single"/>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14D8ED"/>
    <w:multiLevelType w:val="singleLevel"/>
    <w:tmpl w:val="CE14D8ED"/>
    <w:lvl w:ilvl="0" w:tentative="0">
      <w:start w:val="1"/>
      <w:numFmt w:val="decimal"/>
      <w:suff w:val="nothing"/>
      <w:lvlText w:val="（%1）"/>
      <w:lvlJc w:val="left"/>
    </w:lvl>
  </w:abstractNum>
  <w:abstractNum w:abstractNumId="1">
    <w:nsid w:val="F1B9FFFF"/>
    <w:multiLevelType w:val="singleLevel"/>
    <w:tmpl w:val="F1B9FFFF"/>
    <w:lvl w:ilvl="0" w:tentative="0">
      <w:start w:val="1"/>
      <w:numFmt w:val="decimal"/>
      <w:suff w:val="space"/>
      <w:lvlText w:val="%1."/>
      <w:lvlJc w:val="left"/>
    </w:lvl>
  </w:abstractNum>
  <w:abstractNum w:abstractNumId="2">
    <w:nsid w:val="06BE47E5"/>
    <w:multiLevelType w:val="multilevel"/>
    <w:tmpl w:val="06BE47E5"/>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3">
    <w:nsid w:val="07381322"/>
    <w:multiLevelType w:val="multilevel"/>
    <w:tmpl w:val="07381322"/>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4">
    <w:nsid w:val="079F0FC5"/>
    <w:multiLevelType w:val="multilevel"/>
    <w:tmpl w:val="079F0FC5"/>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5">
    <w:nsid w:val="08832854"/>
    <w:multiLevelType w:val="multilevel"/>
    <w:tmpl w:val="08832854"/>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6">
    <w:nsid w:val="09B05A2D"/>
    <w:multiLevelType w:val="multilevel"/>
    <w:tmpl w:val="09B05A2D"/>
    <w:lvl w:ilvl="0" w:tentative="0">
      <w:start w:val="1"/>
      <w:numFmt w:val="decimal"/>
      <w:lvlText w:val="%1、"/>
      <w:lvlJc w:val="left"/>
      <w:pPr>
        <w:ind w:left="360" w:hanging="360"/>
      </w:pPr>
      <w:rPr>
        <w:rFonts w:hint="default"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BE20916"/>
    <w:multiLevelType w:val="singleLevel"/>
    <w:tmpl w:val="0BE20916"/>
    <w:lvl w:ilvl="0" w:tentative="0">
      <w:start w:val="2"/>
      <w:numFmt w:val="decimal"/>
      <w:suff w:val="nothing"/>
      <w:lvlText w:val="（%1）"/>
      <w:lvlJc w:val="left"/>
    </w:lvl>
  </w:abstractNum>
  <w:abstractNum w:abstractNumId="8">
    <w:nsid w:val="1013643F"/>
    <w:multiLevelType w:val="multilevel"/>
    <w:tmpl w:val="1013643F"/>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9">
    <w:nsid w:val="10A95E3B"/>
    <w:multiLevelType w:val="multilevel"/>
    <w:tmpl w:val="10A95E3B"/>
    <w:lvl w:ilvl="0" w:tentative="0">
      <w:start w:val="1"/>
      <w:numFmt w:val="decimal"/>
      <w:suff w:val="nothing"/>
      <w:lvlText w:val="（%1）"/>
      <w:lvlJc w:val="left"/>
      <w:pPr>
        <w:ind w:left="1162" w:hanging="720"/>
      </w:pPr>
      <w:rPr>
        <w:rFonts w:hint="default"/>
      </w:rPr>
    </w:lvl>
    <w:lvl w:ilvl="1" w:tentative="0">
      <w:start w:val="1"/>
      <w:numFmt w:val="lowerLetter"/>
      <w:lvlText w:val="%2)"/>
      <w:lvlJc w:val="left"/>
      <w:pPr>
        <w:ind w:left="1282" w:hanging="420"/>
      </w:pPr>
    </w:lvl>
    <w:lvl w:ilvl="2" w:tentative="0">
      <w:start w:val="1"/>
      <w:numFmt w:val="lowerRoman"/>
      <w:lvlText w:val="%3."/>
      <w:lvlJc w:val="right"/>
      <w:pPr>
        <w:ind w:left="1702" w:hanging="420"/>
      </w:pPr>
    </w:lvl>
    <w:lvl w:ilvl="3" w:tentative="0">
      <w:start w:val="1"/>
      <w:numFmt w:val="decimal"/>
      <w:lvlText w:val="%4."/>
      <w:lvlJc w:val="left"/>
      <w:pPr>
        <w:ind w:left="2122" w:hanging="420"/>
      </w:pPr>
    </w:lvl>
    <w:lvl w:ilvl="4" w:tentative="0">
      <w:start w:val="1"/>
      <w:numFmt w:val="lowerLetter"/>
      <w:lvlText w:val="%5)"/>
      <w:lvlJc w:val="left"/>
      <w:pPr>
        <w:ind w:left="2542" w:hanging="420"/>
      </w:pPr>
    </w:lvl>
    <w:lvl w:ilvl="5" w:tentative="0">
      <w:start w:val="1"/>
      <w:numFmt w:val="lowerRoman"/>
      <w:lvlText w:val="%6."/>
      <w:lvlJc w:val="right"/>
      <w:pPr>
        <w:ind w:left="2962" w:hanging="420"/>
      </w:pPr>
    </w:lvl>
    <w:lvl w:ilvl="6" w:tentative="0">
      <w:start w:val="1"/>
      <w:numFmt w:val="decimal"/>
      <w:lvlText w:val="%7."/>
      <w:lvlJc w:val="left"/>
      <w:pPr>
        <w:ind w:left="3382" w:hanging="420"/>
      </w:pPr>
    </w:lvl>
    <w:lvl w:ilvl="7" w:tentative="0">
      <w:start w:val="1"/>
      <w:numFmt w:val="lowerLetter"/>
      <w:lvlText w:val="%8)"/>
      <w:lvlJc w:val="left"/>
      <w:pPr>
        <w:ind w:left="3802" w:hanging="420"/>
      </w:pPr>
    </w:lvl>
    <w:lvl w:ilvl="8" w:tentative="0">
      <w:start w:val="1"/>
      <w:numFmt w:val="lowerRoman"/>
      <w:lvlText w:val="%9."/>
      <w:lvlJc w:val="right"/>
      <w:pPr>
        <w:ind w:left="4222" w:hanging="420"/>
      </w:pPr>
    </w:lvl>
  </w:abstractNum>
  <w:abstractNum w:abstractNumId="10">
    <w:nsid w:val="12B73812"/>
    <w:multiLevelType w:val="multilevel"/>
    <w:tmpl w:val="12B73812"/>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1">
    <w:nsid w:val="274C3D8A"/>
    <w:multiLevelType w:val="multilevel"/>
    <w:tmpl w:val="274C3D8A"/>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2">
    <w:nsid w:val="2A2C184B"/>
    <w:multiLevelType w:val="multilevel"/>
    <w:tmpl w:val="2A2C184B"/>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3">
    <w:nsid w:val="2C56255F"/>
    <w:multiLevelType w:val="multilevel"/>
    <w:tmpl w:val="2C56255F"/>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4">
    <w:nsid w:val="30D9420B"/>
    <w:multiLevelType w:val="multilevel"/>
    <w:tmpl w:val="30D9420B"/>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5">
    <w:nsid w:val="3E49334B"/>
    <w:multiLevelType w:val="multilevel"/>
    <w:tmpl w:val="3E4933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18C578A"/>
    <w:multiLevelType w:val="multilevel"/>
    <w:tmpl w:val="418C578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2DF2F29"/>
    <w:multiLevelType w:val="multilevel"/>
    <w:tmpl w:val="42DF2F29"/>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8">
    <w:nsid w:val="4357351E"/>
    <w:multiLevelType w:val="multilevel"/>
    <w:tmpl w:val="4357351E"/>
    <w:lvl w:ilvl="0" w:tentative="0">
      <w:start w:val="1"/>
      <w:numFmt w:val="chineseCountingThousand"/>
      <w:suff w:val="space"/>
      <w:lvlText w:val="(%1)"/>
      <w:lvlJc w:val="left"/>
      <w:pPr>
        <w:ind w:left="36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9">
    <w:nsid w:val="4EEB5D08"/>
    <w:multiLevelType w:val="multilevel"/>
    <w:tmpl w:val="4EEB5D08"/>
    <w:lvl w:ilvl="0" w:tentative="0">
      <w:start w:val="1"/>
      <w:numFmt w:val="japaneseCounting"/>
      <w:lvlText w:val="%1、"/>
      <w:lvlJc w:val="left"/>
      <w:pPr>
        <w:ind w:left="460" w:hanging="4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41B5F4B"/>
    <w:multiLevelType w:val="multilevel"/>
    <w:tmpl w:val="541B5F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02E1871"/>
    <w:multiLevelType w:val="multilevel"/>
    <w:tmpl w:val="602E1871"/>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2">
    <w:nsid w:val="61942539"/>
    <w:multiLevelType w:val="multilevel"/>
    <w:tmpl w:val="6194253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58265D7"/>
    <w:multiLevelType w:val="multilevel"/>
    <w:tmpl w:val="658265D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64E1CF6"/>
    <w:multiLevelType w:val="multilevel"/>
    <w:tmpl w:val="664E1CF6"/>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5">
    <w:nsid w:val="706A5AB5"/>
    <w:multiLevelType w:val="multilevel"/>
    <w:tmpl w:val="706A5AB5"/>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6">
    <w:nsid w:val="75907105"/>
    <w:multiLevelType w:val="multilevel"/>
    <w:tmpl w:val="75907105"/>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7">
    <w:nsid w:val="777B798E"/>
    <w:multiLevelType w:val="multilevel"/>
    <w:tmpl w:val="777B798E"/>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8">
    <w:nsid w:val="794A4F45"/>
    <w:multiLevelType w:val="multilevel"/>
    <w:tmpl w:val="794A4F45"/>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1"/>
  </w:num>
  <w:num w:numId="2">
    <w:abstractNumId w:val="19"/>
  </w:num>
  <w:num w:numId="3">
    <w:abstractNumId w:val="26"/>
  </w:num>
  <w:num w:numId="4">
    <w:abstractNumId w:val="27"/>
  </w:num>
  <w:num w:numId="5">
    <w:abstractNumId w:val="12"/>
  </w:num>
  <w:num w:numId="6">
    <w:abstractNumId w:val="24"/>
  </w:num>
  <w:num w:numId="7">
    <w:abstractNumId w:val="5"/>
  </w:num>
  <w:num w:numId="8">
    <w:abstractNumId w:val="14"/>
  </w:num>
  <w:num w:numId="9">
    <w:abstractNumId w:val="3"/>
  </w:num>
  <w:num w:numId="10">
    <w:abstractNumId w:val="11"/>
  </w:num>
  <w:num w:numId="11">
    <w:abstractNumId w:val="28"/>
  </w:num>
  <w:num w:numId="12">
    <w:abstractNumId w:val="10"/>
  </w:num>
  <w:num w:numId="13">
    <w:abstractNumId w:val="13"/>
  </w:num>
  <w:num w:numId="14">
    <w:abstractNumId w:val="2"/>
  </w:num>
  <w:num w:numId="15">
    <w:abstractNumId w:val="4"/>
  </w:num>
  <w:num w:numId="16">
    <w:abstractNumId w:val="8"/>
  </w:num>
  <w:num w:numId="17">
    <w:abstractNumId w:val="18"/>
  </w:num>
  <w:num w:numId="18">
    <w:abstractNumId w:val="21"/>
  </w:num>
  <w:num w:numId="19">
    <w:abstractNumId w:val="25"/>
  </w:num>
  <w:num w:numId="20">
    <w:abstractNumId w:val="9"/>
  </w:num>
  <w:num w:numId="21">
    <w:abstractNumId w:val="17"/>
  </w:num>
  <w:num w:numId="22">
    <w:abstractNumId w:val="23"/>
  </w:num>
  <w:num w:numId="23">
    <w:abstractNumId w:val="6"/>
  </w:num>
  <w:num w:numId="24">
    <w:abstractNumId w:val="0"/>
  </w:num>
  <w:num w:numId="25">
    <w:abstractNumId w:val="7"/>
  </w:num>
  <w:num w:numId="26">
    <w:abstractNumId w:val="15"/>
  </w:num>
  <w:num w:numId="27">
    <w:abstractNumId w:val="16"/>
  </w:num>
  <w:num w:numId="28">
    <w:abstractNumId w:val="2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YzNiYjJjY2JiNmZiNWFmZjc0NDBkYzA4OTk2YWEifQ=="/>
    <w:docVar w:name="KSO_WPS_MARK_KEY" w:val="805536b9-8b6c-4015-b4c4-952fbf3b8aa2"/>
  </w:docVars>
  <w:rsids>
    <w:rsidRoot w:val="00000000"/>
    <w:rsid w:val="002D7F8E"/>
    <w:rsid w:val="00357EAC"/>
    <w:rsid w:val="004161EF"/>
    <w:rsid w:val="007A51B4"/>
    <w:rsid w:val="00CA1485"/>
    <w:rsid w:val="00CF317D"/>
    <w:rsid w:val="00EA285D"/>
    <w:rsid w:val="00F9257D"/>
    <w:rsid w:val="010121B4"/>
    <w:rsid w:val="010334B8"/>
    <w:rsid w:val="0109531D"/>
    <w:rsid w:val="01641E30"/>
    <w:rsid w:val="016E1CBE"/>
    <w:rsid w:val="01795746"/>
    <w:rsid w:val="01AA7D1B"/>
    <w:rsid w:val="01E50D53"/>
    <w:rsid w:val="01E7328E"/>
    <w:rsid w:val="02153485"/>
    <w:rsid w:val="022C5CCC"/>
    <w:rsid w:val="02480252"/>
    <w:rsid w:val="024C31F1"/>
    <w:rsid w:val="024C492F"/>
    <w:rsid w:val="026305F6"/>
    <w:rsid w:val="026B1259"/>
    <w:rsid w:val="0273635F"/>
    <w:rsid w:val="02740C51"/>
    <w:rsid w:val="02836E2C"/>
    <w:rsid w:val="02900CBF"/>
    <w:rsid w:val="02D23086"/>
    <w:rsid w:val="02FB1542"/>
    <w:rsid w:val="030805AB"/>
    <w:rsid w:val="03117BB8"/>
    <w:rsid w:val="0318530E"/>
    <w:rsid w:val="03630182"/>
    <w:rsid w:val="038A570F"/>
    <w:rsid w:val="039713C7"/>
    <w:rsid w:val="03A965F3"/>
    <w:rsid w:val="03BE7AAE"/>
    <w:rsid w:val="03E85332"/>
    <w:rsid w:val="03EB3968"/>
    <w:rsid w:val="03F963E6"/>
    <w:rsid w:val="040E6340"/>
    <w:rsid w:val="043C7483"/>
    <w:rsid w:val="04464DB7"/>
    <w:rsid w:val="044C50BA"/>
    <w:rsid w:val="048C0A12"/>
    <w:rsid w:val="049A5E25"/>
    <w:rsid w:val="04A515D1"/>
    <w:rsid w:val="04A82509"/>
    <w:rsid w:val="04AE18D1"/>
    <w:rsid w:val="04B36EE7"/>
    <w:rsid w:val="04C15D7E"/>
    <w:rsid w:val="04D67ACD"/>
    <w:rsid w:val="04E866C7"/>
    <w:rsid w:val="051D48D0"/>
    <w:rsid w:val="054144F3"/>
    <w:rsid w:val="056703FD"/>
    <w:rsid w:val="05B3073B"/>
    <w:rsid w:val="05CB0F22"/>
    <w:rsid w:val="060F639F"/>
    <w:rsid w:val="065B0739"/>
    <w:rsid w:val="067A4160"/>
    <w:rsid w:val="07124399"/>
    <w:rsid w:val="0714685F"/>
    <w:rsid w:val="07165338"/>
    <w:rsid w:val="07292279"/>
    <w:rsid w:val="072F1F7F"/>
    <w:rsid w:val="0739074D"/>
    <w:rsid w:val="077E37DC"/>
    <w:rsid w:val="07927789"/>
    <w:rsid w:val="07A44317"/>
    <w:rsid w:val="07CD1D1A"/>
    <w:rsid w:val="07CD79EE"/>
    <w:rsid w:val="07DE09F6"/>
    <w:rsid w:val="07E7749A"/>
    <w:rsid w:val="080918FE"/>
    <w:rsid w:val="083A66C8"/>
    <w:rsid w:val="08406CE4"/>
    <w:rsid w:val="086622CE"/>
    <w:rsid w:val="0874698D"/>
    <w:rsid w:val="087B2EE5"/>
    <w:rsid w:val="08A47272"/>
    <w:rsid w:val="08B77429"/>
    <w:rsid w:val="08D12ACB"/>
    <w:rsid w:val="08FD0DEE"/>
    <w:rsid w:val="09025EC2"/>
    <w:rsid w:val="090B10A0"/>
    <w:rsid w:val="091034BB"/>
    <w:rsid w:val="09150170"/>
    <w:rsid w:val="091A65C5"/>
    <w:rsid w:val="091E3C1E"/>
    <w:rsid w:val="09247DCC"/>
    <w:rsid w:val="09267C87"/>
    <w:rsid w:val="094840A2"/>
    <w:rsid w:val="094871EF"/>
    <w:rsid w:val="095C18FB"/>
    <w:rsid w:val="09A25560"/>
    <w:rsid w:val="09CD54A7"/>
    <w:rsid w:val="09CF47C3"/>
    <w:rsid w:val="09D9119E"/>
    <w:rsid w:val="0A0655BF"/>
    <w:rsid w:val="0A121772"/>
    <w:rsid w:val="0A142DE8"/>
    <w:rsid w:val="0A193C90"/>
    <w:rsid w:val="0A3B4C36"/>
    <w:rsid w:val="0A507397"/>
    <w:rsid w:val="0A5333E7"/>
    <w:rsid w:val="0A60541B"/>
    <w:rsid w:val="0A61061C"/>
    <w:rsid w:val="0ABF4F8E"/>
    <w:rsid w:val="0ABF7134"/>
    <w:rsid w:val="0AF17B72"/>
    <w:rsid w:val="0B112BB9"/>
    <w:rsid w:val="0B1D330C"/>
    <w:rsid w:val="0B204BAA"/>
    <w:rsid w:val="0B3C7C36"/>
    <w:rsid w:val="0B5D6E75"/>
    <w:rsid w:val="0B934561"/>
    <w:rsid w:val="0B9E444D"/>
    <w:rsid w:val="0BB82352"/>
    <w:rsid w:val="0BC33EB3"/>
    <w:rsid w:val="0C120C2A"/>
    <w:rsid w:val="0C377CE0"/>
    <w:rsid w:val="0C3B0516"/>
    <w:rsid w:val="0C434FF4"/>
    <w:rsid w:val="0C57284E"/>
    <w:rsid w:val="0C871385"/>
    <w:rsid w:val="0CA1357C"/>
    <w:rsid w:val="0CAD24E9"/>
    <w:rsid w:val="0CE856F2"/>
    <w:rsid w:val="0CE87CB7"/>
    <w:rsid w:val="0CF60C3C"/>
    <w:rsid w:val="0CF63E15"/>
    <w:rsid w:val="0D0E5602"/>
    <w:rsid w:val="0D336E17"/>
    <w:rsid w:val="0D786F20"/>
    <w:rsid w:val="0DC1331A"/>
    <w:rsid w:val="0E2A646C"/>
    <w:rsid w:val="0E2F75DE"/>
    <w:rsid w:val="0E3D3800"/>
    <w:rsid w:val="0E4868F2"/>
    <w:rsid w:val="0E5D054D"/>
    <w:rsid w:val="0EA559D4"/>
    <w:rsid w:val="0EED7891"/>
    <w:rsid w:val="0EFC308E"/>
    <w:rsid w:val="0F427347"/>
    <w:rsid w:val="0F4A0448"/>
    <w:rsid w:val="0F582B65"/>
    <w:rsid w:val="0F5C08A7"/>
    <w:rsid w:val="0F870082"/>
    <w:rsid w:val="0FCB77DB"/>
    <w:rsid w:val="0FDC34BA"/>
    <w:rsid w:val="10123A37"/>
    <w:rsid w:val="104532A7"/>
    <w:rsid w:val="106B68C8"/>
    <w:rsid w:val="106C658C"/>
    <w:rsid w:val="107C2883"/>
    <w:rsid w:val="108160EB"/>
    <w:rsid w:val="108F3E01"/>
    <w:rsid w:val="109D6E49"/>
    <w:rsid w:val="10AA3894"/>
    <w:rsid w:val="10C13168"/>
    <w:rsid w:val="10C761F4"/>
    <w:rsid w:val="114C66F9"/>
    <w:rsid w:val="115455AE"/>
    <w:rsid w:val="1154735C"/>
    <w:rsid w:val="117F087D"/>
    <w:rsid w:val="11805498"/>
    <w:rsid w:val="118670D0"/>
    <w:rsid w:val="119423A3"/>
    <w:rsid w:val="11C42733"/>
    <w:rsid w:val="11E365EE"/>
    <w:rsid w:val="121C60CC"/>
    <w:rsid w:val="12AA1929"/>
    <w:rsid w:val="12CC5D44"/>
    <w:rsid w:val="12EC1F42"/>
    <w:rsid w:val="132A4818"/>
    <w:rsid w:val="134C29E0"/>
    <w:rsid w:val="13825B09"/>
    <w:rsid w:val="139E41CE"/>
    <w:rsid w:val="13A41848"/>
    <w:rsid w:val="13B563E8"/>
    <w:rsid w:val="13F17AA5"/>
    <w:rsid w:val="14447B5C"/>
    <w:rsid w:val="144E2CEA"/>
    <w:rsid w:val="145C6C53"/>
    <w:rsid w:val="14902DA1"/>
    <w:rsid w:val="14990ECA"/>
    <w:rsid w:val="149C04EF"/>
    <w:rsid w:val="15022873"/>
    <w:rsid w:val="1538020A"/>
    <w:rsid w:val="15392994"/>
    <w:rsid w:val="153C6A85"/>
    <w:rsid w:val="15597637"/>
    <w:rsid w:val="157306F8"/>
    <w:rsid w:val="157733D6"/>
    <w:rsid w:val="159C3E2E"/>
    <w:rsid w:val="15A40262"/>
    <w:rsid w:val="15D31197"/>
    <w:rsid w:val="15D46CBD"/>
    <w:rsid w:val="15F15AC1"/>
    <w:rsid w:val="15F7286A"/>
    <w:rsid w:val="163B7B5C"/>
    <w:rsid w:val="16936993"/>
    <w:rsid w:val="16A21A3D"/>
    <w:rsid w:val="16AB2114"/>
    <w:rsid w:val="16FB6BF7"/>
    <w:rsid w:val="171C4DC0"/>
    <w:rsid w:val="173B5246"/>
    <w:rsid w:val="173D0101"/>
    <w:rsid w:val="1749181B"/>
    <w:rsid w:val="1757048F"/>
    <w:rsid w:val="17582680"/>
    <w:rsid w:val="178713E9"/>
    <w:rsid w:val="17BD3EAD"/>
    <w:rsid w:val="17CA3799"/>
    <w:rsid w:val="17CB6D2A"/>
    <w:rsid w:val="17D8798D"/>
    <w:rsid w:val="17E4463B"/>
    <w:rsid w:val="18227444"/>
    <w:rsid w:val="183D0B4A"/>
    <w:rsid w:val="18A61E2D"/>
    <w:rsid w:val="18CE3E98"/>
    <w:rsid w:val="18F67FE4"/>
    <w:rsid w:val="193364B1"/>
    <w:rsid w:val="19A06E8F"/>
    <w:rsid w:val="19A215AC"/>
    <w:rsid w:val="19CB76F3"/>
    <w:rsid w:val="1A0E09F0"/>
    <w:rsid w:val="1A1F2BFD"/>
    <w:rsid w:val="1A457E1B"/>
    <w:rsid w:val="1A485F02"/>
    <w:rsid w:val="1A5B5BFF"/>
    <w:rsid w:val="1A8C5DB8"/>
    <w:rsid w:val="1AB86BAD"/>
    <w:rsid w:val="1AE87493"/>
    <w:rsid w:val="1B0167A6"/>
    <w:rsid w:val="1B0D514B"/>
    <w:rsid w:val="1B124510"/>
    <w:rsid w:val="1B2129A5"/>
    <w:rsid w:val="1B3B0954"/>
    <w:rsid w:val="1BA614D5"/>
    <w:rsid w:val="1BAD48DC"/>
    <w:rsid w:val="1BC6433B"/>
    <w:rsid w:val="1C0A31BC"/>
    <w:rsid w:val="1C0B16B2"/>
    <w:rsid w:val="1C3B0046"/>
    <w:rsid w:val="1C42354D"/>
    <w:rsid w:val="1C4C606B"/>
    <w:rsid w:val="1C5F1FCC"/>
    <w:rsid w:val="1C6C3216"/>
    <w:rsid w:val="1C7865F4"/>
    <w:rsid w:val="1C7D599E"/>
    <w:rsid w:val="1CA53B30"/>
    <w:rsid w:val="1CB9513A"/>
    <w:rsid w:val="1CBB4733"/>
    <w:rsid w:val="1CC17F9B"/>
    <w:rsid w:val="1CDF5E05"/>
    <w:rsid w:val="1CFF2872"/>
    <w:rsid w:val="1D3369BF"/>
    <w:rsid w:val="1D395A93"/>
    <w:rsid w:val="1D57445C"/>
    <w:rsid w:val="1D903E12"/>
    <w:rsid w:val="1DB91FA2"/>
    <w:rsid w:val="1DC55869"/>
    <w:rsid w:val="1DCD24FF"/>
    <w:rsid w:val="1DFC761D"/>
    <w:rsid w:val="1E5260D6"/>
    <w:rsid w:val="1E6037E4"/>
    <w:rsid w:val="1E6131E6"/>
    <w:rsid w:val="1E7B1416"/>
    <w:rsid w:val="1EE90004"/>
    <w:rsid w:val="1EF14D5D"/>
    <w:rsid w:val="1EF71E01"/>
    <w:rsid w:val="1F226FF4"/>
    <w:rsid w:val="1F462AF7"/>
    <w:rsid w:val="1FB22FA9"/>
    <w:rsid w:val="1FF97A4C"/>
    <w:rsid w:val="20126D60"/>
    <w:rsid w:val="202A22FB"/>
    <w:rsid w:val="203D162A"/>
    <w:rsid w:val="20727F31"/>
    <w:rsid w:val="208C08C0"/>
    <w:rsid w:val="20967991"/>
    <w:rsid w:val="20B261AA"/>
    <w:rsid w:val="20BE2980"/>
    <w:rsid w:val="20CA738D"/>
    <w:rsid w:val="20CF06EB"/>
    <w:rsid w:val="20D56FB3"/>
    <w:rsid w:val="20F529F5"/>
    <w:rsid w:val="20F85F56"/>
    <w:rsid w:val="2110329F"/>
    <w:rsid w:val="211767EC"/>
    <w:rsid w:val="215527F4"/>
    <w:rsid w:val="21590828"/>
    <w:rsid w:val="215C61B6"/>
    <w:rsid w:val="215D4C09"/>
    <w:rsid w:val="217F21D3"/>
    <w:rsid w:val="21994430"/>
    <w:rsid w:val="21CD3C24"/>
    <w:rsid w:val="21D37BF6"/>
    <w:rsid w:val="220821C8"/>
    <w:rsid w:val="221130BF"/>
    <w:rsid w:val="22274D44"/>
    <w:rsid w:val="223435D0"/>
    <w:rsid w:val="224C2AC4"/>
    <w:rsid w:val="224D0523"/>
    <w:rsid w:val="22910410"/>
    <w:rsid w:val="22BB723B"/>
    <w:rsid w:val="22DB168B"/>
    <w:rsid w:val="22F8223D"/>
    <w:rsid w:val="2306260B"/>
    <w:rsid w:val="23106395"/>
    <w:rsid w:val="23425BAE"/>
    <w:rsid w:val="235668BB"/>
    <w:rsid w:val="239E554B"/>
    <w:rsid w:val="23CE155A"/>
    <w:rsid w:val="23D902C0"/>
    <w:rsid w:val="23FC3CB2"/>
    <w:rsid w:val="24184C16"/>
    <w:rsid w:val="24397462"/>
    <w:rsid w:val="24561911"/>
    <w:rsid w:val="247450D6"/>
    <w:rsid w:val="247955FF"/>
    <w:rsid w:val="24B03B5D"/>
    <w:rsid w:val="24B60A64"/>
    <w:rsid w:val="25072C0B"/>
    <w:rsid w:val="2540611D"/>
    <w:rsid w:val="255A0F8D"/>
    <w:rsid w:val="25706A02"/>
    <w:rsid w:val="25B12B77"/>
    <w:rsid w:val="25B83F05"/>
    <w:rsid w:val="25C6334C"/>
    <w:rsid w:val="25D0124F"/>
    <w:rsid w:val="25D2016C"/>
    <w:rsid w:val="25D845A8"/>
    <w:rsid w:val="264659B5"/>
    <w:rsid w:val="26532A92"/>
    <w:rsid w:val="266100F9"/>
    <w:rsid w:val="26671663"/>
    <w:rsid w:val="26BA675A"/>
    <w:rsid w:val="26C64400"/>
    <w:rsid w:val="26E84487"/>
    <w:rsid w:val="26FB0D17"/>
    <w:rsid w:val="272730F1"/>
    <w:rsid w:val="273677D8"/>
    <w:rsid w:val="274E4B21"/>
    <w:rsid w:val="27910EB2"/>
    <w:rsid w:val="279F712B"/>
    <w:rsid w:val="27B01338"/>
    <w:rsid w:val="27C13545"/>
    <w:rsid w:val="27CC57D7"/>
    <w:rsid w:val="27D33279"/>
    <w:rsid w:val="27E31511"/>
    <w:rsid w:val="28237D5C"/>
    <w:rsid w:val="28247630"/>
    <w:rsid w:val="28264EC0"/>
    <w:rsid w:val="282763A0"/>
    <w:rsid w:val="284035F2"/>
    <w:rsid w:val="28553020"/>
    <w:rsid w:val="285844AB"/>
    <w:rsid w:val="28641ED9"/>
    <w:rsid w:val="28674000"/>
    <w:rsid w:val="2879797C"/>
    <w:rsid w:val="287E31E4"/>
    <w:rsid w:val="288333D3"/>
    <w:rsid w:val="28A30A63"/>
    <w:rsid w:val="28AD1D1C"/>
    <w:rsid w:val="28BE5577"/>
    <w:rsid w:val="28C16C72"/>
    <w:rsid w:val="2907740F"/>
    <w:rsid w:val="29380E15"/>
    <w:rsid w:val="29492534"/>
    <w:rsid w:val="295126A7"/>
    <w:rsid w:val="29583A35"/>
    <w:rsid w:val="2996455E"/>
    <w:rsid w:val="29A62ABE"/>
    <w:rsid w:val="29EE79BF"/>
    <w:rsid w:val="2A0C0919"/>
    <w:rsid w:val="2A16744D"/>
    <w:rsid w:val="2A186697"/>
    <w:rsid w:val="2A191012"/>
    <w:rsid w:val="2A2B4A1F"/>
    <w:rsid w:val="2A6B7798"/>
    <w:rsid w:val="2A71788C"/>
    <w:rsid w:val="2A9C2048"/>
    <w:rsid w:val="2A9F38E6"/>
    <w:rsid w:val="2AA341B6"/>
    <w:rsid w:val="2AAF65D8"/>
    <w:rsid w:val="2AF94DA4"/>
    <w:rsid w:val="2B02634F"/>
    <w:rsid w:val="2B326508"/>
    <w:rsid w:val="2B4A5600"/>
    <w:rsid w:val="2B5A4560"/>
    <w:rsid w:val="2B603075"/>
    <w:rsid w:val="2B6F5568"/>
    <w:rsid w:val="2BB2311B"/>
    <w:rsid w:val="2BC2788C"/>
    <w:rsid w:val="2BCA752F"/>
    <w:rsid w:val="2BCC47F9"/>
    <w:rsid w:val="2BE94E19"/>
    <w:rsid w:val="2BEE4D0C"/>
    <w:rsid w:val="2BFA11B7"/>
    <w:rsid w:val="2C05145A"/>
    <w:rsid w:val="2C09398B"/>
    <w:rsid w:val="2C5D1AC1"/>
    <w:rsid w:val="2CBA7AA0"/>
    <w:rsid w:val="2CBC252D"/>
    <w:rsid w:val="2CCA2E9C"/>
    <w:rsid w:val="2CCE763C"/>
    <w:rsid w:val="2CD77367"/>
    <w:rsid w:val="2CDA0C05"/>
    <w:rsid w:val="2CF77A09"/>
    <w:rsid w:val="2D0A3299"/>
    <w:rsid w:val="2D1C65E4"/>
    <w:rsid w:val="2D241372"/>
    <w:rsid w:val="2D687FBF"/>
    <w:rsid w:val="2D6C5D01"/>
    <w:rsid w:val="2DA65C71"/>
    <w:rsid w:val="2DBF215E"/>
    <w:rsid w:val="2DE07A20"/>
    <w:rsid w:val="2E4C78E1"/>
    <w:rsid w:val="2E5C02D7"/>
    <w:rsid w:val="2E5F5866"/>
    <w:rsid w:val="2EC8630A"/>
    <w:rsid w:val="2ED8717E"/>
    <w:rsid w:val="2EE86D67"/>
    <w:rsid w:val="2F0401BB"/>
    <w:rsid w:val="2F097B74"/>
    <w:rsid w:val="2F3E2A9A"/>
    <w:rsid w:val="2F4771AC"/>
    <w:rsid w:val="2F4A5776"/>
    <w:rsid w:val="2F5E2038"/>
    <w:rsid w:val="2F71773B"/>
    <w:rsid w:val="2FB41AEB"/>
    <w:rsid w:val="2FB90FA6"/>
    <w:rsid w:val="2FE853E7"/>
    <w:rsid w:val="30142680"/>
    <w:rsid w:val="301800B0"/>
    <w:rsid w:val="306F5936"/>
    <w:rsid w:val="309B06AC"/>
    <w:rsid w:val="309D4424"/>
    <w:rsid w:val="30A8579E"/>
    <w:rsid w:val="30C15DBD"/>
    <w:rsid w:val="30C47234"/>
    <w:rsid w:val="30C66D61"/>
    <w:rsid w:val="30D8545C"/>
    <w:rsid w:val="30DC319E"/>
    <w:rsid w:val="31022300"/>
    <w:rsid w:val="311F0C14"/>
    <w:rsid w:val="3159659D"/>
    <w:rsid w:val="31853836"/>
    <w:rsid w:val="31872740"/>
    <w:rsid w:val="31943A79"/>
    <w:rsid w:val="31AF440F"/>
    <w:rsid w:val="31E75CF0"/>
    <w:rsid w:val="3203475A"/>
    <w:rsid w:val="321D139D"/>
    <w:rsid w:val="324F6CE6"/>
    <w:rsid w:val="32575633"/>
    <w:rsid w:val="325F5E35"/>
    <w:rsid w:val="328238D1"/>
    <w:rsid w:val="32B14707"/>
    <w:rsid w:val="32B863F6"/>
    <w:rsid w:val="33053731"/>
    <w:rsid w:val="3321758E"/>
    <w:rsid w:val="332D5F33"/>
    <w:rsid w:val="33891BF7"/>
    <w:rsid w:val="33AE4B9D"/>
    <w:rsid w:val="33C56012"/>
    <w:rsid w:val="33CF0D98"/>
    <w:rsid w:val="33D60872"/>
    <w:rsid w:val="33F05D7C"/>
    <w:rsid w:val="340E164C"/>
    <w:rsid w:val="34637732"/>
    <w:rsid w:val="34BE1A71"/>
    <w:rsid w:val="34EE16F2"/>
    <w:rsid w:val="34EF3BC3"/>
    <w:rsid w:val="35103416"/>
    <w:rsid w:val="35435A90"/>
    <w:rsid w:val="35623574"/>
    <w:rsid w:val="356D19CB"/>
    <w:rsid w:val="357E2FC7"/>
    <w:rsid w:val="359009FB"/>
    <w:rsid w:val="359A7184"/>
    <w:rsid w:val="35D72186"/>
    <w:rsid w:val="35FC03DF"/>
    <w:rsid w:val="36221470"/>
    <w:rsid w:val="36323860"/>
    <w:rsid w:val="3646658E"/>
    <w:rsid w:val="36AF1D05"/>
    <w:rsid w:val="36BE6899"/>
    <w:rsid w:val="36C0574C"/>
    <w:rsid w:val="36EB2481"/>
    <w:rsid w:val="374227B5"/>
    <w:rsid w:val="37476E97"/>
    <w:rsid w:val="378A2E2C"/>
    <w:rsid w:val="37904CE2"/>
    <w:rsid w:val="37D17B69"/>
    <w:rsid w:val="37D20707"/>
    <w:rsid w:val="37D3697D"/>
    <w:rsid w:val="37D50947"/>
    <w:rsid w:val="37DB479F"/>
    <w:rsid w:val="37E4574A"/>
    <w:rsid w:val="37F94729"/>
    <w:rsid w:val="38005912"/>
    <w:rsid w:val="3827150A"/>
    <w:rsid w:val="382C4A0B"/>
    <w:rsid w:val="383438BF"/>
    <w:rsid w:val="384653A1"/>
    <w:rsid w:val="386F66A6"/>
    <w:rsid w:val="3892556F"/>
    <w:rsid w:val="38D676C9"/>
    <w:rsid w:val="38DB1F8D"/>
    <w:rsid w:val="38F1683E"/>
    <w:rsid w:val="3907263C"/>
    <w:rsid w:val="3911775D"/>
    <w:rsid w:val="39243934"/>
    <w:rsid w:val="396566E9"/>
    <w:rsid w:val="397321C6"/>
    <w:rsid w:val="397A79F8"/>
    <w:rsid w:val="397C3770"/>
    <w:rsid w:val="39821158"/>
    <w:rsid w:val="39987E7E"/>
    <w:rsid w:val="39A22AAB"/>
    <w:rsid w:val="39C80763"/>
    <w:rsid w:val="39D23390"/>
    <w:rsid w:val="39E10598"/>
    <w:rsid w:val="3A15327D"/>
    <w:rsid w:val="3A7B3A28"/>
    <w:rsid w:val="3A923B26"/>
    <w:rsid w:val="3AA33248"/>
    <w:rsid w:val="3AE4135E"/>
    <w:rsid w:val="3AEF1D20"/>
    <w:rsid w:val="3B050B60"/>
    <w:rsid w:val="3B375A1C"/>
    <w:rsid w:val="3B4D5F19"/>
    <w:rsid w:val="3B6402F8"/>
    <w:rsid w:val="3B985F13"/>
    <w:rsid w:val="3B9F3746"/>
    <w:rsid w:val="3BA743A8"/>
    <w:rsid w:val="3BEE647B"/>
    <w:rsid w:val="3BF22272"/>
    <w:rsid w:val="3C0E0A2E"/>
    <w:rsid w:val="3C3A0A68"/>
    <w:rsid w:val="3C3A35F9"/>
    <w:rsid w:val="3C50632E"/>
    <w:rsid w:val="3C591B6F"/>
    <w:rsid w:val="3C60782F"/>
    <w:rsid w:val="3CCA6B71"/>
    <w:rsid w:val="3CD06FA6"/>
    <w:rsid w:val="3D2E2ED5"/>
    <w:rsid w:val="3D3758DB"/>
    <w:rsid w:val="3D54230E"/>
    <w:rsid w:val="3D5E1BDE"/>
    <w:rsid w:val="3D71271B"/>
    <w:rsid w:val="3D8F5611"/>
    <w:rsid w:val="3D92443C"/>
    <w:rsid w:val="3DA037A5"/>
    <w:rsid w:val="3DC456E6"/>
    <w:rsid w:val="3DF77869"/>
    <w:rsid w:val="3DF93E00"/>
    <w:rsid w:val="3E0E2161"/>
    <w:rsid w:val="3E174CFF"/>
    <w:rsid w:val="3E3C34CE"/>
    <w:rsid w:val="3E4D33B6"/>
    <w:rsid w:val="3E5A3954"/>
    <w:rsid w:val="3E6D4B50"/>
    <w:rsid w:val="3E6E73FF"/>
    <w:rsid w:val="3E974FE5"/>
    <w:rsid w:val="3E9B64DE"/>
    <w:rsid w:val="3F222FE0"/>
    <w:rsid w:val="3F3811B0"/>
    <w:rsid w:val="3F6A39FC"/>
    <w:rsid w:val="3F9136D3"/>
    <w:rsid w:val="3F9D4665"/>
    <w:rsid w:val="3FC4377B"/>
    <w:rsid w:val="3FE77469"/>
    <w:rsid w:val="40015983"/>
    <w:rsid w:val="400E6E52"/>
    <w:rsid w:val="40186DD6"/>
    <w:rsid w:val="402604EF"/>
    <w:rsid w:val="406861BB"/>
    <w:rsid w:val="406D6BDC"/>
    <w:rsid w:val="4071063D"/>
    <w:rsid w:val="407F58F4"/>
    <w:rsid w:val="408D6737"/>
    <w:rsid w:val="40E02ED9"/>
    <w:rsid w:val="40EB2F89"/>
    <w:rsid w:val="40FC0CF2"/>
    <w:rsid w:val="410D73A4"/>
    <w:rsid w:val="41230975"/>
    <w:rsid w:val="41272213"/>
    <w:rsid w:val="41326E0A"/>
    <w:rsid w:val="41375092"/>
    <w:rsid w:val="41390199"/>
    <w:rsid w:val="41573CA6"/>
    <w:rsid w:val="41835FC1"/>
    <w:rsid w:val="418807D8"/>
    <w:rsid w:val="41C26BC6"/>
    <w:rsid w:val="424E1A22"/>
    <w:rsid w:val="42634441"/>
    <w:rsid w:val="42663B1B"/>
    <w:rsid w:val="4282730C"/>
    <w:rsid w:val="428C67D1"/>
    <w:rsid w:val="42C1377E"/>
    <w:rsid w:val="42C46384"/>
    <w:rsid w:val="43255A95"/>
    <w:rsid w:val="43291FA2"/>
    <w:rsid w:val="434B0223"/>
    <w:rsid w:val="4363194B"/>
    <w:rsid w:val="43BD65A7"/>
    <w:rsid w:val="43CE2C49"/>
    <w:rsid w:val="43D9356D"/>
    <w:rsid w:val="43E4263E"/>
    <w:rsid w:val="442F3894"/>
    <w:rsid w:val="443E0598"/>
    <w:rsid w:val="4450450E"/>
    <w:rsid w:val="446104E2"/>
    <w:rsid w:val="446473D4"/>
    <w:rsid w:val="446B5898"/>
    <w:rsid w:val="44735DE3"/>
    <w:rsid w:val="4484172B"/>
    <w:rsid w:val="44A322CE"/>
    <w:rsid w:val="44B55D88"/>
    <w:rsid w:val="44C91833"/>
    <w:rsid w:val="44F468B0"/>
    <w:rsid w:val="45042241"/>
    <w:rsid w:val="4516325F"/>
    <w:rsid w:val="452D0283"/>
    <w:rsid w:val="456D4F53"/>
    <w:rsid w:val="456E6C58"/>
    <w:rsid w:val="45786689"/>
    <w:rsid w:val="45886FF9"/>
    <w:rsid w:val="458F1D63"/>
    <w:rsid w:val="459C0CF6"/>
    <w:rsid w:val="45EA7CB3"/>
    <w:rsid w:val="45F40814"/>
    <w:rsid w:val="46674E60"/>
    <w:rsid w:val="46A47E62"/>
    <w:rsid w:val="46AF23CF"/>
    <w:rsid w:val="46BF6A4A"/>
    <w:rsid w:val="46F10BCE"/>
    <w:rsid w:val="46F72688"/>
    <w:rsid w:val="46F92AD7"/>
    <w:rsid w:val="470E69E3"/>
    <w:rsid w:val="47246F9A"/>
    <w:rsid w:val="47745A86"/>
    <w:rsid w:val="477C6453"/>
    <w:rsid w:val="478101A3"/>
    <w:rsid w:val="478F28C0"/>
    <w:rsid w:val="47A40DDF"/>
    <w:rsid w:val="47B91DC2"/>
    <w:rsid w:val="47BA3749"/>
    <w:rsid w:val="47BE78EA"/>
    <w:rsid w:val="47C36A0E"/>
    <w:rsid w:val="47CF7161"/>
    <w:rsid w:val="47DE621C"/>
    <w:rsid w:val="47E671FA"/>
    <w:rsid w:val="47FF4A18"/>
    <w:rsid w:val="48064AFD"/>
    <w:rsid w:val="48080ABE"/>
    <w:rsid w:val="482C45B3"/>
    <w:rsid w:val="484A6384"/>
    <w:rsid w:val="486F3910"/>
    <w:rsid w:val="48D52555"/>
    <w:rsid w:val="490D3273"/>
    <w:rsid w:val="49162F24"/>
    <w:rsid w:val="49216A74"/>
    <w:rsid w:val="49470ABD"/>
    <w:rsid w:val="49490CA3"/>
    <w:rsid w:val="494D658F"/>
    <w:rsid w:val="49583186"/>
    <w:rsid w:val="495F2766"/>
    <w:rsid w:val="49971F00"/>
    <w:rsid w:val="49E136AB"/>
    <w:rsid w:val="49E62540"/>
    <w:rsid w:val="49EE33FF"/>
    <w:rsid w:val="4A0D0EF6"/>
    <w:rsid w:val="4A2D38C8"/>
    <w:rsid w:val="4A5606F5"/>
    <w:rsid w:val="4A610183"/>
    <w:rsid w:val="4A9B3185"/>
    <w:rsid w:val="4AD04611"/>
    <w:rsid w:val="4B180E1F"/>
    <w:rsid w:val="4B1B6510"/>
    <w:rsid w:val="4B1F0475"/>
    <w:rsid w:val="4B282AE6"/>
    <w:rsid w:val="4B4B7415"/>
    <w:rsid w:val="4B8137BE"/>
    <w:rsid w:val="4B955F8C"/>
    <w:rsid w:val="4B9A5F9D"/>
    <w:rsid w:val="4BA95FFA"/>
    <w:rsid w:val="4BBC79FC"/>
    <w:rsid w:val="4BEF3A38"/>
    <w:rsid w:val="4C234D35"/>
    <w:rsid w:val="4C4719BC"/>
    <w:rsid w:val="4C4D4AF8"/>
    <w:rsid w:val="4C7262BA"/>
    <w:rsid w:val="4C9646F1"/>
    <w:rsid w:val="4CAA3CF8"/>
    <w:rsid w:val="4CBA7AAF"/>
    <w:rsid w:val="4CC55FE4"/>
    <w:rsid w:val="4CEA2347"/>
    <w:rsid w:val="4D2515D1"/>
    <w:rsid w:val="4D465454"/>
    <w:rsid w:val="4D8602C2"/>
    <w:rsid w:val="4D862B22"/>
    <w:rsid w:val="4DA45A84"/>
    <w:rsid w:val="4DAA0571"/>
    <w:rsid w:val="4DAD3AA0"/>
    <w:rsid w:val="4DC949F8"/>
    <w:rsid w:val="4DDA060D"/>
    <w:rsid w:val="4DF6443C"/>
    <w:rsid w:val="4DF91E57"/>
    <w:rsid w:val="4E2E7429"/>
    <w:rsid w:val="4E306AEB"/>
    <w:rsid w:val="4E400918"/>
    <w:rsid w:val="4E975F97"/>
    <w:rsid w:val="4EA64E0F"/>
    <w:rsid w:val="4ED65F9C"/>
    <w:rsid w:val="4ED82D9F"/>
    <w:rsid w:val="4EFB4CDF"/>
    <w:rsid w:val="4F0E786D"/>
    <w:rsid w:val="4F5477AA"/>
    <w:rsid w:val="4F6211FF"/>
    <w:rsid w:val="4FC25F8E"/>
    <w:rsid w:val="4FE65048"/>
    <w:rsid w:val="50033E4B"/>
    <w:rsid w:val="50506965"/>
    <w:rsid w:val="50A55552"/>
    <w:rsid w:val="50C730CB"/>
    <w:rsid w:val="50EA0B67"/>
    <w:rsid w:val="51416C84"/>
    <w:rsid w:val="515E03EA"/>
    <w:rsid w:val="51763829"/>
    <w:rsid w:val="518B234A"/>
    <w:rsid w:val="519421B9"/>
    <w:rsid w:val="51A15F4C"/>
    <w:rsid w:val="51A76A58"/>
    <w:rsid w:val="51AE1D36"/>
    <w:rsid w:val="51BA2C30"/>
    <w:rsid w:val="52165F73"/>
    <w:rsid w:val="521A1920"/>
    <w:rsid w:val="522105B9"/>
    <w:rsid w:val="52323085"/>
    <w:rsid w:val="52C46986"/>
    <w:rsid w:val="52F308A5"/>
    <w:rsid w:val="530B665A"/>
    <w:rsid w:val="531B5950"/>
    <w:rsid w:val="53523B59"/>
    <w:rsid w:val="538434F5"/>
    <w:rsid w:val="538F59F6"/>
    <w:rsid w:val="53C94C04"/>
    <w:rsid w:val="53CB2ED2"/>
    <w:rsid w:val="53CF1BBC"/>
    <w:rsid w:val="53D1600F"/>
    <w:rsid w:val="540B7773"/>
    <w:rsid w:val="541505F1"/>
    <w:rsid w:val="543A0058"/>
    <w:rsid w:val="544E6AA7"/>
    <w:rsid w:val="5455702E"/>
    <w:rsid w:val="548F2E8A"/>
    <w:rsid w:val="549C661D"/>
    <w:rsid w:val="54F14BBA"/>
    <w:rsid w:val="54F63C74"/>
    <w:rsid w:val="551E742C"/>
    <w:rsid w:val="552503C0"/>
    <w:rsid w:val="553552CC"/>
    <w:rsid w:val="553C7AB7"/>
    <w:rsid w:val="554613D4"/>
    <w:rsid w:val="55594A70"/>
    <w:rsid w:val="558D3F54"/>
    <w:rsid w:val="55986DE4"/>
    <w:rsid w:val="55B445E8"/>
    <w:rsid w:val="55D10548"/>
    <w:rsid w:val="561934D3"/>
    <w:rsid w:val="563504A3"/>
    <w:rsid w:val="564146E8"/>
    <w:rsid w:val="568B7E35"/>
    <w:rsid w:val="56B7773E"/>
    <w:rsid w:val="56C625D3"/>
    <w:rsid w:val="571132F2"/>
    <w:rsid w:val="571A4BC3"/>
    <w:rsid w:val="571F7A0F"/>
    <w:rsid w:val="57482A8C"/>
    <w:rsid w:val="57874C1F"/>
    <w:rsid w:val="57AA5EAC"/>
    <w:rsid w:val="57B53D1C"/>
    <w:rsid w:val="57BE4AFC"/>
    <w:rsid w:val="57D0648F"/>
    <w:rsid w:val="57FF48DC"/>
    <w:rsid w:val="58095D77"/>
    <w:rsid w:val="58543AB8"/>
    <w:rsid w:val="58586CFE"/>
    <w:rsid w:val="5862192B"/>
    <w:rsid w:val="58825949"/>
    <w:rsid w:val="58A3441E"/>
    <w:rsid w:val="58CA1EBD"/>
    <w:rsid w:val="58D04AE7"/>
    <w:rsid w:val="58D520FD"/>
    <w:rsid w:val="58F20F01"/>
    <w:rsid w:val="590D0758"/>
    <w:rsid w:val="59435A08"/>
    <w:rsid w:val="596F6A33"/>
    <w:rsid w:val="59761A20"/>
    <w:rsid w:val="599C672B"/>
    <w:rsid w:val="59AA17DC"/>
    <w:rsid w:val="59C17497"/>
    <w:rsid w:val="59EC6FE0"/>
    <w:rsid w:val="5A04039C"/>
    <w:rsid w:val="5A250854"/>
    <w:rsid w:val="5A2D1404"/>
    <w:rsid w:val="5A33768E"/>
    <w:rsid w:val="5A565B2E"/>
    <w:rsid w:val="5A871B1D"/>
    <w:rsid w:val="5AC97A40"/>
    <w:rsid w:val="5AD52888"/>
    <w:rsid w:val="5AE76118"/>
    <w:rsid w:val="5AFC1BC3"/>
    <w:rsid w:val="5AFD0698"/>
    <w:rsid w:val="5AFD593B"/>
    <w:rsid w:val="5B074697"/>
    <w:rsid w:val="5B61411C"/>
    <w:rsid w:val="5B765E19"/>
    <w:rsid w:val="5B90055D"/>
    <w:rsid w:val="5BB46942"/>
    <w:rsid w:val="5BEC1C38"/>
    <w:rsid w:val="5C123256"/>
    <w:rsid w:val="5C1B251D"/>
    <w:rsid w:val="5CAB753E"/>
    <w:rsid w:val="5CD01559"/>
    <w:rsid w:val="5CFD22D5"/>
    <w:rsid w:val="5D0459D8"/>
    <w:rsid w:val="5D064610"/>
    <w:rsid w:val="5D443618"/>
    <w:rsid w:val="5D855930"/>
    <w:rsid w:val="5D8B07A4"/>
    <w:rsid w:val="5D95403F"/>
    <w:rsid w:val="5DA45FC7"/>
    <w:rsid w:val="5DB3182E"/>
    <w:rsid w:val="5DC17507"/>
    <w:rsid w:val="5DDC52DC"/>
    <w:rsid w:val="5DEF3DFE"/>
    <w:rsid w:val="5E162772"/>
    <w:rsid w:val="5E343D6A"/>
    <w:rsid w:val="5E54073A"/>
    <w:rsid w:val="5E5A2CD6"/>
    <w:rsid w:val="5E741D96"/>
    <w:rsid w:val="5E7E71B6"/>
    <w:rsid w:val="5E875C48"/>
    <w:rsid w:val="5EDB41E5"/>
    <w:rsid w:val="5F105C3D"/>
    <w:rsid w:val="5F1A793B"/>
    <w:rsid w:val="5FB2375F"/>
    <w:rsid w:val="5FBC5DC5"/>
    <w:rsid w:val="5FD119D0"/>
    <w:rsid w:val="5FD3347D"/>
    <w:rsid w:val="5FE86BBA"/>
    <w:rsid w:val="5FEC48FC"/>
    <w:rsid w:val="5FFE053C"/>
    <w:rsid w:val="60082DB8"/>
    <w:rsid w:val="604B774D"/>
    <w:rsid w:val="6061058D"/>
    <w:rsid w:val="606C77EB"/>
    <w:rsid w:val="608A1A1F"/>
    <w:rsid w:val="609603C4"/>
    <w:rsid w:val="60964922"/>
    <w:rsid w:val="60A65731"/>
    <w:rsid w:val="60BB607C"/>
    <w:rsid w:val="60D07D7A"/>
    <w:rsid w:val="60D8227A"/>
    <w:rsid w:val="60E6759D"/>
    <w:rsid w:val="60ED31FA"/>
    <w:rsid w:val="60F04023"/>
    <w:rsid w:val="615C160D"/>
    <w:rsid w:val="61AD5C4B"/>
    <w:rsid w:val="61BE4076"/>
    <w:rsid w:val="620677CB"/>
    <w:rsid w:val="62131744"/>
    <w:rsid w:val="62256111"/>
    <w:rsid w:val="62285994"/>
    <w:rsid w:val="62310D49"/>
    <w:rsid w:val="6233339B"/>
    <w:rsid w:val="62373E29"/>
    <w:rsid w:val="62571DD5"/>
    <w:rsid w:val="626B762E"/>
    <w:rsid w:val="62816E52"/>
    <w:rsid w:val="62AF39BF"/>
    <w:rsid w:val="62E25B42"/>
    <w:rsid w:val="62FA0AE3"/>
    <w:rsid w:val="630F140E"/>
    <w:rsid w:val="63285E94"/>
    <w:rsid w:val="632C0E07"/>
    <w:rsid w:val="633671EC"/>
    <w:rsid w:val="63540F7F"/>
    <w:rsid w:val="6390490C"/>
    <w:rsid w:val="63B8083F"/>
    <w:rsid w:val="6410048D"/>
    <w:rsid w:val="64134D3F"/>
    <w:rsid w:val="64430863"/>
    <w:rsid w:val="64552344"/>
    <w:rsid w:val="645A43CD"/>
    <w:rsid w:val="647252EF"/>
    <w:rsid w:val="64A15589"/>
    <w:rsid w:val="64D616D7"/>
    <w:rsid w:val="650D2C1F"/>
    <w:rsid w:val="65342AB6"/>
    <w:rsid w:val="655817B4"/>
    <w:rsid w:val="655A481C"/>
    <w:rsid w:val="65640A91"/>
    <w:rsid w:val="657E652A"/>
    <w:rsid w:val="65896749"/>
    <w:rsid w:val="65B14824"/>
    <w:rsid w:val="65BA2DA7"/>
    <w:rsid w:val="65C2532B"/>
    <w:rsid w:val="65D5198E"/>
    <w:rsid w:val="662446C4"/>
    <w:rsid w:val="664803B2"/>
    <w:rsid w:val="66535093"/>
    <w:rsid w:val="665A5356"/>
    <w:rsid w:val="665D7914"/>
    <w:rsid w:val="6687626C"/>
    <w:rsid w:val="66A070C9"/>
    <w:rsid w:val="66B772E6"/>
    <w:rsid w:val="66FC2F4B"/>
    <w:rsid w:val="67490DDC"/>
    <w:rsid w:val="675D1525"/>
    <w:rsid w:val="67656D42"/>
    <w:rsid w:val="67706AF4"/>
    <w:rsid w:val="677B0314"/>
    <w:rsid w:val="67A31DBB"/>
    <w:rsid w:val="67E660D5"/>
    <w:rsid w:val="68001EB2"/>
    <w:rsid w:val="68285BED"/>
    <w:rsid w:val="684C492A"/>
    <w:rsid w:val="68727968"/>
    <w:rsid w:val="68931B3D"/>
    <w:rsid w:val="689A2A1B"/>
    <w:rsid w:val="68C305E8"/>
    <w:rsid w:val="690B56C7"/>
    <w:rsid w:val="690E43C7"/>
    <w:rsid w:val="69164568"/>
    <w:rsid w:val="69261CB9"/>
    <w:rsid w:val="693B4187"/>
    <w:rsid w:val="693C34C5"/>
    <w:rsid w:val="69401DA6"/>
    <w:rsid w:val="694729C8"/>
    <w:rsid w:val="69852275"/>
    <w:rsid w:val="699670B1"/>
    <w:rsid w:val="69CC1E41"/>
    <w:rsid w:val="69D12417"/>
    <w:rsid w:val="69D962BC"/>
    <w:rsid w:val="69E16C41"/>
    <w:rsid w:val="69F75F14"/>
    <w:rsid w:val="69FE245A"/>
    <w:rsid w:val="6A0E4801"/>
    <w:rsid w:val="6A1375FF"/>
    <w:rsid w:val="6A1F7952"/>
    <w:rsid w:val="6A22716C"/>
    <w:rsid w:val="6A246A40"/>
    <w:rsid w:val="6A3826FB"/>
    <w:rsid w:val="6A3F044D"/>
    <w:rsid w:val="6A7C687C"/>
    <w:rsid w:val="6A8F6C71"/>
    <w:rsid w:val="6A900637"/>
    <w:rsid w:val="6A917E7A"/>
    <w:rsid w:val="6AA62479"/>
    <w:rsid w:val="6AB778B5"/>
    <w:rsid w:val="6ADB7A47"/>
    <w:rsid w:val="6AF04CEE"/>
    <w:rsid w:val="6B15360A"/>
    <w:rsid w:val="6B4849B1"/>
    <w:rsid w:val="6B5735A0"/>
    <w:rsid w:val="6B763727"/>
    <w:rsid w:val="6B9246C9"/>
    <w:rsid w:val="6B9E0A74"/>
    <w:rsid w:val="6BA64490"/>
    <w:rsid w:val="6BAC3191"/>
    <w:rsid w:val="6BAF004B"/>
    <w:rsid w:val="6BCA0DB1"/>
    <w:rsid w:val="6BCC55E2"/>
    <w:rsid w:val="6BF52EDA"/>
    <w:rsid w:val="6BFA38B5"/>
    <w:rsid w:val="6C64793D"/>
    <w:rsid w:val="6C6A0FE1"/>
    <w:rsid w:val="6CA201B5"/>
    <w:rsid w:val="6CA83959"/>
    <w:rsid w:val="6CC462B9"/>
    <w:rsid w:val="6CCF746F"/>
    <w:rsid w:val="6CF41951"/>
    <w:rsid w:val="6D2F4CC8"/>
    <w:rsid w:val="6D4738C9"/>
    <w:rsid w:val="6D57712D"/>
    <w:rsid w:val="6D6078E9"/>
    <w:rsid w:val="6D7221B9"/>
    <w:rsid w:val="6DB84B1B"/>
    <w:rsid w:val="6DB85E1E"/>
    <w:rsid w:val="6DE15781"/>
    <w:rsid w:val="6E0948CB"/>
    <w:rsid w:val="6E5870E1"/>
    <w:rsid w:val="6E5A3C07"/>
    <w:rsid w:val="6EA445F4"/>
    <w:rsid w:val="6EB505AF"/>
    <w:rsid w:val="6EB721B0"/>
    <w:rsid w:val="6EF07839"/>
    <w:rsid w:val="6EFB7A06"/>
    <w:rsid w:val="6F100606"/>
    <w:rsid w:val="6F252FCD"/>
    <w:rsid w:val="6F3E546B"/>
    <w:rsid w:val="6F8A10CB"/>
    <w:rsid w:val="6F906306"/>
    <w:rsid w:val="6F93306C"/>
    <w:rsid w:val="6F944668"/>
    <w:rsid w:val="6FB03C97"/>
    <w:rsid w:val="6FB06044"/>
    <w:rsid w:val="6FB5491F"/>
    <w:rsid w:val="6FB645DF"/>
    <w:rsid w:val="6FB95E7D"/>
    <w:rsid w:val="6FD41A75"/>
    <w:rsid w:val="6FD96722"/>
    <w:rsid w:val="6FF3325D"/>
    <w:rsid w:val="6FFC6DE8"/>
    <w:rsid w:val="70041A7E"/>
    <w:rsid w:val="70250894"/>
    <w:rsid w:val="702F613F"/>
    <w:rsid w:val="704B3A24"/>
    <w:rsid w:val="708752DE"/>
    <w:rsid w:val="70F826F5"/>
    <w:rsid w:val="71200960"/>
    <w:rsid w:val="713E488C"/>
    <w:rsid w:val="716B489A"/>
    <w:rsid w:val="71795452"/>
    <w:rsid w:val="71A32941"/>
    <w:rsid w:val="720C498A"/>
    <w:rsid w:val="720E1013"/>
    <w:rsid w:val="7216210F"/>
    <w:rsid w:val="72203F91"/>
    <w:rsid w:val="72205DA8"/>
    <w:rsid w:val="72253C9E"/>
    <w:rsid w:val="72364E85"/>
    <w:rsid w:val="723A3AE3"/>
    <w:rsid w:val="72563E57"/>
    <w:rsid w:val="725D55AA"/>
    <w:rsid w:val="729A338A"/>
    <w:rsid w:val="72C277F2"/>
    <w:rsid w:val="72D54D7C"/>
    <w:rsid w:val="72F01BB6"/>
    <w:rsid w:val="72F23216"/>
    <w:rsid w:val="73013DC3"/>
    <w:rsid w:val="73034F50"/>
    <w:rsid w:val="730B2E93"/>
    <w:rsid w:val="7328385A"/>
    <w:rsid w:val="734615F1"/>
    <w:rsid w:val="736D365C"/>
    <w:rsid w:val="73726A6F"/>
    <w:rsid w:val="737E4983"/>
    <w:rsid w:val="73852C46"/>
    <w:rsid w:val="738A200A"/>
    <w:rsid w:val="739811CC"/>
    <w:rsid w:val="73BD2F1E"/>
    <w:rsid w:val="73C65949"/>
    <w:rsid w:val="73CA3B68"/>
    <w:rsid w:val="73E536E4"/>
    <w:rsid w:val="74400EDB"/>
    <w:rsid w:val="745833F3"/>
    <w:rsid w:val="748C590E"/>
    <w:rsid w:val="74BB250E"/>
    <w:rsid w:val="74BD1F6B"/>
    <w:rsid w:val="74D71FCA"/>
    <w:rsid w:val="7500325A"/>
    <w:rsid w:val="75071439"/>
    <w:rsid w:val="750B14E6"/>
    <w:rsid w:val="750E45A3"/>
    <w:rsid w:val="75396AE8"/>
    <w:rsid w:val="755723C0"/>
    <w:rsid w:val="75613802"/>
    <w:rsid w:val="759F2699"/>
    <w:rsid w:val="75AE7B06"/>
    <w:rsid w:val="762D4ECF"/>
    <w:rsid w:val="76322085"/>
    <w:rsid w:val="764566BC"/>
    <w:rsid w:val="76544D27"/>
    <w:rsid w:val="766D34B0"/>
    <w:rsid w:val="767E7212"/>
    <w:rsid w:val="76884D7F"/>
    <w:rsid w:val="769B452E"/>
    <w:rsid w:val="76A47E70"/>
    <w:rsid w:val="76EA2176"/>
    <w:rsid w:val="76F806FF"/>
    <w:rsid w:val="771A5634"/>
    <w:rsid w:val="771B04C1"/>
    <w:rsid w:val="77253DF8"/>
    <w:rsid w:val="77440722"/>
    <w:rsid w:val="774D7179"/>
    <w:rsid w:val="77505319"/>
    <w:rsid w:val="7756298E"/>
    <w:rsid w:val="778B45A3"/>
    <w:rsid w:val="778E0927"/>
    <w:rsid w:val="779010FA"/>
    <w:rsid w:val="77C83101"/>
    <w:rsid w:val="780103C1"/>
    <w:rsid w:val="78216CB5"/>
    <w:rsid w:val="79053957"/>
    <w:rsid w:val="79095F83"/>
    <w:rsid w:val="790B0D2A"/>
    <w:rsid w:val="79293B6D"/>
    <w:rsid w:val="793A5AB1"/>
    <w:rsid w:val="796926C2"/>
    <w:rsid w:val="797C23F5"/>
    <w:rsid w:val="79A31741"/>
    <w:rsid w:val="79B06543"/>
    <w:rsid w:val="79B27BE3"/>
    <w:rsid w:val="79B37DE1"/>
    <w:rsid w:val="79B71E5D"/>
    <w:rsid w:val="79C02027"/>
    <w:rsid w:val="79D61F74"/>
    <w:rsid w:val="79F3642F"/>
    <w:rsid w:val="7A543372"/>
    <w:rsid w:val="7A5769BE"/>
    <w:rsid w:val="7A995229"/>
    <w:rsid w:val="7AB11CB6"/>
    <w:rsid w:val="7B3749B5"/>
    <w:rsid w:val="7B8C5067"/>
    <w:rsid w:val="7BAE260E"/>
    <w:rsid w:val="7BCE0F02"/>
    <w:rsid w:val="7BDA00C6"/>
    <w:rsid w:val="7BE86DCA"/>
    <w:rsid w:val="7BFA3AA5"/>
    <w:rsid w:val="7C3F1D3C"/>
    <w:rsid w:val="7C4B60AF"/>
    <w:rsid w:val="7C6C0E1F"/>
    <w:rsid w:val="7C86358B"/>
    <w:rsid w:val="7C8C695E"/>
    <w:rsid w:val="7CB974BC"/>
    <w:rsid w:val="7CCD4D16"/>
    <w:rsid w:val="7CD41E02"/>
    <w:rsid w:val="7CEA3B1A"/>
    <w:rsid w:val="7D2C4132"/>
    <w:rsid w:val="7D5316BF"/>
    <w:rsid w:val="7D7B29C4"/>
    <w:rsid w:val="7D8575B6"/>
    <w:rsid w:val="7D893333"/>
    <w:rsid w:val="7D8A1398"/>
    <w:rsid w:val="7D9B56F8"/>
    <w:rsid w:val="7DAC51BA"/>
    <w:rsid w:val="7DE44A0D"/>
    <w:rsid w:val="7DF84014"/>
    <w:rsid w:val="7E0A29B9"/>
    <w:rsid w:val="7E134240"/>
    <w:rsid w:val="7E6F7359"/>
    <w:rsid w:val="7E7B6E1F"/>
    <w:rsid w:val="7EB1209C"/>
    <w:rsid w:val="7EBB39C0"/>
    <w:rsid w:val="7EC64112"/>
    <w:rsid w:val="7EE84089"/>
    <w:rsid w:val="7F1323A1"/>
    <w:rsid w:val="7F20732F"/>
    <w:rsid w:val="7F532EF0"/>
    <w:rsid w:val="7F5E5A33"/>
    <w:rsid w:val="7F6000C3"/>
    <w:rsid w:val="7F643B5C"/>
    <w:rsid w:val="7F841C19"/>
    <w:rsid w:val="7F8C1472"/>
    <w:rsid w:val="7F967F89"/>
    <w:rsid w:val="7FB126CD"/>
    <w:rsid w:val="7FB4040F"/>
    <w:rsid w:val="7FD34D39"/>
    <w:rsid w:val="FFF73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eastAsia="宋体" w:asciiTheme="minorHAnsi" w:hAnsiTheme="minorHAnsi" w:cstheme="minorBidi"/>
      <w:kern w:val="2"/>
      <w:sz w:val="21"/>
      <w:szCs w:val="21"/>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30"/>
      <w:szCs w:val="44"/>
    </w:rPr>
  </w:style>
  <w:style w:type="paragraph" w:styleId="4">
    <w:name w:val="heading 2"/>
    <w:basedOn w:val="1"/>
    <w:next w:val="1"/>
    <w:unhideWhenUsed/>
    <w:qFormat/>
    <w:uiPriority w:val="0"/>
    <w:pPr>
      <w:keepNext/>
      <w:keepLines/>
      <w:outlineLvl w:val="1"/>
    </w:pPr>
    <w:rPr>
      <w:rFonts w:asciiTheme="majorHAnsi" w:hAnsiTheme="majorHAnsi" w:cstheme="majorBidi"/>
      <w:sz w:val="28"/>
      <w:szCs w:val="32"/>
    </w:rPr>
  </w:style>
  <w:style w:type="paragraph" w:styleId="5">
    <w:name w:val="heading 3"/>
    <w:basedOn w:val="1"/>
    <w:next w:val="6"/>
    <w:unhideWhenUsed/>
    <w:qFormat/>
    <w:uiPriority w:val="0"/>
    <w:pPr>
      <w:keepNext/>
      <w:keepLines/>
      <w:spacing w:line="560" w:lineRule="exact"/>
      <w:outlineLvl w:val="2"/>
    </w:pPr>
    <w:rPr>
      <w:rFonts w:ascii="仿宋" w:hAnsi="仿宋" w:cs="Times New Roman"/>
      <w:b/>
      <w:bCs/>
      <w:sz w:val="24"/>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eastAsia="宋体" w:cs="Times New Roman"/>
      <w14:ligatures w14:val="none"/>
    </w:rPr>
  </w:style>
  <w:style w:type="paragraph" w:styleId="6">
    <w:name w:val="Body Text"/>
    <w:basedOn w:val="1"/>
    <w:qFormat/>
    <w:uiPriority w:val="0"/>
    <w:pPr>
      <w:widowControl/>
      <w:overflowPunct w:val="0"/>
      <w:autoSpaceDE w:val="0"/>
      <w:autoSpaceDN w:val="0"/>
      <w:adjustRightInd w:val="0"/>
      <w:jc w:val="left"/>
      <w:textAlignment w:val="baseline"/>
    </w:pPr>
    <w:rPr>
      <w:rFonts w:hint="eastAsia"/>
      <w:color w:val="000000"/>
      <w:kern w:val="0"/>
      <w:sz w:val="24"/>
      <w:szCs w:val="20"/>
    </w:rPr>
  </w:style>
  <w:style w:type="paragraph" w:styleId="7">
    <w:name w:val="annotation text"/>
    <w:basedOn w:val="1"/>
    <w:qFormat/>
    <w:uiPriority w:val="0"/>
    <w:pPr>
      <w:jc w:val="left"/>
    </w:pPr>
  </w:style>
  <w:style w:type="paragraph" w:styleId="8">
    <w:name w:val="Body Text Indent"/>
    <w:basedOn w:val="1"/>
    <w:qFormat/>
    <w:uiPriority w:val="0"/>
    <w:pPr>
      <w:spacing w:after="120"/>
      <w:ind w:left="420" w:leftChars="200"/>
    </w:pPr>
    <w:rPr>
      <w:rFonts w:hint="eastAsia"/>
      <w:szCs w:val="20"/>
    </w:rPr>
  </w:style>
  <w:style w:type="paragraph" w:styleId="9">
    <w:name w:val="Plain Text"/>
    <w:basedOn w:val="1"/>
    <w:qFormat/>
    <w:uiPriority w:val="99"/>
    <w:pPr>
      <w:jc w:val="center"/>
    </w:pPr>
    <w:rPr>
      <w:rFonts w:ascii="方正小标宋简体" w:hAnsi="Courier New" w:cs="方正小标宋简体"/>
      <w:lang w:val="zh-CN"/>
    </w:rPr>
  </w:style>
  <w:style w:type="paragraph" w:styleId="10">
    <w:name w:val="footer"/>
    <w:basedOn w:val="1"/>
    <w:qFormat/>
    <w:uiPriority w:val="99"/>
    <w:pPr>
      <w:tabs>
        <w:tab w:val="center" w:pos="4153"/>
        <w:tab w:val="right" w:pos="8306"/>
      </w:tabs>
      <w:snapToGrid w:val="0"/>
    </w:pPr>
    <w:rPr>
      <w:sz w:val="18"/>
      <w:szCs w:val="18"/>
    </w:rPr>
  </w:style>
  <w:style w:type="paragraph" w:styleId="11">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rPr>
      <w:rFonts w:cs="Times New Roman"/>
    </w:rPr>
  </w:style>
  <w:style w:type="character" w:styleId="17">
    <w:name w:val="Hyperlink"/>
    <w:qFormat/>
    <w:uiPriority w:val="0"/>
    <w:rPr>
      <w:color w:val="3665C3"/>
      <w:u w:val="none"/>
    </w:rPr>
  </w:style>
  <w:style w:type="paragraph" w:customStyle="1" w:styleId="18">
    <w:name w:val="表格文字"/>
    <w:basedOn w:val="1"/>
    <w:qFormat/>
    <w:uiPriority w:val="0"/>
    <w:pPr>
      <w:spacing w:before="25" w:after="25"/>
      <w:jc w:val="left"/>
    </w:pPr>
    <w:rPr>
      <w:bCs/>
      <w:spacing w:val="10"/>
      <w:kern w:val="0"/>
      <w:sz w:val="24"/>
      <w:szCs w:val="20"/>
    </w:rPr>
  </w:style>
  <w:style w:type="paragraph" w:customStyle="1" w:styleId="19">
    <w:name w:val="Normal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
    <w:name w:val="Normal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1">
    <w:name w:val="Normal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2">
    <w:name w:val="Table Text"/>
    <w:basedOn w:val="1"/>
    <w:semiHidden/>
    <w:qFormat/>
    <w:uiPriority w:val="0"/>
    <w:rPr>
      <w:rFonts w:ascii="仿宋" w:hAnsi="仿宋" w:eastAsia="仿宋" w:cs="仿宋"/>
      <w:sz w:val="24"/>
      <w:szCs w:val="24"/>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styleId="26">
    <w:name w:val="List Paragraph"/>
    <w:basedOn w:val="1"/>
    <w:qFormat/>
    <w:uiPriority w:val="34"/>
    <w:pPr>
      <w:ind w:firstLine="420" w:firstLineChars="200"/>
    </w:pPr>
  </w:style>
  <w:style w:type="paragraph" w:customStyle="1" w:styleId="27">
    <w:name w:val="Normal1"/>
    <w:qFormat/>
    <w:uiPriority w:val="0"/>
    <w:pPr>
      <w:widowControl w:val="0"/>
      <w:adjustRightInd w:val="0"/>
      <w:spacing w:line="360" w:lineRule="atLeast"/>
    </w:pPr>
    <w:rPr>
      <w:rFonts w:ascii="MingLiU" w:hAnsi="Times New Roman" w:eastAsia="MingLiU" w:cs="Times New Roman"/>
      <w:sz w:val="24"/>
      <w:lang w:val="en-US" w:eastAsia="zh-TW" w:bidi="ar-SA"/>
    </w:rPr>
  </w:style>
  <w:style w:type="paragraph" w:customStyle="1" w:styleId="28">
    <w:name w:val="normal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15687</Words>
  <Characters>16012</Characters>
  <Lines>0</Lines>
  <Paragraphs>0</Paragraphs>
  <TotalTime>19</TotalTime>
  <ScaleCrop>false</ScaleCrop>
  <LinksUpToDate>false</LinksUpToDate>
  <CharactersWithSpaces>16671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2023-02-20T04:13:00Z</dcterms:created>
  <dc:creator>Administrator</dc:creator>
  <cp:lastModifiedBy>·L·</cp:lastModifiedBy>
  <cp:lastPrinted>2023-09-28T01:23:00Z</cp:lastPrinted>
  <dcterms:modified xsi:type="dcterms:W3CDTF">2026-05-11T07:23:37Z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EB4AA17A1819491ABFF13417E4E735A9_13</vt:lpwstr>
  </property>
  <property fmtid="{D5CDD505-2E9C-101B-9397-08002B2CF9AE}" pid="4" name="KSOTemplateDocerSaveRecord">
    <vt:lpwstr>eyJoZGlkIjoiYmE5OTM3NjNjNDRmYzMyMTg2MWRiNGRmNmJlZmQ0NTYiLCJ1c2VySWQiOiI1NzY2MTkzMDYifQ==</vt:lpwstr>
  </property>
</Properties>
</file>