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9B6B6">
      <w:pPr>
        <w:ind w:left="-315" w:leftChars="-1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 xml:space="preserve"> </w:t>
      </w:r>
    </w:p>
    <w:p w14:paraId="7987379D">
      <w:pPr>
        <w:ind w:left="-315" w:leftChars="-150"/>
        <w:jc w:val="center"/>
        <w:rPr>
          <w:rFonts w:hint="eastAsia" w:ascii="宋体" w:hAnsi="宋体" w:eastAsia="宋体" w:cs="宋体"/>
          <w:b/>
          <w:bCs/>
          <w:color w:val="auto"/>
          <w:kern w:val="0"/>
          <w:sz w:val="32"/>
          <w:szCs w:val="32"/>
          <w:highlight w:val="none"/>
          <w:lang w:val="en-US" w:eastAsia="zh-CN" w:bidi="ar"/>
        </w:rPr>
      </w:pPr>
    </w:p>
    <w:p w14:paraId="53FB5756">
      <w:pPr>
        <w:ind w:left="-315" w:leftChars="-150"/>
        <w:jc w:val="center"/>
        <w:rPr>
          <w:rFonts w:hint="eastAsia" w:ascii="宋体" w:hAnsi="宋体" w:eastAsia="宋体" w:cs="宋体"/>
          <w:b/>
          <w:bCs/>
          <w:color w:val="auto"/>
          <w:kern w:val="0"/>
          <w:sz w:val="52"/>
          <w:szCs w:val="52"/>
          <w:highlight w:val="none"/>
          <w:lang w:val="en-US" w:eastAsia="zh-CN" w:bidi="ar"/>
        </w:rPr>
      </w:pPr>
      <w:r>
        <w:rPr>
          <w:rFonts w:hint="eastAsia" w:ascii="宋体" w:hAnsi="宋体" w:eastAsia="宋体" w:cs="宋体"/>
          <w:b/>
          <w:bCs/>
          <w:color w:val="auto"/>
          <w:kern w:val="0"/>
          <w:sz w:val="52"/>
          <w:szCs w:val="52"/>
          <w:highlight w:val="none"/>
          <w:lang w:val="en-US" w:eastAsia="zh-CN" w:bidi="ar"/>
        </w:rPr>
        <w:t>南通轨道资源开发有限公司文创产品</w:t>
      </w:r>
    </w:p>
    <w:p w14:paraId="436918C0">
      <w:pPr>
        <w:ind w:left="-315" w:leftChars="-150"/>
        <w:jc w:val="center"/>
        <w:rPr>
          <w:rFonts w:hint="eastAsia" w:ascii="宋体" w:hAnsi="宋体" w:eastAsia="宋体" w:cs="宋体"/>
          <w:b/>
          <w:bCs/>
          <w:color w:val="auto"/>
          <w:kern w:val="0"/>
          <w:sz w:val="52"/>
          <w:szCs w:val="52"/>
          <w:highlight w:val="none"/>
          <w:lang w:val="en-US" w:eastAsia="zh-CN" w:bidi="ar"/>
        </w:rPr>
      </w:pPr>
      <w:r>
        <w:rPr>
          <w:rFonts w:hint="eastAsia" w:ascii="宋体" w:hAnsi="宋体" w:eastAsia="宋体" w:cs="宋体"/>
          <w:b/>
          <w:bCs/>
          <w:color w:val="auto"/>
          <w:kern w:val="0"/>
          <w:sz w:val="52"/>
          <w:szCs w:val="52"/>
          <w:highlight w:val="none"/>
          <w:lang w:val="en-US" w:eastAsia="zh-CN" w:bidi="ar"/>
        </w:rPr>
        <w:t>生产制作年度供应商库项目</w:t>
      </w:r>
    </w:p>
    <w:p w14:paraId="421D3726">
      <w:pPr>
        <w:ind w:left="-315" w:leftChars="-150"/>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kern w:val="0"/>
          <w:sz w:val="52"/>
          <w:szCs w:val="52"/>
          <w:highlight w:val="none"/>
          <w:lang w:val="en-US" w:eastAsia="zh-CN" w:bidi="ar"/>
        </w:rPr>
        <w:t>（2026—2028年）</w:t>
      </w:r>
    </w:p>
    <w:p w14:paraId="543B18CC">
      <w:pPr>
        <w:rPr>
          <w:rFonts w:hint="eastAsia" w:ascii="宋体" w:hAnsi="宋体" w:eastAsia="宋体" w:cs="宋体"/>
          <w:color w:val="auto"/>
          <w:highlight w:val="none"/>
        </w:rPr>
      </w:pPr>
    </w:p>
    <w:p w14:paraId="15D32202">
      <w:pPr>
        <w:rPr>
          <w:rFonts w:hint="eastAsia" w:ascii="宋体" w:hAnsi="宋体" w:eastAsia="宋体" w:cs="宋体"/>
          <w:color w:val="auto"/>
          <w:highlight w:val="none"/>
        </w:rPr>
      </w:pPr>
    </w:p>
    <w:p w14:paraId="0FB913CC">
      <w:pPr>
        <w:rPr>
          <w:rFonts w:hint="eastAsia" w:ascii="宋体" w:hAnsi="宋体" w:eastAsia="宋体" w:cs="宋体"/>
          <w:color w:val="auto"/>
          <w:highlight w:val="none"/>
        </w:rPr>
      </w:pPr>
    </w:p>
    <w:p w14:paraId="368243DA">
      <w:pPr>
        <w:ind w:left="-315" w:leftChars="-150"/>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lang w:val="en-US" w:eastAsia="zh-CN"/>
        </w:rPr>
        <w:t>比选</w:t>
      </w:r>
      <w:r>
        <w:rPr>
          <w:rFonts w:hint="eastAsia" w:ascii="宋体" w:hAnsi="宋体" w:eastAsia="宋体" w:cs="宋体"/>
          <w:b/>
          <w:bCs/>
          <w:color w:val="auto"/>
          <w:sz w:val="52"/>
          <w:szCs w:val="52"/>
          <w:highlight w:val="none"/>
        </w:rPr>
        <w:t>文件</w:t>
      </w:r>
    </w:p>
    <w:p w14:paraId="2B3C338D">
      <w:pPr>
        <w:tabs>
          <w:tab w:val="left" w:pos="6431"/>
        </w:tabs>
        <w:rPr>
          <w:rFonts w:hint="eastAsia" w:ascii="宋体" w:hAnsi="宋体" w:eastAsia="宋体" w:cs="宋体"/>
          <w:b/>
          <w:bCs/>
          <w:color w:val="auto"/>
          <w:sz w:val="84"/>
          <w:highlight w:val="none"/>
        </w:rPr>
      </w:pPr>
      <w:r>
        <w:rPr>
          <w:rFonts w:hint="eastAsia" w:ascii="宋体" w:hAnsi="宋体" w:eastAsia="宋体" w:cs="宋体"/>
          <w:b/>
          <w:bCs/>
          <w:color w:val="auto"/>
          <w:sz w:val="84"/>
          <w:highlight w:val="none"/>
        </w:rPr>
        <w:tab/>
      </w:r>
    </w:p>
    <w:p w14:paraId="2BBBE277">
      <w:pPr>
        <w:ind w:firstLine="600" w:firstLineChars="200"/>
        <w:rPr>
          <w:rFonts w:hint="eastAsia" w:ascii="宋体" w:hAnsi="宋体" w:eastAsia="宋体" w:cs="宋体"/>
          <w:bCs/>
          <w:color w:val="auto"/>
          <w:sz w:val="30"/>
          <w:szCs w:val="30"/>
          <w:highlight w:val="none"/>
        </w:rPr>
      </w:pPr>
    </w:p>
    <w:p w14:paraId="0770AACD">
      <w:pPr>
        <w:tabs>
          <w:tab w:val="left" w:pos="8715"/>
        </w:tabs>
        <w:ind w:firstLine="600" w:firstLineChars="200"/>
        <w:rPr>
          <w:rFonts w:hint="eastAsia" w:ascii="宋体" w:hAnsi="宋体" w:eastAsia="宋体" w:cs="宋体"/>
          <w:bCs/>
          <w:color w:val="auto"/>
          <w:sz w:val="30"/>
          <w:szCs w:val="30"/>
          <w:highlight w:val="none"/>
        </w:rPr>
      </w:pPr>
    </w:p>
    <w:p w14:paraId="4E3EA417">
      <w:pPr>
        <w:tabs>
          <w:tab w:val="left" w:pos="8715"/>
        </w:tabs>
        <w:ind w:firstLine="600" w:firstLineChars="200"/>
        <w:rPr>
          <w:rFonts w:hint="eastAsia" w:ascii="宋体" w:hAnsi="宋体" w:eastAsia="宋体" w:cs="宋体"/>
          <w:bCs/>
          <w:color w:val="auto"/>
          <w:sz w:val="30"/>
          <w:szCs w:val="30"/>
          <w:highlight w:val="none"/>
        </w:rPr>
      </w:pPr>
    </w:p>
    <w:p w14:paraId="40148EF8">
      <w:pPr>
        <w:tabs>
          <w:tab w:val="left" w:pos="8715"/>
        </w:tabs>
        <w:ind w:firstLine="600" w:firstLineChars="200"/>
        <w:rPr>
          <w:rFonts w:hint="eastAsia" w:ascii="宋体" w:hAnsi="宋体" w:eastAsia="宋体" w:cs="宋体"/>
          <w:bCs/>
          <w:color w:val="auto"/>
          <w:sz w:val="30"/>
          <w:szCs w:val="30"/>
          <w:highlight w:val="none"/>
        </w:rPr>
      </w:pPr>
    </w:p>
    <w:p w14:paraId="3C6825D0">
      <w:pPr>
        <w:tabs>
          <w:tab w:val="left" w:pos="8715"/>
        </w:tabs>
        <w:ind w:left="0" w:leftChars="0" w:firstLine="1257" w:firstLineChars="419"/>
        <w:jc w:val="both"/>
        <w:rPr>
          <w:rFonts w:hint="eastAsia" w:ascii="宋体" w:hAnsi="宋体" w:eastAsia="宋体" w:cs="宋体"/>
          <w:bCs/>
          <w:color w:val="auto"/>
          <w:sz w:val="30"/>
          <w:szCs w:val="30"/>
          <w:highlight w:val="none"/>
          <w:lang w:val="en-US" w:eastAsia="zh-CN"/>
        </w:rPr>
      </w:pPr>
    </w:p>
    <w:p w14:paraId="769C9E4E">
      <w:pPr>
        <w:tabs>
          <w:tab w:val="left" w:pos="8715"/>
        </w:tabs>
        <w:ind w:left="0" w:leftChars="0" w:firstLine="1257" w:firstLineChars="419"/>
        <w:jc w:val="both"/>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lang w:val="en-US" w:eastAsia="zh-CN"/>
        </w:rPr>
        <w:t>比</w:t>
      </w:r>
      <w:r>
        <w:rPr>
          <w:rFonts w:hint="eastAsia" w:ascii="宋体" w:hAnsi="宋体" w:eastAsia="宋体" w:cs="宋体"/>
          <w:bCs/>
          <w:color w:val="auto"/>
          <w:sz w:val="30"/>
          <w:szCs w:val="30"/>
          <w:highlight w:val="none"/>
        </w:rPr>
        <w:t xml:space="preserve">   </w:t>
      </w:r>
      <w:r>
        <w:rPr>
          <w:rFonts w:hint="eastAsia" w:ascii="宋体" w:hAnsi="宋体" w:eastAsia="宋体" w:cs="宋体"/>
          <w:bCs/>
          <w:color w:val="auto"/>
          <w:sz w:val="30"/>
          <w:szCs w:val="30"/>
          <w:highlight w:val="none"/>
          <w:lang w:val="en-US" w:eastAsia="zh-CN"/>
        </w:rPr>
        <w:t>选</w:t>
      </w:r>
      <w:r>
        <w:rPr>
          <w:rFonts w:hint="eastAsia" w:ascii="宋体" w:hAnsi="宋体" w:eastAsia="宋体" w:cs="宋体"/>
          <w:bCs/>
          <w:color w:val="auto"/>
          <w:sz w:val="30"/>
          <w:szCs w:val="30"/>
          <w:highlight w:val="none"/>
        </w:rPr>
        <w:t xml:space="preserve">   人：</w:t>
      </w:r>
      <w:r>
        <w:rPr>
          <w:rFonts w:hint="eastAsia" w:ascii="宋体" w:hAnsi="宋体" w:eastAsia="宋体" w:cs="宋体"/>
          <w:bCs/>
          <w:color w:val="auto"/>
          <w:sz w:val="30"/>
          <w:szCs w:val="30"/>
          <w:highlight w:val="none"/>
          <w:lang w:val="en-US" w:eastAsia="zh-CN"/>
        </w:rPr>
        <w:t>南通轨道资源开发有限公司</w:t>
      </w:r>
    </w:p>
    <w:p w14:paraId="2A069062">
      <w:pPr>
        <w:tabs>
          <w:tab w:val="left" w:pos="8715"/>
        </w:tabs>
        <w:ind w:left="0" w:leftChars="0" w:firstLine="1257" w:firstLineChars="419"/>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招标代理机构：</w:t>
      </w:r>
      <w:r>
        <w:rPr>
          <w:rFonts w:hint="eastAsia" w:ascii="宋体" w:hAnsi="宋体" w:eastAsia="宋体" w:cs="宋体"/>
          <w:bCs/>
          <w:color w:val="auto"/>
          <w:sz w:val="30"/>
          <w:szCs w:val="30"/>
          <w:highlight w:val="none"/>
          <w:lang w:val="en-US" w:eastAsia="zh-CN"/>
        </w:rPr>
        <w:t>山东国盛项目管理有限公司</w:t>
      </w:r>
    </w:p>
    <w:p w14:paraId="65C355C9">
      <w:pPr>
        <w:ind w:left="0" w:leftChars="0" w:firstLine="1257" w:firstLineChars="419"/>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日        期：202</w:t>
      </w:r>
      <w:r>
        <w:rPr>
          <w:rFonts w:hint="eastAsia" w:ascii="宋体" w:hAnsi="宋体" w:eastAsia="宋体" w:cs="宋体"/>
          <w:bCs/>
          <w:color w:val="auto"/>
          <w:sz w:val="30"/>
          <w:szCs w:val="30"/>
          <w:highlight w:val="none"/>
          <w:lang w:val="en-US" w:eastAsia="zh-CN"/>
        </w:rPr>
        <w:t>6</w:t>
      </w:r>
      <w:r>
        <w:rPr>
          <w:rFonts w:hint="eastAsia" w:ascii="宋体" w:hAnsi="宋体" w:eastAsia="宋体" w:cs="宋体"/>
          <w:bCs/>
          <w:color w:val="auto"/>
          <w:sz w:val="30"/>
          <w:szCs w:val="30"/>
          <w:highlight w:val="none"/>
        </w:rPr>
        <w:t>年</w:t>
      </w:r>
      <w:r>
        <w:rPr>
          <w:rFonts w:hint="eastAsia" w:ascii="宋体" w:hAnsi="宋体" w:eastAsia="宋体" w:cs="宋体"/>
          <w:bCs/>
          <w:color w:val="auto"/>
          <w:sz w:val="30"/>
          <w:szCs w:val="30"/>
          <w:highlight w:val="none"/>
          <w:lang w:val="en-US" w:eastAsia="zh-CN"/>
        </w:rPr>
        <w:t>6</w:t>
      </w:r>
      <w:r>
        <w:rPr>
          <w:rFonts w:hint="eastAsia" w:ascii="宋体" w:hAnsi="宋体" w:eastAsia="宋体" w:cs="宋体"/>
          <w:bCs/>
          <w:color w:val="auto"/>
          <w:sz w:val="30"/>
          <w:szCs w:val="30"/>
          <w:highlight w:val="none"/>
        </w:rPr>
        <w:t>月</w:t>
      </w:r>
    </w:p>
    <w:p w14:paraId="4D9AAA41">
      <w:pPr>
        <w:ind w:left="0" w:leftChars="0" w:firstLine="1178" w:firstLineChars="419"/>
        <w:jc w:val="center"/>
        <w:rPr>
          <w:rFonts w:hint="eastAsia" w:ascii="宋体" w:hAnsi="宋体" w:eastAsia="宋体" w:cs="宋体"/>
          <w:b/>
          <w:bCs/>
          <w:color w:val="auto"/>
          <w:sz w:val="28"/>
          <w:szCs w:val="28"/>
          <w:highlight w:val="none"/>
        </w:rPr>
        <w:sectPr>
          <w:headerReference r:id="rId6" w:type="first"/>
          <w:footerReference r:id="rId8" w:type="first"/>
          <w:headerReference r:id="rId5" w:type="default"/>
          <w:footerReference r:id="rId7" w:type="default"/>
          <w:pgSz w:w="11906" w:h="16838"/>
          <w:pgMar w:top="1440" w:right="1066"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D2B37C6">
      <w:pPr>
        <w:ind w:firstLine="562" w:firstLineChars="200"/>
        <w:jc w:val="center"/>
        <w:rPr>
          <w:rFonts w:hint="eastAsia" w:ascii="宋体" w:hAnsi="宋体" w:eastAsia="宋体" w:cs="宋体"/>
          <w:b/>
          <w:bCs/>
          <w:color w:val="auto"/>
          <w:sz w:val="28"/>
          <w:szCs w:val="28"/>
          <w:highlight w:val="none"/>
        </w:rPr>
        <w:sectPr>
          <w:headerReference r:id="rId9" w:type="default"/>
          <w:footerReference r:id="rId10"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9" w:charSpace="0"/>
        </w:sectPr>
      </w:pPr>
    </w:p>
    <w:p w14:paraId="1A86194B">
      <w:pPr>
        <w:ind w:firstLine="562" w:firstLineChars="20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  录</w:t>
      </w:r>
    </w:p>
    <w:p w14:paraId="67FFC10E">
      <w:pPr>
        <w:pStyle w:val="33"/>
        <w:keepNext w:val="0"/>
        <w:keepLines w:val="0"/>
        <w:pageBreakBefore w:val="0"/>
        <w:widowControl w:val="0"/>
        <w:tabs>
          <w:tab w:val="right" w:leader="dot" w:pos="8901"/>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b/>
          <w:bCs/>
          <w:sz w:val="21"/>
          <w:szCs w:val="21"/>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TOC \o "1-3" \u </w:instrText>
      </w:r>
      <w:r>
        <w:rPr>
          <w:rFonts w:hint="eastAsia" w:ascii="宋体" w:hAnsi="宋体" w:eastAsia="宋体" w:cs="宋体"/>
          <w:color w:val="auto"/>
          <w:sz w:val="21"/>
          <w:szCs w:val="21"/>
          <w:highlight w:val="none"/>
        </w:rPr>
        <w:fldChar w:fldCharType="separate"/>
      </w:r>
      <w:r>
        <w:rPr>
          <w:rFonts w:hint="eastAsia" w:ascii="宋体" w:hAnsi="宋体" w:eastAsia="宋体" w:cs="宋体"/>
          <w:b/>
          <w:bCs/>
          <w:color w:val="auto"/>
          <w:sz w:val="21"/>
          <w:szCs w:val="21"/>
          <w:highlight w:val="none"/>
        </w:rPr>
        <w:t xml:space="preserve">第一卷  </w:t>
      </w:r>
      <w:r>
        <w:rPr>
          <w:rFonts w:hint="eastAsia" w:ascii="宋体" w:hAnsi="宋体" w:eastAsia="宋体" w:cs="宋体"/>
          <w:b/>
          <w:bCs/>
          <w:color w:val="auto"/>
          <w:sz w:val="21"/>
          <w:szCs w:val="21"/>
          <w:highlight w:val="none"/>
          <w:lang w:eastAsia="zh-CN"/>
        </w:rPr>
        <w:t>参选人须知</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_Toc15533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1</w:t>
      </w:r>
      <w:r>
        <w:rPr>
          <w:rFonts w:hint="eastAsia" w:ascii="宋体" w:hAnsi="宋体" w:eastAsia="宋体" w:cs="宋体"/>
          <w:b/>
          <w:bCs/>
          <w:sz w:val="21"/>
          <w:szCs w:val="21"/>
        </w:rPr>
        <w:fldChar w:fldCharType="end"/>
      </w:r>
    </w:p>
    <w:p w14:paraId="7826E678">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b/>
          <w:bCs/>
          <w:sz w:val="21"/>
          <w:szCs w:val="21"/>
        </w:rPr>
      </w:pPr>
      <w:r>
        <w:rPr>
          <w:rFonts w:hint="eastAsia" w:ascii="宋体" w:hAnsi="宋体" w:eastAsia="宋体" w:cs="宋体"/>
          <w:b/>
          <w:bCs/>
          <w:color w:val="auto"/>
          <w:sz w:val="21"/>
          <w:szCs w:val="21"/>
          <w:highlight w:val="none"/>
        </w:rPr>
        <w:t xml:space="preserve">第一章  </w:t>
      </w:r>
      <w:r>
        <w:rPr>
          <w:rFonts w:hint="eastAsia" w:ascii="宋体" w:hAnsi="宋体" w:eastAsia="宋体" w:cs="宋体"/>
          <w:b/>
          <w:bCs/>
          <w:color w:val="auto"/>
          <w:sz w:val="21"/>
          <w:szCs w:val="21"/>
          <w:highlight w:val="none"/>
          <w:lang w:eastAsia="zh-CN"/>
        </w:rPr>
        <w:t>比选公告</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_Toc3403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2</w:t>
      </w:r>
      <w:r>
        <w:rPr>
          <w:rFonts w:hint="eastAsia" w:ascii="宋体" w:hAnsi="宋体" w:eastAsia="宋体" w:cs="宋体"/>
          <w:b/>
          <w:bCs/>
          <w:sz w:val="21"/>
          <w:szCs w:val="21"/>
        </w:rPr>
        <w:fldChar w:fldCharType="end"/>
      </w:r>
    </w:p>
    <w:p w14:paraId="53957B3E">
      <w:pPr>
        <w:pStyle w:val="23"/>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比选条件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_Toc11840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p>
    <w:p w14:paraId="6E403AB6">
      <w:pPr>
        <w:pStyle w:val="23"/>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2.项目概况与</w:t>
      </w:r>
      <w:r>
        <w:rPr>
          <w:rFonts w:hint="eastAsia" w:ascii="宋体" w:hAnsi="宋体" w:eastAsia="宋体" w:cs="宋体"/>
          <w:color w:val="auto"/>
          <w:sz w:val="21"/>
          <w:szCs w:val="21"/>
          <w:highlight w:val="none"/>
          <w:lang w:eastAsia="zh-CN"/>
        </w:rPr>
        <w:t>比选范围</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_Toc14560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p>
    <w:p w14:paraId="12602489">
      <w:pPr>
        <w:pStyle w:val="23"/>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资格要求</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_Toc7864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p>
    <w:p w14:paraId="0803742C">
      <w:pPr>
        <w:pStyle w:val="23"/>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4.资格审查方法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_Toc12667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p>
    <w:p w14:paraId="33F66D6D">
      <w:pPr>
        <w:pStyle w:val="23"/>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评标办法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_Toc27646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p>
    <w:p w14:paraId="1CE5CBC2">
      <w:pPr>
        <w:pStyle w:val="23"/>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的获取</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_Toc15739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p>
    <w:p w14:paraId="491A289E">
      <w:pPr>
        <w:pStyle w:val="23"/>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的递交</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_Toc29165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p>
    <w:p w14:paraId="7538D154">
      <w:pPr>
        <w:pStyle w:val="23"/>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8.其他</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_Toc16825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p>
    <w:p w14:paraId="78EDD489">
      <w:pPr>
        <w:pStyle w:val="23"/>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9.联系方式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_Toc26115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p>
    <w:p w14:paraId="66719F6B">
      <w:pPr>
        <w:pStyle w:val="23"/>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异议处理方式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_Toc30791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p>
    <w:p w14:paraId="70B0518D">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b/>
          <w:bCs/>
          <w:sz w:val="21"/>
          <w:szCs w:val="21"/>
        </w:rPr>
      </w:pPr>
      <w:r>
        <w:rPr>
          <w:rFonts w:hint="eastAsia" w:ascii="宋体" w:hAnsi="宋体" w:eastAsia="宋体" w:cs="宋体"/>
          <w:b/>
          <w:bCs/>
          <w:color w:val="auto"/>
          <w:sz w:val="21"/>
          <w:szCs w:val="21"/>
          <w:highlight w:val="none"/>
        </w:rPr>
        <w:t xml:space="preserve">第二章  </w:t>
      </w:r>
      <w:r>
        <w:rPr>
          <w:rFonts w:hint="eastAsia" w:ascii="宋体" w:hAnsi="宋体" w:eastAsia="宋体" w:cs="宋体"/>
          <w:b/>
          <w:bCs/>
          <w:color w:val="auto"/>
          <w:sz w:val="21"/>
          <w:szCs w:val="21"/>
          <w:highlight w:val="none"/>
          <w:lang w:eastAsia="zh-CN"/>
        </w:rPr>
        <w:t>参选人须知</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_Toc16399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4</w:t>
      </w:r>
      <w:r>
        <w:rPr>
          <w:rFonts w:hint="eastAsia" w:ascii="宋体" w:hAnsi="宋体" w:eastAsia="宋体" w:cs="宋体"/>
          <w:b/>
          <w:bCs/>
          <w:sz w:val="21"/>
          <w:szCs w:val="21"/>
        </w:rPr>
        <w:fldChar w:fldCharType="end"/>
      </w:r>
    </w:p>
    <w:p w14:paraId="76EEC28F">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ind w:left="420" w:leftChars="200" w:firstLine="420" w:firstLineChars="200"/>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lang w:eastAsia="zh-CN"/>
        </w:rPr>
        <w:t>参选须知前附表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_Toc29672 \h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p>
    <w:p w14:paraId="5CDE7146">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ind w:left="420" w:leftChars="200" w:firstLine="420" w:firstLineChars="200"/>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rPr>
        <w:t>1总则</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_Toc25083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p>
    <w:p w14:paraId="71CCCA6A">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ind w:left="420" w:leftChars="200" w:firstLine="420" w:firstLineChars="200"/>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eastAsia="zh-CN"/>
        </w:rPr>
        <w:t>比选文件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_Toc28753 \h </w:instrText>
      </w:r>
      <w:r>
        <w:rPr>
          <w:rFonts w:hint="eastAsia" w:ascii="宋体" w:hAnsi="宋体" w:eastAsia="宋体" w:cs="宋体"/>
          <w:sz w:val="21"/>
          <w:szCs w:val="21"/>
        </w:rPr>
        <w:fldChar w:fldCharType="separate"/>
      </w:r>
      <w:r>
        <w:rPr>
          <w:rFonts w:hint="eastAsia" w:ascii="宋体" w:hAnsi="宋体" w:eastAsia="宋体" w:cs="宋体"/>
          <w:sz w:val="21"/>
          <w:szCs w:val="21"/>
        </w:rPr>
        <w:t>9</w:t>
      </w:r>
      <w:r>
        <w:rPr>
          <w:rFonts w:hint="eastAsia" w:ascii="宋体" w:hAnsi="宋体" w:eastAsia="宋体" w:cs="宋体"/>
          <w:sz w:val="21"/>
          <w:szCs w:val="21"/>
        </w:rPr>
        <w:fldChar w:fldCharType="end"/>
      </w:r>
    </w:p>
    <w:p w14:paraId="39494668">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ind w:left="420" w:leftChars="200" w:firstLine="420" w:firstLineChars="200"/>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rPr>
        <w:t>3</w:t>
      </w:r>
      <w:r>
        <w:rPr>
          <w:rFonts w:hint="eastAsia" w:ascii="宋体" w:hAnsi="宋体" w:eastAsia="宋体" w:cs="宋体"/>
          <w:bCs/>
          <w:color w:val="auto"/>
          <w:sz w:val="21"/>
          <w:szCs w:val="21"/>
          <w:highlight w:val="none"/>
          <w:lang w:eastAsia="zh-CN"/>
        </w:rPr>
        <w:t>参选文件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_Toc949 \h </w:instrText>
      </w:r>
      <w:r>
        <w:rPr>
          <w:rFonts w:hint="eastAsia" w:ascii="宋体" w:hAnsi="宋体" w:eastAsia="宋体" w:cs="宋体"/>
          <w:sz w:val="21"/>
          <w:szCs w:val="21"/>
        </w:rPr>
        <w:fldChar w:fldCharType="separate"/>
      </w:r>
      <w:r>
        <w:rPr>
          <w:rFonts w:hint="eastAsia" w:ascii="宋体" w:hAnsi="宋体" w:eastAsia="宋体" w:cs="宋体"/>
          <w:sz w:val="21"/>
          <w:szCs w:val="21"/>
        </w:rPr>
        <w:t>9</w:t>
      </w:r>
      <w:r>
        <w:rPr>
          <w:rFonts w:hint="eastAsia" w:ascii="宋体" w:hAnsi="宋体" w:eastAsia="宋体" w:cs="宋体"/>
          <w:sz w:val="21"/>
          <w:szCs w:val="21"/>
        </w:rPr>
        <w:fldChar w:fldCharType="end"/>
      </w:r>
    </w:p>
    <w:p w14:paraId="68C61A3D">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ind w:left="420" w:leftChars="200" w:firstLine="420" w:firstLineChars="200"/>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rPr>
        <w:t>4</w:t>
      </w:r>
      <w:r>
        <w:rPr>
          <w:rFonts w:hint="eastAsia" w:ascii="宋体" w:hAnsi="宋体" w:eastAsia="宋体" w:cs="宋体"/>
          <w:bCs/>
          <w:color w:val="auto"/>
          <w:sz w:val="21"/>
          <w:szCs w:val="21"/>
          <w:highlight w:val="none"/>
          <w:lang w:eastAsia="zh-CN"/>
        </w:rPr>
        <w:t>参选文件</w:t>
      </w:r>
      <w:r>
        <w:rPr>
          <w:rFonts w:hint="eastAsia" w:ascii="宋体" w:hAnsi="宋体" w:eastAsia="宋体" w:cs="宋体"/>
          <w:bCs/>
          <w:color w:val="auto"/>
          <w:sz w:val="21"/>
          <w:szCs w:val="21"/>
          <w:highlight w:val="none"/>
        </w:rPr>
        <w:t>密封</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_Toc22551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p>
    <w:p w14:paraId="3AE28625">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ind w:left="420" w:leftChars="200" w:firstLine="420" w:firstLineChars="200"/>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rPr>
        <w:t>5开标</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_Toc8489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p>
    <w:p w14:paraId="2408F09A">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ind w:left="420" w:leftChars="200" w:firstLine="420" w:firstLineChars="200"/>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rPr>
        <w:t>6评标</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_Toc21890 \h </w:instrText>
      </w:r>
      <w:r>
        <w:rPr>
          <w:rFonts w:hint="eastAsia" w:ascii="宋体" w:hAnsi="宋体" w:eastAsia="宋体" w:cs="宋体"/>
          <w:sz w:val="21"/>
          <w:szCs w:val="21"/>
        </w:rPr>
        <w:fldChar w:fldCharType="separate"/>
      </w:r>
      <w:r>
        <w:rPr>
          <w:rFonts w:hint="eastAsia" w:ascii="宋体" w:hAnsi="宋体" w:eastAsia="宋体" w:cs="宋体"/>
          <w:sz w:val="21"/>
          <w:szCs w:val="21"/>
        </w:rPr>
        <w:t>12</w:t>
      </w:r>
      <w:r>
        <w:rPr>
          <w:rFonts w:hint="eastAsia" w:ascii="宋体" w:hAnsi="宋体" w:eastAsia="宋体" w:cs="宋体"/>
          <w:sz w:val="21"/>
          <w:szCs w:val="21"/>
        </w:rPr>
        <w:fldChar w:fldCharType="end"/>
      </w:r>
    </w:p>
    <w:p w14:paraId="61420BF4">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ind w:left="420" w:leftChars="200" w:firstLine="420" w:firstLineChars="200"/>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rPr>
        <w:t>7合同的授予</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_Toc32755 \h </w:instrText>
      </w:r>
      <w:r>
        <w:rPr>
          <w:rFonts w:hint="eastAsia" w:ascii="宋体" w:hAnsi="宋体" w:eastAsia="宋体" w:cs="宋体"/>
          <w:sz w:val="21"/>
          <w:szCs w:val="21"/>
        </w:rPr>
        <w:fldChar w:fldCharType="separate"/>
      </w:r>
      <w:r>
        <w:rPr>
          <w:rFonts w:hint="eastAsia" w:ascii="宋体" w:hAnsi="宋体" w:eastAsia="宋体" w:cs="宋体"/>
          <w:sz w:val="21"/>
          <w:szCs w:val="21"/>
        </w:rPr>
        <w:t>12</w:t>
      </w:r>
      <w:r>
        <w:rPr>
          <w:rFonts w:hint="eastAsia" w:ascii="宋体" w:hAnsi="宋体" w:eastAsia="宋体" w:cs="宋体"/>
          <w:sz w:val="21"/>
          <w:szCs w:val="21"/>
        </w:rPr>
        <w:fldChar w:fldCharType="end"/>
      </w:r>
    </w:p>
    <w:p w14:paraId="71A0ABCF">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ind w:left="420" w:leftChars="200" w:firstLine="420" w:firstLineChars="200"/>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rPr>
        <w:t>8</w:t>
      </w:r>
      <w:r>
        <w:rPr>
          <w:rFonts w:hint="eastAsia" w:ascii="宋体" w:hAnsi="宋体" w:eastAsia="宋体" w:cs="宋体"/>
          <w:bCs/>
          <w:color w:val="auto"/>
          <w:sz w:val="21"/>
          <w:szCs w:val="21"/>
          <w:highlight w:val="none"/>
          <w:lang w:eastAsia="zh-CN"/>
        </w:rPr>
        <w:t>重新比选</w:t>
      </w:r>
      <w:r>
        <w:rPr>
          <w:rFonts w:hint="eastAsia" w:ascii="宋体" w:hAnsi="宋体" w:eastAsia="宋体" w:cs="宋体"/>
          <w:bCs/>
          <w:color w:val="auto"/>
          <w:sz w:val="21"/>
          <w:szCs w:val="21"/>
          <w:highlight w:val="none"/>
        </w:rPr>
        <w:t>和</w:t>
      </w:r>
      <w:r>
        <w:rPr>
          <w:rFonts w:hint="eastAsia" w:ascii="宋体" w:hAnsi="宋体" w:eastAsia="宋体" w:cs="宋体"/>
          <w:bCs/>
          <w:color w:val="auto"/>
          <w:sz w:val="21"/>
          <w:szCs w:val="21"/>
          <w:highlight w:val="none"/>
          <w:lang w:eastAsia="zh-CN"/>
        </w:rPr>
        <w:t>不再比选</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_Toc994 \h </w:instrText>
      </w:r>
      <w:r>
        <w:rPr>
          <w:rFonts w:hint="eastAsia" w:ascii="宋体" w:hAnsi="宋体" w:eastAsia="宋体" w:cs="宋体"/>
          <w:sz w:val="21"/>
          <w:szCs w:val="21"/>
        </w:rPr>
        <w:fldChar w:fldCharType="separate"/>
      </w:r>
      <w:r>
        <w:rPr>
          <w:rFonts w:hint="eastAsia" w:ascii="宋体" w:hAnsi="宋体" w:eastAsia="宋体" w:cs="宋体"/>
          <w:sz w:val="21"/>
          <w:szCs w:val="21"/>
        </w:rPr>
        <w:t>13</w:t>
      </w:r>
      <w:r>
        <w:rPr>
          <w:rFonts w:hint="eastAsia" w:ascii="宋体" w:hAnsi="宋体" w:eastAsia="宋体" w:cs="宋体"/>
          <w:sz w:val="21"/>
          <w:szCs w:val="21"/>
        </w:rPr>
        <w:fldChar w:fldCharType="end"/>
      </w:r>
    </w:p>
    <w:p w14:paraId="246F5BB5">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ind w:left="420" w:leftChars="200" w:firstLine="420" w:firstLineChars="200"/>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rPr>
        <w:t>9纪律和监督</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_Toc32678 \h </w:instrText>
      </w:r>
      <w:r>
        <w:rPr>
          <w:rFonts w:hint="eastAsia" w:ascii="宋体" w:hAnsi="宋体" w:eastAsia="宋体" w:cs="宋体"/>
          <w:sz w:val="21"/>
          <w:szCs w:val="21"/>
        </w:rPr>
        <w:fldChar w:fldCharType="separate"/>
      </w:r>
      <w:r>
        <w:rPr>
          <w:rFonts w:hint="eastAsia" w:ascii="宋体" w:hAnsi="宋体" w:eastAsia="宋体" w:cs="宋体"/>
          <w:sz w:val="21"/>
          <w:szCs w:val="21"/>
        </w:rPr>
        <w:t>13</w:t>
      </w:r>
      <w:r>
        <w:rPr>
          <w:rFonts w:hint="eastAsia" w:ascii="宋体" w:hAnsi="宋体" w:eastAsia="宋体" w:cs="宋体"/>
          <w:sz w:val="21"/>
          <w:szCs w:val="21"/>
        </w:rPr>
        <w:fldChar w:fldCharType="end"/>
      </w:r>
    </w:p>
    <w:p w14:paraId="1DEFDA3F">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ind w:left="420" w:leftChars="200" w:firstLine="420" w:firstLineChars="200"/>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rPr>
        <w:t>10需要补充的其他内容</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_Toc13450 \h </w:instrText>
      </w:r>
      <w:r>
        <w:rPr>
          <w:rFonts w:hint="eastAsia" w:ascii="宋体" w:hAnsi="宋体" w:eastAsia="宋体" w:cs="宋体"/>
          <w:sz w:val="21"/>
          <w:szCs w:val="21"/>
        </w:rPr>
        <w:fldChar w:fldCharType="separate"/>
      </w:r>
      <w:r>
        <w:rPr>
          <w:rFonts w:hint="eastAsia" w:ascii="宋体" w:hAnsi="宋体" w:eastAsia="宋体" w:cs="宋体"/>
          <w:sz w:val="21"/>
          <w:szCs w:val="21"/>
        </w:rPr>
        <w:t>14</w:t>
      </w:r>
      <w:r>
        <w:rPr>
          <w:rFonts w:hint="eastAsia" w:ascii="宋体" w:hAnsi="宋体" w:eastAsia="宋体" w:cs="宋体"/>
          <w:sz w:val="21"/>
          <w:szCs w:val="21"/>
        </w:rPr>
        <w:fldChar w:fldCharType="end"/>
      </w:r>
    </w:p>
    <w:p w14:paraId="668EC25D">
      <w:pPr>
        <w:pStyle w:val="42"/>
        <w:keepNext w:val="0"/>
        <w:keepLines w:val="0"/>
        <w:pageBreakBefore w:val="0"/>
        <w:widowControl w:val="0"/>
        <w:tabs>
          <w:tab w:val="right" w:leader="dot" w:pos="8901"/>
        </w:tabs>
        <w:kinsoku/>
        <w:wordWrap/>
        <w:overflowPunct/>
        <w:topLinePunct w:val="0"/>
        <w:autoSpaceDE/>
        <w:autoSpaceDN/>
        <w:bidi w:val="0"/>
        <w:adjustRightInd/>
        <w:snapToGrid/>
        <w:spacing w:line="440" w:lineRule="exact"/>
        <w:textAlignment w:val="auto"/>
        <w:rPr>
          <w:rFonts w:hint="eastAsia" w:ascii="宋体" w:hAnsi="宋体" w:eastAsia="宋体" w:cs="宋体"/>
          <w:b/>
          <w:bCs w:val="0"/>
          <w:sz w:val="21"/>
          <w:szCs w:val="21"/>
        </w:rPr>
      </w:pPr>
      <w:r>
        <w:rPr>
          <w:rFonts w:hint="eastAsia" w:ascii="宋体" w:hAnsi="宋体" w:eastAsia="宋体" w:cs="宋体"/>
          <w:b/>
          <w:bCs w:val="0"/>
          <w:color w:val="auto"/>
          <w:sz w:val="21"/>
          <w:szCs w:val="21"/>
          <w:highlight w:val="none"/>
        </w:rPr>
        <w:t>第三章  评标办法（综合评估法）</w:t>
      </w:r>
      <w:r>
        <w:rPr>
          <w:rFonts w:hint="eastAsia" w:ascii="宋体" w:hAnsi="宋体" w:eastAsia="宋体" w:cs="宋体"/>
          <w:b/>
          <w:bCs w:val="0"/>
          <w:sz w:val="21"/>
          <w:szCs w:val="21"/>
        </w:rPr>
        <w:tab/>
      </w:r>
      <w:r>
        <w:rPr>
          <w:rFonts w:hint="eastAsia" w:ascii="宋体" w:hAnsi="宋体" w:eastAsia="宋体" w:cs="宋体"/>
          <w:b/>
          <w:bCs w:val="0"/>
          <w:sz w:val="21"/>
          <w:szCs w:val="21"/>
        </w:rPr>
        <w:fldChar w:fldCharType="begin"/>
      </w:r>
      <w:r>
        <w:rPr>
          <w:rFonts w:hint="eastAsia" w:ascii="宋体" w:hAnsi="宋体" w:eastAsia="宋体" w:cs="宋体"/>
          <w:b/>
          <w:bCs w:val="0"/>
          <w:sz w:val="21"/>
          <w:szCs w:val="21"/>
        </w:rPr>
        <w:instrText xml:space="preserve"> PAGEREF _Toc25016 \h </w:instrText>
      </w:r>
      <w:r>
        <w:rPr>
          <w:rFonts w:hint="eastAsia" w:ascii="宋体" w:hAnsi="宋体" w:eastAsia="宋体" w:cs="宋体"/>
          <w:b/>
          <w:bCs w:val="0"/>
          <w:sz w:val="21"/>
          <w:szCs w:val="21"/>
        </w:rPr>
        <w:fldChar w:fldCharType="separate"/>
      </w:r>
      <w:r>
        <w:rPr>
          <w:rFonts w:hint="eastAsia" w:ascii="宋体" w:hAnsi="宋体" w:eastAsia="宋体" w:cs="宋体"/>
          <w:b/>
          <w:bCs w:val="0"/>
          <w:sz w:val="21"/>
          <w:szCs w:val="21"/>
        </w:rPr>
        <w:t>15</w:t>
      </w:r>
      <w:r>
        <w:rPr>
          <w:rFonts w:hint="eastAsia" w:ascii="宋体" w:hAnsi="宋体" w:eastAsia="宋体" w:cs="宋体"/>
          <w:b/>
          <w:bCs w:val="0"/>
          <w:sz w:val="21"/>
          <w:szCs w:val="21"/>
        </w:rPr>
        <w:fldChar w:fldCharType="end"/>
      </w:r>
    </w:p>
    <w:p w14:paraId="207F835F">
      <w:pPr>
        <w:pStyle w:val="33"/>
        <w:keepNext w:val="0"/>
        <w:keepLines w:val="0"/>
        <w:pageBreakBefore w:val="0"/>
        <w:widowControl w:val="0"/>
        <w:tabs>
          <w:tab w:val="right" w:leader="dot" w:pos="8901"/>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b/>
          <w:bCs/>
          <w:sz w:val="21"/>
          <w:szCs w:val="21"/>
        </w:rPr>
      </w:pPr>
      <w:r>
        <w:rPr>
          <w:rFonts w:hint="eastAsia" w:ascii="宋体" w:hAnsi="宋体" w:eastAsia="宋体" w:cs="宋体"/>
          <w:b/>
          <w:bCs/>
          <w:color w:val="auto"/>
          <w:sz w:val="21"/>
          <w:szCs w:val="21"/>
          <w:highlight w:val="none"/>
        </w:rPr>
        <w:t>第二卷  合同条件</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_Toc11344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20</w:t>
      </w:r>
      <w:r>
        <w:rPr>
          <w:rFonts w:hint="eastAsia" w:ascii="宋体" w:hAnsi="宋体" w:eastAsia="宋体" w:cs="宋体"/>
          <w:b/>
          <w:bCs/>
          <w:sz w:val="21"/>
          <w:szCs w:val="21"/>
        </w:rPr>
        <w:fldChar w:fldCharType="end"/>
      </w:r>
    </w:p>
    <w:p w14:paraId="14674730">
      <w:pPr>
        <w:pStyle w:val="33"/>
        <w:keepNext w:val="0"/>
        <w:keepLines w:val="0"/>
        <w:pageBreakBefore w:val="0"/>
        <w:widowControl w:val="0"/>
        <w:tabs>
          <w:tab w:val="right" w:leader="dot" w:pos="8901"/>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b/>
          <w:bCs/>
          <w:sz w:val="21"/>
          <w:szCs w:val="21"/>
        </w:rPr>
      </w:pPr>
      <w:r>
        <w:rPr>
          <w:rFonts w:hint="eastAsia" w:ascii="宋体" w:hAnsi="宋体" w:eastAsia="宋体" w:cs="宋体"/>
          <w:b/>
          <w:bCs/>
          <w:color w:val="auto"/>
          <w:sz w:val="21"/>
          <w:szCs w:val="21"/>
          <w:highlight w:val="none"/>
          <w:lang w:eastAsia="zh-CN"/>
        </w:rPr>
        <w:t>第三卷</w:t>
      </w: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z w:val="21"/>
          <w:szCs w:val="21"/>
          <w:highlight w:val="none"/>
          <w:lang w:eastAsia="zh-CN"/>
        </w:rPr>
        <w:t>参选文件</w:t>
      </w:r>
      <w:r>
        <w:rPr>
          <w:rFonts w:hint="eastAsia" w:ascii="宋体" w:hAnsi="宋体" w:eastAsia="宋体" w:cs="宋体"/>
          <w:b/>
          <w:bCs/>
          <w:color w:val="auto"/>
          <w:sz w:val="21"/>
          <w:szCs w:val="21"/>
          <w:highlight w:val="none"/>
        </w:rPr>
        <w:t>格式</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_Toc9537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33</w:t>
      </w:r>
      <w:r>
        <w:rPr>
          <w:rFonts w:hint="eastAsia" w:ascii="宋体" w:hAnsi="宋体" w:eastAsia="宋体" w:cs="宋体"/>
          <w:b/>
          <w:bCs/>
          <w:sz w:val="21"/>
          <w:szCs w:val="21"/>
        </w:rPr>
        <w:fldChar w:fldCharType="end"/>
      </w:r>
    </w:p>
    <w:p w14:paraId="34C9496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sz w:val="21"/>
          <w:szCs w:val="21"/>
          <w:highlight w:val="none"/>
        </w:rPr>
        <w:fldChar w:fldCharType="end"/>
      </w:r>
      <w:r>
        <w:rPr>
          <w:rFonts w:hint="eastAsia" w:ascii="宋体" w:hAnsi="宋体" w:eastAsia="宋体" w:cs="宋体"/>
          <w:color w:val="auto"/>
          <w:highlight w:val="none"/>
          <w:lang w:eastAsia="zh-CN"/>
        </w:rPr>
        <w:tab/>
      </w:r>
    </w:p>
    <w:p w14:paraId="35FF876C">
      <w:pPr>
        <w:rPr>
          <w:rFonts w:hint="eastAsia" w:ascii="宋体" w:hAnsi="宋体" w:eastAsia="宋体" w:cs="宋体"/>
          <w:color w:val="auto"/>
          <w:highlight w:val="none"/>
        </w:rPr>
      </w:pPr>
    </w:p>
    <w:p w14:paraId="31A4D166">
      <w:pPr>
        <w:rPr>
          <w:rFonts w:hint="eastAsia" w:ascii="宋体" w:hAnsi="宋体" w:eastAsia="宋体" w:cs="宋体"/>
          <w:color w:val="auto"/>
          <w:highlight w:val="none"/>
        </w:rPr>
      </w:pPr>
      <w:bookmarkStart w:id="0" w:name="_Toc30713"/>
      <w:bookmarkStart w:id="1" w:name="_Toc19957"/>
      <w:bookmarkStart w:id="2" w:name="_Toc4457"/>
      <w:bookmarkStart w:id="3" w:name="_Toc1244"/>
    </w:p>
    <w:p w14:paraId="52D8C344">
      <w:pPr>
        <w:rPr>
          <w:rFonts w:hint="eastAsia" w:ascii="宋体" w:hAnsi="宋体" w:eastAsia="宋体" w:cs="宋体"/>
          <w:color w:val="auto"/>
          <w:highlight w:val="none"/>
        </w:rPr>
        <w:sectPr>
          <w:headerReference r:id="rId12" w:type="first"/>
          <w:footerReference r:id="rId14" w:type="first"/>
          <w:headerReference r:id="rId11" w:type="default"/>
          <w:footerReference r:id="rId13" w:type="default"/>
          <w:pgSz w:w="11906" w:h="16838"/>
          <w:pgMar w:top="1418" w:right="1531" w:bottom="1418" w:left="1474"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bookmarkStart w:id="4" w:name="_Toc8953"/>
      <w:bookmarkStart w:id="5" w:name="_Toc4783"/>
      <w:bookmarkStart w:id="6" w:name="_Toc30354"/>
      <w:bookmarkStart w:id="7" w:name="_Toc28455"/>
    </w:p>
    <w:p w14:paraId="254BDB1C">
      <w:pPr>
        <w:bidi w:val="0"/>
        <w:rPr>
          <w:rFonts w:hint="eastAsia" w:ascii="宋体" w:hAnsi="宋体" w:eastAsia="宋体" w:cs="宋体"/>
        </w:rPr>
      </w:pPr>
    </w:p>
    <w:p w14:paraId="70D24C28">
      <w:pPr>
        <w:rPr>
          <w:rFonts w:hint="eastAsia" w:ascii="宋体" w:hAnsi="宋体" w:eastAsia="宋体" w:cs="宋体"/>
          <w:color w:val="auto"/>
          <w:highlight w:val="none"/>
        </w:rPr>
      </w:pPr>
    </w:p>
    <w:p w14:paraId="5B937AD9">
      <w:pPr>
        <w:rPr>
          <w:rFonts w:hint="eastAsia" w:ascii="宋体" w:hAnsi="宋体" w:eastAsia="宋体" w:cs="宋体"/>
          <w:color w:val="auto"/>
          <w:highlight w:val="none"/>
        </w:rPr>
      </w:pPr>
    </w:p>
    <w:p w14:paraId="108E447B">
      <w:pPr>
        <w:rPr>
          <w:rFonts w:hint="eastAsia" w:ascii="宋体" w:hAnsi="宋体" w:eastAsia="宋体" w:cs="宋体"/>
          <w:color w:val="auto"/>
          <w:highlight w:val="none"/>
        </w:rPr>
      </w:pPr>
    </w:p>
    <w:p w14:paraId="0B24ECAA">
      <w:pPr>
        <w:rPr>
          <w:rFonts w:hint="eastAsia" w:ascii="宋体" w:hAnsi="宋体" w:eastAsia="宋体" w:cs="宋体"/>
          <w:color w:val="auto"/>
          <w:highlight w:val="none"/>
        </w:rPr>
      </w:pPr>
    </w:p>
    <w:p w14:paraId="3026FBAA">
      <w:pPr>
        <w:rPr>
          <w:rFonts w:hint="eastAsia" w:ascii="宋体" w:hAnsi="宋体" w:eastAsia="宋体" w:cs="宋体"/>
          <w:color w:val="auto"/>
          <w:highlight w:val="none"/>
        </w:rPr>
      </w:pPr>
    </w:p>
    <w:p w14:paraId="58479B52">
      <w:pPr>
        <w:rPr>
          <w:rFonts w:hint="eastAsia" w:ascii="宋体" w:hAnsi="宋体" w:eastAsia="宋体" w:cs="宋体"/>
          <w:color w:val="auto"/>
          <w:highlight w:val="none"/>
        </w:rPr>
      </w:pPr>
    </w:p>
    <w:p w14:paraId="785384E6">
      <w:pPr>
        <w:bidi w:val="0"/>
        <w:rPr>
          <w:rFonts w:hint="eastAsia" w:ascii="宋体" w:hAnsi="宋体" w:eastAsia="宋体" w:cs="宋体"/>
        </w:rPr>
      </w:pPr>
    </w:p>
    <w:p w14:paraId="27BB16C8">
      <w:pPr>
        <w:rPr>
          <w:rFonts w:hint="eastAsia" w:ascii="宋体" w:hAnsi="宋体" w:eastAsia="宋体" w:cs="宋体"/>
          <w:color w:val="auto"/>
          <w:highlight w:val="none"/>
        </w:rPr>
      </w:pPr>
    </w:p>
    <w:p w14:paraId="148CA8F0">
      <w:pPr>
        <w:rPr>
          <w:rFonts w:hint="eastAsia" w:ascii="宋体" w:hAnsi="宋体" w:eastAsia="宋体" w:cs="宋体"/>
          <w:color w:val="auto"/>
          <w:highlight w:val="none"/>
        </w:rPr>
      </w:pPr>
    </w:p>
    <w:p w14:paraId="5934F0C9">
      <w:pPr>
        <w:rPr>
          <w:rFonts w:hint="eastAsia" w:ascii="宋体" w:hAnsi="宋体" w:eastAsia="宋体" w:cs="宋体"/>
          <w:color w:val="auto"/>
          <w:highlight w:val="none"/>
        </w:rPr>
      </w:pPr>
    </w:p>
    <w:p w14:paraId="5DD92CEB">
      <w:pPr>
        <w:rPr>
          <w:rFonts w:hint="eastAsia" w:ascii="宋体" w:hAnsi="宋体" w:eastAsia="宋体" w:cs="宋体"/>
          <w:color w:val="auto"/>
          <w:highlight w:val="none"/>
        </w:rPr>
      </w:pPr>
    </w:p>
    <w:p w14:paraId="752C4A0A">
      <w:pPr>
        <w:pStyle w:val="3"/>
        <w:ind w:left="-439" w:leftChars="-209" w:right="-199" w:rightChars="-95"/>
        <w:rPr>
          <w:rFonts w:hint="eastAsia" w:ascii="宋体" w:hAnsi="宋体" w:eastAsia="宋体" w:cs="宋体"/>
          <w:color w:val="auto"/>
          <w:highlight w:val="none"/>
          <w:lang w:eastAsia="zh-CN"/>
        </w:rPr>
      </w:pPr>
      <w:bookmarkStart w:id="8" w:name="_Toc15533"/>
      <w:r>
        <w:rPr>
          <w:rFonts w:hint="eastAsia" w:ascii="宋体" w:hAnsi="宋体" w:eastAsia="宋体" w:cs="宋体"/>
          <w:color w:val="auto"/>
          <w:highlight w:val="none"/>
        </w:rPr>
        <w:t xml:space="preserve">第一卷  </w:t>
      </w:r>
      <w:bookmarkEnd w:id="4"/>
      <w:bookmarkEnd w:id="5"/>
      <w:bookmarkEnd w:id="6"/>
      <w:bookmarkEnd w:id="7"/>
      <w:r>
        <w:rPr>
          <w:rFonts w:hint="eastAsia" w:ascii="宋体" w:hAnsi="宋体" w:eastAsia="宋体" w:cs="宋体"/>
          <w:color w:val="auto"/>
          <w:highlight w:val="none"/>
          <w:lang w:eastAsia="zh-CN"/>
        </w:rPr>
        <w:t>参选人须知</w:t>
      </w:r>
      <w:bookmarkEnd w:id="8"/>
    </w:p>
    <w:p w14:paraId="6BBBC60C">
      <w:pPr>
        <w:widowControl/>
        <w:rPr>
          <w:rFonts w:hint="eastAsia" w:ascii="宋体" w:hAnsi="宋体" w:eastAsia="宋体" w:cs="宋体"/>
          <w:b/>
          <w:bCs/>
          <w:color w:val="auto"/>
          <w:sz w:val="32"/>
          <w:szCs w:val="32"/>
          <w:highlight w:val="none"/>
        </w:rPr>
      </w:pPr>
      <w:r>
        <w:rPr>
          <w:rFonts w:hint="eastAsia" w:ascii="宋体" w:hAnsi="宋体" w:eastAsia="宋体" w:cs="宋体"/>
          <w:color w:val="auto"/>
          <w:highlight w:val="none"/>
        </w:rPr>
        <w:br w:type="page"/>
      </w:r>
    </w:p>
    <w:bookmarkEnd w:id="0"/>
    <w:bookmarkEnd w:id="1"/>
    <w:bookmarkEnd w:id="2"/>
    <w:bookmarkEnd w:id="3"/>
    <w:p w14:paraId="609AD8EB">
      <w:pPr>
        <w:pStyle w:val="2"/>
        <w:spacing w:before="100" w:after="100"/>
        <w:ind w:left="-439" w:leftChars="-209" w:right="-139" w:rightChars="-66" w:firstLine="439" w:firstLineChars="156"/>
        <w:jc w:val="center"/>
        <w:rPr>
          <w:rFonts w:hint="eastAsia" w:ascii="宋体" w:hAnsi="宋体" w:eastAsia="宋体" w:cs="宋体"/>
          <w:b/>
          <w:bCs/>
          <w:color w:val="auto"/>
          <w:highlight w:val="none"/>
          <w:lang w:eastAsia="zh-CN"/>
        </w:rPr>
      </w:pPr>
      <w:bookmarkStart w:id="9" w:name="_Toc3403"/>
      <w:bookmarkStart w:id="10" w:name="_Toc3983"/>
      <w:bookmarkStart w:id="11" w:name="_Toc25844"/>
      <w:bookmarkStart w:id="12" w:name="_Toc18477"/>
      <w:bookmarkStart w:id="13" w:name="_Toc11639"/>
      <w:bookmarkStart w:id="14" w:name="_Toc25679"/>
      <w:bookmarkStart w:id="15" w:name="_Toc10623"/>
      <w:r>
        <w:rPr>
          <w:rFonts w:hint="eastAsia" w:ascii="宋体" w:hAnsi="宋体" w:eastAsia="宋体" w:cs="宋体"/>
          <w:b/>
          <w:bCs/>
          <w:color w:val="auto"/>
          <w:highlight w:val="none"/>
        </w:rPr>
        <w:t xml:space="preserve">第一章  </w:t>
      </w:r>
      <w:bookmarkStart w:id="16" w:name="OLE_LINK1"/>
      <w:r>
        <w:rPr>
          <w:rFonts w:hint="eastAsia" w:ascii="宋体" w:hAnsi="宋体" w:eastAsia="宋体" w:cs="宋体"/>
          <w:b/>
          <w:bCs/>
          <w:color w:val="auto"/>
          <w:highlight w:val="none"/>
          <w:lang w:eastAsia="zh-CN"/>
        </w:rPr>
        <w:t>比选公告</w:t>
      </w:r>
      <w:bookmarkEnd w:id="9"/>
    </w:p>
    <w:p w14:paraId="0759E6B9">
      <w:pPr>
        <w:pStyle w:val="4"/>
        <w:pageBreakBefore w:val="0"/>
        <w:widowControl w:val="0"/>
        <w:kinsoku/>
        <w:wordWrap/>
        <w:overflowPunct/>
        <w:topLinePunct w:val="0"/>
        <w:bidi w:val="0"/>
        <w:adjustRightInd/>
        <w:snapToGrid/>
        <w:spacing w:line="440" w:lineRule="exact"/>
        <w:ind w:left="-19" w:leftChars="-9" w:right="-139" w:rightChars="-66" w:firstLine="443" w:firstLineChars="210"/>
        <w:textAlignment w:val="auto"/>
        <w:rPr>
          <w:rFonts w:hint="eastAsia" w:ascii="宋体" w:hAnsi="宋体" w:eastAsia="宋体" w:cs="宋体"/>
          <w:color w:val="auto"/>
          <w:sz w:val="21"/>
          <w:szCs w:val="21"/>
          <w:highlight w:val="none"/>
          <w:lang w:eastAsia="zh-CN"/>
        </w:rPr>
      </w:pPr>
      <w:bookmarkStart w:id="17" w:name="_Toc11840"/>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比选条件</w:t>
      </w:r>
      <w:bookmarkEnd w:id="17"/>
    </w:p>
    <w:p w14:paraId="06F78CC1">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shd w:val="clear" w:color="auto" w:fill="FFFFFF"/>
          <w:lang w:val="en-US" w:eastAsia="zh-CN"/>
        </w:rPr>
        <w:t>山东国盛项目管理有限公司</w:t>
      </w:r>
      <w:r>
        <w:rPr>
          <w:rFonts w:hint="eastAsia" w:ascii="宋体" w:hAnsi="宋体" w:eastAsia="宋体" w:cs="宋体"/>
          <w:color w:val="auto"/>
          <w:sz w:val="21"/>
          <w:szCs w:val="21"/>
          <w:highlight w:val="none"/>
          <w:shd w:val="clear" w:color="auto" w:fill="FFFFFF"/>
        </w:rPr>
        <w:t>受</w:t>
      </w:r>
      <w:r>
        <w:rPr>
          <w:rFonts w:hint="eastAsia" w:ascii="宋体" w:hAnsi="宋体" w:eastAsia="宋体" w:cs="宋体"/>
          <w:color w:val="auto"/>
          <w:sz w:val="21"/>
          <w:szCs w:val="21"/>
          <w:highlight w:val="none"/>
          <w:u w:val="single"/>
          <w:shd w:val="clear" w:color="auto" w:fill="FFFFFF"/>
          <w:lang w:eastAsia="zh-CN"/>
        </w:rPr>
        <w:t>南通轨道资源开发有限公司</w:t>
      </w:r>
      <w:r>
        <w:rPr>
          <w:rFonts w:hint="eastAsia" w:ascii="宋体" w:hAnsi="宋体" w:eastAsia="宋体" w:cs="宋体"/>
          <w:color w:val="auto"/>
          <w:sz w:val="21"/>
          <w:szCs w:val="21"/>
          <w:highlight w:val="none"/>
          <w:shd w:val="clear" w:color="auto" w:fill="FFFFFF"/>
        </w:rPr>
        <w:t>委托，依据相关法律、法规及规章的规定，现对</w:t>
      </w:r>
      <w:r>
        <w:rPr>
          <w:rFonts w:hint="eastAsia" w:ascii="宋体" w:hAnsi="宋体" w:eastAsia="宋体" w:cs="宋体"/>
          <w:color w:val="auto"/>
          <w:sz w:val="21"/>
          <w:szCs w:val="21"/>
          <w:highlight w:val="none"/>
          <w:u w:val="single"/>
          <w:shd w:val="clear" w:color="auto" w:fill="FFFFFF"/>
          <w:lang w:val="en-US" w:eastAsia="zh-CN"/>
        </w:rPr>
        <w:t>南通轨道资源开发有限公司文创产品生产制作年度供应商库项目（2026—2028年）</w:t>
      </w:r>
      <w:r>
        <w:rPr>
          <w:rFonts w:hint="eastAsia" w:ascii="宋体" w:hAnsi="宋体" w:eastAsia="宋体" w:cs="宋体"/>
          <w:color w:val="auto"/>
          <w:sz w:val="21"/>
          <w:szCs w:val="21"/>
          <w:highlight w:val="none"/>
          <w:shd w:val="clear" w:color="auto" w:fill="FFFFFF"/>
        </w:rPr>
        <w:t>进行公开</w:t>
      </w:r>
      <w:r>
        <w:rPr>
          <w:rFonts w:hint="eastAsia" w:ascii="宋体" w:hAnsi="宋体" w:eastAsia="宋体" w:cs="宋体"/>
          <w:color w:val="auto"/>
          <w:sz w:val="21"/>
          <w:szCs w:val="21"/>
          <w:highlight w:val="none"/>
          <w:shd w:val="clear" w:color="auto" w:fill="FFFFFF"/>
          <w:lang w:val="en-US" w:eastAsia="zh-CN"/>
        </w:rPr>
        <w:t>比选</w:t>
      </w:r>
      <w:r>
        <w:rPr>
          <w:rFonts w:hint="eastAsia" w:ascii="宋体" w:hAnsi="宋体" w:eastAsia="宋体" w:cs="宋体"/>
          <w:color w:val="auto"/>
          <w:sz w:val="21"/>
          <w:szCs w:val="21"/>
          <w:highlight w:val="none"/>
          <w:shd w:val="clear" w:color="auto" w:fill="FFFFFF"/>
        </w:rPr>
        <w:t>。</w:t>
      </w:r>
    </w:p>
    <w:p w14:paraId="1F875078">
      <w:pPr>
        <w:pStyle w:val="4"/>
        <w:pageBreakBefore w:val="0"/>
        <w:widowControl w:val="0"/>
        <w:kinsoku/>
        <w:wordWrap/>
        <w:overflowPunct/>
        <w:topLinePunct w:val="0"/>
        <w:bidi w:val="0"/>
        <w:adjustRightInd/>
        <w:snapToGrid/>
        <w:spacing w:line="440" w:lineRule="exact"/>
        <w:ind w:left="-19" w:leftChars="-9" w:right="-139" w:rightChars="-66" w:firstLine="443" w:firstLineChars="210"/>
        <w:textAlignment w:val="auto"/>
        <w:rPr>
          <w:rFonts w:hint="eastAsia" w:ascii="宋体" w:hAnsi="宋体" w:eastAsia="宋体" w:cs="宋体"/>
          <w:color w:val="auto"/>
          <w:sz w:val="21"/>
          <w:szCs w:val="21"/>
          <w:highlight w:val="none"/>
          <w:lang w:eastAsia="zh-CN"/>
        </w:rPr>
      </w:pPr>
      <w:bookmarkStart w:id="18" w:name="_Toc14560"/>
      <w:r>
        <w:rPr>
          <w:rFonts w:hint="eastAsia" w:ascii="宋体" w:hAnsi="宋体" w:eastAsia="宋体" w:cs="宋体"/>
          <w:color w:val="auto"/>
          <w:sz w:val="21"/>
          <w:szCs w:val="21"/>
          <w:highlight w:val="none"/>
        </w:rPr>
        <w:t>2.项目概况与</w:t>
      </w:r>
      <w:r>
        <w:rPr>
          <w:rFonts w:hint="eastAsia" w:ascii="宋体" w:hAnsi="宋体" w:eastAsia="宋体" w:cs="宋体"/>
          <w:color w:val="auto"/>
          <w:sz w:val="21"/>
          <w:szCs w:val="21"/>
          <w:highlight w:val="none"/>
          <w:lang w:eastAsia="zh-CN"/>
        </w:rPr>
        <w:t>比选范围</w:t>
      </w:r>
      <w:bookmarkEnd w:id="18"/>
    </w:p>
    <w:p w14:paraId="1E4973C7">
      <w:pPr>
        <w:pageBreakBefore w:val="0"/>
        <w:widowControl w:val="0"/>
        <w:tabs>
          <w:tab w:val="left" w:pos="6520"/>
        </w:tabs>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kern w:val="58"/>
          <w:highlight w:val="none"/>
          <w:lang w:val="en-US" w:eastAsia="zh-CN"/>
        </w:rPr>
      </w:pPr>
      <w:r>
        <w:rPr>
          <w:rFonts w:hint="eastAsia" w:ascii="宋体" w:hAnsi="宋体" w:eastAsia="宋体" w:cs="宋体"/>
          <w:color w:val="auto"/>
          <w:kern w:val="58"/>
          <w:highlight w:val="none"/>
        </w:rPr>
        <w:t>2.1工程地址：江苏省南通市</w:t>
      </w:r>
      <w:r>
        <w:rPr>
          <w:rFonts w:hint="eastAsia" w:ascii="宋体" w:hAnsi="宋体" w:eastAsia="宋体" w:cs="宋体"/>
          <w:color w:val="auto"/>
          <w:kern w:val="58"/>
          <w:highlight w:val="none"/>
          <w:lang w:eastAsia="zh-CN"/>
        </w:rPr>
        <w:tab/>
      </w:r>
    </w:p>
    <w:p w14:paraId="26C02034">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kern w:val="58"/>
          <w:highlight w:val="none"/>
          <w:vertAlign w:val="baseline"/>
        </w:rPr>
      </w:pPr>
      <w:r>
        <w:rPr>
          <w:rFonts w:hint="eastAsia" w:ascii="宋体" w:hAnsi="宋体" w:eastAsia="宋体" w:cs="宋体"/>
          <w:color w:val="auto"/>
          <w:kern w:val="58"/>
          <w:highlight w:val="none"/>
        </w:rPr>
        <w:t>2.2标段划分</w:t>
      </w:r>
      <w:r>
        <w:rPr>
          <w:rFonts w:hint="eastAsia" w:ascii="宋体" w:hAnsi="宋体" w:eastAsia="宋体" w:cs="宋体"/>
          <w:color w:val="auto"/>
          <w:kern w:val="58"/>
          <w:highlight w:val="none"/>
          <w:lang w:val="en-US" w:eastAsia="zh-CN"/>
        </w:rPr>
        <w:t>和</w:t>
      </w:r>
      <w:r>
        <w:rPr>
          <w:rFonts w:hint="eastAsia" w:ascii="宋体" w:hAnsi="宋体" w:eastAsia="宋体" w:cs="宋体"/>
          <w:color w:val="auto"/>
          <w:kern w:val="58"/>
          <w:highlight w:val="none"/>
          <w:lang w:eastAsia="zh-CN"/>
        </w:rPr>
        <w:t>比选范围</w:t>
      </w:r>
      <w:r>
        <w:rPr>
          <w:rFonts w:hint="eastAsia" w:ascii="宋体" w:hAnsi="宋体" w:eastAsia="宋体" w:cs="宋体"/>
          <w:color w:val="auto"/>
          <w:kern w:val="58"/>
          <w:highlight w:val="none"/>
        </w:rPr>
        <w:t>：</w:t>
      </w:r>
      <w:r>
        <w:rPr>
          <w:rFonts w:hint="eastAsia" w:ascii="宋体" w:hAnsi="宋体" w:eastAsia="宋体" w:cs="宋体"/>
          <w:color w:val="auto"/>
          <w:kern w:val="58"/>
          <w:highlight w:val="none"/>
          <w:lang w:eastAsia="zh-CN"/>
        </w:rPr>
        <w:t>不分</w:t>
      </w:r>
      <w:r>
        <w:rPr>
          <w:rFonts w:hint="eastAsia" w:ascii="宋体" w:hAnsi="宋体" w:eastAsia="宋体" w:cs="宋体"/>
          <w:color w:val="auto"/>
          <w:kern w:val="58"/>
          <w:highlight w:val="none"/>
        </w:rPr>
        <w:t>标段</w:t>
      </w:r>
      <w:r>
        <w:rPr>
          <w:rFonts w:hint="eastAsia" w:ascii="宋体" w:hAnsi="宋体" w:eastAsia="宋体" w:cs="宋体"/>
          <w:color w:val="auto"/>
          <w:kern w:val="58"/>
          <w:highlight w:val="none"/>
          <w:lang w:eastAsia="zh-CN"/>
        </w:rPr>
        <w:t>，</w:t>
      </w:r>
      <w:r>
        <w:rPr>
          <w:rFonts w:hint="eastAsia" w:ascii="宋体" w:hAnsi="宋体" w:eastAsia="宋体" w:cs="宋体"/>
          <w:color w:val="auto"/>
          <w:kern w:val="58"/>
          <w:highlight w:val="none"/>
          <w:lang w:val="en-US" w:eastAsia="zh-CN"/>
        </w:rPr>
        <w:t>根据比选人要求对文创产品概念方案进行深化设计、制作文创产品</w:t>
      </w:r>
      <w:r>
        <w:rPr>
          <w:rFonts w:hint="eastAsia" w:ascii="宋体" w:hAnsi="宋体" w:eastAsia="宋体" w:cs="宋体"/>
          <w:color w:val="auto"/>
          <w:kern w:val="58"/>
          <w:highlight w:val="none"/>
        </w:rPr>
        <w:t>。</w:t>
      </w:r>
    </w:p>
    <w:p w14:paraId="1FC8CEC8">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kern w:val="58"/>
          <w:highlight w:val="none"/>
        </w:rPr>
      </w:pPr>
      <w:r>
        <w:rPr>
          <w:rFonts w:hint="eastAsia" w:ascii="宋体" w:hAnsi="宋体" w:eastAsia="宋体" w:cs="宋体"/>
          <w:color w:val="auto"/>
          <w:kern w:val="58"/>
          <w:highlight w:val="none"/>
          <w:lang w:val="en-US" w:eastAsia="zh-CN"/>
        </w:rPr>
        <w:t>2.3服务期限：</w:t>
      </w:r>
      <w:r>
        <w:rPr>
          <w:rFonts w:hint="eastAsia" w:ascii="宋体" w:hAnsi="宋体" w:eastAsia="宋体" w:cs="宋体"/>
          <w:color w:val="auto"/>
          <w:kern w:val="58"/>
          <w:highlight w:val="none"/>
          <w:lang w:eastAsia="zh-CN"/>
        </w:rPr>
        <w:t>自合同签订之日起2年。比选人对供应商实行动态管理，对不合格的机构予以调整。期满后，比选人可以视情延长有效期，或重新比选以及补充比选。</w:t>
      </w:r>
    </w:p>
    <w:p w14:paraId="505BAE46">
      <w:pPr>
        <w:pStyle w:val="4"/>
        <w:pageBreakBefore w:val="0"/>
        <w:widowControl w:val="0"/>
        <w:kinsoku/>
        <w:wordWrap/>
        <w:overflowPunct/>
        <w:topLinePunct w:val="0"/>
        <w:bidi w:val="0"/>
        <w:adjustRightInd/>
        <w:snapToGrid/>
        <w:spacing w:line="440" w:lineRule="exact"/>
        <w:ind w:left="-19" w:leftChars="-9" w:right="-139" w:rightChars="-66" w:firstLine="443" w:firstLineChars="210"/>
        <w:textAlignment w:val="auto"/>
        <w:rPr>
          <w:rFonts w:hint="eastAsia" w:ascii="宋体" w:hAnsi="宋体" w:eastAsia="宋体" w:cs="宋体"/>
          <w:color w:val="auto"/>
          <w:sz w:val="21"/>
          <w:szCs w:val="21"/>
          <w:highlight w:val="none"/>
        </w:rPr>
      </w:pPr>
      <w:bookmarkStart w:id="19" w:name="_Toc7864"/>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资格要求</w:t>
      </w:r>
      <w:bookmarkEnd w:id="19"/>
    </w:p>
    <w:p w14:paraId="6B2834A6">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rPr>
      </w:pPr>
      <w:bookmarkStart w:id="20" w:name="_Toc18383"/>
      <w:r>
        <w:rPr>
          <w:rFonts w:hint="eastAsia" w:ascii="宋体" w:hAnsi="宋体" w:eastAsia="宋体" w:cs="宋体"/>
          <w:color w:val="auto"/>
          <w:highlight w:val="none"/>
        </w:rPr>
        <w:t>3.1在中华人民共和国境内依法注册、具有独立承担民事能力；</w:t>
      </w:r>
      <w:bookmarkEnd w:id="20"/>
    </w:p>
    <w:p w14:paraId="1C3893CA">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lang w:val="en-US" w:eastAsia="zh-CN"/>
        </w:rPr>
      </w:pPr>
      <w:bookmarkStart w:id="21" w:name="_Toc26447"/>
      <w:r>
        <w:rPr>
          <w:rFonts w:hint="eastAsia" w:ascii="宋体" w:hAnsi="宋体" w:eastAsia="宋体" w:cs="宋体"/>
          <w:color w:val="auto"/>
          <w:highlight w:val="none"/>
        </w:rPr>
        <w:t>3.2</w:t>
      </w:r>
      <w:bookmarkEnd w:id="21"/>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lang w:val="en-US" w:eastAsia="zh-CN"/>
        </w:rPr>
        <w:t>自2021年1月1日以来（以合同签订时间为准）承担过单项合同额10万元及以上的文创产品生产制作项目。</w:t>
      </w:r>
    </w:p>
    <w:p w14:paraId="7BF15E4E">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w:t>
      </w:r>
      <w:r>
        <w:rPr>
          <w:rFonts w:hint="eastAsia" w:ascii="宋体" w:hAnsi="宋体" w:eastAsia="宋体" w:cs="宋体"/>
          <w:color w:val="auto"/>
          <w:highlight w:val="none"/>
        </w:rPr>
        <w:t>未被“信用中国”网站（www.creditchina.gov.cn）列入失信被执行人、重大税收违法案件当事人名单、政府采购严重失信行为记录名单。</w:t>
      </w:r>
    </w:p>
    <w:p w14:paraId="742346C1">
      <w:pPr>
        <w:pageBreakBefore w:val="0"/>
        <w:widowControl w:val="0"/>
        <w:kinsoku/>
        <w:wordWrap/>
        <w:overflowPunct/>
        <w:topLinePunct w:val="0"/>
        <w:bidi w:val="0"/>
        <w:adjustRightInd/>
        <w:snapToGrid/>
        <w:spacing w:line="440" w:lineRule="exact"/>
        <w:ind w:left="-19" w:leftChars="-9" w:right="-139" w:rightChars="-66" w:firstLine="443" w:firstLineChars="21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3.4</w:t>
      </w:r>
      <w:r>
        <w:rPr>
          <w:rFonts w:hint="eastAsia" w:ascii="宋体" w:hAnsi="宋体" w:eastAsia="宋体" w:cs="宋体"/>
          <w:b/>
          <w:bCs/>
          <w:color w:val="auto"/>
          <w:highlight w:val="none"/>
        </w:rPr>
        <w:t>其他</w:t>
      </w:r>
      <w:bookmarkStart w:id="850" w:name="_GoBack"/>
      <w:bookmarkEnd w:id="850"/>
    </w:p>
    <w:p w14:paraId="5509DD0F">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.1</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的任何不具独立法人资格的附属机构（单位）不得参与本项目</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rPr>
        <w:t>。</w:t>
      </w:r>
    </w:p>
    <w:p w14:paraId="59580217">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.2</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不得和</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存在利害关系。</w:t>
      </w:r>
    </w:p>
    <w:p w14:paraId="1E59A1C1">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.3单位负责人为同一人或者存在控股、管理关系的不同单位，不得参加同一标段</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rPr>
        <w:t>或者未划分标段的同一</w:t>
      </w:r>
      <w:r>
        <w:rPr>
          <w:rFonts w:hint="eastAsia" w:ascii="宋体" w:hAnsi="宋体" w:eastAsia="宋体" w:cs="宋体"/>
          <w:color w:val="auto"/>
          <w:highlight w:val="none"/>
          <w:lang w:eastAsia="zh-CN"/>
        </w:rPr>
        <w:t>项目</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rPr>
        <w:t>。如出现前述情况，</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应当做好协商，于开标时选出一个</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参与开标，如不能按时选出的，</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有权否决所有相关</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的</w:t>
      </w:r>
      <w:r>
        <w:rPr>
          <w:rFonts w:hint="eastAsia" w:ascii="宋体" w:hAnsi="宋体" w:eastAsia="宋体" w:cs="宋体"/>
          <w:color w:val="auto"/>
          <w:highlight w:val="none"/>
          <w:lang w:val="en-US" w:eastAsia="zh-CN"/>
        </w:rPr>
        <w:t>参选</w:t>
      </w:r>
      <w:r>
        <w:rPr>
          <w:rFonts w:hint="eastAsia" w:ascii="宋体" w:hAnsi="宋体" w:eastAsia="宋体" w:cs="宋体"/>
          <w:color w:val="auto"/>
          <w:highlight w:val="none"/>
        </w:rPr>
        <w:t>资格。</w:t>
      </w:r>
    </w:p>
    <w:p w14:paraId="59938D08">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.4本项目不接受联合体</w:t>
      </w:r>
      <w:r>
        <w:rPr>
          <w:rFonts w:hint="eastAsia" w:ascii="宋体" w:hAnsi="宋体" w:eastAsia="宋体" w:cs="宋体"/>
          <w:color w:val="auto"/>
          <w:highlight w:val="none"/>
          <w:lang w:val="en-US" w:eastAsia="zh-CN"/>
        </w:rPr>
        <w:t>参选</w:t>
      </w:r>
      <w:r>
        <w:rPr>
          <w:rFonts w:hint="eastAsia" w:ascii="宋体" w:hAnsi="宋体" w:eastAsia="宋体" w:cs="宋体"/>
          <w:color w:val="auto"/>
          <w:highlight w:val="none"/>
        </w:rPr>
        <w:t>。</w:t>
      </w:r>
    </w:p>
    <w:p w14:paraId="5E9150F9">
      <w:pPr>
        <w:pStyle w:val="4"/>
        <w:pageBreakBefore w:val="0"/>
        <w:widowControl w:val="0"/>
        <w:kinsoku/>
        <w:wordWrap/>
        <w:overflowPunct/>
        <w:topLinePunct w:val="0"/>
        <w:bidi w:val="0"/>
        <w:adjustRightInd/>
        <w:snapToGrid/>
        <w:spacing w:line="440" w:lineRule="exact"/>
        <w:ind w:left="-19" w:leftChars="-9" w:right="-139" w:rightChars="-66" w:firstLine="443" w:firstLineChars="210"/>
        <w:textAlignment w:val="auto"/>
        <w:rPr>
          <w:rFonts w:hint="eastAsia" w:ascii="宋体" w:hAnsi="宋体" w:eastAsia="宋体" w:cs="宋体"/>
          <w:color w:val="auto"/>
          <w:sz w:val="21"/>
          <w:szCs w:val="21"/>
          <w:highlight w:val="none"/>
        </w:rPr>
      </w:pPr>
      <w:bookmarkStart w:id="22" w:name="_Toc12667"/>
      <w:r>
        <w:rPr>
          <w:rFonts w:hint="eastAsia" w:ascii="宋体" w:hAnsi="宋体" w:eastAsia="宋体" w:cs="宋体"/>
          <w:color w:val="auto"/>
          <w:sz w:val="21"/>
          <w:szCs w:val="21"/>
          <w:highlight w:val="none"/>
        </w:rPr>
        <w:t>4.资格审查方法</w:t>
      </w:r>
      <w:bookmarkEnd w:id="22"/>
    </w:p>
    <w:p w14:paraId="3C9201A6">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采用资格后审（合格制）。</w:t>
      </w:r>
    </w:p>
    <w:p w14:paraId="46525972">
      <w:pPr>
        <w:pStyle w:val="4"/>
        <w:pageBreakBefore w:val="0"/>
        <w:widowControl w:val="0"/>
        <w:kinsoku/>
        <w:wordWrap/>
        <w:overflowPunct/>
        <w:topLinePunct w:val="0"/>
        <w:bidi w:val="0"/>
        <w:adjustRightInd/>
        <w:snapToGrid/>
        <w:spacing w:line="440" w:lineRule="exact"/>
        <w:ind w:left="-19" w:leftChars="-9" w:right="-139" w:rightChars="-66" w:firstLine="443" w:firstLineChars="210"/>
        <w:textAlignment w:val="auto"/>
        <w:rPr>
          <w:rFonts w:hint="eastAsia" w:ascii="宋体" w:hAnsi="宋体" w:eastAsia="宋体" w:cs="宋体"/>
          <w:color w:val="auto"/>
          <w:sz w:val="21"/>
          <w:szCs w:val="21"/>
          <w:highlight w:val="none"/>
        </w:rPr>
      </w:pPr>
      <w:bookmarkStart w:id="23" w:name="_Toc27646"/>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评标办法</w:t>
      </w:r>
      <w:bookmarkEnd w:id="23"/>
    </w:p>
    <w:p w14:paraId="494521E6">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综合评估法。</w:t>
      </w:r>
    </w:p>
    <w:p w14:paraId="2F14FF6C">
      <w:pPr>
        <w:pStyle w:val="4"/>
        <w:pageBreakBefore w:val="0"/>
        <w:widowControl w:val="0"/>
        <w:kinsoku/>
        <w:wordWrap/>
        <w:overflowPunct/>
        <w:topLinePunct w:val="0"/>
        <w:bidi w:val="0"/>
        <w:adjustRightInd/>
        <w:snapToGrid/>
        <w:spacing w:line="440" w:lineRule="exact"/>
        <w:ind w:left="-19" w:leftChars="-9" w:right="-139" w:rightChars="-66" w:firstLine="443" w:firstLineChars="210"/>
        <w:textAlignment w:val="auto"/>
        <w:rPr>
          <w:rFonts w:hint="eastAsia" w:ascii="宋体" w:hAnsi="宋体" w:eastAsia="宋体" w:cs="宋体"/>
          <w:color w:val="auto"/>
          <w:sz w:val="21"/>
          <w:szCs w:val="21"/>
          <w:highlight w:val="none"/>
        </w:rPr>
      </w:pPr>
      <w:bookmarkStart w:id="24" w:name="_Toc15739"/>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的获取</w:t>
      </w:r>
      <w:bookmarkEnd w:id="24"/>
    </w:p>
    <w:p w14:paraId="435AA695">
      <w:pPr>
        <w:pageBreakBefore w:val="0"/>
        <w:widowControl w:val="0"/>
        <w:kinsoku/>
        <w:wordWrap/>
        <w:overflowPunct/>
        <w:topLinePunct w:val="0"/>
        <w:bidi w:val="0"/>
        <w:adjustRightInd/>
        <w:snapToGrid/>
        <w:spacing w:line="440" w:lineRule="exact"/>
        <w:ind w:right="-260" w:rightChars="-124" w:firstLine="420" w:firstLineChars="200"/>
        <w:textAlignment w:val="auto"/>
        <w:rPr>
          <w:rFonts w:hint="eastAsia" w:ascii="宋体" w:hAnsi="宋体" w:eastAsia="宋体" w:cs="宋体"/>
          <w:szCs w:val="21"/>
        </w:rPr>
      </w:pPr>
      <w:r>
        <w:rPr>
          <w:rFonts w:hint="eastAsia" w:ascii="宋体" w:hAnsi="宋体" w:eastAsia="宋体" w:cs="宋体"/>
          <w:szCs w:val="21"/>
        </w:rPr>
        <w:t>本公告在南通轨道交通集团有限公司官网、中国招标投标公共服务平台发布。</w:t>
      </w:r>
    </w:p>
    <w:p w14:paraId="07B5887C">
      <w:pPr>
        <w:pageBreakBefore w:val="0"/>
        <w:widowControl w:val="0"/>
        <w:kinsoku/>
        <w:wordWrap/>
        <w:overflowPunct/>
        <w:topLinePunct w:val="0"/>
        <w:bidi w:val="0"/>
        <w:adjustRightInd/>
        <w:snapToGrid/>
        <w:spacing w:line="440" w:lineRule="exact"/>
        <w:ind w:right="-260" w:rightChars="-124" w:firstLine="420" w:firstLineChars="200"/>
        <w:textAlignment w:val="auto"/>
        <w:rPr>
          <w:rFonts w:hint="eastAsia" w:ascii="宋体" w:hAnsi="宋体" w:eastAsia="宋体" w:cs="宋体"/>
          <w:szCs w:val="21"/>
        </w:rPr>
      </w:pPr>
      <w:r>
        <w:rPr>
          <w:rFonts w:hint="eastAsia" w:ascii="宋体" w:hAnsi="宋体" w:eastAsia="宋体" w:cs="宋体"/>
          <w:szCs w:val="21"/>
        </w:rPr>
        <w:t>有意参加本项目比选的单位，请在南通轨道交通集团有限公司官网直接下载获取电子比选文件。</w:t>
      </w:r>
    </w:p>
    <w:p w14:paraId="437684BC">
      <w:pPr>
        <w:pStyle w:val="4"/>
        <w:pageBreakBefore w:val="0"/>
        <w:widowControl w:val="0"/>
        <w:kinsoku/>
        <w:wordWrap/>
        <w:overflowPunct/>
        <w:topLinePunct w:val="0"/>
        <w:bidi w:val="0"/>
        <w:adjustRightInd/>
        <w:snapToGrid/>
        <w:spacing w:line="440" w:lineRule="exact"/>
        <w:ind w:left="-19" w:leftChars="-9" w:right="-139" w:rightChars="-66" w:firstLine="443" w:firstLineChars="210"/>
        <w:textAlignment w:val="auto"/>
        <w:rPr>
          <w:rFonts w:hint="eastAsia" w:ascii="宋体" w:hAnsi="宋体" w:eastAsia="宋体" w:cs="宋体"/>
          <w:color w:val="auto"/>
          <w:sz w:val="21"/>
          <w:szCs w:val="21"/>
          <w:highlight w:val="none"/>
        </w:rPr>
      </w:pPr>
      <w:bookmarkStart w:id="25" w:name="_Toc29165"/>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的递交</w:t>
      </w:r>
      <w:bookmarkEnd w:id="25"/>
    </w:p>
    <w:p w14:paraId="4603AD1B">
      <w:pPr>
        <w:pageBreakBefore w:val="0"/>
        <w:widowControl w:val="0"/>
        <w:kinsoku/>
        <w:wordWrap/>
        <w:overflowPunct/>
        <w:topLinePunct w:val="0"/>
        <w:autoSpaceDE w:val="0"/>
        <w:autoSpaceDN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7.1参选文件递交起止时间：2026年</w:t>
      </w:r>
      <w:r>
        <w:rPr>
          <w:rFonts w:hint="eastAsia" w:ascii="宋体" w:hAnsi="宋体" w:cs="宋体"/>
          <w:color w:val="auto"/>
          <w:highlight w:val="none"/>
          <w:lang w:val="en-US" w:eastAsia="zh-CN"/>
        </w:rPr>
        <w:t>7</w:t>
      </w:r>
      <w:r>
        <w:rPr>
          <w:rFonts w:hint="eastAsia" w:ascii="宋体" w:hAnsi="宋体" w:eastAsia="宋体" w:cs="宋体"/>
          <w:color w:val="auto"/>
          <w:highlight w:val="none"/>
        </w:rPr>
        <w:t>月</w:t>
      </w:r>
      <w:r>
        <w:rPr>
          <w:rFonts w:hint="eastAsia" w:ascii="宋体" w:hAnsi="宋体" w:cs="宋体"/>
          <w:color w:val="auto"/>
          <w:highlight w:val="none"/>
          <w:lang w:val="en-US" w:eastAsia="zh-CN"/>
        </w:rPr>
        <w:t>7</w:t>
      </w:r>
      <w:r>
        <w:rPr>
          <w:rFonts w:hint="eastAsia" w:ascii="宋体" w:hAnsi="宋体" w:eastAsia="宋体" w:cs="宋体"/>
          <w:color w:val="auto"/>
          <w:highlight w:val="none"/>
        </w:rPr>
        <w:t>日13时30分-14时00分（北京时间，下同）</w:t>
      </w:r>
    </w:p>
    <w:p w14:paraId="5230E754">
      <w:pPr>
        <w:pageBreakBefore w:val="0"/>
        <w:widowControl w:val="0"/>
        <w:kinsoku/>
        <w:wordWrap/>
        <w:overflowPunct/>
        <w:topLinePunct w:val="0"/>
        <w:autoSpaceDE w:val="0"/>
        <w:autoSpaceDN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递交截止时间：</w:t>
      </w:r>
      <w:r>
        <w:rPr>
          <w:rFonts w:hint="eastAsia" w:ascii="宋体" w:hAnsi="宋体" w:eastAsia="宋体" w:cs="宋体"/>
          <w:color w:val="auto"/>
          <w:highlight w:val="none"/>
          <w:lang w:val="en-US" w:eastAsia="zh-CN"/>
        </w:rPr>
        <w:t>2026年</w:t>
      </w:r>
      <w:r>
        <w:rPr>
          <w:rFonts w:hint="eastAsia" w:ascii="宋体" w:hAnsi="宋体" w:cs="宋体"/>
          <w:color w:val="auto"/>
          <w:highlight w:val="none"/>
          <w:lang w:val="en-US" w:eastAsia="zh-CN"/>
        </w:rPr>
        <w:t>7</w:t>
      </w:r>
      <w:r>
        <w:rPr>
          <w:rFonts w:hint="eastAsia" w:ascii="宋体" w:hAnsi="宋体" w:eastAsia="宋体" w:cs="宋体"/>
          <w:color w:val="auto"/>
          <w:highlight w:val="none"/>
          <w:lang w:val="en-US" w:eastAsia="zh-CN"/>
        </w:rPr>
        <w:t>月</w:t>
      </w:r>
      <w:r>
        <w:rPr>
          <w:rFonts w:hint="eastAsia" w:ascii="宋体" w:hAnsi="宋体" w:cs="宋体"/>
          <w:color w:val="auto"/>
          <w:highlight w:val="none"/>
          <w:lang w:val="en-US" w:eastAsia="zh-CN"/>
        </w:rPr>
        <w:t>7</w:t>
      </w:r>
      <w:r>
        <w:rPr>
          <w:rFonts w:hint="eastAsia" w:ascii="宋体" w:hAnsi="宋体" w:eastAsia="宋体" w:cs="宋体"/>
          <w:color w:val="auto"/>
          <w:highlight w:val="none"/>
          <w:lang w:val="en-US" w:eastAsia="zh-CN"/>
        </w:rPr>
        <w:t>日</w:t>
      </w:r>
      <w:r>
        <w:rPr>
          <w:rFonts w:hint="eastAsia" w:ascii="宋体" w:hAnsi="宋体" w:eastAsia="宋体" w:cs="宋体"/>
          <w:color w:val="auto"/>
          <w:kern w:val="0"/>
          <w:highlight w:val="none"/>
          <w:u w:val="none"/>
          <w:lang w:val="en-US" w:eastAsia="zh-CN"/>
        </w:rPr>
        <w:t>14</w:t>
      </w:r>
      <w:r>
        <w:rPr>
          <w:rFonts w:hint="eastAsia" w:ascii="宋体" w:hAnsi="宋体" w:eastAsia="宋体" w:cs="宋体"/>
          <w:color w:val="auto"/>
          <w:kern w:val="0"/>
          <w:highlight w:val="none"/>
          <w:u w:val="none"/>
        </w:rPr>
        <w:t>时</w:t>
      </w:r>
      <w:r>
        <w:rPr>
          <w:rFonts w:hint="eastAsia" w:ascii="宋体" w:hAnsi="宋体" w:eastAsia="宋体" w:cs="宋体"/>
          <w:color w:val="auto"/>
          <w:kern w:val="0"/>
          <w:highlight w:val="none"/>
          <w:u w:val="none"/>
          <w:lang w:val="en-US" w:eastAsia="zh-CN"/>
        </w:rPr>
        <w:t>00</w:t>
      </w:r>
      <w:r>
        <w:rPr>
          <w:rFonts w:hint="eastAsia" w:ascii="宋体" w:hAnsi="宋体" w:eastAsia="宋体" w:cs="宋体"/>
          <w:color w:val="auto"/>
          <w:kern w:val="0"/>
          <w:highlight w:val="none"/>
          <w:u w:val="none"/>
        </w:rPr>
        <w:t>分</w:t>
      </w:r>
      <w:r>
        <w:rPr>
          <w:rFonts w:hint="eastAsia" w:ascii="宋体" w:hAnsi="宋体" w:eastAsia="宋体" w:cs="宋体"/>
          <w:color w:val="auto"/>
          <w:highlight w:val="none"/>
        </w:rPr>
        <w:t>。</w:t>
      </w:r>
    </w:p>
    <w:p w14:paraId="19B26AEE">
      <w:pPr>
        <w:pageBreakBefore w:val="0"/>
        <w:widowControl w:val="0"/>
        <w:kinsoku/>
        <w:wordWrap/>
        <w:overflowPunct/>
        <w:topLinePunct w:val="0"/>
        <w:autoSpaceDE w:val="0"/>
        <w:autoSpaceDN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递交地点：</w:t>
      </w:r>
      <w:r>
        <w:rPr>
          <w:rFonts w:hint="eastAsia" w:ascii="宋体" w:hAnsi="宋体" w:eastAsia="宋体" w:cs="宋体"/>
          <w:color w:val="auto"/>
          <w:highlight w:val="none"/>
          <w:u w:val="single"/>
          <w:lang w:val="en-US" w:eastAsia="zh-CN"/>
        </w:rPr>
        <w:t>南通市崇川区崇川路158号地铁大厦15楼1506开标室</w:t>
      </w:r>
      <w:r>
        <w:rPr>
          <w:rFonts w:hint="eastAsia" w:ascii="宋体" w:hAnsi="宋体" w:eastAsia="宋体" w:cs="宋体"/>
          <w:color w:val="auto"/>
          <w:highlight w:val="none"/>
        </w:rPr>
        <w:t>。</w:t>
      </w:r>
    </w:p>
    <w:p w14:paraId="738F49B2">
      <w:pPr>
        <w:pageBreakBefore w:val="0"/>
        <w:widowControl w:val="0"/>
        <w:kinsoku/>
        <w:wordWrap/>
        <w:overflowPunct/>
        <w:topLinePunct w:val="0"/>
        <w:autoSpaceDE w:val="0"/>
        <w:autoSpaceDN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逾期送达的或者未送达指定地点的</w:t>
      </w: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不予受理。</w:t>
      </w:r>
    </w:p>
    <w:p w14:paraId="41852B13">
      <w:pPr>
        <w:pStyle w:val="4"/>
        <w:pageBreakBefore w:val="0"/>
        <w:widowControl w:val="0"/>
        <w:kinsoku/>
        <w:wordWrap/>
        <w:overflowPunct/>
        <w:topLinePunct w:val="0"/>
        <w:bidi w:val="0"/>
        <w:adjustRightInd/>
        <w:snapToGrid/>
        <w:spacing w:line="440" w:lineRule="exact"/>
        <w:ind w:left="-19" w:leftChars="-9" w:right="-139" w:rightChars="-66" w:firstLine="443" w:firstLineChars="210"/>
        <w:textAlignment w:val="auto"/>
        <w:rPr>
          <w:rFonts w:hint="eastAsia" w:ascii="宋体" w:hAnsi="宋体" w:eastAsia="宋体" w:cs="宋体"/>
          <w:color w:val="auto"/>
          <w:sz w:val="21"/>
          <w:szCs w:val="21"/>
          <w:highlight w:val="none"/>
        </w:rPr>
      </w:pPr>
      <w:bookmarkStart w:id="26" w:name="_Toc16825"/>
      <w:r>
        <w:rPr>
          <w:rFonts w:hint="eastAsia" w:ascii="宋体" w:hAnsi="宋体" w:eastAsia="宋体" w:cs="宋体"/>
          <w:color w:val="auto"/>
          <w:sz w:val="21"/>
          <w:szCs w:val="21"/>
          <w:highlight w:val="none"/>
        </w:rPr>
        <w:t>8.其他</w:t>
      </w:r>
      <w:bookmarkEnd w:id="26"/>
    </w:p>
    <w:p w14:paraId="6DAA1E3A">
      <w:pPr>
        <w:pageBreakBefore w:val="0"/>
        <w:widowControl w:val="0"/>
        <w:kinsoku/>
        <w:wordWrap/>
        <w:overflowPunct/>
        <w:topLinePunct w:val="0"/>
        <w:bidi w:val="0"/>
        <w:adjustRightInd/>
        <w:snapToGrid/>
        <w:spacing w:line="440" w:lineRule="exact"/>
        <w:ind w:left="-19" w:leftChars="-9" w:right="-139" w:rightChars="-66" w:firstLine="443" w:firstLineChars="210"/>
        <w:textAlignment w:val="auto"/>
        <w:rPr>
          <w:rFonts w:hint="eastAsia" w:ascii="宋体" w:hAnsi="宋体" w:eastAsia="宋体" w:cs="宋体"/>
          <w:b/>
          <w:color w:val="auto"/>
          <w:kern w:val="0"/>
          <w:highlight w:val="none"/>
        </w:rPr>
      </w:pPr>
      <w:r>
        <w:rPr>
          <w:rFonts w:hint="eastAsia" w:ascii="宋体" w:hAnsi="宋体" w:eastAsia="宋体" w:cs="宋体"/>
          <w:b/>
          <w:color w:val="auto"/>
          <w:kern w:val="0"/>
          <w:highlight w:val="none"/>
          <w:lang w:eastAsia="zh-CN"/>
        </w:rPr>
        <w:t>比选人</w:t>
      </w:r>
      <w:r>
        <w:rPr>
          <w:rFonts w:hint="eastAsia" w:ascii="宋体" w:hAnsi="宋体" w:eastAsia="宋体" w:cs="宋体"/>
          <w:b/>
          <w:color w:val="auto"/>
          <w:kern w:val="0"/>
          <w:highlight w:val="none"/>
        </w:rPr>
        <w:t>可以对</w:t>
      </w:r>
      <w:r>
        <w:rPr>
          <w:rFonts w:hint="eastAsia" w:ascii="宋体" w:hAnsi="宋体" w:eastAsia="宋体" w:cs="宋体"/>
          <w:b/>
          <w:color w:val="auto"/>
          <w:kern w:val="0"/>
          <w:highlight w:val="none"/>
          <w:lang w:eastAsia="zh-CN"/>
        </w:rPr>
        <w:t>参选人</w:t>
      </w:r>
      <w:r>
        <w:rPr>
          <w:rFonts w:hint="eastAsia" w:ascii="宋体" w:hAnsi="宋体" w:eastAsia="宋体" w:cs="宋体"/>
          <w:b/>
          <w:color w:val="auto"/>
          <w:kern w:val="0"/>
          <w:highlight w:val="none"/>
        </w:rPr>
        <w:t>进行实地考察，并核查</w:t>
      </w:r>
      <w:r>
        <w:rPr>
          <w:rFonts w:hint="eastAsia" w:ascii="宋体" w:hAnsi="宋体" w:eastAsia="宋体" w:cs="宋体"/>
          <w:b/>
          <w:color w:val="auto"/>
          <w:kern w:val="0"/>
          <w:highlight w:val="none"/>
          <w:lang w:eastAsia="zh-CN"/>
        </w:rPr>
        <w:t>参选人</w:t>
      </w:r>
      <w:r>
        <w:rPr>
          <w:rFonts w:hint="eastAsia" w:ascii="宋体" w:hAnsi="宋体" w:eastAsia="宋体" w:cs="宋体"/>
          <w:b/>
          <w:color w:val="auto"/>
          <w:kern w:val="0"/>
          <w:highlight w:val="none"/>
        </w:rPr>
        <w:t>所提供合同或证明的真实性，如有弄虚作假情况，将取消</w:t>
      </w:r>
      <w:r>
        <w:rPr>
          <w:rFonts w:hint="eastAsia" w:ascii="宋体" w:hAnsi="宋体" w:eastAsia="宋体" w:cs="宋体"/>
          <w:b/>
          <w:color w:val="auto"/>
          <w:kern w:val="0"/>
          <w:highlight w:val="none"/>
          <w:lang w:eastAsia="zh-CN"/>
        </w:rPr>
        <w:t>参选人</w:t>
      </w:r>
      <w:r>
        <w:rPr>
          <w:rFonts w:hint="eastAsia" w:ascii="宋体" w:hAnsi="宋体" w:eastAsia="宋体" w:cs="宋体"/>
          <w:b/>
          <w:color w:val="auto"/>
          <w:kern w:val="0"/>
          <w:highlight w:val="none"/>
          <w:lang w:val="en-US" w:eastAsia="zh-CN"/>
        </w:rPr>
        <w:t>参选</w:t>
      </w:r>
      <w:r>
        <w:rPr>
          <w:rFonts w:hint="eastAsia" w:ascii="宋体" w:hAnsi="宋体" w:eastAsia="宋体" w:cs="宋体"/>
          <w:b/>
          <w:color w:val="auto"/>
          <w:kern w:val="0"/>
          <w:highlight w:val="none"/>
        </w:rPr>
        <w:t>资格，并列入</w:t>
      </w:r>
      <w:r>
        <w:rPr>
          <w:rFonts w:hint="eastAsia" w:ascii="宋体" w:hAnsi="宋体" w:eastAsia="宋体" w:cs="宋体"/>
          <w:b/>
          <w:color w:val="auto"/>
          <w:kern w:val="0"/>
          <w:highlight w:val="none"/>
          <w:lang w:eastAsia="zh-CN"/>
        </w:rPr>
        <w:t>南通轨道资源开发有限公司</w:t>
      </w:r>
      <w:r>
        <w:rPr>
          <w:rFonts w:hint="eastAsia" w:ascii="宋体" w:hAnsi="宋体" w:eastAsia="宋体" w:cs="宋体"/>
          <w:b/>
          <w:color w:val="auto"/>
          <w:kern w:val="0"/>
          <w:highlight w:val="none"/>
        </w:rPr>
        <w:t>负面清单，拒绝其参与后续项目的投标。</w:t>
      </w:r>
    </w:p>
    <w:p w14:paraId="41B9FF77">
      <w:pPr>
        <w:pStyle w:val="4"/>
        <w:pageBreakBefore w:val="0"/>
        <w:widowControl w:val="0"/>
        <w:kinsoku/>
        <w:wordWrap/>
        <w:overflowPunct/>
        <w:topLinePunct w:val="0"/>
        <w:bidi w:val="0"/>
        <w:adjustRightInd/>
        <w:snapToGrid/>
        <w:spacing w:line="440" w:lineRule="exact"/>
        <w:ind w:left="-19" w:leftChars="-9" w:right="-139" w:rightChars="-66" w:firstLine="443" w:firstLineChars="210"/>
        <w:textAlignment w:val="auto"/>
        <w:rPr>
          <w:rFonts w:hint="eastAsia" w:ascii="宋体" w:hAnsi="宋体" w:eastAsia="宋体" w:cs="宋体"/>
          <w:color w:val="auto"/>
          <w:sz w:val="21"/>
          <w:szCs w:val="21"/>
          <w:highlight w:val="none"/>
        </w:rPr>
      </w:pPr>
      <w:bookmarkStart w:id="27" w:name="_Toc2657"/>
      <w:bookmarkStart w:id="28" w:name="_Toc4026"/>
      <w:bookmarkStart w:id="29" w:name="_Toc28369"/>
      <w:bookmarkStart w:id="30" w:name="_Toc13184"/>
      <w:bookmarkStart w:id="31" w:name="_Toc10003"/>
      <w:bookmarkStart w:id="32" w:name="_Toc26115"/>
      <w:r>
        <w:rPr>
          <w:rFonts w:hint="eastAsia" w:ascii="宋体" w:hAnsi="宋体" w:eastAsia="宋体" w:cs="宋体"/>
          <w:color w:val="auto"/>
          <w:sz w:val="21"/>
          <w:szCs w:val="21"/>
          <w:highlight w:val="none"/>
        </w:rPr>
        <w:t>9.</w:t>
      </w:r>
      <w:bookmarkEnd w:id="27"/>
      <w:bookmarkEnd w:id="28"/>
      <w:bookmarkEnd w:id="29"/>
      <w:bookmarkEnd w:id="30"/>
      <w:bookmarkEnd w:id="31"/>
      <w:r>
        <w:rPr>
          <w:rFonts w:hint="eastAsia" w:ascii="宋体" w:hAnsi="宋体" w:eastAsia="宋体" w:cs="宋体"/>
          <w:color w:val="auto"/>
          <w:sz w:val="21"/>
          <w:szCs w:val="21"/>
          <w:highlight w:val="none"/>
        </w:rPr>
        <w:t>联系方式</w:t>
      </w:r>
      <w:bookmarkEnd w:id="32"/>
    </w:p>
    <w:p w14:paraId="76E04B9A">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比</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选</w:t>
      </w:r>
      <w:r>
        <w:rPr>
          <w:rFonts w:hint="eastAsia" w:ascii="宋体" w:hAnsi="宋体" w:eastAsia="宋体" w:cs="宋体"/>
          <w:color w:val="auto"/>
          <w:sz w:val="21"/>
          <w:szCs w:val="21"/>
          <w:highlight w:val="none"/>
        </w:rPr>
        <w:t xml:space="preserve">   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shd w:val="clear" w:color="auto" w:fill="FFFFFF"/>
          <w:lang w:eastAsia="zh-CN"/>
        </w:rPr>
        <w:t>南通轨道资源开发有限公司</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0ABFF6B">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南通市崇川区崇川路158号</w:t>
      </w:r>
      <w:r>
        <w:rPr>
          <w:rFonts w:hint="eastAsia" w:ascii="宋体" w:hAnsi="宋体" w:eastAsia="宋体" w:cs="宋体"/>
          <w:color w:val="auto"/>
          <w:sz w:val="21"/>
          <w:szCs w:val="21"/>
          <w:highlight w:val="none"/>
          <w:u w:val="single"/>
          <w:lang w:val="en-US" w:eastAsia="zh-CN"/>
        </w:rPr>
        <w:t xml:space="preserve">18楼                                </w:t>
      </w:r>
    </w:p>
    <w:p w14:paraId="19DE27D7">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郭</w:t>
      </w:r>
      <w:r>
        <w:rPr>
          <w:rFonts w:hint="eastAsia" w:ascii="宋体" w:hAnsi="宋体" w:eastAsia="宋体" w:cs="宋体"/>
          <w:color w:val="auto"/>
          <w:sz w:val="21"/>
          <w:szCs w:val="21"/>
          <w:highlight w:val="none"/>
          <w:u w:val="single"/>
        </w:rPr>
        <w:t xml:space="preserve">女士                                                       </w:t>
      </w:r>
    </w:p>
    <w:p w14:paraId="5A18BD73">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b/>
          <w:bCs/>
          <w:color w:val="auto"/>
          <w:sz w:val="21"/>
          <w:szCs w:val="21"/>
          <w:highlight w:val="none"/>
          <w:u w:val="single"/>
        </w:rPr>
      </w:pPr>
      <w:r>
        <w:rPr>
          <w:rFonts w:hint="eastAsia" w:ascii="宋体" w:hAnsi="宋体" w:eastAsia="宋体" w:cs="宋体"/>
          <w:color w:val="auto"/>
          <w:sz w:val="21"/>
          <w:szCs w:val="21"/>
          <w:highlight w:val="none"/>
          <w:lang w:val="en-US" w:eastAsia="zh-CN"/>
        </w:rPr>
        <w:t>比选人</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0513-80813997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D3F6F67">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招标代理单位：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山东国盛项目管理有限公司</w:t>
      </w:r>
      <w:r>
        <w:rPr>
          <w:rFonts w:hint="eastAsia" w:ascii="宋体" w:hAnsi="宋体" w:eastAsia="宋体" w:cs="宋体"/>
          <w:color w:val="auto"/>
          <w:sz w:val="21"/>
          <w:szCs w:val="21"/>
          <w:highlight w:val="none"/>
          <w:u w:val="single"/>
        </w:rPr>
        <w:t xml:space="preserve">                                     </w:t>
      </w:r>
    </w:p>
    <w:p w14:paraId="73905B6F">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招标代理单位联系人：</w:t>
      </w:r>
      <w:r>
        <w:rPr>
          <w:rFonts w:hint="eastAsia" w:ascii="宋体" w:hAnsi="宋体" w:eastAsia="宋体" w:cs="宋体"/>
          <w:color w:val="auto"/>
          <w:sz w:val="21"/>
          <w:szCs w:val="21"/>
          <w:highlight w:val="none"/>
          <w:u w:val="single"/>
        </w:rPr>
        <w:t xml:space="preserve">   李先生                                                 </w:t>
      </w:r>
    </w:p>
    <w:p w14:paraId="6F3C2833">
      <w:pPr>
        <w:pageBreakBefore w:val="0"/>
        <w:widowControl w:val="0"/>
        <w:kinsoku/>
        <w:wordWrap/>
        <w:overflowPunct/>
        <w:topLinePunct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招标代理单位联系电话：</w:t>
      </w:r>
      <w:r>
        <w:rPr>
          <w:rFonts w:hint="eastAsia" w:ascii="宋体" w:hAnsi="宋体" w:eastAsia="宋体" w:cs="宋体"/>
          <w:color w:val="auto"/>
          <w:sz w:val="21"/>
          <w:szCs w:val="21"/>
          <w:highlight w:val="none"/>
          <w:u w:val="single"/>
        </w:rPr>
        <w:t xml:space="preserve">   151</w:t>
      </w:r>
      <w:r>
        <w:rPr>
          <w:rFonts w:hint="eastAsia" w:ascii="宋体" w:hAnsi="宋体" w:eastAsia="宋体" w:cs="宋体"/>
          <w:color w:val="auto"/>
          <w:sz w:val="21"/>
          <w:szCs w:val="21"/>
          <w:highlight w:val="none"/>
          <w:u w:val="single"/>
          <w:lang w:val="en-US" w:eastAsia="zh-CN"/>
        </w:rPr>
        <w:t xml:space="preserve">92029263             </w:t>
      </w:r>
      <w:r>
        <w:rPr>
          <w:rFonts w:hint="eastAsia" w:ascii="宋体" w:hAnsi="宋体" w:eastAsia="宋体" w:cs="宋体"/>
          <w:color w:val="auto"/>
          <w:sz w:val="21"/>
          <w:szCs w:val="21"/>
          <w:highlight w:val="none"/>
          <w:u w:val="single"/>
        </w:rPr>
        <w:t xml:space="preserve">                             </w:t>
      </w:r>
      <w:bookmarkEnd w:id="16"/>
    </w:p>
    <w:p w14:paraId="1258350C">
      <w:pPr>
        <w:pStyle w:val="4"/>
        <w:pageBreakBefore w:val="0"/>
        <w:widowControl w:val="0"/>
        <w:kinsoku/>
        <w:wordWrap/>
        <w:overflowPunct/>
        <w:topLinePunct w:val="0"/>
        <w:bidi w:val="0"/>
        <w:adjustRightInd/>
        <w:snapToGrid/>
        <w:spacing w:line="440" w:lineRule="exact"/>
        <w:ind w:left="-19" w:leftChars="-9" w:right="-139" w:rightChars="-66" w:firstLine="443" w:firstLineChars="210"/>
        <w:textAlignment w:val="auto"/>
        <w:rPr>
          <w:rFonts w:hint="eastAsia" w:ascii="宋体" w:hAnsi="宋体" w:eastAsia="宋体" w:cs="宋体"/>
          <w:color w:val="auto"/>
          <w:sz w:val="21"/>
          <w:szCs w:val="21"/>
          <w:highlight w:val="none"/>
        </w:rPr>
      </w:pPr>
      <w:bookmarkStart w:id="33" w:name="_Toc30791"/>
      <w:bookmarkStart w:id="34" w:name="_Toc8428"/>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异议处理方式</w:t>
      </w:r>
      <w:bookmarkEnd w:id="33"/>
      <w:bookmarkEnd w:id="34"/>
    </w:p>
    <w:p w14:paraId="5CF7C495">
      <w:pPr>
        <w:pageBreakBefore w:val="0"/>
        <w:widowControl w:val="0"/>
        <w:kinsoku/>
        <w:wordWrap/>
        <w:overflowPunct/>
        <w:topLinePunct w:val="0"/>
        <w:autoSpaceDE w:val="0"/>
        <w:autoSpaceDN w:val="0"/>
        <w:bidi w:val="0"/>
        <w:adjustRightInd/>
        <w:snapToGrid/>
        <w:spacing w:line="440" w:lineRule="exact"/>
        <w:ind w:left="-19" w:leftChars="-9" w:right="-139" w:rightChars="-66"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参选人或者其他利害关系人对比选文件有异议的，应当向比选人提出。受理异议人：曹老师；电话：18862941616（请在工作时间上午9：00－11：30，下午13：30－17：30联系）；通信地址：南通市崇川区崇川路158号18楼。</w:t>
      </w:r>
    </w:p>
    <w:p w14:paraId="5E44865E">
      <w:pPr>
        <w:ind w:left="-19" w:leftChars="-9" w:right="-139" w:rightChars="-66" w:firstLine="441" w:firstLineChars="21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br w:type="page"/>
      </w:r>
    </w:p>
    <w:p w14:paraId="5CD11D4F">
      <w:pPr>
        <w:pStyle w:val="2"/>
        <w:spacing w:before="100" w:after="100"/>
        <w:ind w:right="-932" w:rightChars="-444"/>
        <w:jc w:val="center"/>
        <w:rPr>
          <w:rFonts w:hint="eastAsia" w:ascii="宋体" w:hAnsi="宋体" w:eastAsia="宋体" w:cs="宋体"/>
          <w:b/>
          <w:bCs/>
          <w:color w:val="auto"/>
          <w:highlight w:val="none"/>
          <w:lang w:eastAsia="zh-CN"/>
        </w:rPr>
      </w:pPr>
      <w:bookmarkStart w:id="35" w:name="_Toc16399"/>
      <w:r>
        <w:rPr>
          <w:rFonts w:hint="eastAsia" w:ascii="宋体" w:hAnsi="宋体" w:eastAsia="宋体" w:cs="宋体"/>
          <w:b/>
          <w:bCs/>
          <w:color w:val="auto"/>
          <w:highlight w:val="none"/>
        </w:rPr>
        <w:t xml:space="preserve">第二章  </w:t>
      </w:r>
      <w:bookmarkEnd w:id="10"/>
      <w:bookmarkEnd w:id="11"/>
      <w:bookmarkEnd w:id="12"/>
      <w:bookmarkEnd w:id="13"/>
      <w:bookmarkEnd w:id="14"/>
      <w:bookmarkEnd w:id="15"/>
      <w:r>
        <w:rPr>
          <w:rFonts w:hint="eastAsia" w:ascii="宋体" w:hAnsi="宋体" w:eastAsia="宋体" w:cs="宋体"/>
          <w:b/>
          <w:bCs/>
          <w:color w:val="auto"/>
          <w:highlight w:val="none"/>
          <w:lang w:eastAsia="zh-CN"/>
        </w:rPr>
        <w:t>参选人须知</w:t>
      </w:r>
      <w:bookmarkEnd w:id="35"/>
    </w:p>
    <w:p w14:paraId="0DC82CA2">
      <w:pPr>
        <w:pStyle w:val="2"/>
        <w:spacing w:before="100" w:after="100"/>
        <w:ind w:right="-932" w:rightChars="-444"/>
        <w:jc w:val="center"/>
        <w:rPr>
          <w:rFonts w:hint="eastAsia" w:ascii="宋体" w:hAnsi="宋体" w:eastAsia="宋体" w:cs="宋体"/>
          <w:b/>
          <w:bCs/>
          <w:color w:val="auto"/>
          <w:highlight w:val="none"/>
          <w:lang w:eastAsia="zh-CN"/>
        </w:rPr>
      </w:pPr>
      <w:bookmarkStart w:id="36" w:name="_Hlt163967328"/>
      <w:bookmarkEnd w:id="36"/>
      <w:bookmarkStart w:id="37" w:name="_Toc29672"/>
      <w:r>
        <w:rPr>
          <w:rFonts w:hint="eastAsia" w:ascii="宋体" w:hAnsi="宋体" w:eastAsia="宋体" w:cs="宋体"/>
          <w:b/>
          <w:bCs/>
          <w:color w:val="auto"/>
          <w:highlight w:val="none"/>
          <w:lang w:eastAsia="zh-CN"/>
        </w:rPr>
        <w:t>参选须知前附表</w:t>
      </w:r>
      <w:bookmarkEnd w:id="37"/>
    </w:p>
    <w:tbl>
      <w:tblPr>
        <w:tblStyle w:val="51"/>
        <w:tblW w:w="953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97"/>
        <w:gridCol w:w="1851"/>
        <w:gridCol w:w="6691"/>
      </w:tblGrid>
      <w:tr w14:paraId="011798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1" w:hRule="atLeast"/>
          <w:tblHeader/>
        </w:trPr>
        <w:tc>
          <w:tcPr>
            <w:tcW w:w="997" w:type="dxa"/>
            <w:vAlign w:val="center"/>
          </w:tcPr>
          <w:p w14:paraId="226DA287">
            <w:pPr>
              <w:pStyle w:val="64"/>
              <w:keepNext w:val="0"/>
              <w:keepLines w:val="0"/>
              <w:pageBreakBefore w:val="0"/>
              <w:widowControl w:val="0"/>
              <w:tabs>
                <w:tab w:val="clear" w:pos="2636"/>
                <w:tab w:val="clear" w:pos="3090"/>
              </w:tabs>
              <w:kinsoku/>
              <w:wordWrap/>
              <w:overflowPunct/>
              <w:autoSpaceDE/>
              <w:autoSpaceDN/>
              <w:bidi w:val="0"/>
              <w:adjustRightInd/>
              <w:snapToGrid/>
              <w:spacing w:after="0" w:line="400" w:lineRule="exact"/>
              <w:textAlignment w:val="auto"/>
              <w:rPr>
                <w:rFonts w:hint="eastAsia" w:ascii="宋体" w:hAnsi="宋体" w:eastAsia="宋体" w:cs="宋体"/>
                <w:color w:val="auto"/>
                <w:kern w:val="2"/>
                <w:sz w:val="21"/>
                <w:szCs w:val="21"/>
                <w:highlight w:val="none"/>
              </w:rPr>
            </w:pPr>
            <w:bookmarkStart w:id="38" w:name="_Toc94837516"/>
            <w:r>
              <w:rPr>
                <w:rFonts w:hint="eastAsia" w:ascii="宋体" w:hAnsi="宋体" w:eastAsia="宋体" w:cs="宋体"/>
                <w:color w:val="auto"/>
                <w:kern w:val="2"/>
                <w:sz w:val="21"/>
                <w:szCs w:val="21"/>
                <w:highlight w:val="none"/>
              </w:rPr>
              <w:t>序号</w:t>
            </w:r>
          </w:p>
        </w:tc>
        <w:tc>
          <w:tcPr>
            <w:tcW w:w="1851" w:type="dxa"/>
            <w:vAlign w:val="center"/>
          </w:tcPr>
          <w:p w14:paraId="03D9056D">
            <w:pPr>
              <w:pStyle w:val="64"/>
              <w:keepNext w:val="0"/>
              <w:keepLines w:val="0"/>
              <w:pageBreakBefore w:val="0"/>
              <w:widowControl w:val="0"/>
              <w:tabs>
                <w:tab w:val="clear" w:pos="2636"/>
                <w:tab w:val="clear" w:pos="3090"/>
              </w:tabs>
              <w:kinsoku/>
              <w:wordWrap/>
              <w:overflowPunct/>
              <w:autoSpaceDE/>
              <w:autoSpaceDN/>
              <w:bidi w:val="0"/>
              <w:adjustRightInd/>
              <w:snapToGrid/>
              <w:spacing w:after="0" w:line="400" w:lineRule="exact"/>
              <w:ind w:left="48" w:right="48" w:rightChars="23" w:firstLine="11" w:firstLineChars="5"/>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内  容</w:t>
            </w:r>
          </w:p>
        </w:tc>
        <w:tc>
          <w:tcPr>
            <w:tcW w:w="6691" w:type="dxa"/>
            <w:vAlign w:val="center"/>
          </w:tcPr>
          <w:p w14:paraId="0A392C97">
            <w:pPr>
              <w:keepNext w:val="0"/>
              <w:keepLines w:val="0"/>
              <w:pageBreakBefore w:val="0"/>
              <w:kinsoku/>
              <w:wordWrap/>
              <w:overflowPunct/>
              <w:autoSpaceDE/>
              <w:autoSpaceDN/>
              <w:bidi w:val="0"/>
              <w:adjustRightInd/>
              <w:snapToGrid/>
              <w:spacing w:line="400" w:lineRule="exact"/>
              <w:ind w:left="99" w:leftChars="47" w:right="40" w:rightChars="19"/>
              <w:jc w:val="center"/>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说明与要求</w:t>
            </w:r>
          </w:p>
        </w:tc>
      </w:tr>
      <w:tr w14:paraId="408C8A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2" w:hRule="atLeast"/>
        </w:trPr>
        <w:tc>
          <w:tcPr>
            <w:tcW w:w="997" w:type="dxa"/>
            <w:vAlign w:val="center"/>
          </w:tcPr>
          <w:p w14:paraId="5470899A">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1.1.2</w:t>
            </w:r>
          </w:p>
        </w:tc>
        <w:tc>
          <w:tcPr>
            <w:tcW w:w="1851" w:type="dxa"/>
            <w:vAlign w:val="center"/>
          </w:tcPr>
          <w:p w14:paraId="0EDE7C56">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比选项目</w:t>
            </w:r>
            <w:r>
              <w:rPr>
                <w:rFonts w:hint="eastAsia" w:ascii="宋体" w:hAnsi="宋体" w:eastAsia="宋体" w:cs="宋体"/>
                <w:color w:val="auto"/>
                <w:highlight w:val="none"/>
              </w:rPr>
              <w:t>名称</w:t>
            </w:r>
          </w:p>
        </w:tc>
        <w:tc>
          <w:tcPr>
            <w:tcW w:w="6691" w:type="dxa"/>
            <w:vAlign w:val="center"/>
          </w:tcPr>
          <w:p w14:paraId="2138DF66">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lang w:eastAsia="zh-CN"/>
              </w:rPr>
            </w:pPr>
            <w:r>
              <w:rPr>
                <w:rFonts w:hint="eastAsia" w:ascii="宋体" w:hAnsi="宋体" w:eastAsia="宋体" w:cs="宋体"/>
                <w:color w:val="auto"/>
                <w:kern w:val="58"/>
                <w:highlight w:val="none"/>
                <w:lang w:val="en-US" w:eastAsia="zh-CN"/>
              </w:rPr>
              <w:t>南通轨道资源开发有限公司文创产品生产制作年度供应商库项目（2026—2028年）</w:t>
            </w:r>
          </w:p>
        </w:tc>
      </w:tr>
      <w:tr w14:paraId="134DA2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5" w:hRule="atLeast"/>
        </w:trPr>
        <w:tc>
          <w:tcPr>
            <w:tcW w:w="997" w:type="dxa"/>
            <w:vAlign w:val="center"/>
          </w:tcPr>
          <w:p w14:paraId="4049F306">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1.1.3</w:t>
            </w:r>
          </w:p>
        </w:tc>
        <w:tc>
          <w:tcPr>
            <w:tcW w:w="1851" w:type="dxa"/>
            <w:vAlign w:val="center"/>
          </w:tcPr>
          <w:p w14:paraId="68C405B5">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建设地点</w:t>
            </w:r>
          </w:p>
        </w:tc>
        <w:tc>
          <w:tcPr>
            <w:tcW w:w="6691" w:type="dxa"/>
            <w:vAlign w:val="center"/>
          </w:tcPr>
          <w:p w14:paraId="482C5B6D">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江苏省南通市</w:t>
            </w:r>
          </w:p>
        </w:tc>
      </w:tr>
      <w:tr w14:paraId="402319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429" w:hRule="atLeast"/>
        </w:trPr>
        <w:tc>
          <w:tcPr>
            <w:tcW w:w="997" w:type="dxa"/>
            <w:vAlign w:val="center"/>
          </w:tcPr>
          <w:p w14:paraId="02D143CA">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1.1.4</w:t>
            </w:r>
          </w:p>
        </w:tc>
        <w:tc>
          <w:tcPr>
            <w:tcW w:w="1851" w:type="dxa"/>
            <w:vAlign w:val="center"/>
          </w:tcPr>
          <w:p w14:paraId="7DA512A7">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rPr>
              <w:t>人</w:t>
            </w:r>
          </w:p>
        </w:tc>
        <w:tc>
          <w:tcPr>
            <w:tcW w:w="6691" w:type="dxa"/>
            <w:vAlign w:val="center"/>
          </w:tcPr>
          <w:p w14:paraId="3E5787AC">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lang w:eastAsia="zh-CN"/>
              </w:rPr>
              <w:t>南通轨道资源开发有限公司</w:t>
            </w:r>
          </w:p>
          <w:p w14:paraId="377FD36F">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地  址：南通市崇川区崇川路158号</w:t>
            </w:r>
            <w:r>
              <w:rPr>
                <w:rFonts w:hint="eastAsia" w:ascii="宋体" w:hAnsi="宋体" w:eastAsia="宋体" w:cs="宋体"/>
                <w:color w:val="auto"/>
                <w:highlight w:val="none"/>
                <w:lang w:val="en-US" w:eastAsia="zh-CN"/>
              </w:rPr>
              <w:t>18楼</w:t>
            </w:r>
          </w:p>
          <w:p w14:paraId="722655FF">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联系人：</w:t>
            </w:r>
            <w:r>
              <w:rPr>
                <w:rFonts w:hint="eastAsia" w:ascii="宋体" w:hAnsi="宋体" w:eastAsia="宋体" w:cs="宋体"/>
                <w:color w:val="auto"/>
                <w:highlight w:val="none"/>
                <w:lang w:val="en-US" w:eastAsia="zh-CN"/>
              </w:rPr>
              <w:t>郭</w:t>
            </w:r>
            <w:r>
              <w:rPr>
                <w:rFonts w:hint="eastAsia" w:ascii="宋体" w:hAnsi="宋体" w:eastAsia="宋体" w:cs="宋体"/>
                <w:color w:val="auto"/>
                <w:highlight w:val="none"/>
              </w:rPr>
              <w:t xml:space="preserve">女士 </w:t>
            </w:r>
          </w:p>
          <w:p w14:paraId="0D4F4DEC">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电  话：</w:t>
            </w:r>
            <w:r>
              <w:rPr>
                <w:rFonts w:hint="eastAsia" w:ascii="宋体" w:hAnsi="宋体" w:eastAsia="宋体" w:cs="宋体"/>
                <w:color w:val="auto"/>
                <w:highlight w:val="none"/>
                <w:lang w:val="en-US" w:eastAsia="zh-CN"/>
              </w:rPr>
              <w:t>0513-80813997</w:t>
            </w:r>
          </w:p>
        </w:tc>
      </w:tr>
      <w:tr w14:paraId="536620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76" w:hRule="atLeast"/>
        </w:trPr>
        <w:tc>
          <w:tcPr>
            <w:tcW w:w="997" w:type="dxa"/>
            <w:vAlign w:val="center"/>
          </w:tcPr>
          <w:p w14:paraId="35F9189C">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1.1.5</w:t>
            </w:r>
          </w:p>
        </w:tc>
        <w:tc>
          <w:tcPr>
            <w:tcW w:w="1851" w:type="dxa"/>
            <w:vAlign w:val="center"/>
          </w:tcPr>
          <w:p w14:paraId="442ADF7B">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招标代理机构</w:t>
            </w:r>
          </w:p>
        </w:tc>
        <w:tc>
          <w:tcPr>
            <w:tcW w:w="6691" w:type="dxa"/>
            <w:vAlign w:val="center"/>
          </w:tcPr>
          <w:p w14:paraId="3D15076B">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lang w:val="en-US" w:eastAsia="zh-CN"/>
              </w:rPr>
              <w:t>山东国盛项目管理有限公司</w:t>
            </w:r>
          </w:p>
          <w:p w14:paraId="63E44F79">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联系人：李先生</w:t>
            </w:r>
          </w:p>
          <w:p w14:paraId="6D10D144">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电  话：151</w:t>
            </w:r>
            <w:r>
              <w:rPr>
                <w:rFonts w:hint="eastAsia" w:ascii="宋体" w:hAnsi="宋体" w:eastAsia="宋体" w:cs="宋体"/>
                <w:color w:val="auto"/>
                <w:highlight w:val="none"/>
                <w:lang w:val="en-US" w:eastAsia="zh-CN"/>
              </w:rPr>
              <w:t>92029293</w:t>
            </w:r>
          </w:p>
        </w:tc>
      </w:tr>
      <w:tr w14:paraId="1880A2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5" w:hRule="atLeast"/>
        </w:trPr>
        <w:tc>
          <w:tcPr>
            <w:tcW w:w="997" w:type="dxa"/>
            <w:vAlign w:val="center"/>
          </w:tcPr>
          <w:p w14:paraId="2FA63321">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1.1.6</w:t>
            </w:r>
          </w:p>
        </w:tc>
        <w:tc>
          <w:tcPr>
            <w:tcW w:w="1851" w:type="dxa"/>
            <w:vAlign w:val="center"/>
          </w:tcPr>
          <w:p w14:paraId="472DFD0D">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招标方式</w:t>
            </w:r>
          </w:p>
        </w:tc>
        <w:tc>
          <w:tcPr>
            <w:tcW w:w="6691" w:type="dxa"/>
            <w:vAlign w:val="center"/>
          </w:tcPr>
          <w:p w14:paraId="6F5FC216">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公开</w:t>
            </w:r>
            <w:r>
              <w:rPr>
                <w:rFonts w:hint="eastAsia" w:ascii="宋体" w:hAnsi="宋体" w:eastAsia="宋体" w:cs="宋体"/>
                <w:color w:val="auto"/>
                <w:highlight w:val="none"/>
                <w:lang w:val="en-US" w:eastAsia="zh-CN"/>
              </w:rPr>
              <w:t>比选</w:t>
            </w:r>
          </w:p>
        </w:tc>
      </w:tr>
      <w:tr w14:paraId="4E3896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1" w:hRule="atLeast"/>
        </w:trPr>
        <w:tc>
          <w:tcPr>
            <w:tcW w:w="997" w:type="dxa"/>
            <w:shd w:val="clear" w:color="auto" w:fill="auto"/>
            <w:vAlign w:val="center"/>
          </w:tcPr>
          <w:p w14:paraId="73DA2A84">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1.1.7</w:t>
            </w:r>
          </w:p>
        </w:tc>
        <w:tc>
          <w:tcPr>
            <w:tcW w:w="1851" w:type="dxa"/>
            <w:shd w:val="clear" w:color="auto" w:fill="auto"/>
            <w:vAlign w:val="center"/>
          </w:tcPr>
          <w:p w14:paraId="2D0B8C22">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工程概况</w:t>
            </w:r>
          </w:p>
        </w:tc>
        <w:tc>
          <w:tcPr>
            <w:tcW w:w="6691" w:type="dxa"/>
            <w:shd w:val="clear" w:color="auto" w:fill="FFFFFF"/>
            <w:vAlign w:val="center"/>
          </w:tcPr>
          <w:p w14:paraId="5E533EE3">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详见第一章第2条</w:t>
            </w:r>
          </w:p>
        </w:tc>
      </w:tr>
      <w:tr w14:paraId="16B3A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2" w:hRule="exact"/>
        </w:trPr>
        <w:tc>
          <w:tcPr>
            <w:tcW w:w="997" w:type="dxa"/>
            <w:shd w:val="clear" w:color="auto" w:fill="auto"/>
            <w:vAlign w:val="center"/>
          </w:tcPr>
          <w:p w14:paraId="7A9A6C6B">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1.2.1</w:t>
            </w:r>
          </w:p>
        </w:tc>
        <w:tc>
          <w:tcPr>
            <w:tcW w:w="1851" w:type="dxa"/>
            <w:shd w:val="clear" w:color="auto" w:fill="auto"/>
            <w:vAlign w:val="center"/>
          </w:tcPr>
          <w:p w14:paraId="53A44C0A">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资金来源</w:t>
            </w:r>
          </w:p>
        </w:tc>
        <w:tc>
          <w:tcPr>
            <w:tcW w:w="6691" w:type="dxa"/>
            <w:shd w:val="clear" w:color="auto" w:fill="FFFFFF"/>
            <w:vAlign w:val="center"/>
          </w:tcPr>
          <w:p w14:paraId="5A0B942F">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自筹</w:t>
            </w:r>
          </w:p>
        </w:tc>
      </w:tr>
      <w:tr w14:paraId="32C16F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2" w:hRule="exact"/>
        </w:trPr>
        <w:tc>
          <w:tcPr>
            <w:tcW w:w="997" w:type="dxa"/>
            <w:vAlign w:val="center"/>
          </w:tcPr>
          <w:p w14:paraId="09FFBA9C">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1.2.2</w:t>
            </w:r>
          </w:p>
        </w:tc>
        <w:tc>
          <w:tcPr>
            <w:tcW w:w="1851" w:type="dxa"/>
            <w:vAlign w:val="center"/>
          </w:tcPr>
          <w:p w14:paraId="15D98832">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出资比例</w:t>
            </w:r>
          </w:p>
        </w:tc>
        <w:tc>
          <w:tcPr>
            <w:tcW w:w="6691" w:type="dxa"/>
            <w:vAlign w:val="center"/>
          </w:tcPr>
          <w:p w14:paraId="4C137F2F">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100%</w:t>
            </w:r>
          </w:p>
        </w:tc>
      </w:tr>
      <w:tr w14:paraId="04375E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2" w:hRule="exact"/>
        </w:trPr>
        <w:tc>
          <w:tcPr>
            <w:tcW w:w="997" w:type="dxa"/>
            <w:vAlign w:val="center"/>
          </w:tcPr>
          <w:p w14:paraId="7B12E6BB">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1.2.3</w:t>
            </w:r>
          </w:p>
        </w:tc>
        <w:tc>
          <w:tcPr>
            <w:tcW w:w="1851" w:type="dxa"/>
            <w:vAlign w:val="center"/>
          </w:tcPr>
          <w:p w14:paraId="2B0E128F">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资金落实情况</w:t>
            </w:r>
          </w:p>
        </w:tc>
        <w:tc>
          <w:tcPr>
            <w:tcW w:w="6691" w:type="dxa"/>
            <w:vAlign w:val="center"/>
          </w:tcPr>
          <w:p w14:paraId="54BE1ECD">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已落实</w:t>
            </w:r>
          </w:p>
        </w:tc>
      </w:tr>
      <w:tr w14:paraId="317B42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7" w:hRule="atLeast"/>
        </w:trPr>
        <w:tc>
          <w:tcPr>
            <w:tcW w:w="997" w:type="dxa"/>
            <w:vAlign w:val="center"/>
          </w:tcPr>
          <w:p w14:paraId="1E15F9BE">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1.3.1</w:t>
            </w:r>
          </w:p>
        </w:tc>
        <w:tc>
          <w:tcPr>
            <w:tcW w:w="1851" w:type="dxa"/>
            <w:vAlign w:val="center"/>
          </w:tcPr>
          <w:p w14:paraId="2A87688F">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比选范围</w:t>
            </w:r>
          </w:p>
        </w:tc>
        <w:tc>
          <w:tcPr>
            <w:tcW w:w="6691" w:type="dxa"/>
            <w:vAlign w:val="center"/>
          </w:tcPr>
          <w:p w14:paraId="68A5B15E">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bCs/>
                <w:color w:val="auto"/>
                <w:highlight w:val="none"/>
                <w:lang w:eastAsia="zh-CN"/>
              </w:rPr>
            </w:pPr>
            <w:r>
              <w:rPr>
                <w:rFonts w:hint="eastAsia" w:ascii="宋体" w:hAnsi="宋体" w:eastAsia="宋体" w:cs="宋体"/>
                <w:color w:val="auto"/>
                <w:highlight w:val="none"/>
              </w:rPr>
              <w:t>详见第一章2.</w:t>
            </w:r>
            <w:r>
              <w:rPr>
                <w:rFonts w:hint="eastAsia" w:ascii="宋体" w:hAnsi="宋体" w:eastAsia="宋体" w:cs="宋体"/>
                <w:color w:val="auto"/>
                <w:highlight w:val="none"/>
                <w:lang w:val="en-US" w:eastAsia="zh-CN"/>
              </w:rPr>
              <w:t>2</w:t>
            </w:r>
          </w:p>
        </w:tc>
      </w:tr>
      <w:tr w14:paraId="1C90A5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7" w:hRule="atLeast"/>
        </w:trPr>
        <w:tc>
          <w:tcPr>
            <w:tcW w:w="997" w:type="dxa"/>
            <w:vAlign w:val="center"/>
          </w:tcPr>
          <w:p w14:paraId="6C42AF9D">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1.3.1</w:t>
            </w:r>
          </w:p>
        </w:tc>
        <w:tc>
          <w:tcPr>
            <w:tcW w:w="1851" w:type="dxa"/>
            <w:vAlign w:val="center"/>
          </w:tcPr>
          <w:p w14:paraId="2CBC0C13">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标段划分</w:t>
            </w:r>
          </w:p>
        </w:tc>
        <w:tc>
          <w:tcPr>
            <w:tcW w:w="6691" w:type="dxa"/>
            <w:vAlign w:val="center"/>
          </w:tcPr>
          <w:p w14:paraId="6F9C520C">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w:t>
            </w:r>
            <w:r>
              <w:rPr>
                <w:rFonts w:hint="eastAsia" w:ascii="宋体" w:hAnsi="宋体" w:eastAsia="宋体" w:cs="宋体"/>
                <w:color w:val="auto"/>
                <w:highlight w:val="none"/>
                <w:lang w:eastAsia="zh-CN"/>
              </w:rPr>
              <w:t>不</w:t>
            </w:r>
            <w:r>
              <w:rPr>
                <w:rFonts w:hint="eastAsia" w:ascii="宋体" w:hAnsi="宋体" w:eastAsia="宋体" w:cs="宋体"/>
                <w:color w:val="auto"/>
                <w:highlight w:val="none"/>
              </w:rPr>
              <w:t>划分标段</w:t>
            </w:r>
          </w:p>
        </w:tc>
      </w:tr>
      <w:tr w14:paraId="1AA03A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76" w:hRule="atLeast"/>
        </w:trPr>
        <w:tc>
          <w:tcPr>
            <w:tcW w:w="997" w:type="dxa"/>
            <w:vAlign w:val="center"/>
          </w:tcPr>
          <w:p w14:paraId="5912D8D7">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1.3.2</w:t>
            </w:r>
          </w:p>
        </w:tc>
        <w:tc>
          <w:tcPr>
            <w:tcW w:w="1851" w:type="dxa"/>
            <w:vAlign w:val="center"/>
          </w:tcPr>
          <w:p w14:paraId="3707A4C7">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计划工期</w:t>
            </w:r>
          </w:p>
        </w:tc>
        <w:tc>
          <w:tcPr>
            <w:tcW w:w="6691" w:type="dxa"/>
            <w:vAlign w:val="center"/>
          </w:tcPr>
          <w:p w14:paraId="2C6EE8EC">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bCs/>
                <w:color w:val="auto"/>
                <w:highlight w:val="none"/>
                <w:lang w:val="zh-TW"/>
              </w:rPr>
            </w:pPr>
            <w:r>
              <w:rPr>
                <w:rFonts w:hint="eastAsia" w:ascii="宋体" w:hAnsi="宋体" w:eastAsia="宋体" w:cs="宋体"/>
                <w:color w:val="auto"/>
                <w:kern w:val="58"/>
                <w:highlight w:val="none"/>
                <w:lang w:eastAsia="zh-CN"/>
              </w:rPr>
              <w:t>自合同签订之日起2年。比选人对供应商实行动态管理，对不合格的机构予以调整。期满后，比选人可以视情延长有效期，或重新比选以及补充比选。</w:t>
            </w:r>
          </w:p>
        </w:tc>
      </w:tr>
      <w:tr w14:paraId="219DC1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2" w:hRule="atLeast"/>
        </w:trPr>
        <w:tc>
          <w:tcPr>
            <w:tcW w:w="997" w:type="dxa"/>
            <w:vAlign w:val="center"/>
          </w:tcPr>
          <w:p w14:paraId="26879FA3">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1.4.1</w:t>
            </w:r>
          </w:p>
        </w:tc>
        <w:tc>
          <w:tcPr>
            <w:tcW w:w="1851" w:type="dxa"/>
            <w:vAlign w:val="center"/>
          </w:tcPr>
          <w:p w14:paraId="1CBB77A9">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资质条件、能力和信誉</w:t>
            </w:r>
          </w:p>
        </w:tc>
        <w:tc>
          <w:tcPr>
            <w:tcW w:w="6691" w:type="dxa"/>
            <w:vAlign w:val="center"/>
          </w:tcPr>
          <w:p w14:paraId="4164225C">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b/>
                <w:bCs/>
                <w:color w:val="auto"/>
                <w:highlight w:val="none"/>
                <w:lang w:val="en-US" w:eastAsia="zh-CN"/>
              </w:rPr>
              <w:t>参选人</w:t>
            </w:r>
            <w:r>
              <w:rPr>
                <w:rFonts w:hint="eastAsia" w:ascii="宋体" w:hAnsi="宋体" w:eastAsia="宋体" w:cs="宋体"/>
                <w:b/>
                <w:bCs/>
                <w:color w:val="auto"/>
                <w:highlight w:val="none"/>
              </w:rPr>
              <w:t>资质条件：</w:t>
            </w:r>
            <w:r>
              <w:rPr>
                <w:rFonts w:hint="eastAsia" w:ascii="宋体" w:hAnsi="宋体" w:eastAsia="宋体" w:cs="宋体"/>
                <w:color w:val="auto"/>
                <w:highlight w:val="none"/>
              </w:rPr>
              <w:t>详见第一章3.1</w:t>
            </w:r>
            <w:r>
              <w:rPr>
                <w:rFonts w:hint="eastAsia" w:ascii="宋体" w:hAnsi="宋体" w:eastAsia="宋体" w:cs="宋体"/>
                <w:color w:val="auto"/>
                <w:highlight w:val="none"/>
                <w:lang w:val="en-US" w:eastAsia="zh-CN"/>
              </w:rPr>
              <w:t>-3.3</w:t>
            </w:r>
            <w:r>
              <w:rPr>
                <w:rFonts w:hint="eastAsia" w:ascii="宋体" w:hAnsi="宋体" w:eastAsia="宋体" w:cs="宋体"/>
                <w:color w:val="auto"/>
                <w:highlight w:val="none"/>
              </w:rPr>
              <w:t>。</w:t>
            </w:r>
          </w:p>
          <w:p w14:paraId="748A6352">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b/>
                <w:bCs/>
                <w:color w:val="auto"/>
                <w:highlight w:val="none"/>
              </w:rPr>
              <w:t>其他要求：</w:t>
            </w:r>
            <w:r>
              <w:rPr>
                <w:rFonts w:hint="eastAsia" w:ascii="宋体" w:hAnsi="宋体" w:eastAsia="宋体" w:cs="宋体"/>
                <w:color w:val="auto"/>
                <w:highlight w:val="none"/>
              </w:rPr>
              <w:t>详见第一章3.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w:t>
            </w:r>
          </w:p>
        </w:tc>
      </w:tr>
      <w:tr w14:paraId="00E0F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5" w:hRule="atLeast"/>
        </w:trPr>
        <w:tc>
          <w:tcPr>
            <w:tcW w:w="997" w:type="dxa"/>
            <w:vAlign w:val="center"/>
          </w:tcPr>
          <w:p w14:paraId="57553D72">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1.9.1</w:t>
            </w:r>
          </w:p>
        </w:tc>
        <w:tc>
          <w:tcPr>
            <w:tcW w:w="1851" w:type="dxa"/>
            <w:vAlign w:val="center"/>
          </w:tcPr>
          <w:p w14:paraId="55AB84A8">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现场考察</w:t>
            </w:r>
          </w:p>
        </w:tc>
        <w:tc>
          <w:tcPr>
            <w:tcW w:w="6691" w:type="dxa"/>
            <w:vAlign w:val="center"/>
          </w:tcPr>
          <w:p w14:paraId="7BE2588B">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不组织，</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可自行考察</w:t>
            </w:r>
          </w:p>
        </w:tc>
      </w:tr>
      <w:tr w14:paraId="14E482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5" w:hRule="atLeast"/>
        </w:trPr>
        <w:tc>
          <w:tcPr>
            <w:tcW w:w="997" w:type="dxa"/>
            <w:vAlign w:val="center"/>
          </w:tcPr>
          <w:p w14:paraId="2716DB53">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1.10.1</w:t>
            </w:r>
          </w:p>
        </w:tc>
        <w:tc>
          <w:tcPr>
            <w:tcW w:w="1851" w:type="dxa"/>
            <w:vAlign w:val="center"/>
          </w:tcPr>
          <w:p w14:paraId="291212D0">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shd w:val="clear" w:color="FFFFFF" w:fill="D9D9D9"/>
                <w:lang w:eastAsia="zh-CN"/>
              </w:rPr>
            </w:pPr>
            <w:r>
              <w:rPr>
                <w:rFonts w:hint="eastAsia" w:ascii="宋体" w:hAnsi="宋体" w:eastAsia="宋体" w:cs="宋体"/>
                <w:color w:val="auto"/>
                <w:highlight w:val="none"/>
                <w:lang w:eastAsia="zh-CN"/>
              </w:rPr>
              <w:t>参选预备会</w:t>
            </w:r>
          </w:p>
        </w:tc>
        <w:tc>
          <w:tcPr>
            <w:tcW w:w="6691" w:type="dxa"/>
            <w:vAlign w:val="center"/>
          </w:tcPr>
          <w:p w14:paraId="55D622A7">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不召开</w:t>
            </w:r>
          </w:p>
        </w:tc>
      </w:tr>
      <w:tr w14:paraId="44FC2D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8" w:hRule="atLeast"/>
        </w:trPr>
        <w:tc>
          <w:tcPr>
            <w:tcW w:w="997" w:type="dxa"/>
            <w:vAlign w:val="center"/>
          </w:tcPr>
          <w:p w14:paraId="1B05E33E">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1.11</w:t>
            </w:r>
          </w:p>
        </w:tc>
        <w:tc>
          <w:tcPr>
            <w:tcW w:w="1851" w:type="dxa"/>
            <w:vAlign w:val="center"/>
          </w:tcPr>
          <w:p w14:paraId="5D2448D1">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拟分包的</w:t>
            </w:r>
          </w:p>
          <w:p w14:paraId="4284078B">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工作</w:t>
            </w:r>
          </w:p>
        </w:tc>
        <w:tc>
          <w:tcPr>
            <w:tcW w:w="6691" w:type="dxa"/>
            <w:vAlign w:val="center"/>
          </w:tcPr>
          <w:p w14:paraId="3F8C1FDD">
            <w:pPr>
              <w:pStyle w:val="19"/>
              <w:keepNext w:val="0"/>
              <w:keepLines w:val="0"/>
              <w:pageBreakBefore w:val="0"/>
              <w:kinsoku/>
              <w:wordWrap/>
              <w:overflowPunct/>
              <w:topLinePunct/>
              <w:autoSpaceDE/>
              <w:autoSpaceDN/>
              <w:bidi w:val="0"/>
              <w:adjustRightInd/>
              <w:snapToGrid/>
              <w:spacing w:line="400" w:lineRule="exact"/>
              <w:ind w:left="99" w:leftChars="47" w:right="40" w:rightChars="19"/>
              <w:textAlignment w:val="auto"/>
              <w:rPr>
                <w:rFonts w:hint="eastAsia" w:ascii="宋体" w:hAnsi="宋体" w:eastAsia="宋体" w:cs="宋体"/>
                <w:b/>
                <w:color w:val="auto"/>
                <w:highlight w:val="none"/>
              </w:rPr>
            </w:pPr>
            <w:r>
              <w:rPr>
                <w:rFonts w:hint="eastAsia" w:ascii="宋体" w:hAnsi="宋体" w:eastAsia="宋体" w:cs="宋体"/>
                <w:bCs/>
                <w:color w:val="auto"/>
                <w:sz w:val="21"/>
                <w:szCs w:val="21"/>
                <w:highlight w:val="none"/>
                <w:lang w:val="en-US" w:eastAsia="zh-CN"/>
              </w:rPr>
              <w:t>不允许</w:t>
            </w:r>
          </w:p>
        </w:tc>
      </w:tr>
      <w:tr w14:paraId="5D959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5" w:hRule="atLeast"/>
        </w:trPr>
        <w:tc>
          <w:tcPr>
            <w:tcW w:w="997" w:type="dxa"/>
            <w:vAlign w:val="center"/>
          </w:tcPr>
          <w:p w14:paraId="7729C239">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1.12</w:t>
            </w:r>
          </w:p>
        </w:tc>
        <w:tc>
          <w:tcPr>
            <w:tcW w:w="1851" w:type="dxa"/>
            <w:vAlign w:val="center"/>
          </w:tcPr>
          <w:p w14:paraId="37D94C4B">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偏离</w:t>
            </w:r>
          </w:p>
        </w:tc>
        <w:tc>
          <w:tcPr>
            <w:tcW w:w="6691" w:type="dxa"/>
            <w:vAlign w:val="center"/>
          </w:tcPr>
          <w:p w14:paraId="2F95AAB2">
            <w:pPr>
              <w:pStyle w:val="19"/>
              <w:keepNext w:val="0"/>
              <w:keepLines w:val="0"/>
              <w:pageBreakBefore w:val="0"/>
              <w:kinsoku/>
              <w:wordWrap/>
              <w:overflowPunct/>
              <w:topLinePunct/>
              <w:autoSpaceDE/>
              <w:autoSpaceDN/>
              <w:bidi w:val="0"/>
              <w:adjustRightInd/>
              <w:snapToGrid/>
              <w:spacing w:line="400" w:lineRule="exact"/>
              <w:ind w:left="99" w:leftChars="47" w:right="40" w:rightChars="19"/>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不允许</w:t>
            </w:r>
          </w:p>
        </w:tc>
      </w:tr>
      <w:tr w14:paraId="42778C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2" w:hRule="atLeast"/>
        </w:trPr>
        <w:tc>
          <w:tcPr>
            <w:tcW w:w="997" w:type="dxa"/>
            <w:vAlign w:val="center"/>
          </w:tcPr>
          <w:p w14:paraId="241EA891">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2.1</w:t>
            </w:r>
          </w:p>
        </w:tc>
        <w:tc>
          <w:tcPr>
            <w:tcW w:w="1851" w:type="dxa"/>
            <w:vAlign w:val="center"/>
          </w:tcPr>
          <w:p w14:paraId="2C507E1B">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构成</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的其他材料</w:t>
            </w:r>
          </w:p>
        </w:tc>
        <w:tc>
          <w:tcPr>
            <w:tcW w:w="6691" w:type="dxa"/>
            <w:vAlign w:val="center"/>
          </w:tcPr>
          <w:p w14:paraId="7A516B0F">
            <w:pPr>
              <w:pStyle w:val="19"/>
              <w:keepNext w:val="0"/>
              <w:keepLines w:val="0"/>
              <w:pageBreakBefore w:val="0"/>
              <w:kinsoku/>
              <w:wordWrap/>
              <w:overflowPunct/>
              <w:topLinePunct/>
              <w:autoSpaceDE/>
              <w:autoSpaceDN/>
              <w:bidi w:val="0"/>
              <w:adjustRightInd/>
              <w:snapToGrid/>
              <w:spacing w:line="400" w:lineRule="exact"/>
              <w:ind w:left="99" w:leftChars="47" w:right="40" w:rightChars="1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4B4A1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429" w:hRule="atLeast"/>
        </w:trPr>
        <w:tc>
          <w:tcPr>
            <w:tcW w:w="997" w:type="dxa"/>
            <w:vAlign w:val="center"/>
          </w:tcPr>
          <w:p w14:paraId="0FF8E378">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2.2.1</w:t>
            </w:r>
          </w:p>
        </w:tc>
        <w:tc>
          <w:tcPr>
            <w:tcW w:w="1851" w:type="dxa"/>
            <w:vAlign w:val="center"/>
          </w:tcPr>
          <w:p w14:paraId="74BD02DF">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要求澄清</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的截止时间</w:t>
            </w:r>
          </w:p>
        </w:tc>
        <w:tc>
          <w:tcPr>
            <w:tcW w:w="6691" w:type="dxa"/>
            <w:vAlign w:val="center"/>
          </w:tcPr>
          <w:p w14:paraId="1BFCD85A">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2026年</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月</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日</w:t>
            </w:r>
            <w:r>
              <w:rPr>
                <w:rFonts w:hint="eastAsia" w:ascii="宋体" w:hAnsi="宋体" w:eastAsia="宋体" w:cs="宋体"/>
                <w:color w:val="auto"/>
                <w:highlight w:val="none"/>
                <w:u w:val="single" w:color="000000"/>
                <w:lang w:val="en-US" w:eastAsia="zh-CN"/>
              </w:rPr>
              <w:t>14</w:t>
            </w:r>
            <w:r>
              <w:rPr>
                <w:rFonts w:hint="eastAsia" w:ascii="宋体" w:hAnsi="宋体" w:eastAsia="宋体" w:cs="宋体"/>
                <w:color w:val="auto"/>
                <w:highlight w:val="none"/>
              </w:rPr>
              <w:t>时</w:t>
            </w:r>
            <w:r>
              <w:rPr>
                <w:rFonts w:hint="eastAsia" w:ascii="宋体" w:hAnsi="宋体" w:eastAsia="宋体" w:cs="宋体"/>
                <w:color w:val="auto"/>
                <w:highlight w:val="none"/>
                <w:u w:val="single" w:color="000000"/>
                <w:lang w:val="en-US" w:eastAsia="zh-CN"/>
              </w:rPr>
              <w:t>0</w:t>
            </w:r>
            <w:r>
              <w:rPr>
                <w:rFonts w:hint="eastAsia" w:ascii="宋体" w:hAnsi="宋体" w:eastAsia="宋体" w:cs="宋体"/>
                <w:color w:val="auto"/>
                <w:highlight w:val="none"/>
                <w:u w:val="single" w:color="000000"/>
              </w:rPr>
              <w:t>0</w:t>
            </w:r>
            <w:r>
              <w:rPr>
                <w:rFonts w:hint="eastAsia" w:ascii="宋体" w:hAnsi="宋体" w:eastAsia="宋体" w:cs="宋体"/>
                <w:color w:val="auto"/>
                <w:highlight w:val="none"/>
              </w:rPr>
              <w:t>分前</w:t>
            </w:r>
          </w:p>
          <w:p w14:paraId="5199426B">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形式：</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须以邮件形式（word版）发送至代理人电子邮箱</w:t>
            </w:r>
            <w:r>
              <w:rPr>
                <w:rFonts w:hint="eastAsia" w:ascii="宋体" w:hAnsi="宋体" w:eastAsia="宋体" w:cs="宋体"/>
                <w:b/>
                <w:bCs/>
                <w:szCs w:val="21"/>
              </w:rPr>
              <w:t>2226458151@qq.com</w:t>
            </w:r>
            <w:r>
              <w:rPr>
                <w:rFonts w:hint="eastAsia" w:ascii="宋体" w:hAnsi="宋体" w:eastAsia="宋体" w:cs="宋体"/>
                <w:color w:val="auto"/>
                <w:highlight w:val="none"/>
              </w:rPr>
              <w:t>，以便</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澄清。</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不回答</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在上述时间以后所提出的任何问题。</w:t>
            </w:r>
          </w:p>
        </w:tc>
      </w:tr>
      <w:tr w14:paraId="0C0A97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2" w:hRule="atLeast"/>
        </w:trPr>
        <w:tc>
          <w:tcPr>
            <w:tcW w:w="997" w:type="dxa"/>
            <w:vAlign w:val="center"/>
          </w:tcPr>
          <w:p w14:paraId="5EB83D8C">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2.2.2</w:t>
            </w:r>
          </w:p>
        </w:tc>
        <w:tc>
          <w:tcPr>
            <w:tcW w:w="1851" w:type="dxa"/>
            <w:vAlign w:val="center"/>
          </w:tcPr>
          <w:p w14:paraId="09D4BDF1">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参选截止时间</w:t>
            </w:r>
          </w:p>
        </w:tc>
        <w:tc>
          <w:tcPr>
            <w:tcW w:w="6691" w:type="dxa"/>
            <w:vAlign w:val="center"/>
          </w:tcPr>
          <w:p w14:paraId="0FE0B7A6">
            <w:pPr>
              <w:pStyle w:val="19"/>
              <w:keepNext w:val="0"/>
              <w:keepLines w:val="0"/>
              <w:pageBreakBefore w:val="0"/>
              <w:kinsoku/>
              <w:wordWrap/>
              <w:overflowPunct/>
              <w:topLinePunct/>
              <w:autoSpaceDE/>
              <w:autoSpaceDN/>
              <w:bidi w:val="0"/>
              <w:adjustRightInd/>
              <w:snapToGrid/>
              <w:spacing w:line="400" w:lineRule="exact"/>
              <w:ind w:left="99" w:leftChars="47" w:right="40" w:rightChars="19"/>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2026年</w:t>
            </w:r>
            <w:r>
              <w:rPr>
                <w:rFonts w:hint="eastAsia" w:ascii="宋体" w:hAnsi="宋体" w:eastAsia="宋体" w:cs="宋体"/>
                <w:color w:val="auto"/>
                <w:sz w:val="21"/>
                <w:szCs w:val="21"/>
                <w:highlight w:val="none"/>
                <w:u w:val="single"/>
                <w:lang w:val="en-US" w:eastAsia="zh-CN"/>
              </w:rPr>
              <w:t>7</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lang w:val="en-US" w:eastAsia="zh-CN"/>
              </w:rPr>
              <w:t>日</w:t>
            </w:r>
            <w:r>
              <w:rPr>
                <w:rFonts w:hint="eastAsia" w:ascii="宋体" w:hAnsi="宋体" w:eastAsia="宋体" w:cs="宋体"/>
                <w:color w:val="auto"/>
                <w:kern w:val="2"/>
                <w:sz w:val="21"/>
                <w:szCs w:val="21"/>
                <w:highlight w:val="none"/>
                <w:u w:val="single"/>
                <w:lang w:val="en-US" w:eastAsia="zh-CN" w:bidi="ar-SA"/>
              </w:rPr>
              <w:t>14</w:t>
            </w:r>
            <w:r>
              <w:rPr>
                <w:rFonts w:hint="eastAsia" w:ascii="宋体" w:hAnsi="宋体" w:eastAsia="宋体" w:cs="宋体"/>
                <w:color w:val="auto"/>
                <w:kern w:val="2"/>
                <w:sz w:val="21"/>
                <w:szCs w:val="21"/>
                <w:highlight w:val="none"/>
                <w:lang w:val="en-US" w:eastAsia="zh-CN" w:bidi="ar-SA"/>
              </w:rPr>
              <w:t>时</w:t>
            </w:r>
            <w:r>
              <w:rPr>
                <w:rFonts w:hint="eastAsia" w:ascii="宋体" w:hAnsi="宋体" w:eastAsia="宋体" w:cs="宋体"/>
                <w:color w:val="auto"/>
                <w:kern w:val="2"/>
                <w:sz w:val="21"/>
                <w:szCs w:val="21"/>
                <w:highlight w:val="none"/>
                <w:u w:val="single"/>
                <w:lang w:val="en-US" w:eastAsia="zh-CN" w:bidi="ar-SA"/>
              </w:rPr>
              <w:t>00</w:t>
            </w:r>
            <w:r>
              <w:rPr>
                <w:rFonts w:hint="eastAsia" w:ascii="宋体" w:hAnsi="宋体" w:eastAsia="宋体" w:cs="宋体"/>
                <w:color w:val="auto"/>
                <w:kern w:val="2"/>
                <w:sz w:val="21"/>
                <w:szCs w:val="21"/>
                <w:highlight w:val="none"/>
                <w:lang w:val="en-US" w:eastAsia="zh-CN" w:bidi="ar-SA"/>
              </w:rPr>
              <w:t>分</w:t>
            </w:r>
            <w:r>
              <w:rPr>
                <w:rFonts w:hint="eastAsia" w:ascii="宋体" w:hAnsi="宋体" w:eastAsia="宋体" w:cs="宋体"/>
                <w:color w:val="auto"/>
                <w:sz w:val="21"/>
                <w:szCs w:val="21"/>
                <w:highlight w:val="none"/>
              </w:rPr>
              <w:t>（若</w:t>
            </w:r>
            <w:r>
              <w:rPr>
                <w:rFonts w:hint="eastAsia" w:ascii="宋体" w:hAnsi="宋体" w:eastAsia="宋体" w:cs="宋体"/>
                <w:color w:val="auto"/>
                <w:sz w:val="21"/>
                <w:szCs w:val="21"/>
                <w:highlight w:val="none"/>
                <w:lang w:eastAsia="zh-CN"/>
              </w:rPr>
              <w:t>参选截止时间</w:t>
            </w:r>
            <w:r>
              <w:rPr>
                <w:rFonts w:hint="eastAsia" w:ascii="宋体" w:hAnsi="宋体" w:eastAsia="宋体" w:cs="宋体"/>
                <w:color w:val="auto"/>
                <w:sz w:val="21"/>
                <w:szCs w:val="21"/>
                <w:highlight w:val="none"/>
              </w:rPr>
              <w:t>延后，</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将适时通知</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w:t>
            </w:r>
          </w:p>
        </w:tc>
      </w:tr>
      <w:tr w14:paraId="52D985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2" w:hRule="atLeast"/>
        </w:trPr>
        <w:tc>
          <w:tcPr>
            <w:tcW w:w="997" w:type="dxa"/>
            <w:vAlign w:val="center"/>
          </w:tcPr>
          <w:p w14:paraId="5E900747">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3.1.1</w:t>
            </w:r>
          </w:p>
        </w:tc>
        <w:tc>
          <w:tcPr>
            <w:tcW w:w="1851" w:type="dxa"/>
            <w:vAlign w:val="center"/>
          </w:tcPr>
          <w:p w14:paraId="0DD5F902">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shd w:val="clear" w:color="FFFFFF" w:fill="D9D9D9"/>
              </w:rPr>
            </w:pPr>
            <w:r>
              <w:rPr>
                <w:rFonts w:hint="eastAsia" w:ascii="宋体" w:hAnsi="宋体" w:eastAsia="宋体" w:cs="宋体"/>
                <w:color w:val="auto"/>
                <w:highlight w:val="none"/>
                <w:shd w:val="clear" w:color="FFFFFF" w:fill="auto"/>
              </w:rPr>
              <w:t>构成</w:t>
            </w:r>
            <w:r>
              <w:rPr>
                <w:rFonts w:hint="eastAsia" w:ascii="宋体" w:hAnsi="宋体" w:eastAsia="宋体" w:cs="宋体"/>
                <w:color w:val="auto"/>
                <w:highlight w:val="none"/>
                <w:shd w:val="clear" w:color="FFFFFF" w:fill="auto"/>
                <w:lang w:eastAsia="zh-CN"/>
              </w:rPr>
              <w:t>参选文件</w:t>
            </w:r>
            <w:r>
              <w:rPr>
                <w:rFonts w:hint="eastAsia" w:ascii="宋体" w:hAnsi="宋体" w:eastAsia="宋体" w:cs="宋体"/>
                <w:color w:val="auto"/>
                <w:highlight w:val="none"/>
                <w:shd w:val="clear" w:color="FFFFFF" w:fill="auto"/>
              </w:rPr>
              <w:t>的其他材料</w:t>
            </w:r>
          </w:p>
        </w:tc>
        <w:tc>
          <w:tcPr>
            <w:tcW w:w="6691" w:type="dxa"/>
            <w:vAlign w:val="center"/>
          </w:tcPr>
          <w:p w14:paraId="7AA88B13">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无</w:t>
            </w:r>
          </w:p>
        </w:tc>
      </w:tr>
      <w:tr w14:paraId="65C27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5" w:hRule="atLeast"/>
        </w:trPr>
        <w:tc>
          <w:tcPr>
            <w:tcW w:w="997" w:type="dxa"/>
            <w:vAlign w:val="center"/>
          </w:tcPr>
          <w:p w14:paraId="14978AEF">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3.4.1</w:t>
            </w:r>
          </w:p>
        </w:tc>
        <w:tc>
          <w:tcPr>
            <w:tcW w:w="1851" w:type="dxa"/>
            <w:vAlign w:val="center"/>
          </w:tcPr>
          <w:p w14:paraId="3C207B5B">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shd w:val="clear" w:color="FFFFFF" w:fill="D9D9D9"/>
                <w:lang w:eastAsia="zh-CN"/>
              </w:rPr>
            </w:pPr>
            <w:r>
              <w:rPr>
                <w:rFonts w:hint="eastAsia" w:ascii="宋体" w:hAnsi="宋体" w:eastAsia="宋体" w:cs="宋体"/>
                <w:color w:val="auto"/>
                <w:highlight w:val="none"/>
                <w:lang w:eastAsia="zh-CN"/>
              </w:rPr>
              <w:t>参选有效期</w:t>
            </w:r>
          </w:p>
        </w:tc>
        <w:tc>
          <w:tcPr>
            <w:tcW w:w="6691" w:type="dxa"/>
            <w:vAlign w:val="center"/>
          </w:tcPr>
          <w:p w14:paraId="5202F624">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参选</w:t>
            </w:r>
            <w:r>
              <w:rPr>
                <w:rFonts w:hint="eastAsia" w:ascii="宋体" w:hAnsi="宋体" w:eastAsia="宋体" w:cs="宋体"/>
                <w:color w:val="auto"/>
                <w:highlight w:val="none"/>
              </w:rPr>
              <w:t>截止之日后90日历天</w:t>
            </w:r>
          </w:p>
        </w:tc>
      </w:tr>
      <w:tr w14:paraId="062815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9" w:hRule="atLeast"/>
        </w:trPr>
        <w:tc>
          <w:tcPr>
            <w:tcW w:w="997" w:type="dxa"/>
            <w:vAlign w:val="center"/>
          </w:tcPr>
          <w:p w14:paraId="41DA8CE2">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3.5.1</w:t>
            </w:r>
          </w:p>
        </w:tc>
        <w:tc>
          <w:tcPr>
            <w:tcW w:w="1851" w:type="dxa"/>
            <w:vAlign w:val="center"/>
          </w:tcPr>
          <w:p w14:paraId="552EE8BF">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shd w:val="clear" w:color="FFFFFF" w:fill="D9D9D9"/>
                <w:lang w:eastAsia="zh-CN"/>
              </w:rPr>
            </w:pPr>
            <w:r>
              <w:rPr>
                <w:rFonts w:hint="eastAsia" w:ascii="宋体" w:hAnsi="宋体" w:eastAsia="宋体" w:cs="宋体"/>
                <w:color w:val="auto"/>
                <w:highlight w:val="none"/>
                <w:lang w:eastAsia="zh-CN"/>
              </w:rPr>
              <w:t>参选保证金</w:t>
            </w:r>
          </w:p>
        </w:tc>
        <w:tc>
          <w:tcPr>
            <w:tcW w:w="6691" w:type="dxa"/>
            <w:vAlign w:val="center"/>
          </w:tcPr>
          <w:p w14:paraId="146D3016">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免收</w:t>
            </w:r>
          </w:p>
        </w:tc>
      </w:tr>
      <w:tr w14:paraId="300C42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76" w:hRule="atLeast"/>
        </w:trPr>
        <w:tc>
          <w:tcPr>
            <w:tcW w:w="997" w:type="dxa"/>
            <w:vAlign w:val="center"/>
          </w:tcPr>
          <w:p w14:paraId="3AF6EF92">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3.7</w:t>
            </w:r>
          </w:p>
        </w:tc>
        <w:tc>
          <w:tcPr>
            <w:tcW w:w="1851" w:type="dxa"/>
            <w:vAlign w:val="center"/>
          </w:tcPr>
          <w:p w14:paraId="77E528C1">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是否允许递交</w:t>
            </w:r>
            <w:r>
              <w:rPr>
                <w:rFonts w:hint="eastAsia" w:ascii="宋体" w:hAnsi="宋体" w:eastAsia="宋体" w:cs="宋体"/>
                <w:color w:val="auto"/>
                <w:highlight w:val="none"/>
                <w:lang w:eastAsia="zh-CN"/>
              </w:rPr>
              <w:t>备选参选方案</w:t>
            </w:r>
          </w:p>
        </w:tc>
        <w:tc>
          <w:tcPr>
            <w:tcW w:w="6691" w:type="dxa"/>
            <w:vAlign w:val="center"/>
          </w:tcPr>
          <w:p w14:paraId="080FFE9A">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不允许</w:t>
            </w:r>
          </w:p>
        </w:tc>
      </w:tr>
      <w:tr w14:paraId="35C4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5" w:hRule="atLeast"/>
        </w:trPr>
        <w:tc>
          <w:tcPr>
            <w:tcW w:w="997" w:type="dxa"/>
            <w:vAlign w:val="center"/>
          </w:tcPr>
          <w:p w14:paraId="168C9E9A">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3.8</w:t>
            </w:r>
          </w:p>
        </w:tc>
        <w:tc>
          <w:tcPr>
            <w:tcW w:w="1851" w:type="dxa"/>
            <w:vAlign w:val="center"/>
          </w:tcPr>
          <w:p w14:paraId="17871098">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份数</w:t>
            </w:r>
          </w:p>
        </w:tc>
        <w:tc>
          <w:tcPr>
            <w:tcW w:w="6691" w:type="dxa"/>
            <w:vAlign w:val="center"/>
          </w:tcPr>
          <w:p w14:paraId="73AAE401">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正本1份，副本4份，电子文本1份</w:t>
            </w:r>
          </w:p>
        </w:tc>
      </w:tr>
      <w:tr w14:paraId="140B89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3" w:hRule="atLeast"/>
        </w:trPr>
        <w:tc>
          <w:tcPr>
            <w:tcW w:w="997" w:type="dxa"/>
            <w:vAlign w:val="center"/>
          </w:tcPr>
          <w:p w14:paraId="76C73231">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4.2.2</w:t>
            </w:r>
          </w:p>
        </w:tc>
        <w:tc>
          <w:tcPr>
            <w:tcW w:w="1851" w:type="dxa"/>
            <w:vAlign w:val="center"/>
          </w:tcPr>
          <w:p w14:paraId="380DDC41">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递交</w:t>
            </w: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地点</w:t>
            </w:r>
          </w:p>
        </w:tc>
        <w:tc>
          <w:tcPr>
            <w:tcW w:w="6691" w:type="dxa"/>
            <w:vAlign w:val="center"/>
          </w:tcPr>
          <w:p w14:paraId="7FB1BF59">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b/>
                <w:bCs/>
                <w:color w:val="auto"/>
                <w:highlight w:val="none"/>
              </w:rPr>
            </w:pPr>
            <w:r>
              <w:rPr>
                <w:rFonts w:hint="eastAsia" w:ascii="宋体" w:hAnsi="宋体" w:eastAsia="宋体" w:cs="宋体"/>
                <w:color w:val="auto"/>
                <w:highlight w:val="none"/>
              </w:rPr>
              <w:t>同开标地点</w:t>
            </w:r>
          </w:p>
        </w:tc>
      </w:tr>
      <w:tr w14:paraId="7F0F79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5" w:hRule="atLeast"/>
        </w:trPr>
        <w:tc>
          <w:tcPr>
            <w:tcW w:w="997" w:type="dxa"/>
            <w:vAlign w:val="center"/>
          </w:tcPr>
          <w:p w14:paraId="6D8BE361">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4.2.3</w:t>
            </w:r>
          </w:p>
        </w:tc>
        <w:tc>
          <w:tcPr>
            <w:tcW w:w="1851" w:type="dxa"/>
            <w:vAlign w:val="center"/>
          </w:tcPr>
          <w:p w14:paraId="55EC4EB8">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shd w:val="clear" w:color="FFFFFF" w:fill="D9D9D9"/>
              </w:rPr>
            </w:pPr>
            <w:r>
              <w:rPr>
                <w:rFonts w:hint="eastAsia" w:ascii="宋体" w:hAnsi="宋体" w:eastAsia="宋体" w:cs="宋体"/>
                <w:color w:val="auto"/>
                <w:highlight w:val="none"/>
              </w:rPr>
              <w:t>是否退还</w:t>
            </w:r>
            <w:r>
              <w:rPr>
                <w:rFonts w:hint="eastAsia" w:ascii="宋体" w:hAnsi="宋体" w:eastAsia="宋体" w:cs="宋体"/>
                <w:color w:val="auto"/>
                <w:highlight w:val="none"/>
                <w:lang w:val="en-US" w:eastAsia="zh-CN"/>
              </w:rPr>
              <w:t>参选</w:t>
            </w:r>
            <w:r>
              <w:rPr>
                <w:rFonts w:hint="eastAsia" w:ascii="宋体" w:hAnsi="宋体" w:eastAsia="宋体" w:cs="宋体"/>
                <w:color w:val="auto"/>
                <w:highlight w:val="none"/>
              </w:rPr>
              <w:t>文件</w:t>
            </w:r>
          </w:p>
        </w:tc>
        <w:tc>
          <w:tcPr>
            <w:tcW w:w="6691" w:type="dxa"/>
            <w:vAlign w:val="center"/>
          </w:tcPr>
          <w:p w14:paraId="3D483BD7">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否</w:t>
            </w:r>
          </w:p>
        </w:tc>
      </w:tr>
      <w:tr w14:paraId="1CE6E9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2" w:hRule="atLeast"/>
        </w:trPr>
        <w:tc>
          <w:tcPr>
            <w:tcW w:w="997" w:type="dxa"/>
            <w:vAlign w:val="center"/>
          </w:tcPr>
          <w:p w14:paraId="273840D6">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5.1</w:t>
            </w:r>
          </w:p>
        </w:tc>
        <w:tc>
          <w:tcPr>
            <w:tcW w:w="1851" w:type="dxa"/>
            <w:vAlign w:val="center"/>
          </w:tcPr>
          <w:p w14:paraId="2ADBD3D1">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开标时间和地点</w:t>
            </w:r>
          </w:p>
        </w:tc>
        <w:tc>
          <w:tcPr>
            <w:tcW w:w="6691" w:type="dxa"/>
            <w:vAlign w:val="center"/>
          </w:tcPr>
          <w:p w14:paraId="14DE846D">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aps/>
                <w:color w:val="auto"/>
                <w:highlight w:val="none"/>
                <w:lang w:eastAsia="zh-CN"/>
              </w:rPr>
            </w:pPr>
            <w:r>
              <w:rPr>
                <w:rFonts w:hint="eastAsia" w:ascii="宋体" w:hAnsi="宋体" w:eastAsia="宋体" w:cs="宋体"/>
                <w:caps/>
                <w:color w:val="auto"/>
                <w:highlight w:val="none"/>
              </w:rPr>
              <w:t>开标时间：</w:t>
            </w:r>
            <w:r>
              <w:rPr>
                <w:rFonts w:hint="eastAsia" w:ascii="宋体" w:hAnsi="宋体" w:eastAsia="宋体" w:cs="宋体"/>
                <w:color w:val="auto"/>
                <w:highlight w:val="none"/>
                <w:lang w:val="en-US" w:eastAsia="zh-CN"/>
              </w:rPr>
              <w:t>2026年</w:t>
            </w:r>
            <w:r>
              <w:rPr>
                <w:rFonts w:hint="eastAsia" w:ascii="宋体" w:hAnsi="宋体" w:cs="宋体"/>
                <w:color w:val="auto"/>
                <w:highlight w:val="none"/>
                <w:u w:val="single"/>
                <w:lang w:val="en-US" w:eastAsia="zh-CN"/>
              </w:rPr>
              <w:t>7</w:t>
            </w:r>
            <w:r>
              <w:rPr>
                <w:rFonts w:hint="eastAsia" w:ascii="宋体" w:hAnsi="宋体" w:eastAsia="宋体" w:cs="宋体"/>
                <w:color w:val="auto"/>
                <w:highlight w:val="none"/>
                <w:lang w:val="en-US" w:eastAsia="zh-CN"/>
              </w:rPr>
              <w:t>月</w:t>
            </w:r>
            <w:r>
              <w:rPr>
                <w:rFonts w:hint="eastAsia" w:ascii="宋体" w:hAnsi="宋体" w:cs="宋体"/>
                <w:color w:val="auto"/>
                <w:highlight w:val="none"/>
                <w:u w:val="single"/>
                <w:lang w:val="en-US" w:eastAsia="zh-CN"/>
              </w:rPr>
              <w:t>7</w:t>
            </w:r>
            <w:r>
              <w:rPr>
                <w:rFonts w:hint="eastAsia" w:ascii="宋体" w:hAnsi="宋体" w:eastAsia="宋体" w:cs="宋体"/>
                <w:color w:val="auto"/>
                <w:highlight w:val="none"/>
                <w:lang w:val="en-US" w:eastAsia="zh-CN"/>
              </w:rPr>
              <w:t>日</w:t>
            </w:r>
            <w:r>
              <w:rPr>
                <w:rFonts w:hint="eastAsia" w:ascii="宋体" w:hAnsi="宋体" w:eastAsia="宋体" w:cs="宋体"/>
                <w:color w:val="auto"/>
                <w:sz w:val="21"/>
                <w:szCs w:val="21"/>
                <w:highlight w:val="none"/>
                <w:u w:val="single" w:color="000000"/>
                <w:lang w:val="en-US" w:eastAsia="zh-CN"/>
              </w:rPr>
              <w:t>14</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color="000000"/>
                <w:lang w:val="en-US" w:eastAsia="zh-CN"/>
              </w:rPr>
              <w:t>00</w:t>
            </w:r>
            <w:r>
              <w:rPr>
                <w:rFonts w:hint="eastAsia" w:ascii="宋体" w:hAnsi="宋体" w:eastAsia="宋体" w:cs="宋体"/>
                <w:color w:val="auto"/>
                <w:sz w:val="21"/>
                <w:szCs w:val="21"/>
                <w:highlight w:val="none"/>
              </w:rPr>
              <w:t>分</w:t>
            </w:r>
          </w:p>
          <w:p w14:paraId="22929B9C">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lang w:val="en-US" w:eastAsia="zh-CN"/>
              </w:rPr>
            </w:pPr>
            <w:r>
              <w:rPr>
                <w:rFonts w:hint="eastAsia" w:ascii="宋体" w:hAnsi="宋体" w:eastAsia="宋体" w:cs="宋体"/>
                <w:caps/>
                <w:color w:val="auto"/>
                <w:highlight w:val="none"/>
              </w:rPr>
              <w:t>开标地点：</w:t>
            </w:r>
            <w:r>
              <w:rPr>
                <w:rFonts w:hint="eastAsia" w:ascii="宋体" w:hAnsi="宋体" w:eastAsia="宋体" w:cs="宋体"/>
                <w:caps/>
                <w:color w:val="auto"/>
                <w:highlight w:val="none"/>
                <w:u w:val="single"/>
                <w:lang w:val="en-US" w:eastAsia="zh-CN"/>
              </w:rPr>
              <w:t>南通市崇川区崇川路158号地铁大厦15楼1506开标室</w:t>
            </w:r>
          </w:p>
        </w:tc>
      </w:tr>
      <w:tr w14:paraId="693E32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749" w:hRule="atLeast"/>
        </w:trPr>
        <w:tc>
          <w:tcPr>
            <w:tcW w:w="997" w:type="dxa"/>
            <w:vAlign w:val="center"/>
          </w:tcPr>
          <w:p w14:paraId="76C23800">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5.2</w:t>
            </w:r>
          </w:p>
        </w:tc>
        <w:tc>
          <w:tcPr>
            <w:tcW w:w="1851" w:type="dxa"/>
            <w:vAlign w:val="center"/>
          </w:tcPr>
          <w:p w14:paraId="7C56C334">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开标程序</w:t>
            </w:r>
          </w:p>
        </w:tc>
        <w:tc>
          <w:tcPr>
            <w:tcW w:w="6691" w:type="dxa"/>
            <w:vAlign w:val="center"/>
          </w:tcPr>
          <w:p w14:paraId="32CDF32A">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1、公布在</w:t>
            </w:r>
            <w:r>
              <w:rPr>
                <w:rFonts w:hint="eastAsia" w:ascii="宋体" w:hAnsi="宋体" w:eastAsia="宋体" w:cs="宋体"/>
                <w:color w:val="auto"/>
                <w:highlight w:val="none"/>
                <w:lang w:eastAsia="zh-CN"/>
              </w:rPr>
              <w:t>参选截止时间</w:t>
            </w:r>
            <w:r>
              <w:rPr>
                <w:rFonts w:hint="eastAsia" w:ascii="宋体" w:hAnsi="宋体" w:eastAsia="宋体" w:cs="宋体"/>
                <w:color w:val="auto"/>
                <w:highlight w:val="none"/>
              </w:rPr>
              <w:t>前递交</w:t>
            </w: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的</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名称；</w:t>
            </w:r>
          </w:p>
          <w:p w14:paraId="3F4BD087">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2、由</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代表相互检查</w:t>
            </w: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密封情况；</w:t>
            </w:r>
          </w:p>
          <w:p w14:paraId="68305FA4">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3、评标委员会进行资格审查文件评审；</w:t>
            </w:r>
          </w:p>
          <w:p w14:paraId="7F7AF412">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4、评标委员会进行商务和技术标书评审；</w:t>
            </w:r>
          </w:p>
          <w:p w14:paraId="40B37A1C">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5、汇总商务、技术</w:t>
            </w:r>
            <w:r>
              <w:rPr>
                <w:rFonts w:hint="eastAsia" w:ascii="宋体" w:hAnsi="宋体" w:cs="宋体"/>
                <w:color w:val="auto"/>
                <w:highlight w:val="none"/>
                <w:lang w:val="en-US" w:eastAsia="zh-CN"/>
              </w:rPr>
              <w:t>两</w:t>
            </w:r>
            <w:r>
              <w:rPr>
                <w:rFonts w:hint="eastAsia" w:ascii="宋体" w:hAnsi="宋体" w:eastAsia="宋体" w:cs="宋体"/>
                <w:color w:val="auto"/>
                <w:highlight w:val="none"/>
              </w:rPr>
              <w:t>部分得分，形成评审结果；</w:t>
            </w:r>
          </w:p>
          <w:p w14:paraId="578BADAD">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、宣布</w:t>
            </w: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人；</w:t>
            </w:r>
          </w:p>
          <w:p w14:paraId="4C499E72">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、开标会议结束。</w:t>
            </w:r>
          </w:p>
        </w:tc>
      </w:tr>
      <w:tr w14:paraId="0ACB8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2" w:hRule="atLeast"/>
        </w:trPr>
        <w:tc>
          <w:tcPr>
            <w:tcW w:w="997" w:type="dxa"/>
            <w:vAlign w:val="center"/>
          </w:tcPr>
          <w:p w14:paraId="20662834">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6.1.1</w:t>
            </w:r>
          </w:p>
        </w:tc>
        <w:tc>
          <w:tcPr>
            <w:tcW w:w="1851" w:type="dxa"/>
            <w:vAlign w:val="center"/>
          </w:tcPr>
          <w:p w14:paraId="507C5560">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评标委员会的</w:t>
            </w:r>
          </w:p>
          <w:p w14:paraId="2E1D99FA">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组建</w:t>
            </w:r>
          </w:p>
        </w:tc>
        <w:tc>
          <w:tcPr>
            <w:tcW w:w="6691" w:type="dxa"/>
            <w:vAlign w:val="center"/>
          </w:tcPr>
          <w:p w14:paraId="67963B37">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评标委员会构成:</w:t>
            </w:r>
            <w:r>
              <w:rPr>
                <w:rFonts w:hint="eastAsia" w:ascii="宋体" w:hAnsi="宋体" w:eastAsia="宋体" w:cs="宋体"/>
                <w:color w:val="auto"/>
                <w:highlight w:val="none"/>
                <w:u w:val="single"/>
              </w:rPr>
              <w:t>5</w:t>
            </w:r>
            <w:r>
              <w:rPr>
                <w:rFonts w:hint="eastAsia" w:ascii="宋体" w:hAnsi="宋体" w:eastAsia="宋体" w:cs="宋体"/>
                <w:color w:val="auto"/>
                <w:highlight w:val="none"/>
              </w:rPr>
              <w:t>人及以上单数。</w:t>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p>
        </w:tc>
      </w:tr>
      <w:tr w14:paraId="1AAAC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2" w:hRule="atLeast"/>
        </w:trPr>
        <w:tc>
          <w:tcPr>
            <w:tcW w:w="997" w:type="dxa"/>
            <w:vMerge w:val="restart"/>
            <w:vAlign w:val="center"/>
          </w:tcPr>
          <w:p w14:paraId="21ED63BB">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7.1.1</w:t>
            </w:r>
          </w:p>
        </w:tc>
        <w:tc>
          <w:tcPr>
            <w:tcW w:w="1851" w:type="dxa"/>
            <w:vAlign w:val="center"/>
          </w:tcPr>
          <w:p w14:paraId="0EAFA36D">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是否授权评标委员会确定</w:t>
            </w: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人</w:t>
            </w:r>
          </w:p>
        </w:tc>
        <w:tc>
          <w:tcPr>
            <w:tcW w:w="6691" w:type="dxa"/>
            <w:vAlign w:val="center"/>
          </w:tcPr>
          <w:p w14:paraId="17629B72">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否</w:t>
            </w:r>
          </w:p>
        </w:tc>
      </w:tr>
      <w:tr w14:paraId="7B198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257" w:hRule="atLeast"/>
        </w:trPr>
        <w:tc>
          <w:tcPr>
            <w:tcW w:w="997" w:type="dxa"/>
            <w:vMerge w:val="continue"/>
            <w:vAlign w:val="center"/>
          </w:tcPr>
          <w:p w14:paraId="5F6A1028">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lang w:val="en-US" w:eastAsia="zh-CN"/>
              </w:rPr>
            </w:pPr>
          </w:p>
        </w:tc>
        <w:tc>
          <w:tcPr>
            <w:tcW w:w="1851" w:type="dxa"/>
            <w:vAlign w:val="center"/>
          </w:tcPr>
          <w:p w14:paraId="7A3BFC8D">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入库原则</w:t>
            </w:r>
          </w:p>
        </w:tc>
        <w:tc>
          <w:tcPr>
            <w:tcW w:w="6691" w:type="dxa"/>
            <w:vAlign w:val="center"/>
          </w:tcPr>
          <w:p w14:paraId="09F36BA2">
            <w:pPr>
              <w:ind w:left="99" w:leftChars="47" w:right="40" w:rightChars="1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(1)如果符合要求的参选人少于 3 家，则重新进行比选；</w:t>
            </w:r>
          </w:p>
          <w:p w14:paraId="54C418CE">
            <w:pPr>
              <w:ind w:left="99" w:leftChars="47" w:right="40" w:rightChars="1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(2)如果符合要求的参选人为 3 或 4 或 5 家时，则参选人自动入库，不再进行评审；</w:t>
            </w:r>
          </w:p>
          <w:p w14:paraId="0FE8CDAA">
            <w:pPr>
              <w:ind w:left="99" w:leftChars="47" w:right="40" w:rightChars="1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(3)如果符合要求的参选人超过 5 家，则评审得分名列前 5 名的单位入库，其他单位作为备选库替换候补单位。</w:t>
            </w:r>
          </w:p>
        </w:tc>
      </w:tr>
      <w:tr w14:paraId="7ADED2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2" w:hRule="atLeast"/>
        </w:trPr>
        <w:tc>
          <w:tcPr>
            <w:tcW w:w="997" w:type="dxa"/>
            <w:vMerge w:val="continue"/>
            <w:vAlign w:val="center"/>
          </w:tcPr>
          <w:p w14:paraId="0672B788">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p>
        </w:tc>
        <w:tc>
          <w:tcPr>
            <w:tcW w:w="1851" w:type="dxa"/>
            <w:vAlign w:val="center"/>
          </w:tcPr>
          <w:p w14:paraId="05FDBF5F">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评估机构选定机制</w:t>
            </w:r>
          </w:p>
        </w:tc>
        <w:tc>
          <w:tcPr>
            <w:tcW w:w="6691" w:type="dxa"/>
            <w:vAlign w:val="center"/>
          </w:tcPr>
          <w:p w14:paraId="432BF786">
            <w:pPr>
              <w:ind w:left="99" w:leftChars="47" w:right="40" w:rightChars="1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比选人与中选的供应商分别签订框架协议，比选人视各中选供应商提供的样品（如需）和报价综合选定一个供应商承接该订单。费用明细中的单价作为该笔订单结算依据。</w:t>
            </w:r>
          </w:p>
        </w:tc>
      </w:tr>
      <w:tr w14:paraId="544F5E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trPr>
        <w:tc>
          <w:tcPr>
            <w:tcW w:w="997" w:type="dxa"/>
            <w:vAlign w:val="center"/>
          </w:tcPr>
          <w:p w14:paraId="4282DB0A">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7.3.1</w:t>
            </w:r>
          </w:p>
        </w:tc>
        <w:tc>
          <w:tcPr>
            <w:tcW w:w="1851" w:type="dxa"/>
            <w:vAlign w:val="center"/>
          </w:tcPr>
          <w:p w14:paraId="71AC0299">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履约担保</w:t>
            </w:r>
          </w:p>
        </w:tc>
        <w:tc>
          <w:tcPr>
            <w:tcW w:w="6691" w:type="dxa"/>
            <w:vAlign w:val="center"/>
          </w:tcPr>
          <w:p w14:paraId="7C187AFD">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r>
      <w:tr w14:paraId="652A6B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45" w:hRule="atLeast"/>
        </w:trPr>
        <w:tc>
          <w:tcPr>
            <w:tcW w:w="997" w:type="dxa"/>
            <w:vAlign w:val="center"/>
          </w:tcPr>
          <w:p w14:paraId="28531184">
            <w:pPr>
              <w:keepNext w:val="0"/>
              <w:keepLines w:val="0"/>
              <w:pageBreakBefore w:val="0"/>
              <w:kinsoku/>
              <w:wordWrap/>
              <w:overflowPunct/>
              <w:autoSpaceDE/>
              <w:autoSpaceDN/>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9.5.1</w:t>
            </w:r>
          </w:p>
        </w:tc>
        <w:tc>
          <w:tcPr>
            <w:tcW w:w="1851" w:type="dxa"/>
            <w:vAlign w:val="center"/>
          </w:tcPr>
          <w:p w14:paraId="386E9438">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shd w:val="clear" w:color="FFFFFF" w:fill="D9D9D9"/>
              </w:rPr>
            </w:pPr>
            <w:r>
              <w:rPr>
                <w:rFonts w:hint="eastAsia" w:ascii="宋体" w:hAnsi="宋体" w:eastAsia="宋体" w:cs="宋体"/>
                <w:color w:val="auto"/>
                <w:highlight w:val="none"/>
              </w:rPr>
              <w:t>监督部门</w:t>
            </w:r>
          </w:p>
        </w:tc>
        <w:tc>
          <w:tcPr>
            <w:tcW w:w="6691" w:type="dxa"/>
            <w:vAlign w:val="center"/>
          </w:tcPr>
          <w:p w14:paraId="6153087E">
            <w:pPr>
              <w:pStyle w:val="19"/>
              <w:keepNext w:val="0"/>
              <w:keepLines w:val="0"/>
              <w:pageBreakBefore w:val="0"/>
              <w:kinsoku/>
              <w:wordWrap/>
              <w:overflowPunct/>
              <w:topLinePunct/>
              <w:autoSpaceDE/>
              <w:autoSpaceDN/>
              <w:bidi w:val="0"/>
              <w:adjustRightInd/>
              <w:snapToGrid/>
              <w:spacing w:line="400" w:lineRule="exact"/>
              <w:ind w:left="99" w:leftChars="47" w:right="40" w:rightChars="19"/>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内部监督</w:t>
            </w:r>
            <w:r>
              <w:rPr>
                <w:rFonts w:hint="eastAsia" w:ascii="宋体" w:hAnsi="宋体" w:eastAsia="宋体" w:cs="宋体"/>
                <w:color w:val="auto"/>
                <w:sz w:val="21"/>
                <w:szCs w:val="21"/>
                <w:highlight w:val="none"/>
                <w:lang w:eastAsia="zh-CN"/>
              </w:rPr>
              <w:t>员：曹老师</w:t>
            </w:r>
          </w:p>
          <w:p w14:paraId="1676BF33">
            <w:pPr>
              <w:pStyle w:val="19"/>
              <w:keepNext w:val="0"/>
              <w:keepLines w:val="0"/>
              <w:pageBreakBefore w:val="0"/>
              <w:kinsoku/>
              <w:wordWrap/>
              <w:overflowPunct/>
              <w:topLinePunct/>
              <w:autoSpaceDE/>
              <w:autoSpaceDN/>
              <w:bidi w:val="0"/>
              <w:adjustRightInd/>
              <w:snapToGrid/>
              <w:spacing w:line="400" w:lineRule="exact"/>
              <w:ind w:left="99" w:leftChars="47" w:right="40" w:rightChars="1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投诉举报电话：</w:t>
            </w:r>
            <w:r>
              <w:rPr>
                <w:rFonts w:hint="eastAsia" w:ascii="宋体" w:hAnsi="宋体" w:eastAsia="宋体" w:cs="宋体"/>
                <w:color w:val="auto"/>
                <w:sz w:val="21"/>
                <w:szCs w:val="21"/>
                <w:highlight w:val="none"/>
                <w:lang w:val="en-US" w:eastAsia="zh-CN"/>
              </w:rPr>
              <w:t>18862941616</w:t>
            </w:r>
          </w:p>
          <w:p w14:paraId="67F755CC">
            <w:pPr>
              <w:pStyle w:val="19"/>
              <w:keepNext w:val="0"/>
              <w:keepLines w:val="0"/>
              <w:pageBreakBefore w:val="0"/>
              <w:kinsoku/>
              <w:wordWrap/>
              <w:overflowPunct/>
              <w:topLinePunct/>
              <w:autoSpaceDE/>
              <w:autoSpaceDN/>
              <w:bidi w:val="0"/>
              <w:adjustRightInd/>
              <w:snapToGrid/>
              <w:spacing w:line="400" w:lineRule="exact"/>
              <w:ind w:left="99" w:leftChars="47" w:right="40" w:rightChars="19"/>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通信地址：南通市崇川区崇川路158号地铁大厦1808室</w:t>
            </w:r>
          </w:p>
          <w:p w14:paraId="0FF11BF4">
            <w:pPr>
              <w:pStyle w:val="70"/>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备注：</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或者其他利害关系人对于</w:t>
            </w:r>
            <w:r>
              <w:rPr>
                <w:rFonts w:hint="eastAsia" w:ascii="宋体" w:hAnsi="宋体" w:eastAsia="宋体" w:cs="宋体"/>
                <w:color w:val="auto"/>
                <w:highlight w:val="none"/>
                <w:lang w:eastAsia="zh-CN"/>
              </w:rPr>
              <w:t>比选参选</w:t>
            </w:r>
            <w:r>
              <w:rPr>
                <w:rFonts w:hint="eastAsia" w:ascii="宋体" w:hAnsi="宋体" w:eastAsia="宋体" w:cs="宋体"/>
                <w:color w:val="auto"/>
                <w:highlight w:val="none"/>
              </w:rPr>
              <w:t>活动提出异议或投诉的，应当按照规定进行。</w:t>
            </w:r>
          </w:p>
          <w:p w14:paraId="28DAD68F">
            <w:pPr>
              <w:pStyle w:val="19"/>
              <w:keepNext w:val="0"/>
              <w:keepLines w:val="0"/>
              <w:pageBreakBefore w:val="0"/>
              <w:kinsoku/>
              <w:wordWrap/>
              <w:overflowPunct/>
              <w:topLine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sz w:val="21"/>
                <w:szCs w:val="21"/>
                <w:highlight w:val="none"/>
              </w:rPr>
              <w:t>异议函或投诉书未署具异议人或投诉人真实姓名、签字和有效联系方式的，不予受理；以法人名义进行异议或投诉的，异议函或投诉书未经法定代表人签字并加盖公章的，不予受理。</w:t>
            </w:r>
          </w:p>
        </w:tc>
      </w:tr>
      <w:tr w14:paraId="0ED92A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2" w:hRule="atLeast"/>
        </w:trPr>
        <w:tc>
          <w:tcPr>
            <w:tcW w:w="9539" w:type="dxa"/>
            <w:gridSpan w:val="3"/>
            <w:vAlign w:val="center"/>
          </w:tcPr>
          <w:p w14:paraId="79B15021">
            <w:pPr>
              <w:pStyle w:val="19"/>
              <w:keepNext w:val="0"/>
              <w:keepLines w:val="0"/>
              <w:pageBreakBefore w:val="0"/>
              <w:kinsoku/>
              <w:wordWrap/>
              <w:overflowPunct/>
              <w:topLinePunct/>
              <w:autoSpaceDE/>
              <w:autoSpaceDN/>
              <w:bidi w:val="0"/>
              <w:adjustRightInd/>
              <w:snapToGrid/>
              <w:spacing w:line="400" w:lineRule="exact"/>
              <w:ind w:left="48" w:right="48" w:rightChars="23" w:firstLine="12" w:firstLineChars="5"/>
              <w:textAlignment w:val="auto"/>
              <w:rPr>
                <w:rFonts w:hint="eastAsia" w:ascii="宋体" w:hAnsi="宋体" w:eastAsia="宋体" w:cs="宋体"/>
                <w:color w:val="auto"/>
                <w:highlight w:val="none"/>
              </w:rPr>
            </w:pPr>
            <w:r>
              <w:rPr>
                <w:rFonts w:hint="eastAsia" w:ascii="宋体" w:hAnsi="宋体" w:eastAsia="宋体" w:cs="宋体"/>
                <w:b/>
                <w:bCs/>
                <w:color w:val="auto"/>
                <w:highlight w:val="none"/>
              </w:rPr>
              <w:t>需要补充的其他内容</w:t>
            </w:r>
          </w:p>
        </w:tc>
      </w:tr>
      <w:tr w14:paraId="4EEE55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45" w:hRule="atLeast"/>
        </w:trPr>
        <w:tc>
          <w:tcPr>
            <w:tcW w:w="2848" w:type="dxa"/>
            <w:gridSpan w:val="2"/>
            <w:vAlign w:val="center"/>
          </w:tcPr>
          <w:p w14:paraId="0455F7E8">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aps/>
                <w:color w:val="auto"/>
                <w:highlight w:val="none"/>
              </w:rPr>
            </w:pPr>
            <w:r>
              <w:rPr>
                <w:rFonts w:hint="eastAsia" w:ascii="宋体" w:hAnsi="宋体" w:eastAsia="宋体" w:cs="宋体"/>
                <w:color w:val="auto"/>
                <w:highlight w:val="none"/>
              </w:rPr>
              <w:t>解释权</w:t>
            </w:r>
          </w:p>
        </w:tc>
        <w:tc>
          <w:tcPr>
            <w:tcW w:w="6691" w:type="dxa"/>
            <w:vAlign w:val="center"/>
          </w:tcPr>
          <w:p w14:paraId="1BD187DE">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rPr>
              <w:t>构成本</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的各个组成文件应互为解释，互为说明；如有不明确或不一致，构成合同文件组成内容的，以合同文件约定内容为准，且以专用合同条款约定的合同文件优先顺序解释；除</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中有特别规定外，仅适用于</w:t>
            </w:r>
            <w:r>
              <w:rPr>
                <w:rFonts w:hint="eastAsia" w:ascii="宋体" w:hAnsi="宋体" w:eastAsia="宋体" w:cs="宋体"/>
                <w:color w:val="auto"/>
                <w:highlight w:val="none"/>
                <w:lang w:eastAsia="zh-CN"/>
              </w:rPr>
              <w:t>比选参选</w:t>
            </w:r>
            <w:r>
              <w:rPr>
                <w:rFonts w:hint="eastAsia" w:ascii="宋体" w:hAnsi="宋体" w:eastAsia="宋体" w:cs="宋体"/>
                <w:color w:val="auto"/>
                <w:highlight w:val="none"/>
              </w:rPr>
              <w:t>阶段的规定，按</w:t>
            </w:r>
            <w:r>
              <w:rPr>
                <w:rFonts w:hint="eastAsia" w:ascii="宋体" w:hAnsi="宋体" w:eastAsia="宋体" w:cs="宋体"/>
                <w:color w:val="auto"/>
                <w:highlight w:val="none"/>
                <w:lang w:eastAsia="zh-CN"/>
              </w:rPr>
              <w:t>比选公告</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参选人须知</w:t>
            </w:r>
            <w:r>
              <w:rPr>
                <w:rFonts w:hint="eastAsia" w:ascii="宋体" w:hAnsi="宋体" w:eastAsia="宋体" w:cs="宋体"/>
                <w:color w:val="auto"/>
                <w:highlight w:val="none"/>
              </w:rPr>
              <w:t>、评标办法、</w:t>
            </w: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格式的先后顺序解释；同一组成文件中就同一事项的规定或约定不一致的，以编排顺序在后者为准；同一组成文件不同版本之间有不一致的，以形成时间在后者为准。按前述规定仍不能形成结论的，由</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负责解释。</w:t>
            </w:r>
          </w:p>
        </w:tc>
      </w:tr>
      <w:tr w14:paraId="5EDF62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08" w:hRule="atLeast"/>
        </w:trPr>
        <w:tc>
          <w:tcPr>
            <w:tcW w:w="2848" w:type="dxa"/>
            <w:gridSpan w:val="2"/>
            <w:vAlign w:val="center"/>
          </w:tcPr>
          <w:p w14:paraId="5DE7F18F">
            <w:pPr>
              <w:keepNext w:val="0"/>
              <w:keepLines w:val="0"/>
              <w:pageBreakBefore w:val="0"/>
              <w:kinsoku/>
              <w:wordWrap/>
              <w:overflowPunct/>
              <w:autoSpaceDE/>
              <w:autoSpaceDN/>
              <w:bidi w:val="0"/>
              <w:adjustRightInd/>
              <w:snapToGrid/>
              <w:spacing w:line="400" w:lineRule="exact"/>
              <w:ind w:left="48" w:right="48" w:rightChars="23" w:firstLine="10" w:firstLineChars="5"/>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公示</w:t>
            </w:r>
          </w:p>
        </w:tc>
        <w:tc>
          <w:tcPr>
            <w:tcW w:w="6691" w:type="dxa"/>
            <w:vAlign w:val="center"/>
          </w:tcPr>
          <w:p w14:paraId="2701F477">
            <w:pPr>
              <w:keepNext w:val="0"/>
              <w:keepLines w:val="0"/>
              <w:pageBreakBefore w:val="0"/>
              <w:kinsoku/>
              <w:wordWrap/>
              <w:overflowPunct/>
              <w:autoSpaceDE/>
              <w:autoSpaceDN/>
              <w:bidi w:val="0"/>
              <w:adjustRightInd/>
              <w:snapToGrid/>
              <w:spacing w:line="400" w:lineRule="exact"/>
              <w:ind w:left="99" w:leftChars="47" w:right="40" w:rightChars="19"/>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候选人公示在本项目公告发布媒介上公示3日。</w:t>
            </w:r>
          </w:p>
        </w:tc>
      </w:tr>
    </w:tbl>
    <w:p w14:paraId="5BED53E1">
      <w:pPr>
        <w:pStyle w:val="2"/>
        <w:pageBreakBefore w:val="0"/>
        <w:widowControl w:val="0"/>
        <w:kinsoku/>
        <w:wordWrap/>
        <w:overflowPunct/>
        <w:topLinePunct w:val="0"/>
        <w:autoSpaceDE/>
        <w:autoSpaceDN/>
        <w:bidi w:val="0"/>
        <w:adjustRightInd/>
        <w:snapToGrid/>
        <w:spacing w:line="440" w:lineRule="exact"/>
        <w:ind w:left="-19" w:leftChars="-9" w:right="-139" w:rightChars="-66" w:firstLine="434" w:firstLineChars="155"/>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highlight w:val="none"/>
        </w:rPr>
        <w:br w:type="page"/>
      </w:r>
      <w:bookmarkEnd w:id="38"/>
      <w:bookmarkStart w:id="39" w:name="_Hlt94807136"/>
      <w:bookmarkEnd w:id="39"/>
      <w:bookmarkStart w:id="40" w:name="_Toc14700"/>
      <w:bookmarkStart w:id="41" w:name="_Toc27982"/>
      <w:bookmarkStart w:id="42" w:name="_Toc28674"/>
      <w:bookmarkStart w:id="43" w:name="_Toc8128"/>
      <w:bookmarkStart w:id="44" w:name="_Toc14066"/>
      <w:bookmarkStart w:id="45" w:name="_Toc25083"/>
      <w:bookmarkStart w:id="46" w:name="_Toc12671"/>
      <w:r>
        <w:rPr>
          <w:rFonts w:hint="eastAsia" w:ascii="宋体" w:hAnsi="宋体" w:eastAsia="宋体" w:cs="宋体"/>
          <w:b/>
          <w:bCs/>
          <w:color w:val="auto"/>
          <w:sz w:val="21"/>
          <w:szCs w:val="21"/>
          <w:highlight w:val="none"/>
        </w:rPr>
        <w:t>1</w:t>
      </w:r>
      <w:bookmarkStart w:id="47" w:name="_Hlt163966079"/>
      <w:bookmarkEnd w:id="47"/>
      <w:r>
        <w:rPr>
          <w:rFonts w:hint="eastAsia" w:ascii="宋体" w:hAnsi="宋体" w:eastAsia="宋体" w:cs="宋体"/>
          <w:b/>
          <w:bCs/>
          <w:color w:val="auto"/>
          <w:sz w:val="21"/>
          <w:szCs w:val="21"/>
          <w:highlight w:val="none"/>
        </w:rPr>
        <w:t>总则</w:t>
      </w:r>
      <w:bookmarkEnd w:id="40"/>
      <w:bookmarkEnd w:id="41"/>
      <w:bookmarkEnd w:id="42"/>
      <w:bookmarkEnd w:id="43"/>
      <w:bookmarkEnd w:id="44"/>
      <w:bookmarkEnd w:id="45"/>
      <w:bookmarkEnd w:id="46"/>
      <w:bookmarkStart w:id="48" w:name="_Toc212521211"/>
      <w:bookmarkStart w:id="49" w:name="_Toc154278673"/>
      <w:bookmarkStart w:id="50" w:name="_Toc131912003"/>
      <w:bookmarkStart w:id="51" w:name="_Hlt95040330"/>
    </w:p>
    <w:p w14:paraId="2014BF4D">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52" w:name="_Toc3454"/>
      <w:bookmarkStart w:id="53" w:name="_Toc1525"/>
      <w:bookmarkStart w:id="54" w:name="_Toc13647"/>
      <w:bookmarkStart w:id="55" w:name="_Toc28171"/>
      <w:bookmarkStart w:id="56" w:name="_Toc20694"/>
      <w:bookmarkStart w:id="57" w:name="_Toc9898"/>
      <w:bookmarkStart w:id="58" w:name="_Toc26304"/>
      <w:bookmarkStart w:id="59" w:name="_Toc14684"/>
      <w:r>
        <w:rPr>
          <w:rFonts w:hint="eastAsia" w:ascii="宋体" w:hAnsi="宋体" w:eastAsia="宋体" w:cs="宋体"/>
          <w:color w:val="auto"/>
          <w:sz w:val="21"/>
          <w:szCs w:val="21"/>
          <w:highlight w:val="none"/>
        </w:rPr>
        <w:t>1.1项目概况</w:t>
      </w:r>
      <w:bookmarkEnd w:id="52"/>
      <w:bookmarkEnd w:id="53"/>
      <w:bookmarkEnd w:id="54"/>
      <w:bookmarkEnd w:id="55"/>
      <w:bookmarkEnd w:id="56"/>
      <w:bookmarkEnd w:id="57"/>
      <w:bookmarkEnd w:id="58"/>
      <w:bookmarkEnd w:id="59"/>
    </w:p>
    <w:p w14:paraId="7375D723">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1.1.1根据有关法律、法规和规章的规定，本</w:t>
      </w:r>
      <w:r>
        <w:rPr>
          <w:rFonts w:hint="eastAsia" w:ascii="宋体" w:hAnsi="宋体" w:eastAsia="宋体" w:cs="宋体"/>
          <w:color w:val="auto"/>
          <w:sz w:val="21"/>
          <w:szCs w:val="21"/>
          <w:highlight w:val="none"/>
          <w:lang w:eastAsia="zh-CN"/>
        </w:rPr>
        <w:t>比选项目</w:t>
      </w:r>
      <w:r>
        <w:rPr>
          <w:rFonts w:hint="eastAsia" w:ascii="宋体" w:hAnsi="宋体" w:eastAsia="宋体" w:cs="宋体"/>
          <w:color w:val="auto"/>
          <w:sz w:val="21"/>
          <w:szCs w:val="21"/>
          <w:highlight w:val="none"/>
        </w:rPr>
        <w:t>已具备</w:t>
      </w:r>
      <w:r>
        <w:rPr>
          <w:rFonts w:hint="eastAsia" w:ascii="宋体" w:hAnsi="宋体" w:eastAsia="宋体" w:cs="宋体"/>
          <w:color w:val="auto"/>
          <w:sz w:val="21"/>
          <w:szCs w:val="21"/>
          <w:highlight w:val="none"/>
          <w:lang w:eastAsia="zh-CN"/>
        </w:rPr>
        <w:t>比选条件</w:t>
      </w:r>
      <w:r>
        <w:rPr>
          <w:rFonts w:hint="eastAsia" w:ascii="宋体" w:hAnsi="宋体" w:eastAsia="宋体" w:cs="宋体"/>
          <w:color w:val="auto"/>
          <w:sz w:val="21"/>
          <w:szCs w:val="21"/>
          <w:highlight w:val="none"/>
        </w:rPr>
        <w:t>，现对本项目进行</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w:t>
      </w:r>
    </w:p>
    <w:p w14:paraId="1D24F75B">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1.1.2本</w:t>
      </w:r>
      <w:r>
        <w:rPr>
          <w:rFonts w:hint="eastAsia" w:ascii="宋体" w:hAnsi="宋体" w:eastAsia="宋体" w:cs="宋体"/>
          <w:color w:val="auto"/>
          <w:sz w:val="21"/>
          <w:szCs w:val="21"/>
          <w:highlight w:val="none"/>
          <w:lang w:eastAsia="zh-CN"/>
        </w:rPr>
        <w:t>比选项目</w:t>
      </w:r>
      <w:r>
        <w:rPr>
          <w:rFonts w:hint="eastAsia" w:ascii="宋体" w:hAnsi="宋体" w:eastAsia="宋体" w:cs="宋体"/>
          <w:color w:val="auto"/>
          <w:sz w:val="21"/>
          <w:szCs w:val="21"/>
          <w:highlight w:val="none"/>
        </w:rPr>
        <w:t>名称、招标工程名称：见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2AB6B665">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1.1.3本</w:t>
      </w:r>
      <w:r>
        <w:rPr>
          <w:rFonts w:hint="eastAsia" w:ascii="宋体" w:hAnsi="宋体" w:eastAsia="宋体" w:cs="宋体"/>
          <w:color w:val="auto"/>
          <w:sz w:val="21"/>
          <w:szCs w:val="21"/>
          <w:highlight w:val="none"/>
          <w:lang w:eastAsia="zh-CN"/>
        </w:rPr>
        <w:t>比选项目</w:t>
      </w:r>
      <w:r>
        <w:rPr>
          <w:rFonts w:hint="eastAsia" w:ascii="宋体" w:hAnsi="宋体" w:eastAsia="宋体" w:cs="宋体"/>
          <w:color w:val="auto"/>
          <w:sz w:val="21"/>
          <w:szCs w:val="21"/>
          <w:highlight w:val="none"/>
        </w:rPr>
        <w:t>建设地点：见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2C9A48CF">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1.1.4本</w:t>
      </w:r>
      <w:r>
        <w:rPr>
          <w:rFonts w:hint="eastAsia" w:ascii="宋体" w:hAnsi="宋体" w:eastAsia="宋体" w:cs="宋体"/>
          <w:color w:val="auto"/>
          <w:sz w:val="21"/>
          <w:szCs w:val="21"/>
          <w:highlight w:val="none"/>
          <w:lang w:eastAsia="zh-CN"/>
        </w:rPr>
        <w:t>比选项目比选人</w:t>
      </w: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39387EA9">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1.1.5本</w:t>
      </w:r>
      <w:r>
        <w:rPr>
          <w:rFonts w:hint="eastAsia" w:ascii="宋体" w:hAnsi="宋体" w:eastAsia="宋体" w:cs="宋体"/>
          <w:color w:val="auto"/>
          <w:sz w:val="21"/>
          <w:szCs w:val="21"/>
          <w:highlight w:val="none"/>
          <w:lang w:eastAsia="zh-CN"/>
        </w:rPr>
        <w:t>比选项目</w:t>
      </w:r>
      <w:r>
        <w:rPr>
          <w:rFonts w:hint="eastAsia" w:ascii="宋体" w:hAnsi="宋体" w:eastAsia="宋体" w:cs="宋体"/>
          <w:color w:val="auto"/>
          <w:sz w:val="21"/>
          <w:szCs w:val="21"/>
          <w:highlight w:val="none"/>
        </w:rPr>
        <w:t>招标代理机构：见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29B45CBA">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1.1.6本次招标方式：见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4D03D20D">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1.1.7本</w:t>
      </w:r>
      <w:r>
        <w:rPr>
          <w:rFonts w:hint="eastAsia" w:ascii="宋体" w:hAnsi="宋体" w:eastAsia="宋体" w:cs="宋体"/>
          <w:color w:val="auto"/>
          <w:sz w:val="21"/>
          <w:szCs w:val="21"/>
          <w:highlight w:val="none"/>
          <w:lang w:eastAsia="zh-CN"/>
        </w:rPr>
        <w:t>比选项目</w:t>
      </w:r>
      <w:r>
        <w:rPr>
          <w:rFonts w:hint="eastAsia" w:ascii="宋体" w:hAnsi="宋体" w:eastAsia="宋体" w:cs="宋体"/>
          <w:color w:val="auto"/>
          <w:sz w:val="21"/>
          <w:szCs w:val="21"/>
          <w:highlight w:val="none"/>
        </w:rPr>
        <w:t>工程概况：见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678E5DAA">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60" w:name="_Toc14734"/>
      <w:bookmarkStart w:id="61" w:name="_Toc23145"/>
      <w:bookmarkStart w:id="62" w:name="_Toc30970"/>
      <w:bookmarkStart w:id="63" w:name="_Toc10805"/>
      <w:bookmarkStart w:id="64" w:name="_Toc1461"/>
      <w:bookmarkStart w:id="65" w:name="_Toc21277"/>
      <w:bookmarkStart w:id="66" w:name="_Toc30719"/>
      <w:bookmarkStart w:id="67" w:name="_Toc9405"/>
      <w:bookmarkStart w:id="68" w:name="_Toc29963"/>
      <w:r>
        <w:rPr>
          <w:rFonts w:hint="eastAsia" w:ascii="宋体" w:hAnsi="宋体" w:eastAsia="宋体" w:cs="宋体"/>
          <w:color w:val="auto"/>
          <w:sz w:val="21"/>
          <w:szCs w:val="21"/>
          <w:highlight w:val="none"/>
        </w:rPr>
        <w:t>1.2资金来源和落实情况</w:t>
      </w:r>
      <w:bookmarkEnd w:id="60"/>
      <w:bookmarkEnd w:id="61"/>
      <w:bookmarkEnd w:id="62"/>
      <w:bookmarkEnd w:id="63"/>
      <w:bookmarkEnd w:id="64"/>
      <w:bookmarkEnd w:id="65"/>
      <w:bookmarkEnd w:id="66"/>
      <w:bookmarkEnd w:id="67"/>
      <w:bookmarkEnd w:id="68"/>
    </w:p>
    <w:p w14:paraId="2EBAD675">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1.2.1本</w:t>
      </w:r>
      <w:r>
        <w:rPr>
          <w:rFonts w:hint="eastAsia" w:ascii="宋体" w:hAnsi="宋体" w:eastAsia="宋体" w:cs="宋体"/>
          <w:color w:val="auto"/>
          <w:sz w:val="21"/>
          <w:szCs w:val="21"/>
          <w:highlight w:val="none"/>
          <w:lang w:eastAsia="zh-CN"/>
        </w:rPr>
        <w:t>比选项目</w:t>
      </w:r>
      <w:r>
        <w:rPr>
          <w:rFonts w:hint="eastAsia" w:ascii="宋体" w:hAnsi="宋体" w:eastAsia="宋体" w:cs="宋体"/>
          <w:color w:val="auto"/>
          <w:sz w:val="21"/>
          <w:szCs w:val="21"/>
          <w:highlight w:val="none"/>
        </w:rPr>
        <w:t>的资金来源：见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3A89C15B">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1.2.2本</w:t>
      </w:r>
      <w:r>
        <w:rPr>
          <w:rFonts w:hint="eastAsia" w:ascii="宋体" w:hAnsi="宋体" w:eastAsia="宋体" w:cs="宋体"/>
          <w:color w:val="auto"/>
          <w:sz w:val="21"/>
          <w:szCs w:val="21"/>
          <w:highlight w:val="none"/>
          <w:lang w:eastAsia="zh-CN"/>
        </w:rPr>
        <w:t>比选项目</w:t>
      </w:r>
      <w:r>
        <w:rPr>
          <w:rFonts w:hint="eastAsia" w:ascii="宋体" w:hAnsi="宋体" w:eastAsia="宋体" w:cs="宋体"/>
          <w:color w:val="auto"/>
          <w:sz w:val="21"/>
          <w:szCs w:val="21"/>
          <w:highlight w:val="none"/>
        </w:rPr>
        <w:t>的出资比例：见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302F0D1B">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1.2.3本</w:t>
      </w:r>
      <w:r>
        <w:rPr>
          <w:rFonts w:hint="eastAsia" w:ascii="宋体" w:hAnsi="宋体" w:eastAsia="宋体" w:cs="宋体"/>
          <w:color w:val="auto"/>
          <w:sz w:val="21"/>
          <w:szCs w:val="21"/>
          <w:highlight w:val="none"/>
          <w:lang w:eastAsia="zh-CN"/>
        </w:rPr>
        <w:t>比选项目</w:t>
      </w:r>
      <w:r>
        <w:rPr>
          <w:rFonts w:hint="eastAsia" w:ascii="宋体" w:hAnsi="宋体" w:eastAsia="宋体" w:cs="宋体"/>
          <w:color w:val="auto"/>
          <w:sz w:val="21"/>
          <w:szCs w:val="21"/>
          <w:highlight w:val="none"/>
        </w:rPr>
        <w:t>的资金落实情况：见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7D3D80D3">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69" w:name="_Toc2045"/>
      <w:bookmarkStart w:id="70" w:name="_Toc21295"/>
      <w:bookmarkStart w:id="71" w:name="_Toc27501"/>
      <w:bookmarkStart w:id="72" w:name="_Toc31546"/>
      <w:bookmarkStart w:id="73" w:name="_Toc31650"/>
      <w:bookmarkStart w:id="74" w:name="_Toc22558"/>
      <w:bookmarkStart w:id="75" w:name="_Toc1231"/>
      <w:bookmarkStart w:id="76" w:name="_Toc8169"/>
      <w:bookmarkStart w:id="77" w:name="_Toc20238"/>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lang w:eastAsia="zh-CN"/>
        </w:rPr>
        <w:t>比选范围</w:t>
      </w:r>
      <w:r>
        <w:rPr>
          <w:rFonts w:hint="eastAsia" w:ascii="宋体" w:hAnsi="宋体" w:eastAsia="宋体" w:cs="宋体"/>
          <w:color w:val="auto"/>
          <w:sz w:val="21"/>
          <w:szCs w:val="21"/>
          <w:highlight w:val="none"/>
        </w:rPr>
        <w:t>、计划工期</w:t>
      </w:r>
      <w:bookmarkEnd w:id="69"/>
      <w:bookmarkEnd w:id="70"/>
      <w:bookmarkEnd w:id="71"/>
      <w:bookmarkEnd w:id="72"/>
      <w:bookmarkEnd w:id="73"/>
      <w:bookmarkEnd w:id="74"/>
      <w:bookmarkEnd w:id="75"/>
      <w:bookmarkEnd w:id="76"/>
      <w:bookmarkEnd w:id="77"/>
    </w:p>
    <w:p w14:paraId="4CDD264C">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1.3.1本次</w:t>
      </w:r>
      <w:r>
        <w:rPr>
          <w:rFonts w:hint="eastAsia" w:ascii="宋体" w:hAnsi="宋体" w:eastAsia="宋体" w:cs="宋体"/>
          <w:color w:val="auto"/>
          <w:sz w:val="21"/>
          <w:szCs w:val="21"/>
          <w:highlight w:val="none"/>
          <w:lang w:eastAsia="zh-CN"/>
        </w:rPr>
        <w:t>比选范围</w:t>
      </w:r>
      <w:r>
        <w:rPr>
          <w:rFonts w:hint="eastAsia" w:ascii="宋体" w:hAnsi="宋体" w:eastAsia="宋体" w:cs="宋体"/>
          <w:color w:val="auto"/>
          <w:sz w:val="21"/>
          <w:szCs w:val="21"/>
          <w:highlight w:val="none"/>
        </w:rPr>
        <w:t>、标段划分：见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7DA035A7">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1.3.2本</w:t>
      </w:r>
      <w:r>
        <w:rPr>
          <w:rFonts w:hint="eastAsia" w:ascii="宋体" w:hAnsi="宋体" w:eastAsia="宋体" w:cs="宋体"/>
          <w:color w:val="auto"/>
          <w:sz w:val="21"/>
          <w:szCs w:val="21"/>
          <w:highlight w:val="none"/>
          <w:lang w:eastAsia="zh-CN"/>
        </w:rPr>
        <w:t>比选项目</w:t>
      </w:r>
      <w:r>
        <w:rPr>
          <w:rFonts w:hint="eastAsia" w:ascii="宋体" w:hAnsi="宋体" w:eastAsia="宋体" w:cs="宋体"/>
          <w:color w:val="auto"/>
          <w:sz w:val="21"/>
          <w:szCs w:val="21"/>
          <w:highlight w:val="none"/>
        </w:rPr>
        <w:t>的计划工期：见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32EFFD4F">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78" w:name="_Toc31381"/>
      <w:bookmarkStart w:id="79" w:name="_Toc15810"/>
      <w:bookmarkStart w:id="80" w:name="_Toc3917"/>
      <w:bookmarkStart w:id="81" w:name="_Toc31869"/>
      <w:bookmarkStart w:id="82" w:name="_Toc6336"/>
      <w:bookmarkStart w:id="83" w:name="_Toc21622"/>
      <w:bookmarkStart w:id="84" w:name="_Toc15419"/>
      <w:bookmarkStart w:id="85" w:name="_Toc25833"/>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资格要求</w:t>
      </w:r>
      <w:bookmarkEnd w:id="78"/>
      <w:bookmarkEnd w:id="79"/>
      <w:bookmarkEnd w:id="80"/>
      <w:bookmarkEnd w:id="81"/>
      <w:bookmarkEnd w:id="82"/>
      <w:bookmarkEnd w:id="83"/>
      <w:bookmarkEnd w:id="84"/>
      <w:bookmarkEnd w:id="85"/>
    </w:p>
    <w:bookmarkEnd w:id="48"/>
    <w:bookmarkEnd w:id="49"/>
    <w:p w14:paraId="33652844">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应具备承担本项目的资质条件、能力和信誉。</w:t>
      </w:r>
    </w:p>
    <w:p w14:paraId="685239DE">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参选人</w:t>
      </w:r>
      <w:r>
        <w:rPr>
          <w:rFonts w:hint="eastAsia" w:ascii="宋体" w:hAnsi="宋体" w:eastAsia="宋体" w:cs="宋体"/>
          <w:color w:val="auto"/>
          <w:sz w:val="21"/>
          <w:szCs w:val="21"/>
          <w:highlight w:val="none"/>
        </w:rPr>
        <w:t>资质条件：见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1DE6644A">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（2）其他要求：见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1DE298BB">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前附表规定接受联合体投标的，应符合本章第1.4.1项和</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前附表的要求。</w:t>
      </w:r>
    </w:p>
    <w:p w14:paraId="3CFC107A">
      <w:pPr>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1.4.3有下列情形之一</w:t>
      </w:r>
      <w:r>
        <w:rPr>
          <w:rFonts w:hint="eastAsia" w:ascii="宋体" w:hAnsi="宋体" w:eastAsia="宋体" w:cs="宋体"/>
          <w:b/>
          <w:color w:val="auto"/>
          <w:sz w:val="21"/>
          <w:szCs w:val="21"/>
          <w:highlight w:val="none"/>
          <w:lang w:eastAsia="zh-CN"/>
        </w:rPr>
        <w:t>参选人</w:t>
      </w:r>
      <w:r>
        <w:rPr>
          <w:rFonts w:hint="eastAsia" w:ascii="宋体" w:hAnsi="宋体" w:eastAsia="宋体" w:cs="宋体"/>
          <w:b/>
          <w:color w:val="auto"/>
          <w:sz w:val="21"/>
          <w:szCs w:val="21"/>
          <w:highlight w:val="none"/>
        </w:rPr>
        <w:t>不得投标：</w:t>
      </w:r>
    </w:p>
    <w:p w14:paraId="7F41E59A">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（1）为</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不具有独立法人资格的附属机构（单位）；</w:t>
      </w:r>
    </w:p>
    <w:p w14:paraId="58508115">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（2）被责令停业的；</w:t>
      </w:r>
    </w:p>
    <w:p w14:paraId="757A7347">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（3）被暂停或取消投标资格的；</w:t>
      </w:r>
    </w:p>
    <w:p w14:paraId="0143B658">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（4）财产被接管或冻结的；</w:t>
      </w:r>
    </w:p>
    <w:p w14:paraId="6F553FAA">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（5）在最近三年内有骗取</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或严重违约或重大工程质量、环境、安全问题的；</w:t>
      </w:r>
    </w:p>
    <w:p w14:paraId="0E4F418A">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（6）项目负责人有行贿或其他犯罪记录的；</w:t>
      </w:r>
    </w:p>
    <w:p w14:paraId="5FC021C2">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（7）被司法机关列入失信被执行人名单的。</w:t>
      </w:r>
    </w:p>
    <w:p w14:paraId="4FF36A9E">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86" w:name="_Toc13995"/>
      <w:bookmarkStart w:id="87" w:name="_Toc30605"/>
      <w:bookmarkStart w:id="88" w:name="_Toc10317"/>
      <w:bookmarkStart w:id="89" w:name="_Toc29003"/>
      <w:bookmarkStart w:id="90" w:name="_Toc137"/>
      <w:bookmarkStart w:id="91" w:name="_Toc3214"/>
      <w:bookmarkStart w:id="92" w:name="_Toc4563"/>
      <w:bookmarkStart w:id="93" w:name="_Toc19551"/>
      <w:r>
        <w:rPr>
          <w:rFonts w:hint="eastAsia" w:ascii="宋体" w:hAnsi="宋体" w:eastAsia="宋体" w:cs="宋体"/>
          <w:color w:val="auto"/>
          <w:sz w:val="21"/>
          <w:szCs w:val="21"/>
          <w:highlight w:val="none"/>
        </w:rPr>
        <w:t>1.5费用承担</w:t>
      </w:r>
      <w:bookmarkEnd w:id="86"/>
      <w:bookmarkEnd w:id="87"/>
      <w:bookmarkEnd w:id="88"/>
      <w:bookmarkEnd w:id="89"/>
      <w:bookmarkEnd w:id="90"/>
      <w:bookmarkEnd w:id="91"/>
      <w:bookmarkEnd w:id="92"/>
      <w:bookmarkEnd w:id="93"/>
    </w:p>
    <w:p w14:paraId="5A6F8D9F">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准备和参加</w:t>
      </w:r>
      <w:r>
        <w:rPr>
          <w:rFonts w:hint="eastAsia" w:ascii="宋体" w:hAnsi="宋体" w:eastAsia="宋体" w:cs="宋体"/>
          <w:color w:val="auto"/>
          <w:sz w:val="21"/>
          <w:szCs w:val="21"/>
          <w:highlight w:val="none"/>
          <w:lang w:val="en-US" w:eastAsia="zh-CN"/>
        </w:rPr>
        <w:t>参选</w:t>
      </w:r>
      <w:r>
        <w:rPr>
          <w:rFonts w:hint="eastAsia" w:ascii="宋体" w:hAnsi="宋体" w:eastAsia="宋体" w:cs="宋体"/>
          <w:color w:val="auto"/>
          <w:sz w:val="21"/>
          <w:szCs w:val="21"/>
          <w:highlight w:val="none"/>
        </w:rPr>
        <w:t>活动发生的所有费用自理。</w:t>
      </w:r>
    </w:p>
    <w:bookmarkEnd w:id="50"/>
    <w:p w14:paraId="165E335E">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94" w:name="_Toc11215"/>
      <w:bookmarkStart w:id="95" w:name="_Toc19638"/>
      <w:bookmarkStart w:id="96" w:name="_Toc32601"/>
      <w:bookmarkStart w:id="97" w:name="_Toc28205"/>
      <w:bookmarkStart w:id="98" w:name="_Toc14920"/>
      <w:bookmarkStart w:id="99" w:name="_Toc17317"/>
      <w:bookmarkStart w:id="100" w:name="_Toc15325"/>
      <w:bookmarkStart w:id="101" w:name="_Toc19463"/>
      <w:r>
        <w:rPr>
          <w:rFonts w:hint="eastAsia" w:ascii="宋体" w:hAnsi="宋体" w:eastAsia="宋体" w:cs="宋体"/>
          <w:color w:val="auto"/>
          <w:sz w:val="21"/>
          <w:szCs w:val="21"/>
          <w:highlight w:val="none"/>
        </w:rPr>
        <w:t>1.6保密</w:t>
      </w:r>
      <w:bookmarkEnd w:id="94"/>
      <w:bookmarkEnd w:id="95"/>
      <w:bookmarkEnd w:id="96"/>
      <w:bookmarkEnd w:id="97"/>
      <w:bookmarkEnd w:id="98"/>
      <w:bookmarkEnd w:id="99"/>
      <w:bookmarkEnd w:id="100"/>
      <w:bookmarkEnd w:id="101"/>
    </w:p>
    <w:p w14:paraId="26EB177D">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w:t>
      </w:r>
      <w:r>
        <w:rPr>
          <w:rFonts w:hint="eastAsia" w:ascii="宋体" w:hAnsi="宋体" w:eastAsia="宋体" w:cs="宋体"/>
          <w:color w:val="auto"/>
          <w:sz w:val="21"/>
          <w:szCs w:val="21"/>
          <w:highlight w:val="none"/>
          <w:lang w:eastAsia="zh-CN"/>
        </w:rPr>
        <w:t>比选参选</w:t>
      </w:r>
      <w:r>
        <w:rPr>
          <w:rFonts w:hint="eastAsia" w:ascii="宋体" w:hAnsi="宋体" w:eastAsia="宋体" w:cs="宋体"/>
          <w:color w:val="auto"/>
          <w:sz w:val="21"/>
          <w:szCs w:val="21"/>
          <w:highlight w:val="none"/>
        </w:rPr>
        <w:t>活动的各方，均应当对</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提供的编标用技术资料和</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中的商业、技术等秘密保密，违者应当对由此造成的后果承担法律责任。</w:t>
      </w:r>
    </w:p>
    <w:p w14:paraId="26D54697">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102" w:name="_Toc31891"/>
      <w:bookmarkStart w:id="103" w:name="_Toc15654"/>
      <w:bookmarkStart w:id="104" w:name="_Toc15957"/>
      <w:bookmarkStart w:id="105" w:name="_Toc17808"/>
      <w:bookmarkStart w:id="106" w:name="_Toc32108"/>
      <w:bookmarkStart w:id="107" w:name="_Toc18301"/>
      <w:bookmarkStart w:id="108" w:name="_Toc18728"/>
      <w:bookmarkStart w:id="109" w:name="_Toc28192"/>
      <w:r>
        <w:rPr>
          <w:rFonts w:hint="eastAsia" w:ascii="宋体" w:hAnsi="宋体" w:eastAsia="宋体" w:cs="宋体"/>
          <w:color w:val="auto"/>
          <w:sz w:val="21"/>
          <w:szCs w:val="21"/>
          <w:highlight w:val="none"/>
        </w:rPr>
        <w:t>1.7 语言文字</w:t>
      </w:r>
      <w:bookmarkEnd w:id="102"/>
      <w:bookmarkEnd w:id="103"/>
      <w:bookmarkEnd w:id="104"/>
      <w:bookmarkEnd w:id="105"/>
      <w:bookmarkEnd w:id="106"/>
      <w:bookmarkEnd w:id="107"/>
      <w:bookmarkEnd w:id="108"/>
      <w:bookmarkEnd w:id="109"/>
    </w:p>
    <w:p w14:paraId="01E653AA">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除专用术语外，与</w:t>
      </w:r>
      <w:r>
        <w:rPr>
          <w:rFonts w:hint="eastAsia" w:ascii="宋体" w:hAnsi="宋体" w:eastAsia="宋体" w:cs="宋体"/>
          <w:color w:val="auto"/>
          <w:sz w:val="21"/>
          <w:szCs w:val="21"/>
          <w:highlight w:val="none"/>
          <w:lang w:eastAsia="zh-CN"/>
        </w:rPr>
        <w:t>比选参选</w:t>
      </w:r>
      <w:r>
        <w:rPr>
          <w:rFonts w:hint="eastAsia" w:ascii="宋体" w:hAnsi="宋体" w:eastAsia="宋体" w:cs="宋体"/>
          <w:color w:val="auto"/>
          <w:sz w:val="21"/>
          <w:szCs w:val="21"/>
          <w:highlight w:val="none"/>
        </w:rPr>
        <w:t>有关的语言均使用中文。必要时专用术语应附有中文注释。</w:t>
      </w:r>
    </w:p>
    <w:p w14:paraId="0F4E0604">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110" w:name="_Toc29206"/>
      <w:bookmarkStart w:id="111" w:name="_Toc13415"/>
      <w:bookmarkStart w:id="112" w:name="_Toc7975"/>
      <w:bookmarkStart w:id="113" w:name="_Toc21257"/>
      <w:bookmarkStart w:id="114" w:name="_Toc1380"/>
      <w:bookmarkStart w:id="115" w:name="_Toc31016"/>
      <w:bookmarkStart w:id="116" w:name="_Toc22600"/>
      <w:bookmarkStart w:id="117" w:name="_Toc625"/>
      <w:r>
        <w:rPr>
          <w:rFonts w:hint="eastAsia" w:ascii="宋体" w:hAnsi="宋体" w:eastAsia="宋体" w:cs="宋体"/>
          <w:color w:val="auto"/>
          <w:sz w:val="21"/>
          <w:szCs w:val="21"/>
          <w:highlight w:val="none"/>
        </w:rPr>
        <w:t>1.8计量单位</w:t>
      </w:r>
      <w:bookmarkEnd w:id="110"/>
      <w:bookmarkEnd w:id="111"/>
      <w:bookmarkEnd w:id="112"/>
      <w:bookmarkEnd w:id="113"/>
      <w:bookmarkEnd w:id="114"/>
      <w:bookmarkEnd w:id="115"/>
      <w:bookmarkEnd w:id="116"/>
      <w:bookmarkEnd w:id="117"/>
    </w:p>
    <w:p w14:paraId="1DBACB40">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所有计量均采用中华人民共和国法定计量单位。</w:t>
      </w:r>
    </w:p>
    <w:p w14:paraId="1EC64091">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118" w:name="_Toc16454"/>
      <w:bookmarkStart w:id="119" w:name="_Toc30702"/>
      <w:bookmarkStart w:id="120" w:name="_Toc26040"/>
      <w:bookmarkStart w:id="121" w:name="_Toc22047"/>
      <w:bookmarkStart w:id="122" w:name="_Toc6996"/>
      <w:bookmarkStart w:id="123" w:name="_Toc19004"/>
      <w:bookmarkStart w:id="124" w:name="_Toc14886"/>
      <w:bookmarkStart w:id="125" w:name="_Toc25630"/>
      <w:r>
        <w:rPr>
          <w:rFonts w:hint="eastAsia" w:ascii="宋体" w:hAnsi="宋体" w:eastAsia="宋体" w:cs="宋体"/>
          <w:color w:val="auto"/>
          <w:sz w:val="21"/>
          <w:szCs w:val="21"/>
          <w:highlight w:val="none"/>
        </w:rPr>
        <w:t>1.9现场考察</w:t>
      </w:r>
      <w:bookmarkEnd w:id="118"/>
      <w:bookmarkEnd w:id="119"/>
      <w:bookmarkEnd w:id="120"/>
      <w:bookmarkEnd w:id="121"/>
      <w:bookmarkEnd w:id="122"/>
      <w:bookmarkEnd w:id="123"/>
      <w:bookmarkEnd w:id="124"/>
      <w:bookmarkEnd w:id="125"/>
    </w:p>
    <w:p w14:paraId="71D59155">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bookmarkStart w:id="126" w:name="_Toc131912004"/>
      <w:r>
        <w:rPr>
          <w:rFonts w:hint="eastAsia" w:ascii="宋体" w:hAnsi="宋体" w:eastAsia="宋体" w:cs="宋体"/>
          <w:color w:val="auto"/>
          <w:sz w:val="21"/>
          <w:szCs w:val="21"/>
          <w:highlight w:val="none"/>
        </w:rPr>
        <w:t>1.9.1</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可在</w:t>
      </w:r>
      <w:r>
        <w:rPr>
          <w:rFonts w:hint="eastAsia" w:ascii="宋体" w:hAnsi="宋体" w:eastAsia="宋体" w:cs="宋体"/>
          <w:color w:val="auto"/>
          <w:sz w:val="21"/>
          <w:szCs w:val="21"/>
          <w:highlight w:val="none"/>
          <w:lang w:eastAsia="zh-CN"/>
        </w:rPr>
        <w:t>参选须知前附表</w:t>
      </w:r>
      <w:r>
        <w:rPr>
          <w:rFonts w:hint="eastAsia" w:ascii="宋体" w:hAnsi="宋体" w:eastAsia="宋体" w:cs="宋体"/>
          <w:color w:val="auto"/>
          <w:sz w:val="21"/>
          <w:szCs w:val="21"/>
          <w:highlight w:val="none"/>
        </w:rPr>
        <w:t>中写明的地点和时间对工程现场及周围环境进行一次实地考察，以便查明或核实有关编制</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和签订合同所必需的一切资料。</w:t>
      </w:r>
    </w:p>
    <w:p w14:paraId="5952A60F">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1.9.2现场考察期间的交通、食宿由</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自行安排，费用自理。</w:t>
      </w:r>
    </w:p>
    <w:p w14:paraId="559CF13E">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经过</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的允许，还可以在其他时间自行进入工程现场进行考察，但</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不得因此请求</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及招标代理机构承担有关的责任或损失。</w:t>
      </w:r>
    </w:p>
    <w:p w14:paraId="42A04461">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1.9.4现场考察过程中，</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如发生人身伤亡、财产或其他损失、损害等，不论何种原因所造成，</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及招标代理机构概不承担责任。</w:t>
      </w:r>
    </w:p>
    <w:p w14:paraId="66953ECE">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1.9.5因</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原因未考察现场的，由其自身承担相应后果。</w:t>
      </w:r>
      <w:bookmarkEnd w:id="126"/>
      <w:bookmarkStart w:id="127" w:name="_Toc131912005"/>
    </w:p>
    <w:bookmarkEnd w:id="127"/>
    <w:p w14:paraId="0B554F0C">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lang w:eastAsia="zh-CN"/>
        </w:rPr>
      </w:pPr>
      <w:bookmarkStart w:id="128" w:name="_Toc20036"/>
      <w:bookmarkStart w:id="129" w:name="_Toc23745"/>
      <w:bookmarkStart w:id="130" w:name="_Toc22597"/>
      <w:bookmarkStart w:id="131" w:name="_Toc20370"/>
      <w:bookmarkStart w:id="132" w:name="_Toc2192"/>
      <w:bookmarkStart w:id="133" w:name="_Toc20712"/>
      <w:bookmarkStart w:id="134" w:name="_Toc2993"/>
      <w:bookmarkStart w:id="135" w:name="_Toc26186"/>
      <w:r>
        <w:rPr>
          <w:rFonts w:hint="eastAsia" w:ascii="宋体" w:hAnsi="宋体" w:eastAsia="宋体" w:cs="宋体"/>
          <w:color w:val="auto"/>
          <w:sz w:val="21"/>
          <w:szCs w:val="21"/>
          <w:highlight w:val="none"/>
        </w:rPr>
        <w:t>1.10</w:t>
      </w:r>
      <w:bookmarkEnd w:id="128"/>
      <w:bookmarkEnd w:id="129"/>
      <w:bookmarkEnd w:id="130"/>
      <w:bookmarkEnd w:id="131"/>
      <w:bookmarkEnd w:id="132"/>
      <w:bookmarkEnd w:id="133"/>
      <w:r>
        <w:rPr>
          <w:rFonts w:hint="eastAsia" w:ascii="宋体" w:hAnsi="宋体" w:eastAsia="宋体" w:cs="宋体"/>
          <w:color w:val="auto"/>
          <w:sz w:val="21"/>
          <w:szCs w:val="21"/>
          <w:highlight w:val="none"/>
          <w:lang w:eastAsia="zh-CN"/>
        </w:rPr>
        <w:t>参选预备会</w:t>
      </w:r>
      <w:bookmarkEnd w:id="134"/>
      <w:bookmarkEnd w:id="135"/>
    </w:p>
    <w:p w14:paraId="6DAE6772">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1.10.1</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前附表规定召开</w:t>
      </w:r>
      <w:r>
        <w:rPr>
          <w:rFonts w:hint="eastAsia" w:ascii="宋体" w:hAnsi="宋体" w:eastAsia="宋体" w:cs="宋体"/>
          <w:color w:val="auto"/>
          <w:sz w:val="21"/>
          <w:szCs w:val="21"/>
          <w:highlight w:val="none"/>
          <w:lang w:eastAsia="zh-CN"/>
        </w:rPr>
        <w:t>参选预备会</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按</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前附表规定的时间和地点召开</w:t>
      </w:r>
      <w:r>
        <w:rPr>
          <w:rFonts w:hint="eastAsia" w:ascii="宋体" w:hAnsi="宋体" w:eastAsia="宋体" w:cs="宋体"/>
          <w:color w:val="auto"/>
          <w:sz w:val="21"/>
          <w:szCs w:val="21"/>
          <w:highlight w:val="none"/>
          <w:lang w:eastAsia="zh-CN"/>
        </w:rPr>
        <w:t>参选预备会</w:t>
      </w:r>
      <w:r>
        <w:rPr>
          <w:rFonts w:hint="eastAsia" w:ascii="宋体" w:hAnsi="宋体" w:eastAsia="宋体" w:cs="宋体"/>
          <w:color w:val="auto"/>
          <w:sz w:val="21"/>
          <w:szCs w:val="21"/>
          <w:highlight w:val="none"/>
        </w:rPr>
        <w:t>，澄清</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提出的问题。</w:t>
      </w:r>
    </w:p>
    <w:p w14:paraId="49DFBAFF">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1.10.2</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应在</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前附表规定的时间前，以书面形式将提出的问题送达</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，以便</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在会议期间澄清。</w:t>
      </w:r>
    </w:p>
    <w:p w14:paraId="1CE86EB4">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1.10.3</w:t>
      </w:r>
      <w:r>
        <w:rPr>
          <w:rFonts w:hint="eastAsia" w:ascii="宋体" w:hAnsi="宋体" w:eastAsia="宋体" w:cs="宋体"/>
          <w:color w:val="auto"/>
          <w:sz w:val="21"/>
          <w:szCs w:val="21"/>
          <w:highlight w:val="none"/>
          <w:lang w:eastAsia="zh-CN"/>
        </w:rPr>
        <w:t>参选预备会</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前附表规定的时间内，将对</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所提问题的澄清，以书面方式通知所有购买</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。该澄清内容为</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的组成部分。</w:t>
      </w:r>
    </w:p>
    <w:p w14:paraId="0EDFC399">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136" w:name="_Toc23676"/>
      <w:bookmarkStart w:id="137" w:name="_Toc29209"/>
      <w:bookmarkStart w:id="138" w:name="_Toc2451"/>
      <w:bookmarkStart w:id="139" w:name="_Toc2610"/>
      <w:bookmarkStart w:id="140" w:name="_Toc26647"/>
      <w:bookmarkStart w:id="141" w:name="_Toc17109"/>
      <w:bookmarkStart w:id="142" w:name="_Toc24947"/>
      <w:bookmarkStart w:id="143" w:name="_Toc18904"/>
      <w:r>
        <w:rPr>
          <w:rFonts w:hint="eastAsia" w:ascii="宋体" w:hAnsi="宋体" w:eastAsia="宋体" w:cs="宋体"/>
          <w:color w:val="auto"/>
          <w:sz w:val="21"/>
          <w:szCs w:val="21"/>
          <w:highlight w:val="none"/>
        </w:rPr>
        <w:t>1.11分包</w:t>
      </w:r>
      <w:bookmarkEnd w:id="136"/>
      <w:bookmarkEnd w:id="137"/>
      <w:bookmarkEnd w:id="138"/>
      <w:bookmarkEnd w:id="139"/>
      <w:bookmarkEnd w:id="140"/>
      <w:bookmarkEnd w:id="141"/>
      <w:bookmarkEnd w:id="142"/>
      <w:bookmarkEnd w:id="143"/>
    </w:p>
    <w:p w14:paraId="71823B24">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拟在</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后将</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项目的部分非主体、非关键性工作进行分包的，应符合</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前附表规定的分包内容、分包金额和接受分包的第三人资质要求等限制性条件并在</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后订立合同前书面向</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披露，取得</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的同意。</w:t>
      </w:r>
    </w:p>
    <w:p w14:paraId="6B7CA4D0">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144" w:name="_Toc30525"/>
      <w:bookmarkStart w:id="145" w:name="_Toc22748"/>
      <w:bookmarkStart w:id="146" w:name="_Toc3166"/>
      <w:bookmarkStart w:id="147" w:name="_Toc24978"/>
      <w:bookmarkStart w:id="148" w:name="_Toc29094"/>
      <w:bookmarkStart w:id="149" w:name="_Toc1615"/>
      <w:bookmarkStart w:id="150" w:name="_Toc31585"/>
      <w:bookmarkStart w:id="151" w:name="_Toc10560"/>
      <w:r>
        <w:rPr>
          <w:rFonts w:hint="eastAsia" w:ascii="宋体" w:hAnsi="宋体" w:eastAsia="宋体" w:cs="宋体"/>
          <w:color w:val="auto"/>
          <w:sz w:val="21"/>
          <w:szCs w:val="21"/>
          <w:highlight w:val="none"/>
        </w:rPr>
        <w:t>1.12偏离</w:t>
      </w:r>
      <w:bookmarkEnd w:id="144"/>
      <w:bookmarkEnd w:id="145"/>
      <w:bookmarkEnd w:id="146"/>
      <w:bookmarkEnd w:id="147"/>
      <w:bookmarkEnd w:id="148"/>
      <w:bookmarkEnd w:id="149"/>
      <w:bookmarkEnd w:id="150"/>
      <w:bookmarkEnd w:id="151"/>
    </w:p>
    <w:p w14:paraId="683B1818">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前附表允许</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偏离</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某些要求的，偏离应当符合</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规定的偏离范围和幅度。</w:t>
      </w:r>
      <w:bookmarkEnd w:id="51"/>
    </w:p>
    <w:p w14:paraId="4F818845">
      <w:pPr>
        <w:pStyle w:val="2"/>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b/>
          <w:bCs/>
          <w:color w:val="auto"/>
          <w:sz w:val="21"/>
          <w:szCs w:val="21"/>
          <w:highlight w:val="none"/>
          <w:lang w:eastAsia="zh-CN"/>
        </w:rPr>
      </w:pPr>
      <w:bookmarkStart w:id="152" w:name="_Toc27971"/>
      <w:bookmarkStart w:id="153" w:name="_Toc27168"/>
      <w:bookmarkStart w:id="154" w:name="_Toc15228"/>
      <w:bookmarkStart w:id="155" w:name="_Toc6526"/>
      <w:bookmarkStart w:id="156" w:name="_Toc20076"/>
      <w:bookmarkStart w:id="157" w:name="_Toc1601"/>
      <w:bookmarkStart w:id="158" w:name="_Toc28753"/>
      <w:r>
        <w:rPr>
          <w:rFonts w:hint="eastAsia" w:ascii="宋体" w:hAnsi="宋体" w:eastAsia="宋体" w:cs="宋体"/>
          <w:b/>
          <w:bCs/>
          <w:color w:val="auto"/>
          <w:sz w:val="21"/>
          <w:szCs w:val="21"/>
          <w:highlight w:val="none"/>
        </w:rPr>
        <w:t>2</w:t>
      </w:r>
      <w:bookmarkEnd w:id="152"/>
      <w:bookmarkEnd w:id="153"/>
      <w:bookmarkEnd w:id="154"/>
      <w:bookmarkEnd w:id="155"/>
      <w:bookmarkEnd w:id="156"/>
      <w:bookmarkEnd w:id="157"/>
      <w:r>
        <w:rPr>
          <w:rFonts w:hint="eastAsia" w:ascii="宋体" w:hAnsi="宋体" w:eastAsia="宋体" w:cs="宋体"/>
          <w:b/>
          <w:bCs/>
          <w:color w:val="auto"/>
          <w:sz w:val="21"/>
          <w:szCs w:val="21"/>
          <w:highlight w:val="none"/>
          <w:lang w:eastAsia="zh-CN"/>
        </w:rPr>
        <w:t>比选文件</w:t>
      </w:r>
      <w:bookmarkEnd w:id="158"/>
    </w:p>
    <w:p w14:paraId="24473365">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159" w:name="_Toc18076"/>
      <w:bookmarkStart w:id="160" w:name="_Toc19960"/>
      <w:bookmarkStart w:id="161" w:name="_Toc6409"/>
      <w:bookmarkStart w:id="162" w:name="_Toc29417"/>
      <w:bookmarkStart w:id="163" w:name="_Toc5361"/>
      <w:bookmarkStart w:id="164" w:name="_Toc4773"/>
      <w:bookmarkStart w:id="165" w:name="_Toc22414"/>
      <w:bookmarkStart w:id="166" w:name="_Toc27044"/>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的组成</w:t>
      </w:r>
      <w:bookmarkEnd w:id="159"/>
      <w:bookmarkEnd w:id="160"/>
      <w:bookmarkEnd w:id="161"/>
      <w:bookmarkEnd w:id="162"/>
      <w:bookmarkEnd w:id="163"/>
      <w:bookmarkEnd w:id="164"/>
      <w:bookmarkEnd w:id="165"/>
      <w:bookmarkEnd w:id="166"/>
    </w:p>
    <w:p w14:paraId="38B89C83">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除以下内容外，</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和招标代理机构在招标期间发出的答疑、会议纪要和补遗文件，均是</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的组成部分，对</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起约束作用。</w:t>
      </w:r>
    </w:p>
    <w:p w14:paraId="2A53923F">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包括下列内容：</w:t>
      </w:r>
    </w:p>
    <w:p w14:paraId="31E7221F">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第一卷 </w:t>
      </w:r>
      <w:r>
        <w:rPr>
          <w:rFonts w:hint="eastAsia" w:ascii="宋体" w:hAnsi="宋体" w:eastAsia="宋体" w:cs="宋体"/>
          <w:color w:val="auto"/>
          <w:sz w:val="21"/>
          <w:szCs w:val="21"/>
          <w:highlight w:val="none"/>
          <w:lang w:val="en-US" w:eastAsia="zh-CN"/>
        </w:rPr>
        <w:t>参选人</w:t>
      </w:r>
      <w:r>
        <w:rPr>
          <w:rFonts w:hint="eastAsia" w:ascii="宋体" w:hAnsi="宋体" w:eastAsia="宋体" w:cs="宋体"/>
          <w:color w:val="auto"/>
          <w:sz w:val="21"/>
          <w:szCs w:val="21"/>
          <w:highlight w:val="none"/>
        </w:rPr>
        <w:t>须知</w:t>
      </w:r>
    </w:p>
    <w:p w14:paraId="177198A5">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第二卷 合同条件</w:t>
      </w:r>
    </w:p>
    <w:p w14:paraId="1289F36D">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第三卷 用户需求书</w:t>
      </w:r>
    </w:p>
    <w:p w14:paraId="35529183">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第三卷</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格式</w:t>
      </w:r>
    </w:p>
    <w:p w14:paraId="5C137796">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根据本章第1.10款、第2.2款和第2.3款对</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所作的澄清、修改，构成</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的组成部分。如</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提供了</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格式的电子文件，如有不一致处，应以书面文件为准。</w:t>
      </w:r>
    </w:p>
    <w:p w14:paraId="3B51EEE3">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167" w:name="_Toc22244"/>
      <w:bookmarkStart w:id="168" w:name="_Toc3136"/>
      <w:bookmarkStart w:id="169" w:name="_Toc17251"/>
      <w:bookmarkStart w:id="170" w:name="_Toc13701"/>
      <w:bookmarkStart w:id="171" w:name="_Toc1088"/>
      <w:bookmarkStart w:id="172" w:name="_Toc6534"/>
      <w:bookmarkStart w:id="173" w:name="_Toc9180"/>
      <w:bookmarkStart w:id="174" w:name="_Toc652"/>
      <w:bookmarkStart w:id="175" w:name="_Toc131912015"/>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的澄清</w:t>
      </w:r>
      <w:bookmarkEnd w:id="167"/>
      <w:bookmarkEnd w:id="168"/>
      <w:bookmarkEnd w:id="169"/>
      <w:bookmarkEnd w:id="170"/>
      <w:bookmarkEnd w:id="171"/>
      <w:bookmarkEnd w:id="172"/>
      <w:bookmarkEnd w:id="173"/>
      <w:bookmarkEnd w:id="174"/>
    </w:p>
    <w:p w14:paraId="279D2CF3">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2.2.1 </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应仔细阅读和检查</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的全部内容。如发现缺页或附件不全，应及时向</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提出，以便补齐。如有疑问，应在</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前附表规定的时间前以电子邮件形式，要求</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对</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予以澄清。</w:t>
      </w:r>
    </w:p>
    <w:p w14:paraId="188980B6">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2.2.2 </w:t>
      </w:r>
      <w:r>
        <w:rPr>
          <w:rFonts w:hint="eastAsia" w:ascii="宋体" w:hAnsi="宋体" w:eastAsia="宋体" w:cs="宋体"/>
          <w:b/>
          <w:bCs/>
          <w:color w:val="auto"/>
          <w:sz w:val="21"/>
          <w:szCs w:val="21"/>
          <w:highlight w:val="none"/>
          <w:lang w:eastAsia="zh-CN"/>
        </w:rPr>
        <w:t>比选文件</w:t>
      </w:r>
      <w:r>
        <w:rPr>
          <w:rFonts w:hint="eastAsia" w:ascii="宋体" w:hAnsi="宋体" w:eastAsia="宋体" w:cs="宋体"/>
          <w:b/>
          <w:bCs/>
          <w:color w:val="auto"/>
          <w:sz w:val="21"/>
          <w:szCs w:val="21"/>
          <w:highlight w:val="none"/>
        </w:rPr>
        <w:t>的澄清将在</w:t>
      </w:r>
      <w:r>
        <w:rPr>
          <w:rFonts w:hint="eastAsia" w:ascii="宋体" w:hAnsi="宋体" w:eastAsia="宋体" w:cs="宋体"/>
          <w:b/>
          <w:bCs/>
          <w:color w:val="auto"/>
          <w:sz w:val="21"/>
          <w:szCs w:val="21"/>
          <w:highlight w:val="none"/>
          <w:lang w:eastAsia="zh-CN"/>
        </w:rPr>
        <w:t>参选人须知</w:t>
      </w:r>
      <w:r>
        <w:rPr>
          <w:rFonts w:hint="eastAsia" w:ascii="宋体" w:hAnsi="宋体" w:eastAsia="宋体" w:cs="宋体"/>
          <w:b/>
          <w:bCs/>
          <w:color w:val="auto"/>
          <w:sz w:val="21"/>
          <w:szCs w:val="21"/>
          <w:highlight w:val="none"/>
        </w:rPr>
        <w:t>前附表规定的</w:t>
      </w:r>
      <w:r>
        <w:rPr>
          <w:rFonts w:hint="eastAsia" w:ascii="宋体" w:hAnsi="宋体" w:eastAsia="宋体" w:cs="宋体"/>
          <w:b/>
          <w:bCs/>
          <w:color w:val="auto"/>
          <w:sz w:val="21"/>
          <w:szCs w:val="21"/>
          <w:highlight w:val="none"/>
          <w:lang w:eastAsia="zh-CN"/>
        </w:rPr>
        <w:t>参选截止时间</w:t>
      </w:r>
      <w:r>
        <w:rPr>
          <w:rFonts w:hint="eastAsia" w:ascii="宋体" w:hAnsi="宋体" w:eastAsia="宋体" w:cs="宋体"/>
          <w:b/>
          <w:bCs/>
          <w:color w:val="auto"/>
          <w:sz w:val="21"/>
          <w:szCs w:val="21"/>
          <w:highlight w:val="none"/>
        </w:rPr>
        <w:t>3天前以</w:t>
      </w:r>
      <w:r>
        <w:rPr>
          <w:rFonts w:hint="eastAsia" w:ascii="宋体" w:hAnsi="宋体" w:eastAsia="宋体" w:cs="宋体"/>
          <w:b/>
          <w:bCs/>
          <w:color w:val="auto"/>
          <w:sz w:val="21"/>
          <w:szCs w:val="21"/>
          <w:highlight w:val="none"/>
          <w:lang w:val="en-US" w:eastAsia="zh-CN"/>
        </w:rPr>
        <w:t>补充公告</w:t>
      </w:r>
      <w:r>
        <w:rPr>
          <w:rFonts w:hint="eastAsia" w:ascii="宋体" w:hAnsi="宋体" w:eastAsia="宋体" w:cs="宋体"/>
          <w:b/>
          <w:bCs/>
          <w:color w:val="auto"/>
          <w:sz w:val="21"/>
          <w:szCs w:val="21"/>
          <w:highlight w:val="none"/>
        </w:rPr>
        <w:t>形式</w:t>
      </w:r>
      <w:r>
        <w:rPr>
          <w:rFonts w:hint="eastAsia" w:ascii="宋体" w:hAnsi="宋体" w:eastAsia="宋体" w:cs="宋体"/>
          <w:b/>
          <w:bCs/>
          <w:sz w:val="21"/>
          <w:szCs w:val="21"/>
        </w:rPr>
        <w:t>在南通轨道交通集团有限公司官网发布，参选人应及时查看，因参选人错看漏看引起的一切问题由参选人自行承担</w:t>
      </w:r>
      <w:r>
        <w:rPr>
          <w:rFonts w:hint="eastAsia" w:ascii="宋体" w:hAnsi="宋体" w:eastAsia="宋体" w:cs="宋体"/>
          <w:color w:val="auto"/>
          <w:sz w:val="21"/>
          <w:szCs w:val="21"/>
          <w:highlight w:val="none"/>
        </w:rPr>
        <w:t>，但不指明澄清问题的来源。如果澄清发出的时间距</w:t>
      </w:r>
      <w:r>
        <w:rPr>
          <w:rFonts w:hint="eastAsia" w:ascii="宋体" w:hAnsi="宋体" w:eastAsia="宋体" w:cs="宋体"/>
          <w:color w:val="auto"/>
          <w:sz w:val="21"/>
          <w:szCs w:val="21"/>
          <w:highlight w:val="none"/>
          <w:lang w:eastAsia="zh-CN"/>
        </w:rPr>
        <w:t>参选截止时间</w:t>
      </w:r>
      <w:r>
        <w:rPr>
          <w:rFonts w:hint="eastAsia" w:ascii="宋体" w:hAnsi="宋体" w:eastAsia="宋体" w:cs="宋体"/>
          <w:color w:val="auto"/>
          <w:sz w:val="21"/>
          <w:szCs w:val="21"/>
          <w:highlight w:val="none"/>
        </w:rPr>
        <w:t>不足3天，相应延长</w:t>
      </w:r>
      <w:r>
        <w:rPr>
          <w:rFonts w:hint="eastAsia" w:ascii="宋体" w:hAnsi="宋体" w:eastAsia="宋体" w:cs="宋体"/>
          <w:color w:val="auto"/>
          <w:sz w:val="21"/>
          <w:szCs w:val="21"/>
          <w:highlight w:val="none"/>
          <w:lang w:eastAsia="zh-CN"/>
        </w:rPr>
        <w:t>参选截止时间</w:t>
      </w:r>
      <w:r>
        <w:rPr>
          <w:rFonts w:hint="eastAsia" w:ascii="宋体" w:hAnsi="宋体" w:eastAsia="宋体" w:cs="宋体"/>
          <w:color w:val="auto"/>
          <w:sz w:val="21"/>
          <w:szCs w:val="21"/>
          <w:highlight w:val="none"/>
        </w:rPr>
        <w:t>。</w:t>
      </w:r>
    </w:p>
    <w:p w14:paraId="5E328400">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176" w:name="_Toc12395"/>
      <w:bookmarkStart w:id="177" w:name="_Toc19989"/>
      <w:bookmarkStart w:id="178" w:name="_Toc31562"/>
      <w:bookmarkStart w:id="179" w:name="_Toc20321"/>
      <w:bookmarkStart w:id="180" w:name="_Toc23543"/>
      <w:bookmarkStart w:id="181" w:name="_Toc15010"/>
      <w:bookmarkStart w:id="182" w:name="_Toc14618"/>
      <w:bookmarkStart w:id="183" w:name="_Toc24512"/>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的修改</w:t>
      </w:r>
      <w:bookmarkEnd w:id="176"/>
      <w:bookmarkEnd w:id="177"/>
      <w:bookmarkEnd w:id="178"/>
      <w:bookmarkEnd w:id="179"/>
      <w:bookmarkEnd w:id="180"/>
      <w:bookmarkEnd w:id="181"/>
      <w:bookmarkEnd w:id="182"/>
      <w:bookmarkEnd w:id="183"/>
    </w:p>
    <w:p w14:paraId="77861104">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bookmarkStart w:id="184" w:name="_Toc10651"/>
      <w:bookmarkStart w:id="185" w:name="_Toc22238"/>
      <w:bookmarkStart w:id="186" w:name="_Toc26334"/>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参选截止时间</w:t>
      </w:r>
      <w:r>
        <w:rPr>
          <w:rFonts w:hint="eastAsia" w:ascii="宋体" w:hAnsi="宋体" w:eastAsia="宋体" w:cs="宋体"/>
          <w:color w:val="auto"/>
          <w:sz w:val="21"/>
          <w:szCs w:val="21"/>
          <w:highlight w:val="none"/>
        </w:rPr>
        <w:t>3天前，</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可以修改</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lang w:val="en-US" w:eastAsia="zh-CN"/>
        </w:rPr>
        <w:t>发布澄清文件</w:t>
      </w:r>
      <w:r>
        <w:rPr>
          <w:rFonts w:hint="eastAsia" w:ascii="宋体" w:hAnsi="宋体" w:eastAsia="宋体" w:cs="宋体"/>
          <w:color w:val="auto"/>
          <w:sz w:val="21"/>
          <w:szCs w:val="21"/>
          <w:highlight w:val="none"/>
        </w:rPr>
        <w:t>。如果修改</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的时间距</w:t>
      </w:r>
      <w:r>
        <w:rPr>
          <w:rFonts w:hint="eastAsia" w:ascii="宋体" w:hAnsi="宋体" w:eastAsia="宋体" w:cs="宋体"/>
          <w:color w:val="auto"/>
          <w:sz w:val="21"/>
          <w:szCs w:val="21"/>
          <w:highlight w:val="none"/>
          <w:lang w:eastAsia="zh-CN"/>
        </w:rPr>
        <w:t>参选截止时间</w:t>
      </w:r>
      <w:r>
        <w:rPr>
          <w:rFonts w:hint="eastAsia" w:ascii="宋体" w:hAnsi="宋体" w:eastAsia="宋体" w:cs="宋体"/>
          <w:color w:val="auto"/>
          <w:sz w:val="21"/>
          <w:szCs w:val="21"/>
          <w:highlight w:val="none"/>
        </w:rPr>
        <w:t>不足3天，相应延长</w:t>
      </w:r>
      <w:r>
        <w:rPr>
          <w:rFonts w:hint="eastAsia" w:ascii="宋体" w:hAnsi="宋体" w:eastAsia="宋体" w:cs="宋体"/>
          <w:color w:val="auto"/>
          <w:sz w:val="21"/>
          <w:szCs w:val="21"/>
          <w:highlight w:val="none"/>
          <w:lang w:eastAsia="zh-CN"/>
        </w:rPr>
        <w:t>参选截止时间</w:t>
      </w:r>
      <w:r>
        <w:rPr>
          <w:rFonts w:hint="eastAsia" w:ascii="宋体" w:hAnsi="宋体" w:eastAsia="宋体" w:cs="宋体"/>
          <w:color w:val="auto"/>
          <w:sz w:val="21"/>
          <w:szCs w:val="21"/>
          <w:highlight w:val="none"/>
        </w:rPr>
        <w:t>。</w:t>
      </w:r>
      <w:r>
        <w:rPr>
          <w:rFonts w:hint="eastAsia" w:ascii="宋体" w:hAnsi="宋体" w:eastAsia="宋体" w:cs="宋体"/>
          <w:b/>
          <w:bCs/>
          <w:sz w:val="21"/>
          <w:szCs w:val="21"/>
        </w:rPr>
        <w:t>澄清文件会在南通轨道交通集团有限公司官网发布，参选人应及时查看，因参选人错看漏看引起的一切问题由参选人自行承担。</w:t>
      </w:r>
    </w:p>
    <w:p w14:paraId="0F826ED9">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187" w:name="_Toc23289"/>
      <w:bookmarkStart w:id="188" w:name="_Toc13249"/>
      <w:bookmarkStart w:id="189" w:name="_Toc2940"/>
      <w:bookmarkStart w:id="190" w:name="_Toc11263"/>
      <w:bookmarkStart w:id="191" w:name="_Toc8981"/>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与合同的关系</w:t>
      </w:r>
      <w:bookmarkEnd w:id="175"/>
      <w:bookmarkEnd w:id="184"/>
      <w:bookmarkEnd w:id="185"/>
      <w:bookmarkEnd w:id="186"/>
      <w:bookmarkEnd w:id="187"/>
      <w:bookmarkEnd w:id="188"/>
      <w:bookmarkEnd w:id="189"/>
      <w:bookmarkEnd w:id="190"/>
      <w:bookmarkEnd w:id="191"/>
    </w:p>
    <w:p w14:paraId="01FD64CB">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、答疑文件、补遗文件是此次招标过程中的纲领性文件，是各</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编制</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的依据，也是</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与</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人签订合同的依据，并作为合同的组成部分。</w:t>
      </w:r>
    </w:p>
    <w:p w14:paraId="74A44F03">
      <w:pPr>
        <w:pStyle w:val="2"/>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b/>
          <w:bCs/>
          <w:color w:val="auto"/>
          <w:sz w:val="21"/>
          <w:szCs w:val="21"/>
          <w:highlight w:val="none"/>
          <w:lang w:eastAsia="zh-CN"/>
        </w:rPr>
      </w:pPr>
      <w:bookmarkStart w:id="192" w:name="_Toc5881"/>
      <w:bookmarkStart w:id="193" w:name="_Toc23732"/>
      <w:bookmarkStart w:id="194" w:name="_Toc18307"/>
      <w:bookmarkStart w:id="195" w:name="_Toc12181"/>
      <w:bookmarkStart w:id="196" w:name="_Toc3568"/>
      <w:bookmarkStart w:id="197" w:name="_Toc3937"/>
      <w:bookmarkStart w:id="198" w:name="_Toc949"/>
      <w:r>
        <w:rPr>
          <w:rFonts w:hint="eastAsia" w:ascii="宋体" w:hAnsi="宋体" w:eastAsia="宋体" w:cs="宋体"/>
          <w:b/>
          <w:bCs/>
          <w:color w:val="auto"/>
          <w:sz w:val="21"/>
          <w:szCs w:val="21"/>
          <w:highlight w:val="none"/>
        </w:rPr>
        <w:t>3</w:t>
      </w:r>
      <w:bookmarkEnd w:id="192"/>
      <w:bookmarkEnd w:id="193"/>
      <w:bookmarkEnd w:id="194"/>
      <w:bookmarkEnd w:id="195"/>
      <w:bookmarkEnd w:id="196"/>
      <w:bookmarkEnd w:id="197"/>
      <w:r>
        <w:rPr>
          <w:rFonts w:hint="eastAsia" w:ascii="宋体" w:hAnsi="宋体" w:eastAsia="宋体" w:cs="宋体"/>
          <w:b/>
          <w:bCs/>
          <w:color w:val="auto"/>
          <w:sz w:val="21"/>
          <w:szCs w:val="21"/>
          <w:highlight w:val="none"/>
          <w:lang w:eastAsia="zh-CN"/>
        </w:rPr>
        <w:t>参选文件</w:t>
      </w:r>
      <w:bookmarkEnd w:id="198"/>
    </w:p>
    <w:p w14:paraId="568A286D">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199" w:name="_Hlt94884077"/>
      <w:bookmarkEnd w:id="199"/>
      <w:bookmarkStart w:id="200" w:name="_Hlt94838564"/>
      <w:bookmarkEnd w:id="200"/>
      <w:bookmarkStart w:id="201" w:name="_Toc11031"/>
      <w:bookmarkStart w:id="202" w:name="_Toc4243"/>
      <w:bookmarkStart w:id="203" w:name="_Toc6746"/>
      <w:bookmarkStart w:id="204" w:name="_Toc19988"/>
      <w:bookmarkStart w:id="205" w:name="_Toc31447"/>
      <w:bookmarkStart w:id="206" w:name="_Toc20567"/>
      <w:bookmarkStart w:id="207" w:name="_Toc31608"/>
      <w:bookmarkStart w:id="208" w:name="_Toc3333"/>
      <w:bookmarkStart w:id="209" w:name="_Toc94837524"/>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的组成</w:t>
      </w:r>
      <w:bookmarkEnd w:id="201"/>
      <w:bookmarkEnd w:id="202"/>
      <w:bookmarkEnd w:id="203"/>
      <w:bookmarkEnd w:id="204"/>
      <w:bookmarkEnd w:id="205"/>
      <w:bookmarkEnd w:id="206"/>
      <w:bookmarkEnd w:id="207"/>
      <w:bookmarkEnd w:id="208"/>
    </w:p>
    <w:p w14:paraId="6FDF3E21">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参选文件由资格审查文件、商务参选文件、技术参选文件、电子参选文件（电子U盘）、样品组成。电子参选文件应包含资格审查文件、商务参选文件、技术参选文件全部内容，格式为可编辑的word版。</w:t>
      </w:r>
    </w:p>
    <w:p w14:paraId="71585F3F">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lang w:eastAsia="zh-CN"/>
        </w:rPr>
      </w:pPr>
      <w:bookmarkStart w:id="210" w:name="_Toc15611"/>
      <w:bookmarkStart w:id="211" w:name="_Toc29048"/>
      <w:bookmarkStart w:id="212" w:name="_Toc27370"/>
      <w:bookmarkStart w:id="213" w:name="_Toc3291"/>
      <w:bookmarkStart w:id="214" w:name="_Toc9993"/>
      <w:bookmarkStart w:id="215" w:name="_Toc22961"/>
      <w:bookmarkStart w:id="216" w:name="_Toc6812"/>
      <w:bookmarkStart w:id="217" w:name="_Toc3464"/>
      <w:bookmarkStart w:id="218" w:name="_Toc14212"/>
      <w:bookmarkStart w:id="219" w:name="_Toc18491"/>
      <w:bookmarkStart w:id="220" w:name="_Toc11877"/>
      <w:bookmarkStart w:id="221" w:name="_Toc26716"/>
      <w:bookmarkStart w:id="222" w:name="_Toc26877"/>
      <w:bookmarkStart w:id="223" w:name="_Toc24682"/>
      <w:bookmarkStart w:id="224" w:name="_Toc7195"/>
      <w:bookmarkStart w:id="225" w:name="_Toc131912008"/>
      <w:bookmarkStart w:id="226" w:name="_Toc13614"/>
      <w:bookmarkStart w:id="227" w:name="_Toc15516"/>
      <w:bookmarkStart w:id="228" w:name="_Toc8615"/>
      <w:bookmarkStart w:id="229" w:name="_Toc453"/>
      <w:r>
        <w:rPr>
          <w:rFonts w:hint="eastAsia" w:ascii="宋体" w:hAnsi="宋体" w:eastAsia="宋体" w:cs="宋体"/>
          <w:color w:val="auto"/>
          <w:sz w:val="21"/>
          <w:szCs w:val="21"/>
          <w:highlight w:val="none"/>
        </w:rPr>
        <w:t>3.2</w:t>
      </w:r>
      <w:bookmarkEnd w:id="210"/>
      <w:bookmarkEnd w:id="211"/>
      <w:bookmarkEnd w:id="212"/>
      <w:bookmarkEnd w:id="213"/>
      <w:bookmarkEnd w:id="214"/>
      <w:bookmarkEnd w:id="215"/>
      <w:r>
        <w:rPr>
          <w:rFonts w:hint="eastAsia" w:ascii="宋体" w:hAnsi="宋体" w:eastAsia="宋体" w:cs="宋体"/>
          <w:color w:val="auto"/>
          <w:sz w:val="21"/>
          <w:szCs w:val="21"/>
          <w:highlight w:val="none"/>
          <w:lang w:eastAsia="zh-CN"/>
        </w:rPr>
        <w:t>参选报价</w:t>
      </w:r>
      <w:bookmarkEnd w:id="216"/>
      <w:bookmarkEnd w:id="217"/>
    </w:p>
    <w:p w14:paraId="17DD2EEC">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lang w:eastAsia="zh-CN"/>
        </w:rPr>
      </w:pPr>
      <w:bookmarkStart w:id="230" w:name="_Toc15691"/>
      <w:r>
        <w:rPr>
          <w:rFonts w:hint="eastAsia" w:ascii="宋体" w:hAnsi="宋体" w:eastAsia="宋体" w:cs="宋体"/>
          <w:color w:val="auto"/>
          <w:sz w:val="21"/>
          <w:szCs w:val="21"/>
          <w:highlight w:val="none"/>
          <w:lang w:val="en-US" w:eastAsia="zh-CN"/>
        </w:rPr>
        <w:t>本项目无需报价，合同以框架协议+订单方式签订并履行，在服务期内比选人提出单个订单的具体项目需求，中选供应商按单个订单项目需求提供服务，并按单个订单结算。</w:t>
      </w:r>
    </w:p>
    <w:p w14:paraId="27774467">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231" w:name="_Toc3175"/>
      <w:r>
        <w:rPr>
          <w:rFonts w:hint="eastAsia" w:ascii="宋体" w:hAnsi="宋体" w:eastAsia="宋体" w:cs="宋体"/>
          <w:color w:val="auto"/>
          <w:sz w:val="21"/>
          <w:szCs w:val="21"/>
          <w:highlight w:val="none"/>
        </w:rPr>
        <w:t>3.3人员配备</w:t>
      </w:r>
      <w:bookmarkEnd w:id="218"/>
      <w:bookmarkEnd w:id="219"/>
      <w:bookmarkEnd w:id="220"/>
      <w:bookmarkEnd w:id="221"/>
      <w:bookmarkEnd w:id="222"/>
      <w:bookmarkEnd w:id="223"/>
      <w:bookmarkEnd w:id="230"/>
      <w:bookmarkEnd w:id="231"/>
    </w:p>
    <w:bookmarkEnd w:id="224"/>
    <w:bookmarkEnd w:id="225"/>
    <w:bookmarkEnd w:id="226"/>
    <w:bookmarkEnd w:id="227"/>
    <w:p w14:paraId="5B438732">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bookmarkStart w:id="232" w:name="_Toc3444"/>
      <w:bookmarkStart w:id="233" w:name="_Toc10418"/>
      <w:bookmarkStart w:id="234" w:name="_Toc16814"/>
      <w:bookmarkStart w:id="235" w:name="_Toc8513"/>
      <w:r>
        <w:rPr>
          <w:rFonts w:hint="eastAsia" w:ascii="宋体" w:hAnsi="宋体" w:eastAsia="宋体" w:cs="宋体"/>
          <w:color w:val="auto"/>
          <w:sz w:val="21"/>
          <w:szCs w:val="21"/>
          <w:highlight w:val="none"/>
          <w:lang w:val="en-US" w:eastAsia="zh-CN"/>
        </w:rPr>
        <w:t>/</w:t>
      </w:r>
    </w:p>
    <w:p w14:paraId="6B32D92F">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lang w:eastAsia="zh-CN"/>
        </w:rPr>
      </w:pPr>
      <w:bookmarkStart w:id="236" w:name="_Toc19783"/>
      <w:bookmarkStart w:id="237" w:name="_Toc31607"/>
      <w:r>
        <w:rPr>
          <w:rFonts w:hint="eastAsia" w:ascii="宋体" w:hAnsi="宋体" w:eastAsia="宋体" w:cs="宋体"/>
          <w:color w:val="auto"/>
          <w:sz w:val="21"/>
          <w:szCs w:val="21"/>
          <w:highlight w:val="none"/>
        </w:rPr>
        <w:t>3.4</w:t>
      </w:r>
      <w:bookmarkEnd w:id="228"/>
      <w:bookmarkEnd w:id="229"/>
      <w:bookmarkEnd w:id="232"/>
      <w:bookmarkEnd w:id="233"/>
      <w:bookmarkEnd w:id="234"/>
      <w:bookmarkEnd w:id="235"/>
      <w:r>
        <w:rPr>
          <w:rFonts w:hint="eastAsia" w:ascii="宋体" w:hAnsi="宋体" w:eastAsia="宋体" w:cs="宋体"/>
          <w:color w:val="auto"/>
          <w:sz w:val="21"/>
          <w:szCs w:val="21"/>
          <w:highlight w:val="none"/>
          <w:lang w:eastAsia="zh-CN"/>
        </w:rPr>
        <w:t>参选投标有效期</w:t>
      </w:r>
      <w:bookmarkEnd w:id="236"/>
      <w:bookmarkEnd w:id="237"/>
    </w:p>
    <w:p w14:paraId="48962722">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3.4.1在</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前附表规定的</w:t>
      </w:r>
      <w:r>
        <w:rPr>
          <w:rFonts w:hint="eastAsia" w:ascii="宋体" w:hAnsi="宋体" w:eastAsia="宋体" w:cs="宋体"/>
          <w:color w:val="auto"/>
          <w:sz w:val="21"/>
          <w:szCs w:val="21"/>
          <w:highlight w:val="none"/>
          <w:lang w:eastAsia="zh-CN"/>
        </w:rPr>
        <w:t>参选投标有效期</w:t>
      </w:r>
      <w:r>
        <w:rPr>
          <w:rFonts w:hint="eastAsia" w:ascii="宋体" w:hAnsi="宋体" w:eastAsia="宋体" w:cs="宋体"/>
          <w:color w:val="auto"/>
          <w:sz w:val="21"/>
          <w:szCs w:val="21"/>
          <w:highlight w:val="none"/>
        </w:rPr>
        <w:t>内，</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不得要求撤销或修改其</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w:t>
      </w:r>
    </w:p>
    <w:p w14:paraId="242AB38C">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3.4.2出现特殊情况需要延长</w:t>
      </w:r>
      <w:r>
        <w:rPr>
          <w:rFonts w:hint="eastAsia" w:ascii="宋体" w:hAnsi="宋体" w:eastAsia="宋体" w:cs="宋体"/>
          <w:color w:val="auto"/>
          <w:sz w:val="21"/>
          <w:szCs w:val="21"/>
          <w:highlight w:val="none"/>
          <w:lang w:eastAsia="zh-CN"/>
        </w:rPr>
        <w:t>参选投标有效期</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以书面形式通知所有</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延长</w:t>
      </w:r>
      <w:r>
        <w:rPr>
          <w:rFonts w:hint="eastAsia" w:ascii="宋体" w:hAnsi="宋体" w:eastAsia="宋体" w:cs="宋体"/>
          <w:color w:val="auto"/>
          <w:sz w:val="21"/>
          <w:szCs w:val="21"/>
          <w:highlight w:val="none"/>
          <w:lang w:eastAsia="zh-CN"/>
        </w:rPr>
        <w:t>参选投标有效期</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同意延长的，应相应延长其</w:t>
      </w:r>
      <w:r>
        <w:rPr>
          <w:rFonts w:hint="eastAsia" w:ascii="宋体" w:hAnsi="宋体" w:eastAsia="宋体" w:cs="宋体"/>
          <w:color w:val="auto"/>
          <w:sz w:val="21"/>
          <w:szCs w:val="21"/>
          <w:highlight w:val="none"/>
          <w:lang w:eastAsia="zh-CN"/>
        </w:rPr>
        <w:t>参选保证金</w:t>
      </w:r>
      <w:r>
        <w:rPr>
          <w:rFonts w:hint="eastAsia" w:ascii="宋体" w:hAnsi="宋体" w:eastAsia="宋体" w:cs="宋体"/>
          <w:color w:val="auto"/>
          <w:sz w:val="21"/>
          <w:szCs w:val="21"/>
          <w:highlight w:val="none"/>
        </w:rPr>
        <w:t>的有效期，但不得要求或被允许修改或撤销其</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拒绝延长的，其投标失效，但</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有权收回其</w:t>
      </w:r>
      <w:r>
        <w:rPr>
          <w:rFonts w:hint="eastAsia" w:ascii="宋体" w:hAnsi="宋体" w:eastAsia="宋体" w:cs="宋体"/>
          <w:color w:val="auto"/>
          <w:sz w:val="21"/>
          <w:szCs w:val="21"/>
          <w:highlight w:val="none"/>
          <w:lang w:eastAsia="zh-CN"/>
        </w:rPr>
        <w:t>参选保证金</w:t>
      </w:r>
      <w:r>
        <w:rPr>
          <w:rFonts w:hint="eastAsia" w:ascii="宋体" w:hAnsi="宋体" w:eastAsia="宋体" w:cs="宋体"/>
          <w:color w:val="auto"/>
          <w:sz w:val="21"/>
          <w:szCs w:val="21"/>
          <w:highlight w:val="none"/>
        </w:rPr>
        <w:t>。</w:t>
      </w:r>
    </w:p>
    <w:p w14:paraId="5FE0E650">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lang w:eastAsia="zh-CN"/>
        </w:rPr>
      </w:pPr>
      <w:bookmarkStart w:id="238" w:name="_Toc32301"/>
      <w:bookmarkStart w:id="239" w:name="_Toc17348"/>
      <w:bookmarkStart w:id="240" w:name="_Toc19555"/>
      <w:bookmarkStart w:id="241" w:name="_Toc30886"/>
      <w:bookmarkStart w:id="242" w:name="_Toc360"/>
      <w:bookmarkStart w:id="243" w:name="_Toc6019"/>
      <w:bookmarkStart w:id="244" w:name="_Toc2490"/>
      <w:bookmarkStart w:id="245" w:name="_Toc12959"/>
      <w:r>
        <w:rPr>
          <w:rFonts w:hint="eastAsia" w:ascii="宋体" w:hAnsi="宋体" w:eastAsia="宋体" w:cs="宋体"/>
          <w:color w:val="auto"/>
          <w:sz w:val="21"/>
          <w:szCs w:val="21"/>
          <w:highlight w:val="none"/>
        </w:rPr>
        <w:t>3.</w:t>
      </w:r>
      <w:bookmarkStart w:id="246" w:name="_Toc131912017"/>
      <w:r>
        <w:rPr>
          <w:rFonts w:hint="eastAsia" w:ascii="宋体" w:hAnsi="宋体" w:eastAsia="宋体" w:cs="宋体"/>
          <w:color w:val="auto"/>
          <w:sz w:val="21"/>
          <w:szCs w:val="21"/>
          <w:highlight w:val="none"/>
        </w:rPr>
        <w:t>5</w:t>
      </w:r>
      <w:bookmarkEnd w:id="238"/>
      <w:bookmarkEnd w:id="239"/>
      <w:bookmarkEnd w:id="240"/>
      <w:bookmarkEnd w:id="241"/>
      <w:bookmarkEnd w:id="242"/>
      <w:bookmarkEnd w:id="243"/>
      <w:bookmarkEnd w:id="246"/>
      <w:r>
        <w:rPr>
          <w:rFonts w:hint="eastAsia" w:ascii="宋体" w:hAnsi="宋体" w:eastAsia="宋体" w:cs="宋体"/>
          <w:color w:val="auto"/>
          <w:sz w:val="21"/>
          <w:szCs w:val="21"/>
          <w:highlight w:val="none"/>
          <w:lang w:eastAsia="zh-CN"/>
        </w:rPr>
        <w:t>参选保证金</w:t>
      </w:r>
      <w:bookmarkEnd w:id="244"/>
      <w:bookmarkEnd w:id="245"/>
    </w:p>
    <w:p w14:paraId="21CA01CF">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bookmarkStart w:id="247" w:name="_Toc31153"/>
      <w:bookmarkStart w:id="248" w:name="_Toc16938"/>
      <w:bookmarkStart w:id="249" w:name="_Toc19432"/>
      <w:r>
        <w:rPr>
          <w:rFonts w:hint="eastAsia" w:ascii="宋体" w:hAnsi="宋体" w:eastAsia="宋体" w:cs="宋体"/>
          <w:color w:val="auto"/>
          <w:sz w:val="21"/>
          <w:szCs w:val="21"/>
          <w:highlight w:val="none"/>
        </w:rPr>
        <w:t>免收。</w:t>
      </w:r>
    </w:p>
    <w:p w14:paraId="38E615C9">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lang w:eastAsia="zh-CN"/>
        </w:rPr>
      </w:pPr>
      <w:bookmarkStart w:id="250" w:name="_Toc32214"/>
      <w:bookmarkStart w:id="251" w:name="_Toc24674"/>
      <w:bookmarkStart w:id="252" w:name="_Toc295"/>
      <w:bookmarkStart w:id="253" w:name="_Toc4683"/>
      <w:bookmarkStart w:id="254" w:name="_Toc10591"/>
      <w:r>
        <w:rPr>
          <w:rFonts w:hint="eastAsia" w:ascii="宋体" w:hAnsi="宋体" w:eastAsia="宋体" w:cs="宋体"/>
          <w:color w:val="auto"/>
          <w:sz w:val="21"/>
          <w:szCs w:val="21"/>
          <w:highlight w:val="none"/>
        </w:rPr>
        <w:t>3.6</w:t>
      </w:r>
      <w:bookmarkEnd w:id="247"/>
      <w:bookmarkEnd w:id="248"/>
      <w:bookmarkEnd w:id="249"/>
      <w:bookmarkEnd w:id="250"/>
      <w:bookmarkEnd w:id="251"/>
      <w:bookmarkEnd w:id="252"/>
      <w:bookmarkEnd w:id="253"/>
      <w:bookmarkStart w:id="255" w:name="_Toc30077"/>
      <w:r>
        <w:rPr>
          <w:rFonts w:hint="eastAsia" w:ascii="宋体" w:hAnsi="宋体" w:eastAsia="宋体" w:cs="宋体"/>
          <w:color w:val="auto"/>
          <w:sz w:val="21"/>
          <w:szCs w:val="21"/>
          <w:highlight w:val="none"/>
          <w:lang w:eastAsia="zh-CN"/>
        </w:rPr>
        <w:t>备选参选方案</w:t>
      </w:r>
      <w:bookmarkEnd w:id="254"/>
      <w:bookmarkEnd w:id="255"/>
    </w:p>
    <w:p w14:paraId="64567F17">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前附表另有规定外，</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不得递交</w:t>
      </w:r>
      <w:r>
        <w:rPr>
          <w:rFonts w:hint="eastAsia" w:ascii="宋体" w:hAnsi="宋体" w:eastAsia="宋体" w:cs="宋体"/>
          <w:color w:val="auto"/>
          <w:sz w:val="21"/>
          <w:szCs w:val="21"/>
          <w:highlight w:val="none"/>
          <w:lang w:eastAsia="zh-CN"/>
        </w:rPr>
        <w:t>备选参选方案</w:t>
      </w:r>
      <w:r>
        <w:rPr>
          <w:rFonts w:hint="eastAsia" w:ascii="宋体" w:hAnsi="宋体" w:eastAsia="宋体" w:cs="宋体"/>
          <w:color w:val="auto"/>
          <w:sz w:val="21"/>
          <w:szCs w:val="21"/>
          <w:highlight w:val="none"/>
        </w:rPr>
        <w:t>。允许</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递交</w:t>
      </w:r>
      <w:r>
        <w:rPr>
          <w:rFonts w:hint="eastAsia" w:ascii="宋体" w:hAnsi="宋体" w:eastAsia="宋体" w:cs="宋体"/>
          <w:color w:val="auto"/>
          <w:sz w:val="21"/>
          <w:szCs w:val="21"/>
          <w:highlight w:val="none"/>
          <w:lang w:eastAsia="zh-CN"/>
        </w:rPr>
        <w:t>备选参选方案</w:t>
      </w:r>
      <w:r>
        <w:rPr>
          <w:rFonts w:hint="eastAsia" w:ascii="宋体" w:hAnsi="宋体" w:eastAsia="宋体" w:cs="宋体"/>
          <w:color w:val="auto"/>
          <w:sz w:val="21"/>
          <w:szCs w:val="21"/>
          <w:highlight w:val="none"/>
        </w:rPr>
        <w:t>的，只有</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人所递交的</w:t>
      </w:r>
      <w:r>
        <w:rPr>
          <w:rFonts w:hint="eastAsia" w:ascii="宋体" w:hAnsi="宋体" w:eastAsia="宋体" w:cs="宋体"/>
          <w:color w:val="auto"/>
          <w:sz w:val="21"/>
          <w:szCs w:val="21"/>
          <w:highlight w:val="none"/>
          <w:lang w:eastAsia="zh-CN"/>
        </w:rPr>
        <w:t>备选参选方案</w:t>
      </w:r>
      <w:r>
        <w:rPr>
          <w:rFonts w:hint="eastAsia" w:ascii="宋体" w:hAnsi="宋体" w:eastAsia="宋体" w:cs="宋体"/>
          <w:color w:val="auto"/>
          <w:sz w:val="21"/>
          <w:szCs w:val="21"/>
          <w:highlight w:val="none"/>
        </w:rPr>
        <w:t>方可予以考虑。评标委员会认为</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人的</w:t>
      </w:r>
      <w:r>
        <w:rPr>
          <w:rFonts w:hint="eastAsia" w:ascii="宋体" w:hAnsi="宋体" w:eastAsia="宋体" w:cs="宋体"/>
          <w:color w:val="auto"/>
          <w:sz w:val="21"/>
          <w:szCs w:val="21"/>
          <w:highlight w:val="none"/>
          <w:lang w:eastAsia="zh-CN"/>
        </w:rPr>
        <w:t>备选参选方案</w:t>
      </w:r>
      <w:r>
        <w:rPr>
          <w:rFonts w:hint="eastAsia" w:ascii="宋体" w:hAnsi="宋体" w:eastAsia="宋体" w:cs="宋体"/>
          <w:color w:val="auto"/>
          <w:sz w:val="21"/>
          <w:szCs w:val="21"/>
          <w:highlight w:val="none"/>
        </w:rPr>
        <w:t>优于其按照</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要求编制的投标方案且未背离原</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实质性内容的，</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可以接受该</w:t>
      </w:r>
      <w:r>
        <w:rPr>
          <w:rFonts w:hint="eastAsia" w:ascii="宋体" w:hAnsi="宋体" w:eastAsia="宋体" w:cs="宋体"/>
          <w:color w:val="auto"/>
          <w:sz w:val="21"/>
          <w:szCs w:val="21"/>
          <w:highlight w:val="none"/>
          <w:lang w:eastAsia="zh-CN"/>
        </w:rPr>
        <w:t>备选参选方案</w:t>
      </w:r>
      <w:r>
        <w:rPr>
          <w:rFonts w:hint="eastAsia" w:ascii="宋体" w:hAnsi="宋体" w:eastAsia="宋体" w:cs="宋体"/>
          <w:color w:val="auto"/>
          <w:sz w:val="21"/>
          <w:szCs w:val="21"/>
          <w:highlight w:val="none"/>
        </w:rPr>
        <w:t>。</w:t>
      </w:r>
    </w:p>
    <w:p w14:paraId="2A86C184">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256" w:name="_Toc7923"/>
      <w:bookmarkStart w:id="257" w:name="_Toc20584"/>
      <w:bookmarkStart w:id="258" w:name="_Toc5243"/>
      <w:bookmarkStart w:id="259" w:name="_Toc6869"/>
      <w:bookmarkStart w:id="260" w:name="_Toc10899"/>
      <w:bookmarkStart w:id="261" w:name="_Toc24394"/>
      <w:bookmarkStart w:id="262" w:name="_Toc13495"/>
      <w:bookmarkStart w:id="263" w:name="_Toc30795"/>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编制</w:t>
      </w:r>
      <w:bookmarkEnd w:id="209"/>
      <w:bookmarkEnd w:id="256"/>
      <w:bookmarkEnd w:id="257"/>
      <w:bookmarkEnd w:id="258"/>
      <w:bookmarkEnd w:id="259"/>
      <w:bookmarkEnd w:id="260"/>
      <w:bookmarkEnd w:id="261"/>
      <w:bookmarkEnd w:id="262"/>
      <w:bookmarkEnd w:id="263"/>
    </w:p>
    <w:p w14:paraId="4ECB3988">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lang w:val="en-US" w:eastAsia="zh-CN"/>
        </w:rPr>
      </w:pPr>
      <w:bookmarkStart w:id="264" w:name="_Toc4318"/>
      <w:bookmarkStart w:id="265" w:name="_Toc5359"/>
      <w:bookmarkStart w:id="266" w:name="_Toc22822"/>
      <w:bookmarkStart w:id="267" w:name="_Toc94837525"/>
      <w:r>
        <w:rPr>
          <w:rFonts w:hint="eastAsia" w:ascii="宋体" w:hAnsi="宋体" w:eastAsia="宋体" w:cs="宋体"/>
          <w:color w:val="auto"/>
          <w:sz w:val="21"/>
          <w:szCs w:val="21"/>
          <w:highlight w:val="none"/>
          <w:lang w:val="en-US" w:eastAsia="zh-CN"/>
        </w:rPr>
        <w:t>3.7.1参选文件应按第三卷“参选文件格式”进行编写，如有必要，可以增加附页，作为参选文件的组成部分。</w:t>
      </w:r>
    </w:p>
    <w:p w14:paraId="6A06C6AC">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3.7.2参选文件应当对比选文件有关工期、参选有效期、质量要求、技术标准和要求、比选范围等实质性内容做出响应。</w:t>
      </w:r>
    </w:p>
    <w:p w14:paraId="1A97A587">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3.7.3纸质参选文件应用A4不褪色的材料书写或打印，并由参选人的法定代表人或其委托代理人签字或盖单位公章。委托代理人签字的，参选文件应附法定代表人签署的授权委托书。参选文件应尽量避免涂改、行间插字或删除。如果出现上述情况，改动之处应加盖单位章或由参选人的法定代表人或其授权的代理人签字确认。</w:t>
      </w:r>
    </w:p>
    <w:p w14:paraId="05AE2DB0">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3.7.4参选文件纸质正本一份，纸质副本及电子文本份数见参选人须知前附表。正本和副本的封面上应清楚地标记“正本”或“副本”的字样。当副本和正本不一致时，以正本为准。</w:t>
      </w:r>
    </w:p>
    <w:p w14:paraId="7342807D">
      <w:pPr>
        <w:pStyle w:val="20"/>
        <w:spacing w:line="440" w:lineRule="exact"/>
        <w:ind w:left="0" w:right="-260" w:rightChars="-124"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3.7.5参选文件的正本与副本应分别装订成册，并编制目录，具体装订要求见参选人须知前附表规定。</w:t>
      </w:r>
    </w:p>
    <w:p w14:paraId="2472B233">
      <w:pPr>
        <w:pStyle w:val="20"/>
        <w:spacing w:line="440" w:lineRule="exact"/>
        <w:ind w:left="0" w:right="-260" w:rightChars="-124" w:firstLine="422"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b/>
          <w:bCs/>
          <w:sz w:val="21"/>
          <w:szCs w:val="21"/>
          <w:lang w:val="en-US" w:eastAsia="zh-CN"/>
        </w:rPr>
        <w:t>3.7.6</w:t>
      </w:r>
      <w:r>
        <w:rPr>
          <w:rFonts w:hint="eastAsia" w:ascii="宋体" w:hAnsi="宋体" w:eastAsia="宋体" w:cs="宋体"/>
          <w:b/>
          <w:bCs/>
          <w:sz w:val="21"/>
          <w:szCs w:val="21"/>
        </w:rPr>
        <w:t>技术参选文件总页码（不包括封面、封底、目录）须控制在100页（含）内，双面打印。若不按此要求编制，评标委员会可在技术部分酌情扣分。</w:t>
      </w:r>
    </w:p>
    <w:p w14:paraId="5575216D">
      <w:pPr>
        <w:pStyle w:val="2"/>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b/>
          <w:bCs/>
          <w:color w:val="auto"/>
          <w:sz w:val="21"/>
          <w:szCs w:val="21"/>
          <w:highlight w:val="none"/>
        </w:rPr>
      </w:pPr>
      <w:bookmarkStart w:id="268" w:name="_Toc28941"/>
      <w:bookmarkStart w:id="269" w:name="_Toc26729"/>
      <w:bookmarkStart w:id="270" w:name="_Toc21102"/>
      <w:bookmarkStart w:id="271" w:name="_Toc22551"/>
      <w:r>
        <w:rPr>
          <w:rFonts w:hint="eastAsia" w:ascii="宋体" w:hAnsi="宋体" w:eastAsia="宋体" w:cs="宋体"/>
          <w:b/>
          <w:bCs/>
          <w:color w:val="auto"/>
          <w:sz w:val="21"/>
          <w:szCs w:val="21"/>
          <w:highlight w:val="none"/>
        </w:rPr>
        <w:t>4</w:t>
      </w:r>
      <w:bookmarkEnd w:id="264"/>
      <w:bookmarkEnd w:id="265"/>
      <w:bookmarkEnd w:id="266"/>
      <w:bookmarkEnd w:id="268"/>
      <w:bookmarkEnd w:id="269"/>
      <w:bookmarkEnd w:id="270"/>
      <w:r>
        <w:rPr>
          <w:rFonts w:hint="eastAsia" w:ascii="宋体" w:hAnsi="宋体" w:eastAsia="宋体" w:cs="宋体"/>
          <w:b/>
          <w:bCs/>
          <w:color w:val="auto"/>
          <w:sz w:val="21"/>
          <w:szCs w:val="21"/>
          <w:highlight w:val="none"/>
          <w:lang w:eastAsia="zh-CN"/>
        </w:rPr>
        <w:t>参选文件</w:t>
      </w:r>
      <w:r>
        <w:rPr>
          <w:rFonts w:hint="eastAsia" w:ascii="宋体" w:hAnsi="宋体" w:eastAsia="宋体" w:cs="宋体"/>
          <w:b/>
          <w:bCs/>
          <w:color w:val="auto"/>
          <w:sz w:val="21"/>
          <w:szCs w:val="21"/>
          <w:highlight w:val="none"/>
        </w:rPr>
        <w:t>密封</w:t>
      </w:r>
      <w:bookmarkEnd w:id="271"/>
    </w:p>
    <w:bookmarkEnd w:id="267"/>
    <w:p w14:paraId="263BFB62">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bookmarkStart w:id="272" w:name="_Toc5041"/>
      <w:bookmarkStart w:id="273" w:name="_Toc4223"/>
      <w:bookmarkStart w:id="274" w:name="_Toc9089"/>
      <w:bookmarkStart w:id="275" w:name="_Toc19505"/>
      <w:bookmarkStart w:id="276" w:name="_Toc19739"/>
      <w:bookmarkStart w:id="277" w:name="_Toc21366"/>
      <w:bookmarkStart w:id="278" w:name="_Toc212521245"/>
      <w:bookmarkStart w:id="279" w:name="_Hlt94804030"/>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密封递交，封袋上（最外面）都应写明</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参选单位</w:t>
      </w:r>
      <w:r>
        <w:rPr>
          <w:rFonts w:hint="eastAsia" w:ascii="宋体" w:hAnsi="宋体" w:eastAsia="宋体" w:cs="宋体"/>
          <w:color w:val="auto"/>
          <w:sz w:val="21"/>
          <w:szCs w:val="21"/>
          <w:highlight w:val="none"/>
        </w:rPr>
        <w:t>名称、项目</w:t>
      </w:r>
      <w:r>
        <w:rPr>
          <w:rFonts w:hint="eastAsia" w:ascii="宋体" w:hAnsi="宋体" w:eastAsia="宋体" w:cs="宋体"/>
          <w:color w:val="auto"/>
          <w:sz w:val="21"/>
          <w:szCs w:val="21"/>
          <w:highlight w:val="none"/>
          <w:lang w:val="en-US" w:eastAsia="zh-CN"/>
        </w:rPr>
        <w:t>标段</w:t>
      </w:r>
      <w:r>
        <w:rPr>
          <w:rFonts w:hint="eastAsia" w:ascii="宋体" w:hAnsi="宋体" w:eastAsia="宋体" w:cs="宋体"/>
          <w:color w:val="auto"/>
          <w:sz w:val="21"/>
          <w:szCs w:val="21"/>
          <w:highlight w:val="none"/>
        </w:rPr>
        <w:t>名称，并于封袋上加盖</w:t>
      </w:r>
      <w:r>
        <w:rPr>
          <w:rFonts w:hint="eastAsia" w:ascii="宋体" w:hAnsi="宋体" w:eastAsia="宋体" w:cs="宋体"/>
          <w:color w:val="auto"/>
          <w:sz w:val="21"/>
          <w:szCs w:val="21"/>
          <w:highlight w:val="none"/>
          <w:lang w:eastAsia="zh-CN"/>
        </w:rPr>
        <w:t>参选单位</w:t>
      </w:r>
      <w:r>
        <w:rPr>
          <w:rFonts w:hint="eastAsia" w:ascii="宋体" w:hAnsi="宋体" w:eastAsia="宋体" w:cs="宋体"/>
          <w:color w:val="auto"/>
          <w:sz w:val="21"/>
          <w:szCs w:val="21"/>
          <w:highlight w:val="none"/>
        </w:rPr>
        <w:t>公章。</w:t>
      </w:r>
    </w:p>
    <w:p w14:paraId="2E0E07A6">
      <w:pPr>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4.2</w:t>
      </w:r>
      <w:r>
        <w:rPr>
          <w:rFonts w:hint="eastAsia" w:ascii="宋体" w:hAnsi="宋体" w:eastAsia="宋体" w:cs="宋体"/>
          <w:b/>
          <w:bCs/>
          <w:color w:val="auto"/>
          <w:sz w:val="21"/>
          <w:szCs w:val="21"/>
          <w:highlight w:val="none"/>
          <w:lang w:val="en-US" w:eastAsia="zh-CN"/>
        </w:rPr>
        <w:t>资格审查文件、商务参选文件、技术参选文件、电子参选文件（电子U盘）</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样品应分别密封。</w:t>
      </w:r>
    </w:p>
    <w:p w14:paraId="7CCA445A">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4.3未按本章第4条要求密封和加写标记的</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不予受理。</w:t>
      </w:r>
    </w:p>
    <w:p w14:paraId="256571E7">
      <w:pPr>
        <w:pStyle w:val="2"/>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b/>
          <w:bCs/>
          <w:color w:val="auto"/>
          <w:sz w:val="21"/>
          <w:szCs w:val="21"/>
          <w:highlight w:val="none"/>
        </w:rPr>
      </w:pPr>
      <w:bookmarkStart w:id="280" w:name="_Toc8489"/>
      <w:r>
        <w:rPr>
          <w:rFonts w:hint="eastAsia" w:ascii="宋体" w:hAnsi="宋体" w:eastAsia="宋体" w:cs="宋体"/>
          <w:b/>
          <w:bCs/>
          <w:color w:val="auto"/>
          <w:sz w:val="21"/>
          <w:szCs w:val="21"/>
          <w:highlight w:val="none"/>
        </w:rPr>
        <w:t>5</w:t>
      </w:r>
      <w:bookmarkEnd w:id="272"/>
      <w:bookmarkEnd w:id="273"/>
      <w:bookmarkEnd w:id="274"/>
      <w:bookmarkEnd w:id="275"/>
      <w:bookmarkEnd w:id="276"/>
      <w:bookmarkEnd w:id="277"/>
      <w:r>
        <w:rPr>
          <w:rFonts w:hint="eastAsia" w:ascii="宋体" w:hAnsi="宋体" w:eastAsia="宋体" w:cs="宋体"/>
          <w:b/>
          <w:bCs/>
          <w:color w:val="auto"/>
          <w:sz w:val="21"/>
          <w:szCs w:val="21"/>
          <w:highlight w:val="none"/>
        </w:rPr>
        <w:t>开标</w:t>
      </w:r>
      <w:bookmarkEnd w:id="280"/>
    </w:p>
    <w:p w14:paraId="581E05E3">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281" w:name="_Toc169156515"/>
      <w:bookmarkStart w:id="282" w:name="_Toc14809"/>
      <w:bookmarkStart w:id="283" w:name="_Toc11571"/>
      <w:bookmarkStart w:id="284" w:name="_Toc25841"/>
      <w:bookmarkStart w:id="285" w:name="_Toc28448"/>
      <w:bookmarkStart w:id="286" w:name="_Toc25102"/>
      <w:bookmarkStart w:id="287" w:name="_Toc2575"/>
      <w:bookmarkStart w:id="288" w:name="_Toc1343"/>
      <w:bookmarkStart w:id="289" w:name="_Toc5868"/>
      <w:r>
        <w:rPr>
          <w:rFonts w:hint="eastAsia" w:ascii="宋体" w:hAnsi="宋体" w:eastAsia="宋体" w:cs="宋体"/>
          <w:color w:val="auto"/>
          <w:sz w:val="21"/>
          <w:szCs w:val="21"/>
          <w:highlight w:val="none"/>
        </w:rPr>
        <w:t>5.1</w:t>
      </w:r>
      <w:bookmarkEnd w:id="281"/>
      <w:r>
        <w:rPr>
          <w:rFonts w:hint="eastAsia" w:ascii="宋体" w:hAnsi="宋体" w:eastAsia="宋体" w:cs="宋体"/>
          <w:color w:val="auto"/>
          <w:sz w:val="21"/>
          <w:szCs w:val="21"/>
          <w:highlight w:val="none"/>
        </w:rPr>
        <w:t>开标时间和地点</w:t>
      </w:r>
      <w:bookmarkEnd w:id="282"/>
      <w:bookmarkEnd w:id="283"/>
      <w:bookmarkEnd w:id="284"/>
      <w:bookmarkEnd w:id="285"/>
      <w:bookmarkEnd w:id="286"/>
      <w:bookmarkEnd w:id="287"/>
      <w:bookmarkEnd w:id="288"/>
      <w:bookmarkEnd w:id="289"/>
    </w:p>
    <w:p w14:paraId="365EA0F9">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在本章</w:t>
      </w:r>
      <w:r>
        <w:rPr>
          <w:rFonts w:hint="eastAsia" w:ascii="宋体" w:hAnsi="宋体" w:eastAsia="宋体" w:cs="宋体"/>
          <w:color w:val="auto"/>
          <w:sz w:val="21"/>
          <w:szCs w:val="21"/>
          <w:highlight w:val="none"/>
          <w:lang w:eastAsia="zh-CN"/>
        </w:rPr>
        <w:t>参选须知前附表</w:t>
      </w:r>
      <w:r>
        <w:rPr>
          <w:rFonts w:hint="eastAsia" w:ascii="宋体" w:hAnsi="宋体" w:eastAsia="宋体" w:cs="宋体"/>
          <w:color w:val="auto"/>
          <w:sz w:val="21"/>
          <w:szCs w:val="21"/>
          <w:highlight w:val="none"/>
        </w:rPr>
        <w:t>第2.2.2项规定的</w:t>
      </w:r>
      <w:r>
        <w:rPr>
          <w:rFonts w:hint="eastAsia" w:ascii="宋体" w:hAnsi="宋体" w:eastAsia="宋体" w:cs="宋体"/>
          <w:color w:val="auto"/>
          <w:sz w:val="21"/>
          <w:szCs w:val="21"/>
          <w:highlight w:val="none"/>
          <w:lang w:eastAsia="zh-CN"/>
        </w:rPr>
        <w:t>参选截止时间</w:t>
      </w:r>
      <w:r>
        <w:rPr>
          <w:rFonts w:hint="eastAsia" w:ascii="宋体" w:hAnsi="宋体" w:eastAsia="宋体" w:cs="宋体"/>
          <w:color w:val="auto"/>
          <w:sz w:val="21"/>
          <w:szCs w:val="21"/>
          <w:highlight w:val="none"/>
        </w:rPr>
        <w:t>（开标时间）和</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前附表规定的地点公开</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，请所有</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的法定代表人或其委托代理人准时参加。</w:t>
      </w:r>
    </w:p>
    <w:p w14:paraId="74B790C2">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290" w:name="_Toc24424"/>
      <w:bookmarkStart w:id="291" w:name="_Toc12313"/>
      <w:bookmarkStart w:id="292" w:name="_Toc6649"/>
      <w:bookmarkStart w:id="293" w:name="_Toc23653"/>
      <w:bookmarkStart w:id="294" w:name="_Toc12891"/>
      <w:bookmarkStart w:id="295" w:name="_Toc20551"/>
      <w:bookmarkStart w:id="296" w:name="_Toc18244"/>
      <w:bookmarkStart w:id="297" w:name="_Toc27134"/>
      <w:r>
        <w:rPr>
          <w:rFonts w:hint="eastAsia" w:ascii="宋体" w:hAnsi="宋体" w:eastAsia="宋体" w:cs="宋体"/>
          <w:color w:val="auto"/>
          <w:sz w:val="21"/>
          <w:szCs w:val="21"/>
          <w:highlight w:val="none"/>
        </w:rPr>
        <w:t>5.2</w:t>
      </w:r>
      <w:bookmarkEnd w:id="290"/>
      <w:bookmarkEnd w:id="291"/>
      <w:bookmarkEnd w:id="292"/>
      <w:bookmarkEnd w:id="293"/>
      <w:bookmarkEnd w:id="294"/>
      <w:bookmarkEnd w:id="295"/>
      <w:r>
        <w:rPr>
          <w:rFonts w:hint="eastAsia" w:ascii="宋体" w:hAnsi="宋体" w:eastAsia="宋体" w:cs="宋体"/>
          <w:color w:val="auto"/>
          <w:sz w:val="21"/>
          <w:szCs w:val="21"/>
          <w:highlight w:val="none"/>
        </w:rPr>
        <w:t>开标程序</w:t>
      </w:r>
      <w:bookmarkEnd w:id="296"/>
      <w:bookmarkEnd w:id="297"/>
    </w:p>
    <w:p w14:paraId="1EC94335">
      <w:pPr>
        <w:pStyle w:val="20"/>
        <w:pageBreakBefore w:val="0"/>
        <w:widowControl w:val="0"/>
        <w:kinsoku/>
        <w:wordWrap/>
        <w:overflowPunct/>
        <w:topLinePunct w:val="0"/>
        <w:autoSpaceDE/>
        <w:autoSpaceDN/>
        <w:bidi w:val="0"/>
        <w:adjustRightInd/>
        <w:snapToGrid/>
        <w:spacing w:after="0" w:line="440" w:lineRule="exact"/>
        <w:ind w:left="-19" w:leftChars="-9" w:right="-139" w:rightChars="-66" w:firstLine="441" w:firstLineChars="209"/>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5.2.1按下列程序进行开标：</w:t>
      </w:r>
    </w:p>
    <w:p w14:paraId="27771A66">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616C50DC">
      <w:pPr>
        <w:pStyle w:val="20"/>
        <w:pageBreakBefore w:val="0"/>
        <w:widowControl w:val="0"/>
        <w:kinsoku/>
        <w:wordWrap/>
        <w:overflowPunct/>
        <w:topLinePunct w:val="0"/>
        <w:autoSpaceDE/>
        <w:autoSpaceDN/>
        <w:bidi w:val="0"/>
        <w:adjustRightInd/>
        <w:snapToGrid/>
        <w:spacing w:after="0" w:line="440" w:lineRule="exact"/>
        <w:ind w:left="-19" w:leftChars="-9" w:right="-139" w:rightChars="-66" w:firstLine="441" w:firstLineChars="209"/>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5.2.2</w:t>
      </w:r>
      <w:r>
        <w:rPr>
          <w:rFonts w:hint="eastAsia" w:ascii="宋体" w:hAnsi="宋体" w:eastAsia="宋体" w:cs="宋体"/>
          <w:b/>
          <w:color w:val="auto"/>
          <w:sz w:val="21"/>
          <w:szCs w:val="21"/>
          <w:highlight w:val="none"/>
          <w:lang w:eastAsia="zh-CN"/>
        </w:rPr>
        <w:t>参选文件</w:t>
      </w:r>
      <w:r>
        <w:rPr>
          <w:rFonts w:hint="eastAsia" w:ascii="宋体" w:hAnsi="宋体" w:eastAsia="宋体" w:cs="宋体"/>
          <w:b/>
          <w:color w:val="auto"/>
          <w:sz w:val="21"/>
          <w:szCs w:val="21"/>
          <w:highlight w:val="none"/>
        </w:rPr>
        <w:t>有下列情形之一的，</w:t>
      </w:r>
      <w:r>
        <w:rPr>
          <w:rFonts w:hint="eastAsia" w:ascii="宋体" w:hAnsi="宋体" w:eastAsia="宋体" w:cs="宋体"/>
          <w:b/>
          <w:color w:val="auto"/>
          <w:sz w:val="21"/>
          <w:szCs w:val="21"/>
          <w:highlight w:val="none"/>
          <w:lang w:eastAsia="zh-CN"/>
        </w:rPr>
        <w:t>参选文件</w:t>
      </w:r>
      <w:r>
        <w:rPr>
          <w:rFonts w:hint="eastAsia" w:ascii="宋体" w:hAnsi="宋体" w:eastAsia="宋体" w:cs="宋体"/>
          <w:b/>
          <w:color w:val="auto"/>
          <w:sz w:val="21"/>
          <w:szCs w:val="21"/>
          <w:highlight w:val="none"/>
        </w:rPr>
        <w:t>无效，</w:t>
      </w:r>
      <w:r>
        <w:rPr>
          <w:rFonts w:hint="eastAsia" w:ascii="宋体" w:hAnsi="宋体" w:eastAsia="宋体" w:cs="宋体"/>
          <w:b/>
          <w:color w:val="auto"/>
          <w:sz w:val="21"/>
          <w:szCs w:val="21"/>
          <w:highlight w:val="none"/>
          <w:lang w:eastAsia="zh-CN"/>
        </w:rPr>
        <w:t>比选人</w:t>
      </w:r>
      <w:r>
        <w:rPr>
          <w:rFonts w:hint="eastAsia" w:ascii="宋体" w:hAnsi="宋体" w:eastAsia="宋体" w:cs="宋体"/>
          <w:b/>
          <w:color w:val="auto"/>
          <w:sz w:val="21"/>
          <w:szCs w:val="21"/>
          <w:highlight w:val="none"/>
        </w:rPr>
        <w:t>不予受理：</w:t>
      </w:r>
    </w:p>
    <w:p w14:paraId="5858969E">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（1）逾期送达的或者未送达指定地点的；</w:t>
      </w:r>
    </w:p>
    <w:p w14:paraId="7819F7B8">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法定代表人（或其委托代理人）未准时参加开标会议的，或参加开标会未提供本人有效身份证明的。</w:t>
      </w:r>
    </w:p>
    <w:p w14:paraId="1F5C67D4">
      <w:pPr>
        <w:pStyle w:val="20"/>
        <w:pageBreakBefore w:val="0"/>
        <w:widowControl w:val="0"/>
        <w:kinsoku/>
        <w:wordWrap/>
        <w:overflowPunct/>
        <w:topLinePunct w:val="0"/>
        <w:autoSpaceDE/>
        <w:autoSpaceDN/>
        <w:bidi w:val="0"/>
        <w:adjustRightInd/>
        <w:snapToGrid/>
        <w:spacing w:after="0" w:line="440" w:lineRule="exact"/>
        <w:ind w:left="-19" w:leftChars="-9" w:right="-139" w:rightChars="-66" w:firstLine="441" w:firstLineChars="209"/>
        <w:textAlignment w:val="auto"/>
        <w:rPr>
          <w:rFonts w:hint="eastAsia" w:ascii="宋体" w:hAnsi="宋体" w:eastAsia="宋体" w:cs="宋体"/>
          <w:b/>
          <w:color w:val="auto"/>
          <w:sz w:val="21"/>
          <w:szCs w:val="21"/>
          <w:highlight w:val="none"/>
          <w:shd w:val="clear" w:color="FFFFFF" w:fill="D9D9D9"/>
        </w:rPr>
      </w:pPr>
      <w:r>
        <w:rPr>
          <w:rFonts w:hint="eastAsia" w:ascii="宋体" w:hAnsi="宋体" w:eastAsia="宋体" w:cs="宋体"/>
          <w:b/>
          <w:color w:val="auto"/>
          <w:sz w:val="21"/>
          <w:szCs w:val="21"/>
          <w:highlight w:val="none"/>
        </w:rPr>
        <w:t>5.2.3</w:t>
      </w:r>
      <w:r>
        <w:rPr>
          <w:rFonts w:hint="eastAsia" w:ascii="宋体" w:hAnsi="宋体" w:eastAsia="宋体" w:cs="宋体"/>
          <w:b/>
          <w:color w:val="auto"/>
          <w:sz w:val="21"/>
          <w:szCs w:val="21"/>
          <w:highlight w:val="none"/>
          <w:lang w:eastAsia="zh-CN"/>
        </w:rPr>
        <w:t>参选文件</w:t>
      </w:r>
      <w:r>
        <w:rPr>
          <w:rFonts w:hint="eastAsia" w:ascii="宋体" w:hAnsi="宋体" w:eastAsia="宋体" w:cs="宋体"/>
          <w:b/>
          <w:color w:val="auto"/>
          <w:sz w:val="21"/>
          <w:szCs w:val="21"/>
          <w:highlight w:val="none"/>
        </w:rPr>
        <w:t>有下列情形之一的，由评标委员会初审后按废标处理（废标条件）：</w:t>
      </w:r>
    </w:p>
    <w:p w14:paraId="3B863822">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未按</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要求加盖单位公章，或未按</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要求由法定代表人（或其委托代理人）签字或盖章的；</w:t>
      </w:r>
    </w:p>
    <w:p w14:paraId="28110CF5">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的关键内容字迹模糊、无法辨认的；</w:t>
      </w:r>
    </w:p>
    <w:p w14:paraId="06AA9594">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未按照</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的要求缴纳</w:t>
      </w:r>
      <w:r>
        <w:rPr>
          <w:rFonts w:hint="eastAsia" w:ascii="宋体" w:hAnsi="宋体" w:eastAsia="宋体" w:cs="宋体"/>
          <w:color w:val="auto"/>
          <w:sz w:val="21"/>
          <w:szCs w:val="21"/>
          <w:highlight w:val="none"/>
          <w:lang w:eastAsia="zh-CN"/>
        </w:rPr>
        <w:t>参选保证金</w:t>
      </w:r>
      <w:r>
        <w:rPr>
          <w:rFonts w:hint="eastAsia" w:ascii="宋体" w:hAnsi="宋体" w:eastAsia="宋体" w:cs="宋体"/>
          <w:color w:val="auto"/>
          <w:sz w:val="21"/>
          <w:szCs w:val="21"/>
          <w:highlight w:val="none"/>
        </w:rPr>
        <w:t>的；</w:t>
      </w:r>
    </w:p>
    <w:p w14:paraId="1D8FD2E2">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递交两份或多份内容不同的</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，或在一份</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中对同一</w:t>
      </w:r>
      <w:r>
        <w:rPr>
          <w:rFonts w:hint="eastAsia" w:ascii="宋体" w:hAnsi="宋体" w:eastAsia="宋体" w:cs="宋体"/>
          <w:color w:val="auto"/>
          <w:sz w:val="21"/>
          <w:szCs w:val="21"/>
          <w:highlight w:val="none"/>
          <w:lang w:eastAsia="zh-CN"/>
        </w:rPr>
        <w:t>比选项目</w:t>
      </w:r>
      <w:r>
        <w:rPr>
          <w:rFonts w:hint="eastAsia" w:ascii="宋体" w:hAnsi="宋体" w:eastAsia="宋体" w:cs="宋体"/>
          <w:color w:val="auto"/>
          <w:sz w:val="21"/>
          <w:szCs w:val="21"/>
          <w:highlight w:val="none"/>
        </w:rPr>
        <w:t>报有两个或多个报价，且未声明哪一个有效的；</w:t>
      </w:r>
    </w:p>
    <w:p w14:paraId="43FA1D8E">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所提供有关证书、证明有涂改、转让或提供虚假材料的；</w:t>
      </w:r>
    </w:p>
    <w:p w14:paraId="1E9D38B1">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bookmarkStart w:id="298" w:name="_Toc5381"/>
      <w:bookmarkStart w:id="299" w:name="_Toc7409"/>
      <w:bookmarkStart w:id="300" w:name="_Toc2470"/>
      <w:bookmarkStart w:id="301" w:name="_Toc15627"/>
      <w:bookmarkStart w:id="302" w:name="_Toc169156516"/>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明确规定可以废标的其他情形；</w:t>
      </w:r>
    </w:p>
    <w:p w14:paraId="4E21D53B">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）未响应</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的实质性要求和条件的；</w:t>
      </w:r>
    </w:p>
    <w:p w14:paraId="78DFCB76">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）违反国家法律、法规及有关规定的其它情况的。</w:t>
      </w:r>
    </w:p>
    <w:p w14:paraId="2334C48D">
      <w:pPr>
        <w:pStyle w:val="2"/>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b/>
          <w:bCs/>
          <w:color w:val="auto"/>
          <w:sz w:val="21"/>
          <w:szCs w:val="21"/>
          <w:highlight w:val="none"/>
        </w:rPr>
      </w:pPr>
      <w:bookmarkStart w:id="303" w:name="_Toc21890"/>
      <w:bookmarkStart w:id="304" w:name="_Toc16528"/>
      <w:bookmarkStart w:id="305" w:name="_Toc25431"/>
      <w:r>
        <w:rPr>
          <w:rFonts w:hint="eastAsia" w:ascii="宋体" w:hAnsi="宋体" w:eastAsia="宋体" w:cs="宋体"/>
          <w:b/>
          <w:bCs/>
          <w:color w:val="auto"/>
          <w:sz w:val="21"/>
          <w:szCs w:val="21"/>
          <w:highlight w:val="none"/>
        </w:rPr>
        <w:t>6评标</w:t>
      </w:r>
      <w:bookmarkEnd w:id="298"/>
      <w:bookmarkEnd w:id="299"/>
      <w:bookmarkEnd w:id="300"/>
      <w:bookmarkEnd w:id="301"/>
      <w:bookmarkEnd w:id="302"/>
      <w:bookmarkEnd w:id="303"/>
      <w:bookmarkEnd w:id="304"/>
      <w:bookmarkEnd w:id="305"/>
      <w:bookmarkStart w:id="306" w:name="_Hlt163966685"/>
      <w:bookmarkEnd w:id="306"/>
    </w:p>
    <w:p w14:paraId="5D77A6C3">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307" w:name="_Toc27840"/>
      <w:bookmarkStart w:id="308" w:name="_Toc24123"/>
      <w:bookmarkStart w:id="309" w:name="_Toc15323"/>
      <w:bookmarkStart w:id="310" w:name="_Toc8045"/>
      <w:bookmarkStart w:id="311" w:name="_Toc11603"/>
      <w:bookmarkStart w:id="312" w:name="_Toc8481"/>
      <w:bookmarkStart w:id="313" w:name="_Toc28115"/>
      <w:bookmarkStart w:id="314" w:name="_Toc13649"/>
      <w:bookmarkStart w:id="315" w:name="_Toc169156517"/>
      <w:r>
        <w:rPr>
          <w:rFonts w:hint="eastAsia" w:ascii="宋体" w:hAnsi="宋体" w:eastAsia="宋体" w:cs="宋体"/>
          <w:color w:val="auto"/>
          <w:sz w:val="21"/>
          <w:szCs w:val="21"/>
          <w:highlight w:val="none"/>
        </w:rPr>
        <w:t>6.1评标委员会</w:t>
      </w:r>
      <w:bookmarkEnd w:id="307"/>
      <w:bookmarkEnd w:id="308"/>
      <w:bookmarkEnd w:id="309"/>
      <w:bookmarkEnd w:id="310"/>
      <w:bookmarkEnd w:id="311"/>
      <w:bookmarkEnd w:id="312"/>
      <w:bookmarkEnd w:id="313"/>
      <w:bookmarkEnd w:id="314"/>
    </w:p>
    <w:p w14:paraId="008583B3">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6.1.1评标由</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依法组建的评标委员会负责。评标委员会由</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熟悉相关业务的代表，以及有关技术、经济等方面的专家组成。评标委员会成员人数以及技术、经济等方面专家的确定方式见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p w14:paraId="6A00A700">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6.1.2评标委员会成员有下列情形之一的，应当回避：</w:t>
      </w:r>
    </w:p>
    <w:p w14:paraId="380D4E56">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的主要负责人的近亲属；</w:t>
      </w:r>
    </w:p>
    <w:p w14:paraId="6DFCF16A">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（2）项目主管部门或者行政监督部门的人员；</w:t>
      </w:r>
    </w:p>
    <w:p w14:paraId="2BB5D400">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（3）与</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有经济利益关系，可能影响对投标公正评审的；</w:t>
      </w:r>
    </w:p>
    <w:p w14:paraId="4D27D75E">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（4）曾因在招标、评标以及其他与招标投标有关的活动中从事违法行为而受过行政处罚或刑事处罚的；</w:t>
      </w:r>
    </w:p>
    <w:p w14:paraId="58BB4D04">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（5）与</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有其它利害关系。</w:t>
      </w:r>
    </w:p>
    <w:p w14:paraId="03ED6F92">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316" w:name="_Toc6052"/>
      <w:bookmarkStart w:id="317" w:name="_Toc6389"/>
      <w:bookmarkStart w:id="318" w:name="_Toc20928"/>
      <w:bookmarkStart w:id="319" w:name="_Toc2149"/>
      <w:bookmarkStart w:id="320" w:name="_Toc9830"/>
      <w:bookmarkStart w:id="321" w:name="_Toc9220"/>
      <w:bookmarkStart w:id="322" w:name="_Toc17462"/>
      <w:bookmarkStart w:id="323" w:name="_Toc29935"/>
      <w:r>
        <w:rPr>
          <w:rFonts w:hint="eastAsia" w:ascii="宋体" w:hAnsi="宋体" w:eastAsia="宋体" w:cs="宋体"/>
          <w:color w:val="auto"/>
          <w:sz w:val="21"/>
          <w:szCs w:val="21"/>
          <w:highlight w:val="none"/>
        </w:rPr>
        <w:t>6.2评标原则</w:t>
      </w:r>
      <w:bookmarkEnd w:id="316"/>
      <w:bookmarkEnd w:id="317"/>
      <w:bookmarkEnd w:id="318"/>
      <w:bookmarkEnd w:id="319"/>
      <w:bookmarkEnd w:id="320"/>
      <w:bookmarkEnd w:id="321"/>
      <w:bookmarkEnd w:id="322"/>
      <w:bookmarkEnd w:id="323"/>
    </w:p>
    <w:p w14:paraId="14884A60">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评标活动遵循公平、公正、科学和择优的原则。</w:t>
      </w:r>
    </w:p>
    <w:p w14:paraId="5AF1DA83">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324" w:name="_Toc24504"/>
      <w:bookmarkStart w:id="325" w:name="_Toc5076"/>
      <w:bookmarkStart w:id="326" w:name="_Toc18893"/>
      <w:bookmarkStart w:id="327" w:name="_Toc32373"/>
      <w:bookmarkStart w:id="328" w:name="_Toc6999"/>
      <w:bookmarkStart w:id="329" w:name="_Toc25065"/>
      <w:bookmarkStart w:id="330" w:name="_Toc20023"/>
      <w:bookmarkStart w:id="331" w:name="_Toc28785"/>
      <w:r>
        <w:rPr>
          <w:rFonts w:hint="eastAsia" w:ascii="宋体" w:hAnsi="宋体" w:eastAsia="宋体" w:cs="宋体"/>
          <w:color w:val="auto"/>
          <w:sz w:val="21"/>
          <w:szCs w:val="21"/>
          <w:highlight w:val="none"/>
        </w:rPr>
        <w:t>6.3评标</w:t>
      </w:r>
      <w:bookmarkEnd w:id="324"/>
      <w:bookmarkEnd w:id="325"/>
      <w:bookmarkEnd w:id="326"/>
      <w:bookmarkEnd w:id="327"/>
      <w:bookmarkEnd w:id="328"/>
      <w:bookmarkEnd w:id="329"/>
      <w:bookmarkEnd w:id="330"/>
      <w:bookmarkEnd w:id="331"/>
    </w:p>
    <w:p w14:paraId="6BA16E66">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评标委员会按照第三章“评标办法”规定的方法、评审因素、标准和程序对</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进行评审。第三章“评标办法”没有规定的方法、评审因素和标准，不作为评标依据。</w:t>
      </w:r>
      <w:bookmarkEnd w:id="315"/>
    </w:p>
    <w:p w14:paraId="23333293">
      <w:pPr>
        <w:pStyle w:val="2"/>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b/>
          <w:bCs/>
          <w:color w:val="auto"/>
          <w:sz w:val="21"/>
          <w:szCs w:val="21"/>
          <w:highlight w:val="none"/>
        </w:rPr>
      </w:pPr>
      <w:bookmarkStart w:id="332" w:name="_Toc8237"/>
      <w:bookmarkStart w:id="333" w:name="_Toc31413"/>
      <w:bookmarkStart w:id="334" w:name="_Toc7295"/>
      <w:bookmarkStart w:id="335" w:name="_Toc169156518"/>
      <w:bookmarkStart w:id="336" w:name="_Toc32755"/>
      <w:bookmarkStart w:id="337" w:name="_Toc13999"/>
      <w:bookmarkStart w:id="338" w:name="_Toc6288"/>
      <w:bookmarkStart w:id="339" w:name="_Toc7516"/>
      <w:bookmarkStart w:id="340" w:name="_Hlt94884266"/>
      <w:r>
        <w:rPr>
          <w:rFonts w:hint="eastAsia" w:ascii="宋体" w:hAnsi="宋体" w:eastAsia="宋体" w:cs="宋体"/>
          <w:b/>
          <w:bCs/>
          <w:color w:val="auto"/>
          <w:sz w:val="21"/>
          <w:szCs w:val="21"/>
          <w:highlight w:val="none"/>
        </w:rPr>
        <w:t>7合同的授</w:t>
      </w:r>
      <w:bookmarkStart w:id="341" w:name="_Hlt94884225"/>
      <w:bookmarkEnd w:id="341"/>
      <w:r>
        <w:rPr>
          <w:rFonts w:hint="eastAsia" w:ascii="宋体" w:hAnsi="宋体" w:eastAsia="宋体" w:cs="宋体"/>
          <w:b/>
          <w:bCs/>
          <w:color w:val="auto"/>
          <w:sz w:val="21"/>
          <w:szCs w:val="21"/>
          <w:highlight w:val="none"/>
        </w:rPr>
        <w:t>予</w:t>
      </w:r>
      <w:bookmarkEnd w:id="332"/>
      <w:bookmarkEnd w:id="333"/>
      <w:bookmarkEnd w:id="334"/>
      <w:bookmarkEnd w:id="335"/>
      <w:bookmarkEnd w:id="336"/>
      <w:bookmarkEnd w:id="337"/>
      <w:bookmarkEnd w:id="338"/>
      <w:bookmarkEnd w:id="339"/>
      <w:bookmarkEnd w:id="340"/>
      <w:bookmarkStart w:id="342" w:name="_Hlt163966689"/>
      <w:bookmarkEnd w:id="342"/>
    </w:p>
    <w:bookmarkEnd w:id="278"/>
    <w:p w14:paraId="1BA683CC">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343" w:name="_Toc26954"/>
      <w:bookmarkStart w:id="344" w:name="_Toc16547"/>
      <w:bookmarkStart w:id="345" w:name="_Toc32626"/>
      <w:bookmarkStart w:id="346" w:name="_Toc19949"/>
      <w:bookmarkStart w:id="347" w:name="_Toc22585"/>
      <w:bookmarkStart w:id="348" w:name="_Toc22833"/>
      <w:bookmarkStart w:id="349" w:name="_Toc10486"/>
      <w:bookmarkStart w:id="350" w:name="_Toc16006"/>
      <w:bookmarkStart w:id="351" w:name="_Toc27797"/>
      <w:bookmarkStart w:id="352" w:name="_Toc2693"/>
      <w:bookmarkStart w:id="353" w:name="_Toc29665"/>
      <w:r>
        <w:rPr>
          <w:rFonts w:hint="eastAsia" w:ascii="宋体" w:hAnsi="宋体" w:eastAsia="宋体" w:cs="宋体"/>
          <w:color w:val="auto"/>
          <w:sz w:val="21"/>
          <w:szCs w:val="21"/>
          <w:highlight w:val="none"/>
        </w:rPr>
        <w:t>7.1定标方式</w:t>
      </w:r>
      <w:bookmarkEnd w:id="343"/>
      <w:bookmarkEnd w:id="344"/>
      <w:bookmarkEnd w:id="345"/>
      <w:bookmarkEnd w:id="346"/>
      <w:bookmarkEnd w:id="347"/>
      <w:bookmarkEnd w:id="348"/>
      <w:bookmarkEnd w:id="349"/>
      <w:bookmarkEnd w:id="350"/>
    </w:p>
    <w:p w14:paraId="54CF4C4A">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lang w:val="en-US" w:eastAsia="zh-CN"/>
        </w:rPr>
      </w:pPr>
      <w:bookmarkStart w:id="354" w:name="_Toc4158"/>
      <w:bookmarkStart w:id="355" w:name="_Toc24973"/>
      <w:bookmarkStart w:id="356" w:name="_Toc18618"/>
      <w:bookmarkStart w:id="357" w:name="_Toc2047"/>
      <w:bookmarkStart w:id="358" w:name="_Toc23120"/>
      <w:bookmarkStart w:id="359" w:name="_Toc18110"/>
      <w:r>
        <w:rPr>
          <w:rFonts w:hint="eastAsia" w:ascii="宋体" w:hAnsi="宋体" w:eastAsia="宋体" w:cs="宋体"/>
          <w:color w:val="auto"/>
          <w:sz w:val="21"/>
          <w:szCs w:val="21"/>
          <w:highlight w:val="none"/>
          <w:lang w:val="en-US" w:eastAsia="zh-CN"/>
        </w:rPr>
        <w:t>评标委员会根据约定的开标顺序（本须知5.2.1项）进行评审，若某标段中选候选人放弃中选或者因被投诉且已查实的，比选人将组织该标段重新比选。中选公示结束后，中选候选人均为中选人。</w:t>
      </w:r>
    </w:p>
    <w:p w14:paraId="7E7EC0B7">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360" w:name="_Toc6914"/>
      <w:bookmarkStart w:id="361" w:name="_Toc30378"/>
      <w:r>
        <w:rPr>
          <w:rFonts w:hint="eastAsia" w:ascii="宋体" w:hAnsi="宋体" w:eastAsia="宋体" w:cs="宋体"/>
          <w:color w:val="auto"/>
          <w:sz w:val="21"/>
          <w:szCs w:val="21"/>
          <w:highlight w:val="none"/>
        </w:rPr>
        <w:t>7.2</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通知</w:t>
      </w:r>
      <w:bookmarkEnd w:id="354"/>
      <w:bookmarkEnd w:id="355"/>
      <w:bookmarkEnd w:id="356"/>
      <w:bookmarkEnd w:id="357"/>
      <w:bookmarkEnd w:id="358"/>
      <w:bookmarkEnd w:id="359"/>
      <w:bookmarkEnd w:id="360"/>
      <w:bookmarkEnd w:id="361"/>
    </w:p>
    <w:p w14:paraId="574ACF1C">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在本章第3.4款规定的</w:t>
      </w:r>
      <w:r>
        <w:rPr>
          <w:rFonts w:hint="eastAsia" w:ascii="宋体" w:hAnsi="宋体" w:eastAsia="宋体" w:cs="宋体"/>
          <w:color w:val="auto"/>
          <w:sz w:val="21"/>
          <w:szCs w:val="21"/>
          <w:highlight w:val="none"/>
          <w:lang w:eastAsia="zh-CN"/>
        </w:rPr>
        <w:t>参选投标有效期</w:t>
      </w:r>
      <w:r>
        <w:rPr>
          <w:rFonts w:hint="eastAsia" w:ascii="宋体" w:hAnsi="宋体" w:eastAsia="宋体" w:cs="宋体"/>
          <w:color w:val="auto"/>
          <w:sz w:val="21"/>
          <w:szCs w:val="21"/>
          <w:highlight w:val="none"/>
        </w:rPr>
        <w:t>内，</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以书面形式向</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人发出</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通知书。</w:t>
      </w:r>
    </w:p>
    <w:p w14:paraId="42DB8FE0">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标书中载明的</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地址、收件人、联系方式、电子邮箱等地址为</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的法定送达地址，</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以该地址送达具有法律效力。</w:t>
      </w:r>
    </w:p>
    <w:p w14:paraId="613F0D0B">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362" w:name="_Toc5877"/>
      <w:bookmarkStart w:id="363" w:name="_Toc27750"/>
      <w:bookmarkStart w:id="364" w:name="_Toc3907"/>
      <w:bookmarkStart w:id="365" w:name="_Toc5891"/>
      <w:bookmarkStart w:id="366" w:name="_Toc25233"/>
      <w:bookmarkStart w:id="367" w:name="_Toc25859"/>
      <w:bookmarkStart w:id="368" w:name="_Toc27026"/>
      <w:bookmarkStart w:id="369" w:name="_Toc8545"/>
      <w:r>
        <w:rPr>
          <w:rFonts w:hint="eastAsia" w:ascii="宋体" w:hAnsi="宋体" w:eastAsia="宋体" w:cs="宋体"/>
          <w:color w:val="auto"/>
          <w:sz w:val="21"/>
          <w:szCs w:val="21"/>
          <w:highlight w:val="none"/>
        </w:rPr>
        <w:t>7.3履约担保</w:t>
      </w:r>
      <w:bookmarkEnd w:id="362"/>
      <w:bookmarkEnd w:id="363"/>
      <w:bookmarkEnd w:id="364"/>
      <w:bookmarkEnd w:id="365"/>
      <w:bookmarkEnd w:id="366"/>
      <w:bookmarkEnd w:id="367"/>
      <w:bookmarkEnd w:id="368"/>
      <w:bookmarkEnd w:id="369"/>
    </w:p>
    <w:p w14:paraId="01973CCA">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7.3.1在签订合同前，</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人应按</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前附表规定的金额、担保形式和</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第二卷“合同条件附件”规定的履约担保格式向</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提交履约担保。保证金如有退回的，将退回原账户，保证金不计息。</w:t>
      </w:r>
    </w:p>
    <w:p w14:paraId="77242AF5">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人不能按本章第7.3.1项要求提交履约担保的，视为放弃</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，其</w:t>
      </w:r>
      <w:r>
        <w:rPr>
          <w:rFonts w:hint="eastAsia" w:ascii="宋体" w:hAnsi="宋体" w:eastAsia="宋体" w:cs="宋体"/>
          <w:color w:val="auto"/>
          <w:sz w:val="21"/>
          <w:szCs w:val="21"/>
          <w:highlight w:val="none"/>
          <w:lang w:eastAsia="zh-CN"/>
        </w:rPr>
        <w:t>参选保证金</w:t>
      </w:r>
      <w:r>
        <w:rPr>
          <w:rFonts w:hint="eastAsia" w:ascii="宋体" w:hAnsi="宋体" w:eastAsia="宋体" w:cs="宋体"/>
          <w:color w:val="auto"/>
          <w:sz w:val="21"/>
          <w:szCs w:val="21"/>
          <w:highlight w:val="none"/>
        </w:rPr>
        <w:t>不予退还，给</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造成的损失超过</w:t>
      </w:r>
      <w:r>
        <w:rPr>
          <w:rFonts w:hint="eastAsia" w:ascii="宋体" w:hAnsi="宋体" w:eastAsia="宋体" w:cs="宋体"/>
          <w:color w:val="auto"/>
          <w:sz w:val="21"/>
          <w:szCs w:val="21"/>
          <w:highlight w:val="none"/>
          <w:lang w:eastAsia="zh-CN"/>
        </w:rPr>
        <w:t>参选保证金</w:t>
      </w:r>
      <w:r>
        <w:rPr>
          <w:rFonts w:hint="eastAsia" w:ascii="宋体" w:hAnsi="宋体" w:eastAsia="宋体" w:cs="宋体"/>
          <w:color w:val="auto"/>
          <w:sz w:val="21"/>
          <w:szCs w:val="21"/>
          <w:highlight w:val="none"/>
        </w:rPr>
        <w:t>数额的，</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人还应当对超过部分予以赔偿。</w:t>
      </w:r>
    </w:p>
    <w:p w14:paraId="5FE14D75">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370" w:name="_Toc17404"/>
      <w:bookmarkStart w:id="371" w:name="_Toc30888"/>
      <w:bookmarkStart w:id="372" w:name="_Toc1009"/>
      <w:bookmarkStart w:id="373" w:name="_Toc32030"/>
      <w:bookmarkStart w:id="374" w:name="_Toc30039"/>
      <w:bookmarkStart w:id="375" w:name="_Toc4069"/>
      <w:bookmarkStart w:id="376" w:name="_Toc23317"/>
      <w:bookmarkStart w:id="377" w:name="_Toc25613"/>
      <w:r>
        <w:rPr>
          <w:rFonts w:hint="eastAsia" w:ascii="宋体" w:hAnsi="宋体" w:eastAsia="宋体" w:cs="宋体"/>
          <w:color w:val="auto"/>
          <w:sz w:val="21"/>
          <w:szCs w:val="21"/>
          <w:highlight w:val="none"/>
        </w:rPr>
        <w:t>7.4签订合同</w:t>
      </w:r>
      <w:bookmarkEnd w:id="370"/>
      <w:bookmarkEnd w:id="371"/>
      <w:bookmarkEnd w:id="372"/>
      <w:bookmarkEnd w:id="373"/>
      <w:bookmarkEnd w:id="374"/>
      <w:bookmarkEnd w:id="375"/>
      <w:bookmarkEnd w:id="376"/>
      <w:bookmarkEnd w:id="377"/>
    </w:p>
    <w:p w14:paraId="6C68C77D">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和</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人应当自</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通知书发出之日起30天内，根据</w:t>
      </w:r>
      <w:r>
        <w:rPr>
          <w:rFonts w:hint="eastAsia" w:ascii="宋体" w:hAnsi="宋体" w:eastAsia="宋体" w:cs="宋体"/>
          <w:color w:val="auto"/>
          <w:sz w:val="21"/>
          <w:szCs w:val="21"/>
          <w:highlight w:val="none"/>
          <w:lang w:eastAsia="zh-CN"/>
        </w:rPr>
        <w:t>比选文件</w:t>
      </w:r>
      <w:r>
        <w:rPr>
          <w:rFonts w:hint="eastAsia" w:ascii="宋体" w:hAnsi="宋体" w:eastAsia="宋体" w:cs="宋体"/>
          <w:color w:val="auto"/>
          <w:sz w:val="21"/>
          <w:szCs w:val="21"/>
          <w:highlight w:val="none"/>
        </w:rPr>
        <w:t>和</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人的</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订立书面合同。</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人无正当理由拒签合同的，</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取消其</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资格，其</w:t>
      </w:r>
      <w:r>
        <w:rPr>
          <w:rFonts w:hint="eastAsia" w:ascii="宋体" w:hAnsi="宋体" w:eastAsia="宋体" w:cs="宋体"/>
          <w:color w:val="auto"/>
          <w:sz w:val="21"/>
          <w:szCs w:val="21"/>
          <w:highlight w:val="none"/>
          <w:lang w:eastAsia="zh-CN"/>
        </w:rPr>
        <w:t>参选保证金</w:t>
      </w:r>
      <w:r>
        <w:rPr>
          <w:rFonts w:hint="eastAsia" w:ascii="宋体" w:hAnsi="宋体" w:eastAsia="宋体" w:cs="宋体"/>
          <w:color w:val="auto"/>
          <w:sz w:val="21"/>
          <w:szCs w:val="21"/>
          <w:highlight w:val="none"/>
        </w:rPr>
        <w:t>不予退还；给</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造成的损失超过</w:t>
      </w:r>
      <w:r>
        <w:rPr>
          <w:rFonts w:hint="eastAsia" w:ascii="宋体" w:hAnsi="宋体" w:eastAsia="宋体" w:cs="宋体"/>
          <w:color w:val="auto"/>
          <w:sz w:val="21"/>
          <w:szCs w:val="21"/>
          <w:highlight w:val="none"/>
          <w:lang w:eastAsia="zh-CN"/>
        </w:rPr>
        <w:t>参选保证金</w:t>
      </w:r>
      <w:r>
        <w:rPr>
          <w:rFonts w:hint="eastAsia" w:ascii="宋体" w:hAnsi="宋体" w:eastAsia="宋体" w:cs="宋体"/>
          <w:color w:val="auto"/>
          <w:sz w:val="21"/>
          <w:szCs w:val="21"/>
          <w:highlight w:val="none"/>
        </w:rPr>
        <w:t>数额的，</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人还应当对超过部分予以赔偿。</w:t>
      </w:r>
    </w:p>
    <w:p w14:paraId="18CB613F">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7.4.2发出</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通知书后，</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无正当理由拒签合同的，</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人退还</w:t>
      </w:r>
      <w:r>
        <w:rPr>
          <w:rFonts w:hint="eastAsia" w:ascii="宋体" w:hAnsi="宋体" w:eastAsia="宋体" w:cs="宋体"/>
          <w:color w:val="auto"/>
          <w:sz w:val="21"/>
          <w:szCs w:val="21"/>
          <w:highlight w:val="none"/>
          <w:lang w:eastAsia="zh-CN"/>
        </w:rPr>
        <w:t>参选保证金</w:t>
      </w:r>
      <w:r>
        <w:rPr>
          <w:rFonts w:hint="eastAsia" w:ascii="宋体" w:hAnsi="宋体" w:eastAsia="宋体" w:cs="宋体"/>
          <w:color w:val="auto"/>
          <w:sz w:val="21"/>
          <w:szCs w:val="21"/>
          <w:highlight w:val="none"/>
        </w:rPr>
        <w:t>；给</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人造成损失的，还应当赔偿其实际损失。</w:t>
      </w:r>
    </w:p>
    <w:p w14:paraId="0EDA5645">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7.4.3</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在收到</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人提交的履约担保后方可签订合同。</w:t>
      </w:r>
    </w:p>
    <w:p w14:paraId="0A800977">
      <w:pPr>
        <w:pStyle w:val="2"/>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b/>
          <w:bCs/>
          <w:color w:val="auto"/>
          <w:sz w:val="21"/>
          <w:szCs w:val="21"/>
          <w:highlight w:val="none"/>
          <w:lang w:eastAsia="zh-CN"/>
        </w:rPr>
      </w:pPr>
      <w:bookmarkStart w:id="378" w:name="_Toc3248"/>
      <w:bookmarkStart w:id="379" w:name="_Toc27489"/>
      <w:bookmarkStart w:id="380" w:name="_Toc6965"/>
      <w:bookmarkStart w:id="381" w:name="_Toc994"/>
      <w:r>
        <w:rPr>
          <w:rFonts w:hint="eastAsia" w:ascii="宋体" w:hAnsi="宋体" w:eastAsia="宋体" w:cs="宋体"/>
          <w:b/>
          <w:bCs/>
          <w:color w:val="auto"/>
          <w:sz w:val="21"/>
          <w:szCs w:val="21"/>
          <w:highlight w:val="none"/>
        </w:rPr>
        <w:t>8</w:t>
      </w:r>
      <w:r>
        <w:rPr>
          <w:rFonts w:hint="eastAsia" w:ascii="宋体" w:hAnsi="宋体" w:eastAsia="宋体" w:cs="宋体"/>
          <w:b/>
          <w:bCs/>
          <w:color w:val="auto"/>
          <w:sz w:val="21"/>
          <w:szCs w:val="21"/>
          <w:highlight w:val="none"/>
          <w:lang w:eastAsia="zh-CN"/>
        </w:rPr>
        <w:t>重新比选</w:t>
      </w:r>
      <w:r>
        <w:rPr>
          <w:rFonts w:hint="eastAsia" w:ascii="宋体" w:hAnsi="宋体" w:eastAsia="宋体" w:cs="宋体"/>
          <w:b/>
          <w:bCs/>
          <w:color w:val="auto"/>
          <w:sz w:val="21"/>
          <w:szCs w:val="21"/>
          <w:highlight w:val="none"/>
        </w:rPr>
        <w:t>和</w:t>
      </w:r>
      <w:bookmarkEnd w:id="351"/>
      <w:bookmarkEnd w:id="352"/>
      <w:bookmarkEnd w:id="353"/>
      <w:bookmarkEnd w:id="378"/>
      <w:bookmarkEnd w:id="379"/>
      <w:bookmarkEnd w:id="380"/>
      <w:r>
        <w:rPr>
          <w:rFonts w:hint="eastAsia" w:ascii="宋体" w:hAnsi="宋体" w:eastAsia="宋体" w:cs="宋体"/>
          <w:b/>
          <w:bCs/>
          <w:color w:val="auto"/>
          <w:sz w:val="21"/>
          <w:szCs w:val="21"/>
          <w:highlight w:val="none"/>
          <w:lang w:eastAsia="zh-CN"/>
        </w:rPr>
        <w:t>不再比选</w:t>
      </w:r>
      <w:bookmarkEnd w:id="381"/>
    </w:p>
    <w:p w14:paraId="413B8ECF">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lang w:eastAsia="zh-CN"/>
        </w:rPr>
      </w:pPr>
      <w:bookmarkStart w:id="382" w:name="_Toc18837"/>
      <w:bookmarkStart w:id="383" w:name="_Toc13651"/>
      <w:bookmarkStart w:id="384" w:name="_Toc26501"/>
      <w:bookmarkStart w:id="385" w:name="_Toc30964"/>
      <w:bookmarkStart w:id="386" w:name="_Toc25147"/>
      <w:bookmarkStart w:id="387" w:name="_Toc15573"/>
      <w:bookmarkStart w:id="388" w:name="_Toc12909"/>
      <w:bookmarkStart w:id="389" w:name="_Toc20353"/>
      <w:r>
        <w:rPr>
          <w:rFonts w:hint="eastAsia" w:ascii="宋体" w:hAnsi="宋体" w:eastAsia="宋体" w:cs="宋体"/>
          <w:color w:val="auto"/>
          <w:sz w:val="21"/>
          <w:szCs w:val="21"/>
          <w:highlight w:val="none"/>
        </w:rPr>
        <w:t>8.1</w:t>
      </w:r>
      <w:bookmarkEnd w:id="382"/>
      <w:bookmarkEnd w:id="383"/>
      <w:bookmarkEnd w:id="384"/>
      <w:bookmarkEnd w:id="385"/>
      <w:bookmarkEnd w:id="386"/>
      <w:bookmarkEnd w:id="387"/>
      <w:r>
        <w:rPr>
          <w:rFonts w:hint="eastAsia" w:ascii="宋体" w:hAnsi="宋体" w:eastAsia="宋体" w:cs="宋体"/>
          <w:color w:val="auto"/>
          <w:sz w:val="21"/>
          <w:szCs w:val="21"/>
          <w:highlight w:val="none"/>
          <w:lang w:eastAsia="zh-CN"/>
        </w:rPr>
        <w:t>重新比选</w:t>
      </w:r>
      <w:bookmarkEnd w:id="388"/>
      <w:bookmarkEnd w:id="389"/>
    </w:p>
    <w:p w14:paraId="335655FA">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有下列情形之一的，</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可重新组织</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w:t>
      </w:r>
    </w:p>
    <w:p w14:paraId="33FE5A55">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参选截止时间</w:t>
      </w:r>
      <w:r>
        <w:rPr>
          <w:rFonts w:hint="eastAsia" w:ascii="宋体" w:hAnsi="宋体" w:eastAsia="宋体" w:cs="宋体"/>
          <w:color w:val="auto"/>
          <w:sz w:val="21"/>
          <w:szCs w:val="21"/>
          <w:highlight w:val="none"/>
        </w:rPr>
        <w:t>止，</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少于</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个的；</w:t>
      </w:r>
    </w:p>
    <w:p w14:paraId="50BE4DB0">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（2）经评标委员会评审后否决所有</w:t>
      </w:r>
      <w:r>
        <w:rPr>
          <w:rFonts w:hint="eastAsia" w:ascii="宋体" w:hAnsi="宋体" w:eastAsia="宋体" w:cs="宋体"/>
          <w:color w:val="auto"/>
          <w:sz w:val="21"/>
          <w:szCs w:val="21"/>
          <w:highlight w:val="none"/>
          <w:lang w:val="en-US" w:eastAsia="zh-CN"/>
        </w:rPr>
        <w:t>参选</w:t>
      </w:r>
      <w:r>
        <w:rPr>
          <w:rFonts w:hint="eastAsia" w:ascii="宋体" w:hAnsi="宋体" w:eastAsia="宋体" w:cs="宋体"/>
          <w:color w:val="auto"/>
          <w:sz w:val="21"/>
          <w:szCs w:val="21"/>
          <w:highlight w:val="none"/>
        </w:rPr>
        <w:t>的；</w:t>
      </w:r>
    </w:p>
    <w:p w14:paraId="394B9F51">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人放弃</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或者因被投诉且已查实的，</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决定</w:t>
      </w:r>
      <w:r>
        <w:rPr>
          <w:rFonts w:hint="eastAsia" w:ascii="宋体" w:hAnsi="宋体" w:eastAsia="宋体" w:cs="宋体"/>
          <w:color w:val="auto"/>
          <w:sz w:val="21"/>
          <w:szCs w:val="21"/>
          <w:highlight w:val="none"/>
          <w:lang w:eastAsia="zh-CN"/>
        </w:rPr>
        <w:t>重新比选</w:t>
      </w:r>
      <w:r>
        <w:rPr>
          <w:rFonts w:hint="eastAsia" w:ascii="宋体" w:hAnsi="宋体" w:eastAsia="宋体" w:cs="宋体"/>
          <w:color w:val="auto"/>
          <w:sz w:val="21"/>
          <w:szCs w:val="21"/>
          <w:highlight w:val="none"/>
        </w:rPr>
        <w:t>的；</w:t>
      </w:r>
    </w:p>
    <w:p w14:paraId="246AEB56">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（4）评标委员会或主管部门认定的其他原因。</w:t>
      </w:r>
    </w:p>
    <w:p w14:paraId="194F1A2C">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lang w:eastAsia="zh-CN"/>
        </w:rPr>
      </w:pPr>
      <w:bookmarkStart w:id="390" w:name="_Toc4341"/>
      <w:bookmarkStart w:id="391" w:name="_Toc1326"/>
      <w:bookmarkStart w:id="392" w:name="_Toc30216"/>
      <w:bookmarkStart w:id="393" w:name="_Toc21087"/>
      <w:bookmarkStart w:id="394" w:name="_Toc6758"/>
      <w:bookmarkStart w:id="395" w:name="_Toc16339"/>
      <w:bookmarkStart w:id="396" w:name="_Toc28824"/>
      <w:bookmarkStart w:id="397" w:name="_Toc19467"/>
      <w:r>
        <w:rPr>
          <w:rFonts w:hint="eastAsia" w:ascii="宋体" w:hAnsi="宋体" w:eastAsia="宋体" w:cs="宋体"/>
          <w:color w:val="auto"/>
          <w:sz w:val="21"/>
          <w:szCs w:val="21"/>
          <w:highlight w:val="none"/>
        </w:rPr>
        <w:t>8.2</w:t>
      </w:r>
      <w:bookmarkEnd w:id="390"/>
      <w:bookmarkEnd w:id="391"/>
      <w:bookmarkEnd w:id="392"/>
      <w:bookmarkEnd w:id="393"/>
      <w:bookmarkEnd w:id="394"/>
      <w:bookmarkEnd w:id="395"/>
      <w:r>
        <w:rPr>
          <w:rFonts w:hint="eastAsia" w:ascii="宋体" w:hAnsi="宋体" w:eastAsia="宋体" w:cs="宋体"/>
          <w:color w:val="auto"/>
          <w:sz w:val="21"/>
          <w:szCs w:val="21"/>
          <w:highlight w:val="none"/>
          <w:lang w:eastAsia="zh-CN"/>
        </w:rPr>
        <w:t>不再比选</w:t>
      </w:r>
      <w:bookmarkEnd w:id="396"/>
      <w:bookmarkEnd w:id="397"/>
    </w:p>
    <w:p w14:paraId="479625A1">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重新比选</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仍少于</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个或者所有投标被否决的，属于必须审批或核准的项目，经原审批或核准部门批准后可不再进行</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w:t>
      </w:r>
    </w:p>
    <w:p w14:paraId="231BF47E">
      <w:pPr>
        <w:pStyle w:val="2"/>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b/>
          <w:bCs/>
          <w:color w:val="auto"/>
          <w:sz w:val="21"/>
          <w:szCs w:val="21"/>
          <w:highlight w:val="none"/>
        </w:rPr>
      </w:pPr>
      <w:bookmarkStart w:id="398" w:name="_Toc14936"/>
      <w:bookmarkStart w:id="399" w:name="_Toc27391"/>
      <w:bookmarkStart w:id="400" w:name="_Toc22778"/>
      <w:bookmarkStart w:id="401" w:name="_Toc3228"/>
      <w:bookmarkStart w:id="402" w:name="_Toc184635079"/>
      <w:bookmarkStart w:id="403" w:name="_Toc1990"/>
      <w:bookmarkStart w:id="404" w:name="_Toc28003"/>
      <w:bookmarkStart w:id="405" w:name="_Toc32678"/>
      <w:r>
        <w:rPr>
          <w:rFonts w:hint="eastAsia" w:ascii="宋体" w:hAnsi="宋体" w:eastAsia="宋体" w:cs="宋体"/>
          <w:b/>
          <w:bCs/>
          <w:color w:val="auto"/>
          <w:sz w:val="21"/>
          <w:szCs w:val="21"/>
          <w:highlight w:val="none"/>
        </w:rPr>
        <w:t>9纪律和监督</w:t>
      </w:r>
      <w:bookmarkEnd w:id="398"/>
      <w:bookmarkEnd w:id="399"/>
      <w:bookmarkEnd w:id="400"/>
      <w:bookmarkEnd w:id="401"/>
      <w:bookmarkEnd w:id="402"/>
      <w:bookmarkEnd w:id="403"/>
      <w:bookmarkEnd w:id="404"/>
      <w:bookmarkEnd w:id="405"/>
    </w:p>
    <w:p w14:paraId="3E8567DE">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406" w:name="_Toc130"/>
      <w:bookmarkStart w:id="407" w:name="_Toc20816"/>
      <w:bookmarkStart w:id="408" w:name="_Toc4316"/>
      <w:bookmarkStart w:id="409" w:name="_Toc28818"/>
      <w:bookmarkStart w:id="410" w:name="_Toc21221"/>
      <w:bookmarkStart w:id="411" w:name="_Toc28843"/>
      <w:bookmarkStart w:id="412" w:name="_Toc6886"/>
      <w:bookmarkStart w:id="413" w:name="_Toc3760"/>
      <w:r>
        <w:rPr>
          <w:rFonts w:hint="eastAsia" w:ascii="宋体" w:hAnsi="宋体" w:eastAsia="宋体" w:cs="宋体"/>
          <w:color w:val="auto"/>
          <w:sz w:val="21"/>
          <w:szCs w:val="21"/>
          <w:highlight w:val="none"/>
        </w:rPr>
        <w:t>9.1对</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的纪律要求</w:t>
      </w:r>
      <w:bookmarkEnd w:id="406"/>
      <w:bookmarkEnd w:id="407"/>
      <w:bookmarkEnd w:id="408"/>
      <w:bookmarkEnd w:id="409"/>
      <w:bookmarkEnd w:id="410"/>
      <w:bookmarkEnd w:id="411"/>
      <w:bookmarkEnd w:id="412"/>
      <w:bookmarkEnd w:id="413"/>
    </w:p>
    <w:p w14:paraId="1C6838F0">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不得泄漏开评标活动中应当保密的情况和资料，不得与</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串通损害国家利益、社会公共利益或者他人合法权益。</w:t>
      </w:r>
    </w:p>
    <w:p w14:paraId="5ADB3341">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414" w:name="_Toc14815"/>
      <w:bookmarkStart w:id="415" w:name="_Toc1493"/>
      <w:bookmarkStart w:id="416" w:name="_Toc30770"/>
      <w:bookmarkStart w:id="417" w:name="_Toc17263"/>
      <w:bookmarkStart w:id="418" w:name="_Toc16427"/>
      <w:bookmarkStart w:id="419" w:name="_Toc18918"/>
      <w:bookmarkStart w:id="420" w:name="_Toc165"/>
      <w:bookmarkStart w:id="421" w:name="_Toc29679"/>
      <w:r>
        <w:rPr>
          <w:rFonts w:hint="eastAsia" w:ascii="宋体" w:hAnsi="宋体" w:eastAsia="宋体" w:cs="宋体"/>
          <w:color w:val="auto"/>
          <w:sz w:val="21"/>
          <w:szCs w:val="21"/>
          <w:highlight w:val="none"/>
        </w:rPr>
        <w:t>9.2对</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的纪律要求</w:t>
      </w:r>
      <w:bookmarkEnd w:id="414"/>
      <w:bookmarkEnd w:id="415"/>
      <w:bookmarkEnd w:id="416"/>
      <w:bookmarkEnd w:id="417"/>
      <w:bookmarkEnd w:id="418"/>
      <w:bookmarkEnd w:id="419"/>
      <w:bookmarkEnd w:id="420"/>
      <w:bookmarkEnd w:id="421"/>
    </w:p>
    <w:p w14:paraId="05AEB8C6">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不得相互串通投标或者与</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串通投标，不得向</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或者评标委员会成员行贿谋取</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，不得以他人名义投标或者以其他方式弄虚作假骗取</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不得以任何方式干扰、影响评标工作。</w:t>
      </w:r>
    </w:p>
    <w:p w14:paraId="2A86BDD8">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422" w:name="_Toc9218"/>
      <w:bookmarkStart w:id="423" w:name="_Toc17460"/>
      <w:bookmarkStart w:id="424" w:name="_Toc31899"/>
      <w:bookmarkStart w:id="425" w:name="_Toc27878"/>
      <w:bookmarkStart w:id="426" w:name="_Toc25916"/>
      <w:bookmarkStart w:id="427" w:name="_Toc19599"/>
      <w:bookmarkStart w:id="428" w:name="_Toc27612"/>
      <w:bookmarkStart w:id="429" w:name="_Toc7031"/>
      <w:r>
        <w:rPr>
          <w:rFonts w:hint="eastAsia" w:ascii="宋体" w:hAnsi="宋体" w:eastAsia="宋体" w:cs="宋体"/>
          <w:color w:val="auto"/>
          <w:sz w:val="21"/>
          <w:szCs w:val="21"/>
          <w:highlight w:val="none"/>
        </w:rPr>
        <w:t>9.3对评标委员会成员的纪律要求</w:t>
      </w:r>
      <w:bookmarkEnd w:id="422"/>
      <w:bookmarkEnd w:id="423"/>
      <w:bookmarkEnd w:id="424"/>
      <w:bookmarkEnd w:id="425"/>
      <w:bookmarkEnd w:id="426"/>
      <w:bookmarkEnd w:id="427"/>
      <w:bookmarkEnd w:id="428"/>
      <w:bookmarkEnd w:id="429"/>
    </w:p>
    <w:p w14:paraId="64E4CEB1">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评标委员会成员不得收受他人的财物或者其他好处，不得向他人透漏对</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的评审和比较、</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候选人的推荐情况以及评标有关的其他情况。在评标活动中，评标委员会成员不得擅离职守，影响评标程序正常进行，不得使用第三章“评标办法”没有规定的评审因素和标准进行评标。</w:t>
      </w:r>
    </w:p>
    <w:p w14:paraId="5A711EA3">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430" w:name="_Toc19461"/>
      <w:bookmarkStart w:id="431" w:name="_Toc12913"/>
      <w:bookmarkStart w:id="432" w:name="_Toc23431"/>
      <w:bookmarkStart w:id="433" w:name="_Toc29627"/>
      <w:bookmarkStart w:id="434" w:name="_Toc24944"/>
      <w:bookmarkStart w:id="435" w:name="_Toc2204"/>
      <w:bookmarkStart w:id="436" w:name="_Toc11467"/>
      <w:bookmarkStart w:id="437" w:name="_Toc17524"/>
      <w:r>
        <w:rPr>
          <w:rFonts w:hint="eastAsia" w:ascii="宋体" w:hAnsi="宋体" w:eastAsia="宋体" w:cs="宋体"/>
          <w:color w:val="auto"/>
          <w:sz w:val="21"/>
          <w:szCs w:val="21"/>
          <w:highlight w:val="none"/>
        </w:rPr>
        <w:t>9.4对与评标活动有关的工作人员的纪律要求</w:t>
      </w:r>
      <w:bookmarkEnd w:id="430"/>
      <w:bookmarkEnd w:id="431"/>
      <w:bookmarkEnd w:id="432"/>
      <w:bookmarkEnd w:id="433"/>
      <w:bookmarkEnd w:id="434"/>
      <w:bookmarkEnd w:id="435"/>
      <w:bookmarkEnd w:id="436"/>
      <w:bookmarkEnd w:id="437"/>
    </w:p>
    <w:p w14:paraId="31C91BAC">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与评标活动有关的工作人员不得收受他人的财物或者其他好处，不得向他人透漏对</w:t>
      </w:r>
      <w:r>
        <w:rPr>
          <w:rFonts w:hint="eastAsia" w:ascii="宋体" w:hAnsi="宋体" w:eastAsia="宋体" w:cs="宋体"/>
          <w:color w:val="auto"/>
          <w:sz w:val="21"/>
          <w:szCs w:val="21"/>
          <w:highlight w:val="none"/>
          <w:lang w:eastAsia="zh-CN"/>
        </w:rPr>
        <w:t>参选文件</w:t>
      </w:r>
      <w:r>
        <w:rPr>
          <w:rFonts w:hint="eastAsia" w:ascii="宋体" w:hAnsi="宋体" w:eastAsia="宋体" w:cs="宋体"/>
          <w:color w:val="auto"/>
          <w:sz w:val="21"/>
          <w:szCs w:val="21"/>
          <w:highlight w:val="none"/>
        </w:rPr>
        <w:t>的评审和比较、</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候选人的推荐情况以及评标有关的其他情况。在评标活动中，与评标活动有关的工作人员不得擅离职守，影响评标程序正常进行。</w:t>
      </w:r>
    </w:p>
    <w:p w14:paraId="172217D9">
      <w:pPr>
        <w:pStyle w:val="4"/>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color w:val="auto"/>
          <w:sz w:val="21"/>
          <w:szCs w:val="21"/>
          <w:highlight w:val="none"/>
        </w:rPr>
      </w:pPr>
      <w:bookmarkStart w:id="438" w:name="_Toc12477"/>
      <w:bookmarkStart w:id="439" w:name="_Toc25254"/>
      <w:bookmarkStart w:id="440" w:name="_Toc26666"/>
      <w:bookmarkStart w:id="441" w:name="_Toc19897"/>
      <w:bookmarkStart w:id="442" w:name="_Toc13811"/>
      <w:bookmarkStart w:id="443" w:name="_Toc27915"/>
      <w:bookmarkStart w:id="444" w:name="_Toc28348"/>
      <w:bookmarkStart w:id="445" w:name="_Toc2193"/>
      <w:r>
        <w:rPr>
          <w:rFonts w:hint="eastAsia" w:ascii="宋体" w:hAnsi="宋体" w:eastAsia="宋体" w:cs="宋体"/>
          <w:color w:val="auto"/>
          <w:sz w:val="21"/>
          <w:szCs w:val="21"/>
          <w:highlight w:val="none"/>
        </w:rPr>
        <w:t>9.5投诉</w:t>
      </w:r>
      <w:bookmarkEnd w:id="438"/>
      <w:bookmarkEnd w:id="439"/>
      <w:bookmarkEnd w:id="440"/>
      <w:bookmarkEnd w:id="441"/>
      <w:bookmarkEnd w:id="442"/>
      <w:bookmarkEnd w:id="443"/>
      <w:bookmarkEnd w:id="444"/>
      <w:bookmarkEnd w:id="445"/>
    </w:p>
    <w:p w14:paraId="316FD50D">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9.5.1</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和其他利害关系人认为本次招标活动违反法律、法规和规章规定的，有权向有关监督部门投诉。</w:t>
      </w:r>
    </w:p>
    <w:p w14:paraId="36876221">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9.5.2质疑行为的规范</w:t>
      </w:r>
    </w:p>
    <w:p w14:paraId="6AC9A92B">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已明确答复但反复或多次提出相同问题的</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，反复或多次提出无事实依据的异议、质疑、举报、投诉的</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，反复或多次提出已经查实不属实而未被受理的异议、质疑、举报、投诉的</w:t>
      </w:r>
      <w:r>
        <w:rPr>
          <w:rFonts w:hint="eastAsia" w:ascii="宋体" w:hAnsi="宋体" w:eastAsia="宋体" w:cs="宋体"/>
          <w:color w:val="auto"/>
          <w:sz w:val="21"/>
          <w:szCs w:val="21"/>
          <w:highlight w:val="none"/>
          <w:lang w:eastAsia="zh-CN"/>
        </w:rPr>
        <w:t>参选人</w:t>
      </w:r>
      <w:r>
        <w:rPr>
          <w:rFonts w:hint="eastAsia" w:ascii="宋体" w:hAnsi="宋体" w:eastAsia="宋体" w:cs="宋体"/>
          <w:color w:val="auto"/>
          <w:sz w:val="21"/>
          <w:szCs w:val="21"/>
          <w:highlight w:val="none"/>
        </w:rPr>
        <w:t>，严重影响</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正常工作的，</w:t>
      </w:r>
      <w:r>
        <w:rPr>
          <w:rFonts w:hint="eastAsia" w:ascii="宋体" w:hAnsi="宋体" w:eastAsia="宋体" w:cs="宋体"/>
          <w:color w:val="auto"/>
          <w:sz w:val="21"/>
          <w:szCs w:val="21"/>
          <w:highlight w:val="none"/>
          <w:lang w:eastAsia="zh-CN"/>
        </w:rPr>
        <w:t>比选人</w:t>
      </w:r>
      <w:r>
        <w:rPr>
          <w:rFonts w:hint="eastAsia" w:ascii="宋体" w:hAnsi="宋体" w:eastAsia="宋体" w:cs="宋体"/>
          <w:color w:val="auto"/>
          <w:sz w:val="21"/>
          <w:szCs w:val="21"/>
          <w:highlight w:val="none"/>
        </w:rPr>
        <w:t>有权将其记入企业信用档案，列入</w:t>
      </w:r>
      <w:r>
        <w:rPr>
          <w:rFonts w:hint="eastAsia" w:ascii="宋体" w:hAnsi="宋体" w:eastAsia="宋体" w:cs="宋体"/>
          <w:color w:val="auto"/>
          <w:sz w:val="21"/>
          <w:szCs w:val="21"/>
          <w:highlight w:val="none"/>
          <w:lang w:eastAsia="zh-CN"/>
        </w:rPr>
        <w:t>南通轨道资源开发有限公司</w:t>
      </w:r>
      <w:r>
        <w:rPr>
          <w:rFonts w:hint="eastAsia" w:ascii="宋体" w:hAnsi="宋体" w:eastAsia="宋体" w:cs="宋体"/>
          <w:color w:val="auto"/>
          <w:sz w:val="21"/>
          <w:szCs w:val="21"/>
          <w:highlight w:val="none"/>
        </w:rPr>
        <w:t>负面清单，拒绝其参与后续项目的投标。</w:t>
      </w:r>
    </w:p>
    <w:p w14:paraId="6736C611">
      <w:pPr>
        <w:pStyle w:val="2"/>
        <w:pageBreakBefore w:val="0"/>
        <w:widowControl w:val="0"/>
        <w:kinsoku/>
        <w:wordWrap/>
        <w:overflowPunct/>
        <w:topLinePunct w:val="0"/>
        <w:autoSpaceDE/>
        <w:autoSpaceDN/>
        <w:bidi w:val="0"/>
        <w:adjustRightInd/>
        <w:snapToGrid/>
        <w:spacing w:line="440" w:lineRule="exact"/>
        <w:ind w:left="-19" w:leftChars="-9" w:right="-139" w:rightChars="-66" w:firstLine="441" w:firstLineChars="209"/>
        <w:textAlignment w:val="auto"/>
        <w:rPr>
          <w:rFonts w:hint="eastAsia" w:ascii="宋体" w:hAnsi="宋体" w:eastAsia="宋体" w:cs="宋体"/>
          <w:b/>
          <w:bCs/>
          <w:color w:val="auto"/>
          <w:sz w:val="21"/>
          <w:szCs w:val="21"/>
          <w:highlight w:val="none"/>
        </w:rPr>
      </w:pPr>
      <w:bookmarkStart w:id="446" w:name="_Toc13450"/>
      <w:bookmarkStart w:id="447" w:name="_Toc31076"/>
      <w:bookmarkStart w:id="448" w:name="_Toc8059"/>
      <w:bookmarkStart w:id="449" w:name="_Toc6807"/>
      <w:bookmarkStart w:id="450" w:name="_Toc184635080"/>
      <w:bookmarkStart w:id="451" w:name="_Toc29600"/>
      <w:bookmarkStart w:id="452" w:name="_Toc18783"/>
      <w:bookmarkStart w:id="453" w:name="_Toc24534"/>
      <w:r>
        <w:rPr>
          <w:rFonts w:hint="eastAsia" w:ascii="宋体" w:hAnsi="宋体" w:eastAsia="宋体" w:cs="宋体"/>
          <w:b/>
          <w:bCs/>
          <w:color w:val="auto"/>
          <w:sz w:val="21"/>
          <w:szCs w:val="21"/>
          <w:highlight w:val="none"/>
        </w:rPr>
        <w:t>10需要补充的其他内容</w:t>
      </w:r>
      <w:bookmarkEnd w:id="446"/>
      <w:bookmarkEnd w:id="447"/>
      <w:bookmarkEnd w:id="448"/>
      <w:bookmarkEnd w:id="449"/>
      <w:bookmarkEnd w:id="450"/>
      <w:bookmarkEnd w:id="451"/>
      <w:bookmarkEnd w:id="452"/>
      <w:bookmarkEnd w:id="453"/>
    </w:p>
    <w:p w14:paraId="60655FB2">
      <w:pPr>
        <w:pageBreakBefore w:val="0"/>
        <w:widowControl w:val="0"/>
        <w:kinsoku/>
        <w:wordWrap/>
        <w:overflowPunct/>
        <w:topLinePunct w:val="0"/>
        <w:autoSpaceDE/>
        <w:autoSpaceDN/>
        <w:bidi w:val="0"/>
        <w:adjustRightInd/>
        <w:snapToGrid/>
        <w:spacing w:line="440" w:lineRule="exact"/>
        <w:ind w:left="-19" w:leftChars="-9" w:right="-139" w:rightChars="-66" w:firstLine="438" w:firstLineChars="209"/>
        <w:textAlignment w:val="auto"/>
        <w:rPr>
          <w:rFonts w:hint="eastAsia" w:ascii="宋体" w:hAnsi="宋体" w:eastAsia="宋体" w:cs="宋体"/>
          <w:color w:val="auto"/>
          <w:sz w:val="21"/>
          <w:szCs w:val="21"/>
          <w:highlight w:val="none"/>
        </w:rPr>
      </w:pPr>
      <w:bookmarkStart w:id="454" w:name="_Toc92108306"/>
      <w:bookmarkStart w:id="455" w:name="_Toc92105398"/>
      <w:bookmarkStart w:id="456" w:name="_Toc92103466"/>
      <w:r>
        <w:rPr>
          <w:rFonts w:hint="eastAsia" w:ascii="宋体" w:hAnsi="宋体" w:eastAsia="宋体" w:cs="宋体"/>
          <w:color w:val="auto"/>
          <w:sz w:val="21"/>
          <w:szCs w:val="21"/>
          <w:highlight w:val="none"/>
        </w:rPr>
        <w:t>需要补充的其他内容：见</w:t>
      </w:r>
      <w:r>
        <w:rPr>
          <w:rFonts w:hint="eastAsia" w:ascii="宋体" w:hAnsi="宋体" w:eastAsia="宋体" w:cs="宋体"/>
          <w:color w:val="auto"/>
          <w:sz w:val="21"/>
          <w:szCs w:val="21"/>
          <w:highlight w:val="none"/>
          <w:lang w:eastAsia="zh-CN"/>
        </w:rPr>
        <w:t>参选人须知</w:t>
      </w:r>
      <w:r>
        <w:rPr>
          <w:rFonts w:hint="eastAsia" w:ascii="宋体" w:hAnsi="宋体" w:eastAsia="宋体" w:cs="宋体"/>
          <w:color w:val="auto"/>
          <w:sz w:val="21"/>
          <w:szCs w:val="21"/>
          <w:highlight w:val="none"/>
        </w:rPr>
        <w:t>前附表。</w:t>
      </w:r>
    </w:p>
    <w:bookmarkEnd w:id="279"/>
    <w:bookmarkEnd w:id="454"/>
    <w:bookmarkEnd w:id="455"/>
    <w:bookmarkEnd w:id="456"/>
    <w:p w14:paraId="2520F966">
      <w:pPr>
        <w:bidi w:val="0"/>
        <w:rPr>
          <w:rFonts w:hint="eastAsia" w:ascii="宋体" w:hAnsi="宋体" w:eastAsia="宋体" w:cs="宋体"/>
          <w:color w:val="auto"/>
          <w:highlight w:val="none"/>
        </w:rPr>
      </w:pPr>
      <w:bookmarkStart w:id="457" w:name="_Toc4814"/>
      <w:bookmarkStart w:id="458" w:name="_Toc184635093"/>
      <w:r>
        <w:rPr>
          <w:rFonts w:hint="eastAsia" w:ascii="宋体" w:hAnsi="宋体" w:eastAsia="宋体" w:cs="宋体"/>
          <w:color w:val="auto"/>
          <w:highlight w:val="none"/>
        </w:rPr>
        <w:t xml:space="preserve"> </w:t>
      </w:r>
      <w:bookmarkStart w:id="459" w:name="_Toc20470"/>
      <w:bookmarkStart w:id="460" w:name="_Toc20914"/>
      <w:bookmarkStart w:id="461" w:name="_Toc16221"/>
    </w:p>
    <w:p w14:paraId="71DCFE05">
      <w:pPr>
        <w:rPr>
          <w:rFonts w:hint="eastAsia" w:ascii="宋体" w:hAnsi="宋体" w:eastAsia="宋体" w:cs="宋体"/>
          <w:b/>
          <w:bCs/>
          <w:color w:val="auto"/>
          <w:highlight w:val="none"/>
        </w:rPr>
      </w:pPr>
      <w:r>
        <w:rPr>
          <w:rFonts w:hint="eastAsia" w:ascii="宋体" w:hAnsi="宋体" w:eastAsia="宋体" w:cs="宋体"/>
          <w:b/>
          <w:bCs/>
          <w:color w:val="auto"/>
          <w:highlight w:val="none"/>
        </w:rPr>
        <w:br w:type="page"/>
      </w:r>
    </w:p>
    <w:p w14:paraId="748692AE">
      <w:pPr>
        <w:pStyle w:val="2"/>
        <w:spacing w:before="100" w:after="100"/>
        <w:jc w:val="center"/>
        <w:rPr>
          <w:rFonts w:hint="eastAsia" w:ascii="宋体" w:hAnsi="宋体" w:eastAsia="宋体" w:cs="宋体"/>
          <w:b/>
          <w:bCs/>
          <w:color w:val="auto"/>
          <w:highlight w:val="none"/>
        </w:rPr>
      </w:pPr>
      <w:bookmarkStart w:id="462" w:name="_Toc25016"/>
      <w:r>
        <w:rPr>
          <w:rFonts w:hint="eastAsia" w:ascii="宋体" w:hAnsi="宋体" w:eastAsia="宋体" w:cs="宋体"/>
          <w:b/>
          <w:bCs/>
          <w:color w:val="auto"/>
          <w:highlight w:val="none"/>
        </w:rPr>
        <w:t>第三章  评标办法（综合评估法）</w:t>
      </w:r>
      <w:bookmarkEnd w:id="457"/>
      <w:bookmarkEnd w:id="459"/>
      <w:bookmarkEnd w:id="460"/>
      <w:bookmarkEnd w:id="461"/>
      <w:bookmarkEnd w:id="462"/>
    </w:p>
    <w:p w14:paraId="6B33E931">
      <w:pPr>
        <w:pStyle w:val="2"/>
        <w:pageBreakBefore w:val="0"/>
        <w:widowControl w:val="0"/>
        <w:kinsoku/>
        <w:wordWrap/>
        <w:overflowPunct/>
        <w:topLinePunct w:val="0"/>
        <w:autoSpaceDE/>
        <w:autoSpaceDN/>
        <w:bidi w:val="0"/>
        <w:adjustRightInd/>
        <w:snapToGrid/>
        <w:spacing w:line="440" w:lineRule="exact"/>
        <w:ind w:left="-19" w:leftChars="-9" w:right="-139" w:rightChars="-66" w:firstLine="440" w:firstLineChars="199"/>
        <w:textAlignment w:val="auto"/>
        <w:rPr>
          <w:rFonts w:hint="eastAsia" w:ascii="宋体" w:hAnsi="宋体" w:eastAsia="宋体" w:cs="宋体"/>
          <w:b/>
          <w:bCs/>
          <w:color w:val="auto"/>
          <w:sz w:val="22"/>
          <w:szCs w:val="22"/>
          <w:highlight w:val="none"/>
        </w:rPr>
      </w:pPr>
      <w:bookmarkStart w:id="463" w:name="_Toc1295"/>
      <w:r>
        <w:rPr>
          <w:rFonts w:hint="eastAsia" w:ascii="宋体" w:hAnsi="宋体" w:eastAsia="宋体" w:cs="宋体"/>
          <w:b/>
          <w:bCs/>
          <w:color w:val="auto"/>
          <w:sz w:val="22"/>
          <w:szCs w:val="22"/>
          <w:highlight w:val="none"/>
        </w:rPr>
        <w:t>一、资格审查必要合格条件标准</w:t>
      </w:r>
      <w:bookmarkEnd w:id="463"/>
    </w:p>
    <w:tbl>
      <w:tblPr>
        <w:tblStyle w:val="51"/>
        <w:tblW w:w="926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77"/>
        <w:gridCol w:w="1134"/>
        <w:gridCol w:w="4725"/>
        <w:gridCol w:w="2624"/>
      </w:tblGrid>
      <w:tr w14:paraId="5946A9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9" w:hRule="atLeast"/>
        </w:trPr>
        <w:tc>
          <w:tcPr>
            <w:tcW w:w="777" w:type="dxa"/>
            <w:vAlign w:val="center"/>
          </w:tcPr>
          <w:p w14:paraId="50E3F8B6">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134" w:type="dxa"/>
            <w:vAlign w:val="center"/>
          </w:tcPr>
          <w:p w14:paraId="1B892105">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项目内容</w:t>
            </w:r>
          </w:p>
        </w:tc>
        <w:tc>
          <w:tcPr>
            <w:tcW w:w="4725" w:type="dxa"/>
            <w:vAlign w:val="center"/>
          </w:tcPr>
          <w:p w14:paraId="7FC1C4AB">
            <w:pPr>
              <w:keepNext w:val="0"/>
              <w:keepLines w:val="0"/>
              <w:pageBreakBefore w:val="0"/>
              <w:widowControl w:val="0"/>
              <w:kinsoku/>
              <w:wordWrap/>
              <w:overflowPunct/>
              <w:topLinePunct w:val="0"/>
              <w:bidi w:val="0"/>
              <w:adjustRightInd/>
              <w:snapToGrid/>
              <w:spacing w:line="400" w:lineRule="exact"/>
              <w:ind w:left="57" w:leftChars="27" w:right="55" w:rightChars="26"/>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合格条件</w:t>
            </w:r>
          </w:p>
        </w:tc>
        <w:tc>
          <w:tcPr>
            <w:tcW w:w="2624" w:type="dxa"/>
            <w:vAlign w:val="center"/>
          </w:tcPr>
          <w:p w14:paraId="2A846470">
            <w:pPr>
              <w:keepNext w:val="0"/>
              <w:keepLines w:val="0"/>
              <w:pageBreakBefore w:val="0"/>
              <w:widowControl w:val="0"/>
              <w:kinsoku/>
              <w:wordWrap/>
              <w:overflowPunct/>
              <w:topLinePunct w:val="0"/>
              <w:bidi w:val="0"/>
              <w:adjustRightInd/>
              <w:snapToGrid/>
              <w:spacing w:line="400" w:lineRule="exact"/>
              <w:ind w:left="38" w:leftChars="18" w:right="23" w:rightChars="11"/>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须提供的证明材料</w:t>
            </w:r>
            <w:r>
              <w:rPr>
                <w:rFonts w:hint="eastAsia" w:ascii="宋体" w:hAnsi="宋体" w:eastAsia="宋体" w:cs="宋体"/>
                <w:color w:val="auto"/>
                <w:highlight w:val="none"/>
                <w:lang w:val="en-US" w:eastAsia="zh-CN"/>
              </w:rPr>
              <w:t>复印件（或扫描件）</w:t>
            </w:r>
          </w:p>
        </w:tc>
      </w:tr>
      <w:tr w14:paraId="0CB3FE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9" w:hRule="atLeast"/>
        </w:trPr>
        <w:tc>
          <w:tcPr>
            <w:tcW w:w="777" w:type="dxa"/>
            <w:vAlign w:val="center"/>
          </w:tcPr>
          <w:p w14:paraId="1DCE1688">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134" w:type="dxa"/>
            <w:vMerge w:val="restart"/>
            <w:vAlign w:val="center"/>
          </w:tcPr>
          <w:p w14:paraId="20778395">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应具备的资质条件要求</w:t>
            </w:r>
          </w:p>
        </w:tc>
        <w:tc>
          <w:tcPr>
            <w:tcW w:w="4725" w:type="dxa"/>
            <w:vAlign w:val="center"/>
          </w:tcPr>
          <w:p w14:paraId="68278BD7">
            <w:pPr>
              <w:keepNext w:val="0"/>
              <w:keepLines w:val="0"/>
              <w:pageBreakBefore w:val="0"/>
              <w:widowControl w:val="0"/>
              <w:kinsoku/>
              <w:wordWrap/>
              <w:overflowPunct/>
              <w:topLinePunct w:val="0"/>
              <w:bidi w:val="0"/>
              <w:adjustRightInd/>
              <w:snapToGrid/>
              <w:spacing w:line="400" w:lineRule="exact"/>
              <w:ind w:left="57" w:leftChars="27" w:right="55" w:rightChars="26"/>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在中华人民共和国境内依法注册、具有独立承担民事能力</w:t>
            </w:r>
            <w:r>
              <w:rPr>
                <w:rFonts w:hint="eastAsia" w:ascii="宋体" w:hAnsi="宋体" w:eastAsia="宋体" w:cs="宋体"/>
                <w:color w:val="auto"/>
                <w:highlight w:val="none"/>
                <w:lang w:eastAsia="zh-CN"/>
              </w:rPr>
              <w:t>。</w:t>
            </w:r>
          </w:p>
        </w:tc>
        <w:tc>
          <w:tcPr>
            <w:tcW w:w="2624" w:type="dxa"/>
            <w:vAlign w:val="center"/>
          </w:tcPr>
          <w:p w14:paraId="6DCC6100">
            <w:pPr>
              <w:keepNext w:val="0"/>
              <w:keepLines w:val="0"/>
              <w:pageBreakBefore w:val="0"/>
              <w:widowControl w:val="0"/>
              <w:kinsoku/>
              <w:wordWrap/>
              <w:overflowPunct/>
              <w:topLinePunct w:val="0"/>
              <w:bidi w:val="0"/>
              <w:adjustRightInd/>
              <w:snapToGrid/>
              <w:spacing w:line="400" w:lineRule="exact"/>
              <w:ind w:left="38" w:leftChars="18" w:right="23" w:rightChars="11"/>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营业执照；</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若为事业法人单位须提供事业单位法人证书</w:t>
            </w:r>
          </w:p>
        </w:tc>
      </w:tr>
      <w:tr w14:paraId="6DD1A2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9" w:hRule="atLeast"/>
        </w:trPr>
        <w:tc>
          <w:tcPr>
            <w:tcW w:w="777" w:type="dxa"/>
            <w:vAlign w:val="center"/>
          </w:tcPr>
          <w:p w14:paraId="0245EA51">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1134" w:type="dxa"/>
            <w:vMerge w:val="continue"/>
            <w:vAlign w:val="center"/>
          </w:tcPr>
          <w:p w14:paraId="274D90AD">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color w:val="auto"/>
                <w:highlight w:val="none"/>
              </w:rPr>
            </w:pPr>
          </w:p>
        </w:tc>
        <w:tc>
          <w:tcPr>
            <w:tcW w:w="4725" w:type="dxa"/>
            <w:vAlign w:val="center"/>
          </w:tcPr>
          <w:p w14:paraId="20D506F9">
            <w:pPr>
              <w:keepNext w:val="0"/>
              <w:keepLines w:val="0"/>
              <w:pageBreakBefore w:val="0"/>
              <w:widowControl w:val="0"/>
              <w:kinsoku/>
              <w:wordWrap/>
              <w:overflowPunct/>
              <w:topLinePunct w:val="0"/>
              <w:bidi w:val="0"/>
              <w:adjustRightInd/>
              <w:snapToGrid/>
              <w:spacing w:line="400" w:lineRule="exact"/>
              <w:ind w:left="57" w:leftChars="27" w:right="55" w:rightChars="26"/>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lang w:val="en-US" w:eastAsia="zh-CN"/>
              </w:rPr>
              <w:t>自2021年1月1日以来（以合同签订时间为准）承担过单项合同额10万元及以上的文创产品生产制作项目。</w:t>
            </w:r>
          </w:p>
        </w:tc>
        <w:tc>
          <w:tcPr>
            <w:tcW w:w="2624" w:type="dxa"/>
            <w:vAlign w:val="center"/>
          </w:tcPr>
          <w:p w14:paraId="5606CAAD">
            <w:pPr>
              <w:keepNext w:val="0"/>
              <w:keepLines w:val="0"/>
              <w:pageBreakBefore w:val="0"/>
              <w:widowControl w:val="0"/>
              <w:kinsoku/>
              <w:wordWrap/>
              <w:overflowPunct/>
              <w:topLinePunct w:val="0"/>
              <w:bidi w:val="0"/>
              <w:adjustRightInd/>
              <w:snapToGrid/>
              <w:spacing w:line="400" w:lineRule="exact"/>
              <w:ind w:left="38" w:leftChars="18" w:right="23" w:rightChars="11"/>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合同</w:t>
            </w:r>
            <w:r>
              <w:rPr>
                <w:rFonts w:hint="eastAsia" w:ascii="宋体" w:hAnsi="宋体" w:cs="宋体"/>
                <w:color w:val="auto"/>
                <w:highlight w:val="none"/>
                <w:lang w:val="en-US" w:eastAsia="zh-CN"/>
              </w:rPr>
              <w:t>，</w:t>
            </w:r>
            <w:r>
              <w:rPr>
                <w:rFonts w:hint="eastAsia" w:ascii="宋体" w:hAnsi="宋体" w:eastAsia="宋体" w:cs="宋体"/>
                <w:bCs/>
                <w:color w:val="auto"/>
                <w:sz w:val="21"/>
                <w:szCs w:val="21"/>
                <w:highlight w:val="none"/>
                <w:lang w:val="en-US" w:eastAsia="zh-CN"/>
              </w:rPr>
              <w:t>若合同无法体现金额或工作内容，另须提供业主证明。</w:t>
            </w:r>
          </w:p>
        </w:tc>
      </w:tr>
      <w:tr w14:paraId="4EB485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9" w:hRule="atLeast"/>
        </w:trPr>
        <w:tc>
          <w:tcPr>
            <w:tcW w:w="777" w:type="dxa"/>
            <w:vAlign w:val="center"/>
          </w:tcPr>
          <w:p w14:paraId="2FAEACCB">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1134" w:type="dxa"/>
            <w:vMerge w:val="continue"/>
            <w:vAlign w:val="center"/>
          </w:tcPr>
          <w:p w14:paraId="14EC4EB6">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color w:val="auto"/>
                <w:highlight w:val="none"/>
              </w:rPr>
            </w:pPr>
          </w:p>
        </w:tc>
        <w:tc>
          <w:tcPr>
            <w:tcW w:w="4725" w:type="dxa"/>
            <w:vAlign w:val="center"/>
          </w:tcPr>
          <w:p w14:paraId="1CD91970">
            <w:pPr>
              <w:keepNext w:val="0"/>
              <w:keepLines w:val="0"/>
              <w:pageBreakBefore w:val="0"/>
              <w:widowControl w:val="0"/>
              <w:kinsoku/>
              <w:wordWrap/>
              <w:overflowPunct/>
              <w:topLinePunct w:val="0"/>
              <w:bidi w:val="0"/>
              <w:adjustRightInd/>
              <w:snapToGrid/>
              <w:spacing w:line="400" w:lineRule="exact"/>
              <w:ind w:left="57" w:leftChars="27" w:right="55" w:rightChars="26"/>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未被“信用中国”网站（www.creditchina.gov.cn）列入失信被执行人、重大税收违法案件当事人名单、政府采购严重失信行为记录名单。</w:t>
            </w:r>
          </w:p>
        </w:tc>
        <w:tc>
          <w:tcPr>
            <w:tcW w:w="2624" w:type="dxa"/>
            <w:vAlign w:val="center"/>
          </w:tcPr>
          <w:p w14:paraId="591D09E5">
            <w:pPr>
              <w:keepNext w:val="0"/>
              <w:keepLines w:val="0"/>
              <w:pageBreakBefore w:val="0"/>
              <w:widowControl w:val="0"/>
              <w:kinsoku/>
              <w:wordWrap/>
              <w:overflowPunct/>
              <w:topLinePunct w:val="0"/>
              <w:bidi w:val="0"/>
              <w:adjustRightInd/>
              <w:snapToGrid/>
              <w:spacing w:line="400" w:lineRule="exact"/>
              <w:ind w:left="38" w:leftChars="18" w:right="23" w:rightChars="11"/>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承诺书</w:t>
            </w:r>
            <w:r>
              <w:rPr>
                <w:rFonts w:hint="eastAsia" w:ascii="宋体" w:hAnsi="宋体" w:eastAsia="宋体" w:cs="宋体"/>
                <w:color w:val="auto"/>
                <w:kern w:val="2"/>
                <w:sz w:val="21"/>
                <w:szCs w:val="21"/>
                <w:highlight w:val="none"/>
              </w:rPr>
              <w:t>（格式见第</w:t>
            </w:r>
            <w:r>
              <w:rPr>
                <w:rFonts w:hint="eastAsia" w:ascii="宋体" w:hAnsi="宋体" w:eastAsia="宋体" w:cs="宋体"/>
                <w:color w:val="auto"/>
                <w:kern w:val="2"/>
                <w:sz w:val="21"/>
                <w:szCs w:val="21"/>
                <w:highlight w:val="none"/>
                <w:lang w:val="en-US" w:eastAsia="zh-CN"/>
              </w:rPr>
              <w:t>三</w:t>
            </w:r>
            <w:r>
              <w:rPr>
                <w:rFonts w:hint="eastAsia" w:ascii="宋体" w:hAnsi="宋体" w:eastAsia="宋体" w:cs="宋体"/>
                <w:color w:val="auto"/>
                <w:kern w:val="2"/>
                <w:sz w:val="21"/>
                <w:szCs w:val="21"/>
                <w:highlight w:val="none"/>
              </w:rPr>
              <w:t>卷）</w:t>
            </w:r>
          </w:p>
        </w:tc>
      </w:tr>
      <w:tr w14:paraId="78559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80" w:hRule="atLeast"/>
        </w:trPr>
        <w:tc>
          <w:tcPr>
            <w:tcW w:w="777" w:type="dxa"/>
            <w:vAlign w:val="center"/>
          </w:tcPr>
          <w:p w14:paraId="23F39BA1">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w:t>
            </w:r>
          </w:p>
        </w:tc>
        <w:tc>
          <w:tcPr>
            <w:tcW w:w="1134" w:type="dxa"/>
            <w:vAlign w:val="center"/>
          </w:tcPr>
          <w:p w14:paraId="53D4DAA6">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其他</w:t>
            </w:r>
          </w:p>
        </w:tc>
        <w:tc>
          <w:tcPr>
            <w:tcW w:w="4725" w:type="dxa"/>
            <w:vAlign w:val="center"/>
          </w:tcPr>
          <w:p w14:paraId="682871AA">
            <w:pPr>
              <w:keepNext w:val="0"/>
              <w:keepLines w:val="0"/>
              <w:pageBreakBefore w:val="0"/>
              <w:widowControl w:val="0"/>
              <w:kinsoku/>
              <w:wordWrap/>
              <w:overflowPunct/>
              <w:topLinePunct w:val="0"/>
              <w:bidi w:val="0"/>
              <w:adjustRightInd/>
              <w:snapToGrid/>
              <w:spacing w:line="400" w:lineRule="exact"/>
              <w:ind w:left="57" w:leftChars="27" w:right="55" w:rightChars="26"/>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的任何不具独立法人资格的附属机构（单位）不得参与本项目</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rPr>
              <w:t>。</w:t>
            </w:r>
          </w:p>
          <w:p w14:paraId="70DF5E82">
            <w:pPr>
              <w:keepNext w:val="0"/>
              <w:keepLines w:val="0"/>
              <w:pageBreakBefore w:val="0"/>
              <w:widowControl w:val="0"/>
              <w:kinsoku/>
              <w:wordWrap/>
              <w:overflowPunct/>
              <w:topLinePunct w:val="0"/>
              <w:bidi w:val="0"/>
              <w:adjustRightInd/>
              <w:snapToGrid/>
              <w:spacing w:line="400" w:lineRule="exact"/>
              <w:ind w:left="57" w:leftChars="27" w:right="55" w:rightChars="26"/>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不得和</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存在利害关系。</w:t>
            </w:r>
          </w:p>
          <w:p w14:paraId="02A4216E">
            <w:pPr>
              <w:keepNext w:val="0"/>
              <w:keepLines w:val="0"/>
              <w:pageBreakBefore w:val="0"/>
              <w:widowControl w:val="0"/>
              <w:kinsoku/>
              <w:wordWrap/>
              <w:overflowPunct/>
              <w:topLinePunct w:val="0"/>
              <w:bidi w:val="0"/>
              <w:adjustRightInd/>
              <w:snapToGrid/>
              <w:spacing w:line="400" w:lineRule="exact"/>
              <w:ind w:left="57" w:leftChars="27" w:right="55" w:rightChars="26"/>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单位负责人为同一人或者存在控股、管理关系的不同单位，不得参加同一标段</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rPr>
              <w:t>或者未划分标段的同一</w:t>
            </w:r>
            <w:r>
              <w:rPr>
                <w:rFonts w:hint="eastAsia" w:ascii="宋体" w:hAnsi="宋体" w:eastAsia="宋体" w:cs="宋体"/>
                <w:color w:val="auto"/>
                <w:highlight w:val="none"/>
                <w:lang w:eastAsia="zh-CN"/>
              </w:rPr>
              <w:t>项目</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rPr>
              <w:t>。如出现前述情况，</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应当做好协商，于开标时选出一个</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参与开标，如不能按时选出的，</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有权否决所有相关</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的</w:t>
            </w:r>
            <w:r>
              <w:rPr>
                <w:rFonts w:hint="eastAsia" w:ascii="宋体" w:hAnsi="宋体" w:eastAsia="宋体" w:cs="宋体"/>
                <w:color w:val="auto"/>
                <w:highlight w:val="none"/>
                <w:lang w:val="en-US" w:eastAsia="zh-CN"/>
              </w:rPr>
              <w:t>参选</w:t>
            </w:r>
            <w:r>
              <w:rPr>
                <w:rFonts w:hint="eastAsia" w:ascii="宋体" w:hAnsi="宋体" w:eastAsia="宋体" w:cs="宋体"/>
                <w:color w:val="auto"/>
                <w:highlight w:val="none"/>
              </w:rPr>
              <w:t>资格。</w:t>
            </w:r>
          </w:p>
        </w:tc>
        <w:tc>
          <w:tcPr>
            <w:tcW w:w="2624" w:type="dxa"/>
            <w:vAlign w:val="center"/>
          </w:tcPr>
          <w:p w14:paraId="536FA2D6">
            <w:pPr>
              <w:pStyle w:val="63"/>
              <w:keepNext w:val="0"/>
              <w:keepLines w:val="0"/>
              <w:pageBreakBefore w:val="0"/>
              <w:widowControl w:val="0"/>
              <w:kinsoku/>
              <w:wordWrap/>
              <w:overflowPunct/>
              <w:topLinePunct w:val="0"/>
              <w:bidi w:val="0"/>
              <w:adjustRightInd/>
              <w:snapToGrid/>
              <w:spacing w:line="400" w:lineRule="exact"/>
              <w:ind w:left="38" w:leftChars="18" w:right="23" w:rightChars="11"/>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承诺书（格式见第</w:t>
            </w:r>
            <w:r>
              <w:rPr>
                <w:rFonts w:hint="eastAsia" w:ascii="宋体" w:hAnsi="宋体" w:eastAsia="宋体" w:cs="宋体"/>
                <w:color w:val="auto"/>
                <w:kern w:val="2"/>
                <w:sz w:val="21"/>
                <w:szCs w:val="21"/>
                <w:highlight w:val="none"/>
                <w:lang w:val="en-US" w:eastAsia="zh-CN"/>
              </w:rPr>
              <w:t>三</w:t>
            </w:r>
            <w:r>
              <w:rPr>
                <w:rFonts w:hint="eastAsia" w:ascii="宋体" w:hAnsi="宋体" w:eastAsia="宋体" w:cs="宋体"/>
                <w:color w:val="auto"/>
                <w:kern w:val="2"/>
                <w:sz w:val="21"/>
                <w:szCs w:val="21"/>
                <w:highlight w:val="none"/>
              </w:rPr>
              <w:t>卷）</w:t>
            </w:r>
          </w:p>
        </w:tc>
      </w:tr>
    </w:tbl>
    <w:p w14:paraId="16ADBCEE">
      <w:pPr>
        <w:pStyle w:val="2"/>
        <w:pageBreakBefore w:val="0"/>
        <w:widowControl w:val="0"/>
        <w:kinsoku/>
        <w:wordWrap/>
        <w:overflowPunct/>
        <w:topLinePunct w:val="0"/>
        <w:autoSpaceDE/>
        <w:autoSpaceDN/>
        <w:bidi w:val="0"/>
        <w:adjustRightInd/>
        <w:snapToGrid/>
        <w:spacing w:line="440" w:lineRule="exact"/>
        <w:ind w:left="-19" w:leftChars="-9" w:right="-139" w:rightChars="-66" w:firstLine="440" w:firstLineChars="199"/>
        <w:textAlignment w:val="auto"/>
        <w:rPr>
          <w:rFonts w:hint="eastAsia" w:ascii="宋体" w:hAnsi="宋体" w:eastAsia="宋体" w:cs="宋体"/>
          <w:b/>
          <w:bCs/>
          <w:color w:val="auto"/>
          <w:sz w:val="22"/>
          <w:szCs w:val="22"/>
          <w:highlight w:val="none"/>
        </w:rPr>
      </w:pPr>
      <w:bookmarkStart w:id="464" w:name="_Toc8148"/>
      <w:r>
        <w:rPr>
          <w:rFonts w:hint="eastAsia" w:ascii="宋体" w:hAnsi="宋体" w:eastAsia="宋体" w:cs="宋体"/>
          <w:b/>
          <w:bCs/>
          <w:color w:val="auto"/>
          <w:sz w:val="22"/>
          <w:szCs w:val="22"/>
          <w:highlight w:val="none"/>
        </w:rPr>
        <w:t>二、评标原则</w:t>
      </w:r>
      <w:bookmarkEnd w:id="464"/>
    </w:p>
    <w:p w14:paraId="14DCB370">
      <w:pPr>
        <w:pageBreakBefore w:val="0"/>
        <w:widowControl w:val="0"/>
        <w:kinsoku/>
        <w:wordWrap/>
        <w:overflowPunct/>
        <w:topLinePunct w:val="0"/>
        <w:autoSpaceDE/>
        <w:autoSpaceDN/>
        <w:bidi w:val="0"/>
        <w:adjustRightInd/>
        <w:snapToGrid/>
        <w:spacing w:line="440" w:lineRule="exact"/>
        <w:ind w:right="-139" w:rightChars="-66"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1、入库原则：</w:t>
      </w:r>
    </w:p>
    <w:p w14:paraId="152F5FF9">
      <w:pPr>
        <w:pageBreakBefore w:val="0"/>
        <w:widowControl w:val="0"/>
        <w:kinsoku/>
        <w:wordWrap/>
        <w:overflowPunct/>
        <w:topLinePunct w:val="0"/>
        <w:autoSpaceDE/>
        <w:autoSpaceDN/>
        <w:bidi w:val="0"/>
        <w:adjustRightInd/>
        <w:snapToGrid/>
        <w:spacing w:line="440" w:lineRule="exact"/>
        <w:ind w:right="-139" w:rightChars="-66"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(1)如果符合要求的</w:t>
      </w:r>
      <w:r>
        <w:rPr>
          <w:rFonts w:hint="eastAsia" w:ascii="宋体" w:hAnsi="宋体" w:eastAsia="宋体" w:cs="宋体"/>
          <w:color w:val="auto"/>
          <w:highlight w:val="none"/>
          <w:lang w:val="en-US" w:eastAsia="zh-CN"/>
        </w:rPr>
        <w:t>参选</w:t>
      </w:r>
      <w:r>
        <w:rPr>
          <w:rFonts w:hint="eastAsia" w:ascii="宋体" w:hAnsi="宋体" w:eastAsia="宋体" w:cs="宋体"/>
          <w:color w:val="auto"/>
          <w:highlight w:val="none"/>
        </w:rPr>
        <w:t>人少于 3 家，则重新进行</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rPr>
        <w:t>；</w:t>
      </w:r>
    </w:p>
    <w:p w14:paraId="185769AF">
      <w:pPr>
        <w:pageBreakBefore w:val="0"/>
        <w:widowControl w:val="0"/>
        <w:kinsoku/>
        <w:wordWrap/>
        <w:overflowPunct/>
        <w:topLinePunct w:val="0"/>
        <w:autoSpaceDE/>
        <w:autoSpaceDN/>
        <w:bidi w:val="0"/>
        <w:adjustRightInd/>
        <w:snapToGrid/>
        <w:spacing w:line="440" w:lineRule="exact"/>
        <w:ind w:right="-139" w:rightChars="-66"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(2)如果符合要求的</w:t>
      </w:r>
      <w:r>
        <w:rPr>
          <w:rFonts w:hint="eastAsia" w:ascii="宋体" w:hAnsi="宋体" w:eastAsia="宋体" w:cs="宋体"/>
          <w:color w:val="auto"/>
          <w:highlight w:val="none"/>
          <w:lang w:val="en-US" w:eastAsia="zh-CN"/>
        </w:rPr>
        <w:t>参选</w:t>
      </w:r>
      <w:r>
        <w:rPr>
          <w:rFonts w:hint="eastAsia" w:ascii="宋体" w:hAnsi="宋体" w:eastAsia="宋体" w:cs="宋体"/>
          <w:color w:val="auto"/>
          <w:highlight w:val="none"/>
        </w:rPr>
        <w:t>人为 3 或 4 或 5 家时，则</w:t>
      </w:r>
      <w:r>
        <w:rPr>
          <w:rFonts w:hint="eastAsia" w:ascii="宋体" w:hAnsi="宋体" w:eastAsia="宋体" w:cs="宋体"/>
          <w:color w:val="auto"/>
          <w:highlight w:val="none"/>
          <w:lang w:val="en-US" w:eastAsia="zh-CN"/>
        </w:rPr>
        <w:t>参选</w:t>
      </w:r>
      <w:r>
        <w:rPr>
          <w:rFonts w:hint="eastAsia" w:ascii="宋体" w:hAnsi="宋体" w:eastAsia="宋体" w:cs="宋体"/>
          <w:color w:val="auto"/>
          <w:highlight w:val="none"/>
        </w:rPr>
        <w:t>人自动入库，不再进行评审；</w:t>
      </w:r>
    </w:p>
    <w:p w14:paraId="35198D41">
      <w:pPr>
        <w:pageBreakBefore w:val="0"/>
        <w:widowControl w:val="0"/>
        <w:kinsoku/>
        <w:wordWrap/>
        <w:overflowPunct/>
        <w:topLinePunct w:val="0"/>
        <w:autoSpaceDE/>
        <w:autoSpaceDN/>
        <w:bidi w:val="0"/>
        <w:adjustRightInd/>
        <w:snapToGrid/>
        <w:spacing w:line="440" w:lineRule="exact"/>
        <w:ind w:right="-139" w:rightChars="-66"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(3)如果符合要求的</w:t>
      </w:r>
      <w:r>
        <w:rPr>
          <w:rFonts w:hint="eastAsia" w:ascii="宋体" w:hAnsi="宋体" w:eastAsia="宋体" w:cs="宋体"/>
          <w:color w:val="auto"/>
          <w:highlight w:val="none"/>
          <w:lang w:val="en-US" w:eastAsia="zh-CN"/>
        </w:rPr>
        <w:t>参选</w:t>
      </w:r>
      <w:r>
        <w:rPr>
          <w:rFonts w:hint="eastAsia" w:ascii="宋体" w:hAnsi="宋体" w:eastAsia="宋体" w:cs="宋体"/>
          <w:color w:val="auto"/>
          <w:highlight w:val="none"/>
        </w:rPr>
        <w:t>人超过 5 家，则评审得分名列前 5 名的单位入库，其他单位作为备选库替换候补单位。</w:t>
      </w:r>
    </w:p>
    <w:p w14:paraId="0D648C5A">
      <w:pPr>
        <w:pageBreakBefore w:val="0"/>
        <w:widowControl w:val="0"/>
        <w:kinsoku/>
        <w:wordWrap/>
        <w:overflowPunct/>
        <w:topLinePunct w:val="0"/>
        <w:autoSpaceDE/>
        <w:autoSpaceDN/>
        <w:bidi w:val="0"/>
        <w:adjustRightInd/>
        <w:snapToGrid/>
        <w:spacing w:line="440" w:lineRule="exact"/>
        <w:ind w:right="-139" w:rightChars="-66"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、评审得分均保留两位小数（四舍五入法）。</w:t>
      </w:r>
    </w:p>
    <w:p w14:paraId="41D45082">
      <w:pPr>
        <w:pageBreakBefore w:val="0"/>
        <w:widowControl w:val="0"/>
        <w:kinsoku/>
        <w:wordWrap/>
        <w:overflowPunct/>
        <w:topLinePunct w:val="0"/>
        <w:autoSpaceDE/>
        <w:autoSpaceDN/>
        <w:bidi w:val="0"/>
        <w:adjustRightInd/>
        <w:snapToGrid/>
        <w:spacing w:line="440" w:lineRule="exact"/>
        <w:ind w:right="-139" w:rightChars="-66"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、由评标委员会推荐出</w:t>
      </w:r>
      <w:r>
        <w:rPr>
          <w:rFonts w:hint="eastAsia" w:ascii="宋体" w:hAnsi="宋体" w:eastAsia="宋体" w:cs="宋体"/>
          <w:color w:val="auto"/>
          <w:highlight w:val="none"/>
          <w:lang w:eastAsia="zh-CN"/>
        </w:rPr>
        <w:t>3</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个</w:t>
      </w: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候选人。</w:t>
      </w:r>
    </w:p>
    <w:p w14:paraId="7408B0BD">
      <w:pPr>
        <w:pageBreakBefore w:val="0"/>
        <w:widowControl w:val="0"/>
        <w:kinsoku/>
        <w:wordWrap/>
        <w:overflowPunct/>
        <w:topLinePunct w:val="0"/>
        <w:autoSpaceDE/>
        <w:autoSpaceDN/>
        <w:bidi w:val="0"/>
        <w:adjustRightInd/>
        <w:snapToGrid/>
        <w:spacing w:line="440" w:lineRule="exact"/>
        <w:ind w:right="-139" w:rightChars="-66"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、如</w:t>
      </w: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候选人放弃</w:t>
      </w: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资格的或者被取消</w:t>
      </w: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资格的，</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可重新组织本标段的招标，并且该单位将按</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有关规定处理。</w:t>
      </w:r>
    </w:p>
    <w:p w14:paraId="568195EE">
      <w:pPr>
        <w:pStyle w:val="2"/>
        <w:pageBreakBefore w:val="0"/>
        <w:widowControl w:val="0"/>
        <w:kinsoku/>
        <w:wordWrap/>
        <w:overflowPunct/>
        <w:topLinePunct w:val="0"/>
        <w:autoSpaceDE/>
        <w:autoSpaceDN/>
        <w:bidi w:val="0"/>
        <w:adjustRightInd/>
        <w:snapToGrid/>
        <w:spacing w:line="440" w:lineRule="exact"/>
        <w:ind w:left="-19" w:leftChars="-9" w:right="-139" w:rightChars="-66" w:firstLine="440" w:firstLineChars="199"/>
        <w:textAlignment w:val="auto"/>
        <w:rPr>
          <w:rFonts w:hint="eastAsia" w:ascii="宋体" w:hAnsi="宋体" w:eastAsia="宋体" w:cs="宋体"/>
          <w:b/>
          <w:bCs/>
          <w:color w:val="auto"/>
          <w:sz w:val="22"/>
          <w:szCs w:val="22"/>
          <w:highlight w:val="none"/>
        </w:rPr>
      </w:pPr>
      <w:bookmarkStart w:id="465" w:name="_Toc28892"/>
      <w:r>
        <w:rPr>
          <w:rFonts w:hint="eastAsia" w:ascii="宋体" w:hAnsi="宋体" w:eastAsia="宋体" w:cs="宋体"/>
          <w:b/>
          <w:bCs/>
          <w:color w:val="auto"/>
          <w:sz w:val="22"/>
          <w:szCs w:val="22"/>
          <w:highlight w:val="none"/>
        </w:rPr>
        <w:t>三、符合性评审</w:t>
      </w:r>
      <w:bookmarkEnd w:id="465"/>
    </w:p>
    <w:p w14:paraId="56BF165B">
      <w:pPr>
        <w:pageBreakBefore w:val="0"/>
        <w:widowControl w:val="0"/>
        <w:kinsoku/>
        <w:wordWrap/>
        <w:overflowPunct/>
        <w:topLinePunct w:val="0"/>
        <w:autoSpaceDE/>
        <w:autoSpaceDN/>
        <w:bidi w:val="0"/>
        <w:adjustRightInd/>
        <w:snapToGrid/>
        <w:spacing w:line="440" w:lineRule="exact"/>
        <w:ind w:right="-139" w:rightChars="-66"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有下列情形之一的不再进行后续评审：</w:t>
      </w:r>
    </w:p>
    <w:p w14:paraId="1E268380">
      <w:pPr>
        <w:pageBreakBefore w:val="0"/>
        <w:widowControl w:val="0"/>
        <w:kinsoku/>
        <w:wordWrap/>
        <w:overflowPunct/>
        <w:topLinePunct w:val="0"/>
        <w:autoSpaceDE/>
        <w:autoSpaceDN/>
        <w:bidi w:val="0"/>
        <w:adjustRightInd/>
        <w:snapToGrid/>
        <w:spacing w:line="440" w:lineRule="exact"/>
        <w:ind w:right="-139" w:rightChars="-66"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1、未按</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须知前附表承诺交纳</w:t>
      </w:r>
      <w:r>
        <w:rPr>
          <w:rFonts w:hint="eastAsia" w:ascii="宋体" w:hAnsi="宋体" w:eastAsia="宋体" w:cs="宋体"/>
          <w:color w:val="auto"/>
          <w:highlight w:val="none"/>
          <w:lang w:eastAsia="zh-CN"/>
        </w:rPr>
        <w:t>参选保证金</w:t>
      </w:r>
      <w:r>
        <w:rPr>
          <w:rFonts w:hint="eastAsia" w:ascii="宋体" w:hAnsi="宋体" w:eastAsia="宋体" w:cs="宋体"/>
          <w:color w:val="auto"/>
          <w:highlight w:val="none"/>
        </w:rPr>
        <w:t>的（如有）；</w:t>
      </w:r>
    </w:p>
    <w:p w14:paraId="0E57D8E1">
      <w:pPr>
        <w:pageBreakBefore w:val="0"/>
        <w:widowControl w:val="0"/>
        <w:kinsoku/>
        <w:wordWrap/>
        <w:overflowPunct/>
        <w:topLinePunct w:val="0"/>
        <w:autoSpaceDE/>
        <w:autoSpaceDN/>
        <w:bidi w:val="0"/>
        <w:adjustRightInd/>
        <w:snapToGrid/>
        <w:spacing w:line="440" w:lineRule="exact"/>
        <w:ind w:right="-139" w:rightChars="-66" w:firstLine="420" w:firstLineChars="200"/>
        <w:textAlignment w:val="auto"/>
        <w:rPr>
          <w:rFonts w:hint="eastAsia" w:ascii="宋体" w:hAnsi="宋体" w:eastAsia="宋体" w:cs="宋体"/>
          <w:b/>
          <w:bCs/>
          <w:color w:val="auto"/>
          <w:highlight w:val="none"/>
        </w:rPr>
      </w:pPr>
      <w:r>
        <w:rPr>
          <w:rFonts w:hint="eastAsia" w:ascii="宋体" w:hAnsi="宋体" w:eastAsia="宋体" w:cs="宋体"/>
          <w:color w:val="auto"/>
          <w:highlight w:val="none"/>
        </w:rPr>
        <w:t>2、其他未实质性响应</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情况的。</w:t>
      </w:r>
    </w:p>
    <w:p w14:paraId="754DA19F">
      <w:pPr>
        <w:pStyle w:val="2"/>
        <w:pageBreakBefore w:val="0"/>
        <w:widowControl w:val="0"/>
        <w:kinsoku/>
        <w:wordWrap/>
        <w:overflowPunct/>
        <w:topLinePunct w:val="0"/>
        <w:autoSpaceDE/>
        <w:autoSpaceDN/>
        <w:bidi w:val="0"/>
        <w:adjustRightInd/>
        <w:snapToGrid/>
        <w:spacing w:line="440" w:lineRule="exact"/>
        <w:ind w:left="-19" w:leftChars="-9" w:right="-139" w:rightChars="-66" w:firstLine="440" w:firstLineChars="199"/>
        <w:textAlignment w:val="auto"/>
        <w:rPr>
          <w:rFonts w:hint="eastAsia" w:ascii="宋体" w:hAnsi="宋体" w:eastAsia="宋体" w:cs="宋体"/>
          <w:b/>
          <w:bCs/>
          <w:color w:val="auto"/>
          <w:sz w:val="22"/>
          <w:szCs w:val="22"/>
          <w:highlight w:val="none"/>
        </w:rPr>
      </w:pPr>
      <w:bookmarkStart w:id="466" w:name="_Toc19117"/>
      <w:r>
        <w:rPr>
          <w:rFonts w:hint="eastAsia" w:ascii="宋体" w:hAnsi="宋体" w:eastAsia="宋体" w:cs="宋体"/>
          <w:b/>
          <w:bCs/>
          <w:color w:val="auto"/>
          <w:sz w:val="22"/>
          <w:szCs w:val="22"/>
          <w:highlight w:val="none"/>
        </w:rPr>
        <w:t>四、评审因素和标准（总分100分）</w:t>
      </w:r>
      <w:bookmarkEnd w:id="466"/>
    </w:p>
    <w:bookmarkEnd w:id="458"/>
    <w:tbl>
      <w:tblPr>
        <w:tblStyle w:val="51"/>
        <w:tblW w:w="9275"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603"/>
        <w:gridCol w:w="5950"/>
        <w:gridCol w:w="801"/>
      </w:tblGrid>
      <w:tr w14:paraId="1DA40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2524" w:type="dxa"/>
            <w:gridSpan w:val="2"/>
            <w:tcBorders>
              <w:tl2br w:val="nil"/>
              <w:tr2bl w:val="nil"/>
            </w:tcBorders>
            <w:vAlign w:val="center"/>
          </w:tcPr>
          <w:p w14:paraId="3EC1E58E">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分值构成</w:t>
            </w:r>
          </w:p>
          <w:p w14:paraId="79AFBE37">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(总分100分)</w:t>
            </w:r>
          </w:p>
        </w:tc>
        <w:tc>
          <w:tcPr>
            <w:tcW w:w="6751" w:type="dxa"/>
            <w:gridSpan w:val="2"/>
            <w:tcBorders>
              <w:tl2br w:val="nil"/>
              <w:tr2bl w:val="nil"/>
            </w:tcBorders>
            <w:vAlign w:val="center"/>
          </w:tcPr>
          <w:p w14:paraId="372960A2">
            <w:pPr>
              <w:spacing w:line="40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商务：</w:t>
            </w:r>
            <w:r>
              <w:rPr>
                <w:rFonts w:hint="eastAsia" w:ascii="宋体" w:hAnsi="宋体" w:eastAsia="宋体" w:cs="宋体"/>
                <w:color w:val="auto"/>
                <w:highlight w:val="none"/>
                <w:u w:val="single"/>
                <w:lang w:val="en-US" w:eastAsia="zh-CN"/>
              </w:rPr>
              <w:t>60</w:t>
            </w:r>
            <w:r>
              <w:rPr>
                <w:rFonts w:hint="eastAsia" w:ascii="宋体" w:hAnsi="宋体" w:eastAsia="宋体" w:cs="宋体"/>
                <w:color w:val="auto"/>
                <w:highlight w:val="none"/>
              </w:rPr>
              <w:t>分；技术：</w:t>
            </w:r>
            <w:r>
              <w:rPr>
                <w:rFonts w:hint="eastAsia" w:ascii="宋体" w:hAnsi="宋体" w:eastAsia="宋体" w:cs="宋体"/>
                <w:color w:val="auto"/>
                <w:highlight w:val="none"/>
                <w:u w:val="single"/>
                <w:lang w:val="en-US" w:eastAsia="zh-CN"/>
              </w:rPr>
              <w:t>40</w:t>
            </w:r>
            <w:r>
              <w:rPr>
                <w:rFonts w:hint="eastAsia" w:ascii="宋体" w:hAnsi="宋体" w:eastAsia="宋体" w:cs="宋体"/>
                <w:color w:val="auto"/>
                <w:highlight w:val="none"/>
              </w:rPr>
              <w:t>分</w:t>
            </w:r>
          </w:p>
        </w:tc>
      </w:tr>
      <w:tr w14:paraId="1DA53E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1" w:type="dxa"/>
            <w:tcBorders>
              <w:tl2br w:val="nil"/>
              <w:tr2bl w:val="nil"/>
            </w:tcBorders>
            <w:vAlign w:val="center"/>
          </w:tcPr>
          <w:p w14:paraId="11DE6ED8">
            <w:pPr>
              <w:spacing w:line="4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条款号</w:t>
            </w:r>
          </w:p>
        </w:tc>
        <w:tc>
          <w:tcPr>
            <w:tcW w:w="1603" w:type="dxa"/>
            <w:tcBorders>
              <w:tl2br w:val="nil"/>
              <w:tr2bl w:val="nil"/>
            </w:tcBorders>
            <w:vAlign w:val="center"/>
          </w:tcPr>
          <w:p w14:paraId="79E9C0E2">
            <w:pPr>
              <w:spacing w:line="4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评分因素</w:t>
            </w:r>
          </w:p>
        </w:tc>
        <w:tc>
          <w:tcPr>
            <w:tcW w:w="5950" w:type="dxa"/>
            <w:tcBorders>
              <w:tl2br w:val="nil"/>
              <w:tr2bl w:val="nil"/>
            </w:tcBorders>
            <w:vAlign w:val="center"/>
          </w:tcPr>
          <w:p w14:paraId="3EED2DF5">
            <w:pPr>
              <w:spacing w:line="4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评分标准</w:t>
            </w:r>
          </w:p>
        </w:tc>
        <w:tc>
          <w:tcPr>
            <w:tcW w:w="801" w:type="dxa"/>
            <w:tcBorders>
              <w:tl2br w:val="nil"/>
              <w:tr2bl w:val="nil"/>
            </w:tcBorders>
            <w:vAlign w:val="center"/>
          </w:tcPr>
          <w:p w14:paraId="7F495081">
            <w:pPr>
              <w:spacing w:line="400" w:lineRule="exact"/>
              <w:jc w:val="center"/>
              <w:rPr>
                <w:rFonts w:hint="eastAsia" w:ascii="宋体" w:hAnsi="宋体" w:eastAsia="宋体" w:cs="宋体"/>
                <w:b/>
                <w:color w:val="auto"/>
                <w:highlight w:val="none"/>
              </w:rPr>
            </w:pPr>
            <w:r>
              <w:rPr>
                <w:rFonts w:hint="eastAsia" w:ascii="宋体" w:hAnsi="宋体" w:eastAsia="宋体" w:cs="宋体"/>
                <w:b/>
                <w:bCs/>
                <w:color w:val="auto"/>
                <w:highlight w:val="none"/>
              </w:rPr>
              <w:t>分值</w:t>
            </w:r>
          </w:p>
        </w:tc>
      </w:tr>
      <w:tr w14:paraId="6A9623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921" w:type="dxa"/>
            <w:vMerge w:val="restart"/>
            <w:tcBorders>
              <w:tl2br w:val="nil"/>
              <w:tr2bl w:val="nil"/>
            </w:tcBorders>
            <w:vAlign w:val="center"/>
          </w:tcPr>
          <w:p w14:paraId="0A1D839B">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商务</w:t>
            </w:r>
          </w:p>
          <w:p w14:paraId="7A8A19AF">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部分</w:t>
            </w:r>
          </w:p>
          <w:p w14:paraId="6C189759">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60</w:t>
            </w:r>
            <w:r>
              <w:rPr>
                <w:rFonts w:hint="eastAsia" w:ascii="宋体" w:hAnsi="宋体" w:eastAsia="宋体" w:cs="宋体"/>
                <w:color w:val="auto"/>
                <w:highlight w:val="none"/>
              </w:rPr>
              <w:t>分</w:t>
            </w:r>
          </w:p>
        </w:tc>
        <w:tc>
          <w:tcPr>
            <w:tcW w:w="1603" w:type="dxa"/>
            <w:tcBorders>
              <w:tl2br w:val="nil"/>
              <w:tr2bl w:val="nil"/>
            </w:tcBorders>
            <w:vAlign w:val="center"/>
          </w:tcPr>
          <w:p w14:paraId="4831C7E4">
            <w:pPr>
              <w:spacing w:line="400" w:lineRule="exact"/>
              <w:jc w:val="center"/>
              <w:rPr>
                <w:rFonts w:hint="eastAsia" w:ascii="宋体" w:hAnsi="宋体" w:eastAsia="宋体" w:cs="宋体"/>
                <w:bCs/>
                <w:color w:val="auto"/>
                <w:highlight w:val="none"/>
              </w:rPr>
            </w:pPr>
            <w:r>
              <w:rPr>
                <w:rFonts w:hint="eastAsia" w:ascii="宋体" w:hAnsi="宋体" w:eastAsia="宋体" w:cs="宋体"/>
                <w:bCs/>
                <w:color w:val="auto"/>
                <w:highlight w:val="none"/>
                <w:lang w:eastAsia="zh-CN"/>
              </w:rPr>
              <w:t>参选人</w:t>
            </w:r>
            <w:r>
              <w:rPr>
                <w:rFonts w:hint="eastAsia" w:ascii="宋体" w:hAnsi="宋体" w:eastAsia="宋体" w:cs="宋体"/>
                <w:bCs/>
                <w:color w:val="auto"/>
                <w:highlight w:val="none"/>
              </w:rPr>
              <w:t>业绩</w:t>
            </w:r>
          </w:p>
        </w:tc>
        <w:tc>
          <w:tcPr>
            <w:tcW w:w="5950" w:type="dxa"/>
            <w:tcBorders>
              <w:tl2br w:val="nil"/>
              <w:tr2bl w:val="nil"/>
            </w:tcBorders>
            <w:vAlign w:val="center"/>
          </w:tcPr>
          <w:p w14:paraId="16B4102B">
            <w:pPr>
              <w:pStyle w:val="2"/>
              <w:spacing w:line="400" w:lineRule="exact"/>
              <w:rPr>
                <w:rFonts w:hint="eastAsia" w:ascii="宋体" w:hAnsi="宋体" w:eastAsia="宋体" w:cs="宋体"/>
                <w:bCs/>
                <w:color w:val="auto"/>
                <w:sz w:val="21"/>
                <w:szCs w:val="21"/>
                <w:highlight w:val="none"/>
                <w:lang w:val="en-US" w:eastAsia="zh-CN"/>
              </w:rPr>
            </w:pPr>
            <w:bookmarkStart w:id="467" w:name="_Toc942"/>
            <w:r>
              <w:rPr>
                <w:rFonts w:hint="eastAsia" w:ascii="宋体" w:hAnsi="宋体" w:eastAsia="宋体" w:cs="宋体"/>
                <w:bCs/>
                <w:color w:val="auto"/>
                <w:sz w:val="21"/>
                <w:szCs w:val="21"/>
                <w:highlight w:val="none"/>
                <w:lang w:val="en-US" w:eastAsia="zh-CN"/>
              </w:rPr>
              <w:t>参选人自2021年1月1日以来（以合同签订时间为准）</w:t>
            </w:r>
            <w:bookmarkEnd w:id="467"/>
          </w:p>
          <w:p w14:paraId="6FF4C036">
            <w:pPr>
              <w:pStyle w:val="2"/>
              <w:spacing w:line="400" w:lineRule="exact"/>
              <w:rPr>
                <w:rFonts w:hint="eastAsia" w:ascii="宋体" w:hAnsi="宋体" w:eastAsia="宋体" w:cs="宋体"/>
                <w:bCs/>
                <w:color w:val="auto"/>
                <w:sz w:val="21"/>
                <w:szCs w:val="21"/>
                <w:highlight w:val="none"/>
                <w:lang w:val="en-US" w:eastAsia="zh-CN"/>
              </w:rPr>
            </w:pPr>
            <w:bookmarkStart w:id="468" w:name="_Toc30451"/>
            <w:r>
              <w:rPr>
                <w:rFonts w:hint="eastAsia" w:ascii="宋体" w:hAnsi="宋体" w:eastAsia="宋体" w:cs="宋体"/>
                <w:bCs/>
                <w:color w:val="auto"/>
                <w:sz w:val="21"/>
                <w:szCs w:val="21"/>
                <w:highlight w:val="none"/>
                <w:lang w:val="en-US" w:eastAsia="zh-CN"/>
              </w:rPr>
              <w:t>①承担过单项合同额10万元及以上的文创产品生产制作项目，每提供1个得10分；</w:t>
            </w:r>
            <w:bookmarkEnd w:id="468"/>
          </w:p>
          <w:p w14:paraId="3235B2BA">
            <w:pPr>
              <w:pStyle w:val="2"/>
              <w:spacing w:line="400" w:lineRule="exact"/>
              <w:rPr>
                <w:rFonts w:hint="eastAsia" w:ascii="宋体" w:hAnsi="宋体" w:eastAsia="宋体" w:cs="宋体"/>
                <w:bCs/>
                <w:color w:val="auto"/>
                <w:sz w:val="21"/>
                <w:szCs w:val="21"/>
                <w:highlight w:val="none"/>
                <w:lang w:val="en-US" w:eastAsia="zh-CN"/>
              </w:rPr>
            </w:pPr>
            <w:bookmarkStart w:id="469" w:name="_Toc4356"/>
            <w:r>
              <w:rPr>
                <w:rFonts w:hint="eastAsia" w:ascii="宋体" w:hAnsi="宋体" w:eastAsia="宋体" w:cs="宋体"/>
                <w:bCs/>
                <w:color w:val="auto"/>
                <w:sz w:val="21"/>
                <w:szCs w:val="21"/>
                <w:highlight w:val="none"/>
                <w:lang w:val="en-US" w:eastAsia="zh-CN"/>
              </w:rPr>
              <w:t>②承担过单项合同额30万元及以上的文创产品生产制作项目，每提供1个得15分；</w:t>
            </w:r>
            <w:bookmarkEnd w:id="469"/>
          </w:p>
          <w:p w14:paraId="33081BF1">
            <w:pPr>
              <w:pStyle w:val="2"/>
              <w:spacing w:line="400" w:lineRule="exact"/>
              <w:rPr>
                <w:rFonts w:hint="eastAsia" w:ascii="宋体" w:hAnsi="宋体" w:eastAsia="宋体" w:cs="宋体"/>
                <w:bCs/>
                <w:color w:val="auto"/>
                <w:sz w:val="21"/>
                <w:szCs w:val="21"/>
                <w:highlight w:val="none"/>
                <w:lang w:val="en-US" w:eastAsia="zh-CN"/>
              </w:rPr>
            </w:pPr>
            <w:bookmarkStart w:id="470" w:name="_Toc15891"/>
            <w:r>
              <w:rPr>
                <w:rFonts w:hint="eastAsia" w:ascii="宋体" w:hAnsi="宋体" w:eastAsia="宋体" w:cs="宋体"/>
                <w:bCs/>
                <w:color w:val="auto"/>
                <w:sz w:val="21"/>
                <w:szCs w:val="21"/>
                <w:highlight w:val="none"/>
                <w:lang w:val="en-US" w:eastAsia="zh-CN"/>
              </w:rPr>
              <w:t>③承担过单项合同额50万元及以上的文创产品设计服务或生产制作项目，每提供1个得20分；</w:t>
            </w:r>
            <w:bookmarkEnd w:id="470"/>
          </w:p>
          <w:p w14:paraId="13D88FFB">
            <w:pPr>
              <w:pStyle w:val="2"/>
              <w:spacing w:line="400" w:lineRule="exact"/>
              <w:rPr>
                <w:rFonts w:hint="eastAsia" w:ascii="宋体" w:hAnsi="宋体" w:eastAsia="宋体" w:cs="宋体"/>
                <w:bCs/>
                <w:color w:val="auto"/>
                <w:sz w:val="21"/>
                <w:szCs w:val="21"/>
                <w:highlight w:val="none"/>
                <w:lang w:val="en-US" w:eastAsia="zh-CN"/>
              </w:rPr>
            </w:pPr>
            <w:bookmarkStart w:id="471" w:name="_Toc8340"/>
            <w:r>
              <w:rPr>
                <w:rFonts w:hint="eastAsia" w:ascii="宋体" w:hAnsi="宋体" w:eastAsia="宋体" w:cs="宋体"/>
                <w:bCs/>
                <w:color w:val="auto"/>
                <w:sz w:val="21"/>
                <w:szCs w:val="21"/>
                <w:highlight w:val="none"/>
                <w:lang w:val="en-US" w:eastAsia="zh-CN"/>
              </w:rPr>
              <w:t>①、②、③可组合得分，同一合同不重复计分，本项最高得40分。</w:t>
            </w:r>
            <w:bookmarkEnd w:id="471"/>
          </w:p>
          <w:p w14:paraId="5D6ADA42">
            <w:pPr>
              <w:pStyle w:val="2"/>
              <w:spacing w:line="400" w:lineRule="exact"/>
              <w:rPr>
                <w:rFonts w:hint="eastAsia" w:ascii="宋体" w:hAnsi="宋体" w:eastAsia="宋体" w:cs="宋体"/>
                <w:bCs/>
                <w:color w:val="auto"/>
                <w:sz w:val="21"/>
                <w:szCs w:val="21"/>
                <w:highlight w:val="none"/>
                <w:lang w:val="en-US" w:eastAsia="zh-CN"/>
              </w:rPr>
            </w:pPr>
            <w:bookmarkStart w:id="472" w:name="_Toc27057"/>
            <w:r>
              <w:rPr>
                <w:rFonts w:hint="eastAsia" w:ascii="宋体" w:hAnsi="宋体" w:eastAsia="宋体" w:cs="宋体"/>
                <w:bCs/>
                <w:color w:val="auto"/>
                <w:sz w:val="21"/>
                <w:szCs w:val="21"/>
                <w:highlight w:val="none"/>
                <w:lang w:val="en-US" w:eastAsia="zh-CN"/>
              </w:rPr>
              <w:t>注：须提供以下资料复印件或扫描件：</w:t>
            </w:r>
            <w:bookmarkEnd w:id="472"/>
            <w:bookmarkStart w:id="473" w:name="_Toc29544"/>
            <w:r>
              <w:rPr>
                <w:rFonts w:hint="eastAsia" w:ascii="宋体" w:hAnsi="宋体" w:eastAsia="宋体" w:cs="宋体"/>
                <w:bCs/>
                <w:color w:val="auto"/>
                <w:sz w:val="21"/>
                <w:szCs w:val="21"/>
                <w:highlight w:val="none"/>
                <w:lang w:val="en-US" w:eastAsia="zh-CN"/>
              </w:rPr>
              <w:t>合同</w:t>
            </w:r>
            <w:bookmarkEnd w:id="473"/>
            <w:r>
              <w:rPr>
                <w:rFonts w:hint="eastAsia" w:ascii="宋体" w:hAnsi="宋体" w:cs="宋体"/>
                <w:bCs/>
                <w:color w:val="auto"/>
                <w:sz w:val="21"/>
                <w:szCs w:val="21"/>
                <w:highlight w:val="none"/>
                <w:lang w:val="en-US" w:eastAsia="zh-CN"/>
              </w:rPr>
              <w:t>，</w:t>
            </w:r>
            <w:bookmarkStart w:id="474" w:name="_Toc16974"/>
            <w:r>
              <w:rPr>
                <w:rFonts w:hint="eastAsia" w:ascii="宋体" w:hAnsi="宋体" w:eastAsia="宋体" w:cs="宋体"/>
                <w:bCs/>
                <w:color w:val="auto"/>
                <w:sz w:val="21"/>
                <w:szCs w:val="21"/>
                <w:highlight w:val="none"/>
                <w:lang w:val="en-US" w:eastAsia="zh-CN"/>
              </w:rPr>
              <w:t>若合同无法体现金额或工作内容，另须提供业主证明。</w:t>
            </w:r>
            <w:bookmarkEnd w:id="474"/>
          </w:p>
        </w:tc>
        <w:tc>
          <w:tcPr>
            <w:tcW w:w="801" w:type="dxa"/>
            <w:tcBorders>
              <w:tl2br w:val="nil"/>
              <w:tr2bl w:val="nil"/>
            </w:tcBorders>
            <w:vAlign w:val="center"/>
          </w:tcPr>
          <w:p w14:paraId="7A9D818B">
            <w:pPr>
              <w:spacing w:line="400" w:lineRule="exact"/>
              <w:jc w:val="center"/>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40</w:t>
            </w:r>
          </w:p>
        </w:tc>
      </w:tr>
      <w:tr w14:paraId="00073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921" w:type="dxa"/>
            <w:vMerge w:val="continue"/>
            <w:tcBorders>
              <w:tl2br w:val="nil"/>
              <w:tr2bl w:val="nil"/>
            </w:tcBorders>
            <w:vAlign w:val="center"/>
          </w:tcPr>
          <w:p w14:paraId="4C5AED86">
            <w:pPr>
              <w:spacing w:line="400" w:lineRule="exact"/>
              <w:jc w:val="center"/>
              <w:rPr>
                <w:rFonts w:hint="eastAsia" w:ascii="宋体" w:hAnsi="宋体" w:eastAsia="宋体" w:cs="宋体"/>
                <w:color w:val="auto"/>
                <w:highlight w:val="none"/>
                <w:lang w:val="en-US" w:eastAsia="zh-CN"/>
              </w:rPr>
            </w:pPr>
          </w:p>
        </w:tc>
        <w:tc>
          <w:tcPr>
            <w:tcW w:w="1603" w:type="dxa"/>
            <w:tcBorders>
              <w:tl2br w:val="nil"/>
              <w:tr2bl w:val="nil"/>
            </w:tcBorders>
            <w:vAlign w:val="center"/>
          </w:tcPr>
          <w:p w14:paraId="75517A92">
            <w:pPr>
              <w:spacing w:line="400" w:lineRule="exact"/>
              <w:jc w:val="center"/>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企业资质</w:t>
            </w:r>
          </w:p>
        </w:tc>
        <w:tc>
          <w:tcPr>
            <w:tcW w:w="5950" w:type="dxa"/>
            <w:tcBorders>
              <w:tl2br w:val="nil"/>
              <w:tr2bl w:val="nil"/>
            </w:tcBorders>
            <w:vAlign w:val="top"/>
          </w:tcPr>
          <w:p w14:paraId="3DFBA9A4">
            <w:pPr>
              <w:pStyle w:val="2"/>
              <w:spacing w:line="400" w:lineRule="exact"/>
              <w:rPr>
                <w:rFonts w:hint="eastAsia" w:ascii="宋体" w:hAnsi="宋体" w:eastAsia="宋体" w:cs="宋体"/>
                <w:bCs/>
                <w:color w:val="auto"/>
                <w:sz w:val="21"/>
                <w:szCs w:val="21"/>
                <w:highlight w:val="none"/>
                <w:lang w:val="en-US" w:eastAsia="zh-CN"/>
              </w:rPr>
            </w:pPr>
            <w:bookmarkStart w:id="475" w:name="_Toc32753"/>
            <w:r>
              <w:rPr>
                <w:rFonts w:hint="eastAsia" w:ascii="宋体" w:hAnsi="宋体" w:eastAsia="宋体" w:cs="宋体"/>
                <w:bCs/>
                <w:color w:val="auto"/>
                <w:sz w:val="21"/>
                <w:szCs w:val="21"/>
                <w:highlight w:val="none"/>
                <w:lang w:val="en-US" w:eastAsia="zh-CN"/>
              </w:rPr>
              <w:t>参选人自自2021年1月1日以来（以合同签订时间为准）</w:t>
            </w:r>
            <w:bookmarkEnd w:id="475"/>
          </w:p>
          <w:p w14:paraId="06101361">
            <w:pPr>
              <w:pStyle w:val="2"/>
              <w:spacing w:line="400" w:lineRule="exact"/>
              <w:rPr>
                <w:rFonts w:hint="eastAsia" w:ascii="宋体" w:hAnsi="宋体" w:eastAsia="宋体" w:cs="宋体"/>
                <w:bCs/>
                <w:color w:val="auto"/>
                <w:sz w:val="21"/>
                <w:szCs w:val="21"/>
                <w:highlight w:val="none"/>
                <w:lang w:val="en-US" w:eastAsia="zh-CN"/>
              </w:rPr>
            </w:pPr>
            <w:bookmarkStart w:id="476" w:name="_Toc15542"/>
            <w:r>
              <w:rPr>
                <w:rFonts w:hint="eastAsia" w:ascii="宋体" w:hAnsi="宋体" w:eastAsia="宋体" w:cs="宋体"/>
                <w:bCs/>
                <w:color w:val="auto"/>
                <w:sz w:val="21"/>
                <w:szCs w:val="21"/>
                <w:highlight w:val="none"/>
                <w:lang w:val="en-US" w:eastAsia="zh-CN"/>
              </w:rPr>
              <w:t>①获得过任一国企、行政或事业单位文创产品制作供应商入库资格得10分，每获得1家单位入库资格得10分；</w:t>
            </w:r>
            <w:bookmarkEnd w:id="476"/>
          </w:p>
          <w:p w14:paraId="7209296D">
            <w:pPr>
              <w:pStyle w:val="2"/>
              <w:spacing w:line="400" w:lineRule="exact"/>
              <w:rPr>
                <w:rFonts w:hint="eastAsia" w:ascii="宋体" w:hAnsi="宋体" w:eastAsia="宋体" w:cs="宋体"/>
                <w:bCs/>
                <w:color w:val="auto"/>
                <w:sz w:val="21"/>
                <w:szCs w:val="21"/>
                <w:highlight w:val="none"/>
                <w:lang w:val="en-US" w:eastAsia="zh-CN"/>
              </w:rPr>
            </w:pPr>
            <w:bookmarkStart w:id="477" w:name="_Toc1866"/>
            <w:r>
              <w:rPr>
                <w:rFonts w:hint="eastAsia" w:ascii="宋体" w:hAnsi="宋体" w:eastAsia="宋体" w:cs="宋体"/>
                <w:bCs/>
                <w:color w:val="auto"/>
                <w:sz w:val="21"/>
                <w:szCs w:val="21"/>
                <w:highlight w:val="none"/>
                <w:lang w:val="en-US" w:eastAsia="zh-CN"/>
              </w:rPr>
              <w:t>②承担过国企、行政或事业单位1年及以上的服务供应商项目,每提供1个得10分。</w:t>
            </w:r>
            <w:bookmarkEnd w:id="477"/>
          </w:p>
          <w:p w14:paraId="74CAA4F1">
            <w:pPr>
              <w:pStyle w:val="2"/>
              <w:numPr>
                <w:ilvl w:val="0"/>
                <w:numId w:val="0"/>
              </w:numPr>
              <w:spacing w:line="400" w:lineRule="exact"/>
              <w:rPr>
                <w:rFonts w:hint="eastAsia" w:ascii="宋体" w:hAnsi="宋体" w:eastAsia="宋体" w:cs="宋体"/>
                <w:bCs/>
                <w:color w:val="auto"/>
                <w:sz w:val="21"/>
                <w:szCs w:val="21"/>
                <w:highlight w:val="none"/>
                <w:lang w:val="en-US" w:eastAsia="zh-CN"/>
              </w:rPr>
            </w:pPr>
            <w:bookmarkStart w:id="478" w:name="_Toc16155"/>
            <w:r>
              <w:rPr>
                <w:rFonts w:hint="eastAsia" w:ascii="宋体" w:hAnsi="宋体" w:eastAsia="宋体" w:cs="宋体"/>
                <w:bCs/>
                <w:color w:val="auto"/>
                <w:kern w:val="2"/>
                <w:sz w:val="21"/>
                <w:szCs w:val="21"/>
                <w:lang w:val="en-US" w:eastAsia="zh-CN" w:bidi="ar-SA"/>
              </w:rPr>
              <w:t>①、</w:t>
            </w:r>
            <w:r>
              <w:rPr>
                <w:rFonts w:hint="eastAsia" w:ascii="宋体" w:hAnsi="宋体" w:eastAsia="宋体" w:cs="宋体"/>
                <w:bCs/>
                <w:color w:val="auto"/>
                <w:sz w:val="21"/>
                <w:szCs w:val="21"/>
                <w:highlight w:val="none"/>
                <w:lang w:val="en-US" w:eastAsia="zh-CN"/>
              </w:rPr>
              <w:t>②可组合得分，本项最高得20分。</w:t>
            </w:r>
            <w:bookmarkEnd w:id="478"/>
          </w:p>
          <w:p w14:paraId="6165B61C">
            <w:pPr>
              <w:pStyle w:val="2"/>
              <w:numPr>
                <w:ilvl w:val="0"/>
                <w:numId w:val="0"/>
              </w:numPr>
              <w:spacing w:line="400" w:lineRule="exact"/>
              <w:rPr>
                <w:rFonts w:hint="eastAsia" w:ascii="宋体" w:hAnsi="宋体" w:eastAsia="宋体" w:cs="宋体"/>
                <w:bCs/>
                <w:color w:val="auto"/>
                <w:sz w:val="21"/>
                <w:szCs w:val="21"/>
                <w:highlight w:val="none"/>
                <w:lang w:val="en-US" w:eastAsia="zh-CN"/>
              </w:rPr>
            </w:pPr>
            <w:bookmarkStart w:id="479" w:name="_Toc17005"/>
            <w:r>
              <w:rPr>
                <w:rFonts w:hint="eastAsia" w:ascii="宋体" w:hAnsi="宋体" w:eastAsia="宋体" w:cs="宋体"/>
                <w:bCs/>
                <w:color w:val="auto"/>
                <w:sz w:val="21"/>
                <w:szCs w:val="21"/>
                <w:highlight w:val="none"/>
                <w:lang w:val="en-US" w:eastAsia="zh-CN"/>
              </w:rPr>
              <w:t>注：须提供合同复印件或扫描件。</w:t>
            </w:r>
            <w:bookmarkEnd w:id="479"/>
          </w:p>
        </w:tc>
        <w:tc>
          <w:tcPr>
            <w:tcW w:w="801" w:type="dxa"/>
            <w:tcBorders>
              <w:tl2br w:val="nil"/>
              <w:tr2bl w:val="nil"/>
            </w:tcBorders>
            <w:vAlign w:val="center"/>
          </w:tcPr>
          <w:p w14:paraId="529D35B2">
            <w:pPr>
              <w:spacing w:line="400" w:lineRule="exact"/>
              <w:jc w:val="center"/>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20</w:t>
            </w:r>
          </w:p>
        </w:tc>
      </w:tr>
      <w:tr w14:paraId="4F17E7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921" w:type="dxa"/>
            <w:vMerge w:val="restart"/>
            <w:tcBorders>
              <w:tl2br w:val="nil"/>
              <w:tr2bl w:val="nil"/>
            </w:tcBorders>
            <w:vAlign w:val="center"/>
          </w:tcPr>
          <w:p w14:paraId="50E5ADD7">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技术</w:t>
            </w:r>
          </w:p>
          <w:p w14:paraId="5686DE9D">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部分</w:t>
            </w:r>
          </w:p>
          <w:p w14:paraId="7C15B701">
            <w:pPr>
              <w:spacing w:line="4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40</w:t>
            </w:r>
            <w:r>
              <w:rPr>
                <w:rFonts w:hint="eastAsia" w:ascii="宋体" w:hAnsi="宋体" w:eastAsia="宋体" w:cs="宋体"/>
                <w:color w:val="auto"/>
                <w:highlight w:val="none"/>
              </w:rPr>
              <w:t>分</w:t>
            </w:r>
          </w:p>
        </w:tc>
        <w:tc>
          <w:tcPr>
            <w:tcW w:w="1603" w:type="dxa"/>
            <w:tcBorders>
              <w:tl2br w:val="nil"/>
              <w:tr2bl w:val="nil"/>
            </w:tcBorders>
            <w:vAlign w:val="center"/>
          </w:tcPr>
          <w:p w14:paraId="42C81182">
            <w:pPr>
              <w:spacing w:line="400" w:lineRule="exact"/>
              <w:jc w:val="center"/>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服务能力</w:t>
            </w:r>
          </w:p>
        </w:tc>
        <w:tc>
          <w:tcPr>
            <w:tcW w:w="5950" w:type="dxa"/>
            <w:tcBorders>
              <w:tl2br w:val="nil"/>
              <w:tr2bl w:val="nil"/>
            </w:tcBorders>
            <w:vAlign w:val="top"/>
          </w:tcPr>
          <w:p w14:paraId="105759A7">
            <w:pPr>
              <w:spacing w:line="360" w:lineRule="exac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提供南通轨道文创开发策划书（2026-2028），内容包含IP打造，核心产品、创意设计、售后保障、响应速度等。</w:t>
            </w:r>
          </w:p>
          <w:p w14:paraId="35836E99">
            <w:pPr>
              <w:spacing w:line="360" w:lineRule="exac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rPr>
              <w:t>若无，得0分，若有，在[</w:t>
            </w: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]区间内评分，最高得</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分。</w:t>
            </w:r>
          </w:p>
        </w:tc>
        <w:tc>
          <w:tcPr>
            <w:tcW w:w="801" w:type="dxa"/>
            <w:tcBorders>
              <w:tl2br w:val="nil"/>
              <w:tr2bl w:val="nil"/>
            </w:tcBorders>
            <w:vAlign w:val="center"/>
          </w:tcPr>
          <w:p w14:paraId="73559786">
            <w:pPr>
              <w:spacing w:line="400" w:lineRule="exact"/>
              <w:jc w:val="center"/>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20</w:t>
            </w:r>
          </w:p>
        </w:tc>
      </w:tr>
      <w:tr w14:paraId="0F4720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921" w:type="dxa"/>
            <w:vMerge w:val="continue"/>
            <w:tcBorders>
              <w:tl2br w:val="nil"/>
              <w:tr2bl w:val="nil"/>
            </w:tcBorders>
            <w:vAlign w:val="center"/>
          </w:tcPr>
          <w:p w14:paraId="3D650E64">
            <w:pPr>
              <w:spacing w:line="400" w:lineRule="exact"/>
              <w:jc w:val="center"/>
              <w:rPr>
                <w:rFonts w:hint="eastAsia" w:ascii="宋体" w:hAnsi="宋体" w:eastAsia="宋体" w:cs="宋体"/>
                <w:color w:val="auto"/>
                <w:highlight w:val="none"/>
                <w:lang w:val="en-US" w:eastAsia="zh-CN"/>
              </w:rPr>
            </w:pPr>
          </w:p>
        </w:tc>
        <w:tc>
          <w:tcPr>
            <w:tcW w:w="1603" w:type="dxa"/>
            <w:tcBorders>
              <w:tl2br w:val="nil"/>
              <w:tr2bl w:val="nil"/>
            </w:tcBorders>
            <w:vAlign w:val="center"/>
          </w:tcPr>
          <w:p w14:paraId="0D02DA82">
            <w:pPr>
              <w:spacing w:line="400" w:lineRule="exact"/>
              <w:jc w:val="center"/>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相关产品样品</w:t>
            </w:r>
          </w:p>
        </w:tc>
        <w:tc>
          <w:tcPr>
            <w:tcW w:w="5950" w:type="dxa"/>
            <w:tcBorders>
              <w:tl2br w:val="nil"/>
              <w:tr2bl w:val="nil"/>
            </w:tcBorders>
            <w:vAlign w:val="center"/>
          </w:tcPr>
          <w:p w14:paraId="668B0D64">
            <w:pPr>
              <w:spacing w:line="360" w:lineRule="exac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提供冰箱贴、环保布袋作为样品，根据实际情况进行评定。冰箱贴尺寸材质不限；环保布袋高度不大于50cm、宽度不大于45 cm，产品样式不限。</w:t>
            </w:r>
          </w:p>
          <w:p w14:paraId="538EA613">
            <w:pPr>
              <w:spacing w:line="360" w:lineRule="exac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rPr>
              <w:t>若无，得0分，若有，在[</w:t>
            </w: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]区间内评分，最高得</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分。</w:t>
            </w:r>
          </w:p>
        </w:tc>
        <w:tc>
          <w:tcPr>
            <w:tcW w:w="801" w:type="dxa"/>
            <w:tcBorders>
              <w:tl2br w:val="nil"/>
              <w:tr2bl w:val="nil"/>
            </w:tcBorders>
            <w:vAlign w:val="center"/>
          </w:tcPr>
          <w:p w14:paraId="1DF53CC9">
            <w:pPr>
              <w:spacing w:line="400" w:lineRule="exact"/>
              <w:jc w:val="center"/>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20</w:t>
            </w:r>
          </w:p>
        </w:tc>
      </w:tr>
      <w:tr w14:paraId="3F94B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921" w:type="dxa"/>
            <w:tcBorders>
              <w:tl2br w:val="nil"/>
              <w:tr2bl w:val="nil"/>
            </w:tcBorders>
            <w:vAlign w:val="center"/>
          </w:tcPr>
          <w:p w14:paraId="0453D88E">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c>
          <w:tcPr>
            <w:tcW w:w="8354" w:type="dxa"/>
            <w:gridSpan w:val="3"/>
            <w:tcBorders>
              <w:tl2br w:val="nil"/>
              <w:tr2bl w:val="nil"/>
            </w:tcBorders>
            <w:vAlign w:val="center"/>
          </w:tcPr>
          <w:p w14:paraId="04A0679A">
            <w:pPr>
              <w:spacing w:line="40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技术部分打分：</w:t>
            </w:r>
          </w:p>
          <w:p w14:paraId="3C9FEF70">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1、评标委员会需根据标书阐述情况在规定分值内打分。</w:t>
            </w:r>
          </w:p>
          <w:p w14:paraId="71B25E15">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2、各</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技术部分得分为评委打分的平均值，平均值 “四舍五入”保留小数点后两位。</w:t>
            </w:r>
          </w:p>
        </w:tc>
      </w:tr>
    </w:tbl>
    <w:p w14:paraId="00BA9BB2">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br w:type="page"/>
      </w:r>
    </w:p>
    <w:p w14:paraId="09B3466C">
      <w:pPr>
        <w:ind w:left="-19" w:leftChars="-9" w:right="-139" w:rightChars="-66" w:firstLine="441" w:firstLineChars="157"/>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评标办法（综合评估法）正文部分</w:t>
      </w:r>
    </w:p>
    <w:p w14:paraId="1B7DA622">
      <w:pPr>
        <w:pStyle w:val="4"/>
        <w:spacing w:line="440" w:lineRule="exact"/>
        <w:ind w:left="0" w:leftChars="0" w:right="-338" w:rightChars="-161" w:firstLine="422" w:firstLineChars="175"/>
        <w:rPr>
          <w:rFonts w:hint="eastAsia" w:ascii="宋体" w:hAnsi="宋体" w:eastAsia="宋体" w:cs="宋体"/>
          <w:color w:val="auto"/>
          <w:highlight w:val="none"/>
        </w:rPr>
      </w:pPr>
      <w:bookmarkStart w:id="480" w:name="_Toc9170"/>
      <w:bookmarkStart w:id="481" w:name="_Toc5758"/>
      <w:bookmarkStart w:id="482" w:name="_Toc2452"/>
      <w:bookmarkStart w:id="483" w:name="_Toc6695"/>
      <w:bookmarkStart w:id="484" w:name="_Toc19268"/>
      <w:bookmarkStart w:id="485" w:name="_Toc9492"/>
      <w:bookmarkStart w:id="486" w:name="_Toc19628"/>
      <w:r>
        <w:rPr>
          <w:rFonts w:hint="eastAsia" w:ascii="宋体" w:hAnsi="宋体" w:eastAsia="宋体" w:cs="宋体"/>
          <w:color w:val="auto"/>
          <w:highlight w:val="none"/>
        </w:rPr>
        <w:t>1、评标方法</w:t>
      </w:r>
      <w:bookmarkEnd w:id="480"/>
      <w:bookmarkEnd w:id="481"/>
      <w:bookmarkEnd w:id="482"/>
      <w:bookmarkEnd w:id="483"/>
      <w:bookmarkEnd w:id="484"/>
      <w:bookmarkEnd w:id="485"/>
      <w:bookmarkEnd w:id="486"/>
    </w:p>
    <w:p w14:paraId="08B27CD7">
      <w:pPr>
        <w:spacing w:line="440" w:lineRule="exact"/>
        <w:ind w:left="0" w:leftChars="0" w:right="-338" w:rightChars="-161"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本次评标采用综合评估法。评标委员会对满足</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实质性要求的</w:t>
      </w: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，按照本章规定的评分标准进行打分，并按得分由高到低排序，</w:t>
      </w:r>
      <w:r>
        <w:rPr>
          <w:rFonts w:hint="eastAsia" w:ascii="宋体" w:hAnsi="宋体" w:eastAsia="宋体" w:cs="宋体"/>
          <w:color w:val="auto"/>
          <w:highlight w:val="none"/>
          <w:lang w:eastAsia="zh-CN"/>
        </w:rPr>
        <w:t>确定中选候选</w:t>
      </w:r>
      <w:r>
        <w:rPr>
          <w:rFonts w:hint="eastAsia" w:ascii="宋体" w:hAnsi="宋体" w:eastAsia="宋体" w:cs="宋体"/>
          <w:color w:val="auto"/>
          <w:highlight w:val="none"/>
        </w:rPr>
        <w:t>人。综合评分相等时，以技术部分得分高的优先；技术部分得分也相等的，由相关</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抽签确定。</w:t>
      </w:r>
    </w:p>
    <w:p w14:paraId="672E4C61">
      <w:pPr>
        <w:pStyle w:val="4"/>
        <w:spacing w:line="440" w:lineRule="exact"/>
        <w:ind w:left="0" w:leftChars="0" w:right="-338" w:rightChars="-161" w:firstLine="422" w:firstLineChars="175"/>
        <w:rPr>
          <w:rFonts w:hint="eastAsia" w:ascii="宋体" w:hAnsi="宋体" w:eastAsia="宋体" w:cs="宋体"/>
          <w:color w:val="auto"/>
          <w:highlight w:val="none"/>
        </w:rPr>
      </w:pPr>
      <w:bookmarkStart w:id="487" w:name="_Toc19091"/>
      <w:bookmarkStart w:id="488" w:name="_Toc14979"/>
      <w:bookmarkStart w:id="489" w:name="_Toc20883"/>
      <w:bookmarkStart w:id="490" w:name="_Toc4847"/>
      <w:bookmarkStart w:id="491" w:name="_Toc10709"/>
      <w:bookmarkStart w:id="492" w:name="_Toc15289"/>
      <w:bookmarkStart w:id="493" w:name="_Toc184635094"/>
      <w:bookmarkStart w:id="494" w:name="_Toc17822"/>
      <w:r>
        <w:rPr>
          <w:rFonts w:hint="eastAsia" w:ascii="宋体" w:hAnsi="宋体" w:eastAsia="宋体" w:cs="宋体"/>
          <w:color w:val="auto"/>
          <w:highlight w:val="none"/>
        </w:rPr>
        <w:t>2、评审标准</w:t>
      </w:r>
      <w:bookmarkEnd w:id="487"/>
      <w:bookmarkEnd w:id="488"/>
      <w:bookmarkEnd w:id="489"/>
      <w:bookmarkEnd w:id="490"/>
      <w:bookmarkEnd w:id="491"/>
      <w:bookmarkEnd w:id="492"/>
      <w:bookmarkEnd w:id="493"/>
      <w:bookmarkEnd w:id="494"/>
    </w:p>
    <w:p w14:paraId="4EFC0126">
      <w:pPr>
        <w:spacing w:line="440" w:lineRule="exact"/>
        <w:ind w:left="0" w:leftChars="0" w:right="-338" w:rightChars="-161"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 初步评审标准</w:t>
      </w:r>
    </w:p>
    <w:p w14:paraId="11056C1E">
      <w:pPr>
        <w:spacing w:line="440" w:lineRule="exact"/>
        <w:ind w:left="0" w:leftChars="0" w:right="-338" w:rightChars="-161"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资格评审标准：见资格审查必要合格条件标准。</w:t>
      </w:r>
    </w:p>
    <w:p w14:paraId="0B8A3EC4">
      <w:pPr>
        <w:spacing w:line="440" w:lineRule="exact"/>
        <w:ind w:left="0" w:leftChars="0" w:right="-338" w:rightChars="-161"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2.2 分值构成与评分标准</w:t>
      </w:r>
    </w:p>
    <w:p w14:paraId="26728A9B">
      <w:pPr>
        <w:spacing w:line="440" w:lineRule="exact"/>
        <w:ind w:left="0" w:leftChars="0" w:right="-338" w:rightChars="-161"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2.2.1 分值构成</w:t>
      </w:r>
    </w:p>
    <w:p w14:paraId="44281498">
      <w:pPr>
        <w:spacing w:line="440" w:lineRule="exact"/>
        <w:ind w:left="0" w:leftChars="0" w:right="-338" w:rightChars="-161"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（1）商务：见评审因素和标准；</w:t>
      </w:r>
    </w:p>
    <w:p w14:paraId="5ACE338E">
      <w:pPr>
        <w:spacing w:line="440" w:lineRule="exact"/>
        <w:ind w:left="0" w:leftChars="0" w:right="-338" w:rightChars="-161"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（2）技术：见评审因素和标准。</w:t>
      </w:r>
    </w:p>
    <w:p w14:paraId="0CEA129F">
      <w:pPr>
        <w:spacing w:line="440" w:lineRule="exact"/>
        <w:ind w:left="0" w:leftChars="0" w:right="-338" w:rightChars="-161"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2.2.2 评分标准</w:t>
      </w:r>
    </w:p>
    <w:p w14:paraId="483AB886">
      <w:pPr>
        <w:spacing w:line="440" w:lineRule="exact"/>
        <w:ind w:left="0" w:leftChars="0" w:right="-338" w:rightChars="-161"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（1）商务评分标准：见评审因素和标准；</w:t>
      </w:r>
    </w:p>
    <w:p w14:paraId="3773ED1C">
      <w:pPr>
        <w:spacing w:line="440" w:lineRule="exact"/>
        <w:ind w:left="0" w:leftChars="0" w:right="-338" w:rightChars="-161"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（2）技术评分标准：见评审因素和标准。</w:t>
      </w:r>
    </w:p>
    <w:p w14:paraId="3B05C7BF">
      <w:pPr>
        <w:pStyle w:val="4"/>
        <w:spacing w:line="440" w:lineRule="exact"/>
        <w:ind w:left="0" w:leftChars="0" w:right="-338" w:rightChars="-161" w:firstLine="422" w:firstLineChars="175"/>
        <w:rPr>
          <w:rFonts w:hint="eastAsia" w:ascii="宋体" w:hAnsi="宋体" w:eastAsia="宋体" w:cs="宋体"/>
          <w:color w:val="auto"/>
          <w:highlight w:val="none"/>
        </w:rPr>
      </w:pPr>
      <w:bookmarkStart w:id="495" w:name="_Toc17868"/>
      <w:bookmarkStart w:id="496" w:name="_Toc4611"/>
      <w:bookmarkStart w:id="497" w:name="_Toc184635095"/>
      <w:bookmarkStart w:id="498" w:name="_Toc10443"/>
      <w:bookmarkStart w:id="499" w:name="_Toc23690"/>
      <w:bookmarkStart w:id="500" w:name="_Toc31665"/>
      <w:bookmarkStart w:id="501" w:name="_Toc14086"/>
      <w:bookmarkStart w:id="502" w:name="_Toc3839"/>
      <w:r>
        <w:rPr>
          <w:rFonts w:hint="eastAsia" w:ascii="宋体" w:hAnsi="宋体" w:eastAsia="宋体" w:cs="宋体"/>
          <w:color w:val="auto"/>
          <w:highlight w:val="none"/>
        </w:rPr>
        <w:t>3、评标程序</w:t>
      </w:r>
      <w:bookmarkEnd w:id="495"/>
      <w:bookmarkEnd w:id="496"/>
      <w:bookmarkEnd w:id="497"/>
      <w:bookmarkEnd w:id="498"/>
      <w:bookmarkEnd w:id="499"/>
      <w:bookmarkEnd w:id="500"/>
      <w:bookmarkEnd w:id="501"/>
      <w:bookmarkEnd w:id="502"/>
    </w:p>
    <w:p w14:paraId="37134971">
      <w:pPr>
        <w:pStyle w:val="6"/>
        <w:spacing w:before="0" w:after="0"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 初步评审</w:t>
      </w:r>
    </w:p>
    <w:p w14:paraId="52CAB905">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3.1.1 评标委员会依据本章第一条规定的评审标准对参选文件(资格审查文件)进行初步评审。有一项不符合评审标准的，作废标处理。</w:t>
      </w:r>
    </w:p>
    <w:p w14:paraId="4EBE96BB">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3.1.2 参选人有以下情形之一的，其参选亦作废标处理：</w:t>
      </w:r>
    </w:p>
    <w:p w14:paraId="7FFDB089">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（1）串通参选或弄虚作假或有其他违法行为的；</w:t>
      </w:r>
    </w:p>
    <w:p w14:paraId="2B6AE0AB">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（2）不按评标委员会要求澄清、说明或补正的。</w:t>
      </w:r>
    </w:p>
    <w:p w14:paraId="7540DE87">
      <w:pPr>
        <w:pStyle w:val="6"/>
        <w:spacing w:before="0" w:after="0"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3.2 详细评审</w:t>
      </w:r>
    </w:p>
    <w:p w14:paraId="031C5D81">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3.2.1 评标委员会按本章第四条规定的量化因素和分值进行打分。</w:t>
      </w:r>
    </w:p>
    <w:p w14:paraId="4AB0D717">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（1）按本章规定的评审因素和分值对商务计算出得分A；</w:t>
      </w:r>
    </w:p>
    <w:p w14:paraId="1861A294">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（2）按本章规定的评审因素和分值对技术计算出得分B；</w:t>
      </w:r>
    </w:p>
    <w:p w14:paraId="6B670DA6">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3.2.2 评分分值计算保留小数点后两位，小数点后第三位“四舍五入”。</w:t>
      </w:r>
    </w:p>
    <w:p w14:paraId="4A2BA993">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3.2.3 参选人得分=A+B。</w:t>
      </w:r>
    </w:p>
    <w:p w14:paraId="7ED24D4A">
      <w:pPr>
        <w:pStyle w:val="6"/>
        <w:spacing w:before="0" w:after="0"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 参选文件的澄清和补正</w:t>
      </w:r>
    </w:p>
    <w:p w14:paraId="1A46FF0C">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3.3.1 在评标过程中，评标委员会可以书面形式要求参选人对所提交参选文件中不明确的内容进行书面澄清或说明，或者对细微偏差进行补正。评标委员会不接受参选人主动提出的澄清、说明或补正。</w:t>
      </w:r>
    </w:p>
    <w:p w14:paraId="6E8B51D0">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3.3.2 澄清、说明和补正不得改变参选文件的实质性内容（算术性错误修正的除外）。参选人的书面澄清、说明和补正属于参选文件的组成部分。</w:t>
      </w:r>
    </w:p>
    <w:p w14:paraId="239E1CCD">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3.3.3 评标委员会对参选人提交的澄清、说明或补正有疑问的，可以要求参选人进一步澄清、说明或补正，直至满足评标委员会的要求。</w:t>
      </w:r>
    </w:p>
    <w:p w14:paraId="18ADAA63">
      <w:pPr>
        <w:pStyle w:val="6"/>
        <w:spacing w:before="0" w:after="0"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3.4 评标结果</w:t>
      </w:r>
    </w:p>
    <w:p w14:paraId="50198EAE">
      <w:pPr>
        <w:spacing w:line="440" w:lineRule="exact"/>
        <w:ind w:left="0" w:leftChars="0" w:right="-338" w:rightChars="-161"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3.4.1 评标委员会按各标段参选人总得分由高到低进行排序，并按参选人须知约定的顺序，确定中选候选人。</w:t>
      </w:r>
    </w:p>
    <w:p w14:paraId="4C9F2A7E">
      <w:pPr>
        <w:spacing w:line="440" w:lineRule="exact"/>
        <w:ind w:left="-19" w:leftChars="-9" w:right="-139" w:rightChars="-66" w:firstLine="438" w:firstLineChars="209"/>
        <w:rPr>
          <w:rFonts w:hint="eastAsia" w:ascii="宋体" w:hAnsi="宋体" w:eastAsia="宋体" w:cs="宋体"/>
          <w:color w:val="auto"/>
          <w:highlight w:val="none"/>
        </w:rPr>
      </w:pPr>
      <w:r>
        <w:rPr>
          <w:rFonts w:hint="eastAsia" w:ascii="宋体" w:hAnsi="宋体" w:eastAsia="宋体" w:cs="宋体"/>
          <w:b w:val="0"/>
          <w:bCs w:val="0"/>
          <w:color w:val="auto"/>
          <w:kern w:val="2"/>
          <w:sz w:val="21"/>
          <w:szCs w:val="21"/>
          <w:highlight w:val="none"/>
          <w:lang w:val="en-US" w:eastAsia="zh-CN" w:bidi="ar-SA"/>
        </w:rPr>
        <w:t>3.4.2 评标委员会完成评标后，由应当向比选人提交书面评标报告。</w:t>
      </w:r>
    </w:p>
    <w:p w14:paraId="4931A125">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D56EEA6">
      <w:pPr>
        <w:ind w:left="-439" w:leftChars="-209" w:right="-748" w:rightChars="-356" w:firstLine="329" w:firstLineChars="157"/>
        <w:rPr>
          <w:rFonts w:hint="eastAsia" w:ascii="宋体" w:hAnsi="宋体" w:eastAsia="宋体" w:cs="宋体"/>
          <w:color w:val="auto"/>
          <w:highlight w:val="none"/>
        </w:rPr>
      </w:pPr>
    </w:p>
    <w:p w14:paraId="030DC12A">
      <w:pPr>
        <w:rPr>
          <w:rFonts w:hint="eastAsia" w:ascii="宋体" w:hAnsi="宋体" w:eastAsia="宋体" w:cs="宋体"/>
          <w:color w:val="auto"/>
          <w:highlight w:val="none"/>
        </w:rPr>
      </w:pPr>
    </w:p>
    <w:p w14:paraId="3CFCF816">
      <w:pPr>
        <w:ind w:left="-420" w:leftChars="-200" w:firstLine="420" w:firstLineChars="200"/>
        <w:rPr>
          <w:rFonts w:hint="eastAsia" w:ascii="宋体" w:hAnsi="宋体" w:eastAsia="宋体" w:cs="宋体"/>
          <w:color w:val="auto"/>
          <w:highlight w:val="none"/>
        </w:rPr>
      </w:pPr>
    </w:p>
    <w:p w14:paraId="24173444">
      <w:pPr>
        <w:ind w:left="-420" w:leftChars="-200" w:firstLine="420" w:firstLineChars="200"/>
        <w:rPr>
          <w:rFonts w:hint="eastAsia" w:ascii="宋体" w:hAnsi="宋体" w:eastAsia="宋体" w:cs="宋体"/>
          <w:color w:val="auto"/>
          <w:highlight w:val="none"/>
        </w:rPr>
      </w:pPr>
    </w:p>
    <w:p w14:paraId="769F7AFE">
      <w:pPr>
        <w:ind w:left="-420" w:leftChars="-200" w:firstLine="420" w:firstLineChars="200"/>
        <w:rPr>
          <w:rFonts w:hint="eastAsia" w:ascii="宋体" w:hAnsi="宋体" w:eastAsia="宋体" w:cs="宋体"/>
          <w:color w:val="auto"/>
          <w:highlight w:val="none"/>
        </w:rPr>
      </w:pPr>
    </w:p>
    <w:p w14:paraId="2E1F9DE3">
      <w:pPr>
        <w:ind w:left="-420" w:leftChars="-200" w:firstLine="420" w:firstLineChars="200"/>
        <w:rPr>
          <w:rFonts w:hint="eastAsia" w:ascii="宋体" w:hAnsi="宋体" w:eastAsia="宋体" w:cs="宋体"/>
          <w:color w:val="auto"/>
          <w:highlight w:val="none"/>
        </w:rPr>
      </w:pPr>
    </w:p>
    <w:p w14:paraId="4A85D1BF">
      <w:pPr>
        <w:ind w:left="-420" w:leftChars="-200" w:right="480" w:firstLine="560" w:firstLineChars="200"/>
        <w:rPr>
          <w:rFonts w:hint="eastAsia" w:ascii="宋体" w:hAnsi="宋体" w:eastAsia="宋体" w:cs="宋体"/>
          <w:color w:val="auto"/>
          <w:sz w:val="28"/>
          <w:szCs w:val="28"/>
          <w:highlight w:val="none"/>
        </w:rPr>
      </w:pPr>
    </w:p>
    <w:p w14:paraId="77CB6700">
      <w:pPr>
        <w:bidi w:val="0"/>
        <w:rPr>
          <w:rFonts w:hint="eastAsia" w:ascii="宋体" w:hAnsi="宋体" w:eastAsia="宋体" w:cs="宋体"/>
        </w:rPr>
      </w:pPr>
    </w:p>
    <w:p w14:paraId="313634B3">
      <w:pPr>
        <w:ind w:left="-420" w:leftChars="-200" w:right="480" w:firstLine="560" w:firstLineChars="200"/>
        <w:rPr>
          <w:rFonts w:hint="eastAsia" w:ascii="宋体" w:hAnsi="宋体" w:eastAsia="宋体" w:cs="宋体"/>
          <w:color w:val="auto"/>
          <w:sz w:val="28"/>
          <w:szCs w:val="28"/>
          <w:highlight w:val="none"/>
        </w:rPr>
      </w:pPr>
    </w:p>
    <w:p w14:paraId="071EE7AE">
      <w:pPr>
        <w:ind w:left="-420" w:leftChars="-200" w:right="480" w:firstLine="560" w:firstLineChars="200"/>
        <w:rPr>
          <w:rFonts w:hint="eastAsia" w:ascii="宋体" w:hAnsi="宋体" w:eastAsia="宋体" w:cs="宋体"/>
          <w:color w:val="auto"/>
          <w:sz w:val="28"/>
          <w:szCs w:val="28"/>
          <w:highlight w:val="none"/>
        </w:rPr>
      </w:pPr>
    </w:p>
    <w:p w14:paraId="002E9A02">
      <w:pPr>
        <w:ind w:left="-420" w:leftChars="-200" w:right="480" w:firstLine="560" w:firstLineChars="200"/>
        <w:jc w:val="right"/>
        <w:rPr>
          <w:rFonts w:hint="eastAsia" w:ascii="宋体" w:hAnsi="宋体" w:eastAsia="宋体" w:cs="宋体"/>
          <w:color w:val="auto"/>
          <w:sz w:val="28"/>
          <w:szCs w:val="28"/>
          <w:highlight w:val="none"/>
        </w:rPr>
      </w:pPr>
    </w:p>
    <w:p w14:paraId="4F116746">
      <w:pPr>
        <w:pStyle w:val="3"/>
        <w:ind w:left="-420" w:leftChars="-200" w:right="-199" w:rightChars="-95" w:firstLine="602" w:firstLineChars="200"/>
        <w:rPr>
          <w:rFonts w:hint="eastAsia" w:ascii="宋体" w:hAnsi="宋体" w:eastAsia="宋体" w:cs="宋体"/>
          <w:color w:val="auto"/>
          <w:highlight w:val="none"/>
        </w:rPr>
      </w:pPr>
      <w:bookmarkStart w:id="503" w:name="_Toc7351"/>
      <w:bookmarkStart w:id="504" w:name="_Toc29507"/>
      <w:bookmarkStart w:id="505" w:name="_Toc3162"/>
      <w:bookmarkStart w:id="506" w:name="_Toc15108"/>
      <w:bookmarkStart w:id="507" w:name="_Toc2166"/>
      <w:bookmarkStart w:id="508" w:name="_Toc25626"/>
      <w:bookmarkStart w:id="509" w:name="_Toc11344"/>
      <w:r>
        <w:rPr>
          <w:rFonts w:hint="eastAsia" w:ascii="宋体" w:hAnsi="宋体" w:eastAsia="宋体" w:cs="宋体"/>
          <w:color w:val="auto"/>
          <w:highlight w:val="none"/>
        </w:rPr>
        <w:t>第二卷  合同条件</w:t>
      </w:r>
      <w:bookmarkEnd w:id="503"/>
      <w:bookmarkEnd w:id="504"/>
      <w:bookmarkEnd w:id="505"/>
      <w:bookmarkEnd w:id="506"/>
      <w:bookmarkEnd w:id="507"/>
      <w:bookmarkEnd w:id="508"/>
      <w:bookmarkEnd w:id="509"/>
      <w:bookmarkStart w:id="510" w:name="_Toc218710255"/>
      <w:bookmarkStart w:id="511" w:name="_Toc218710253"/>
      <w:bookmarkStart w:id="512" w:name="_Toc199037718"/>
      <w:bookmarkStart w:id="513" w:name="_Toc217624572"/>
      <w:bookmarkStart w:id="514" w:name="_Toc217284584"/>
      <w:bookmarkStart w:id="515" w:name="_Toc157109764"/>
      <w:bookmarkStart w:id="516" w:name="_Toc218657470"/>
      <w:bookmarkStart w:id="517" w:name="_Toc160842764"/>
      <w:bookmarkStart w:id="518" w:name="_Toc217284797"/>
      <w:bookmarkStart w:id="519" w:name="_Toc218657444"/>
      <w:bookmarkStart w:id="520" w:name="_Toc217624546"/>
      <w:bookmarkStart w:id="521" w:name="_Toc217284610"/>
      <w:bookmarkStart w:id="522" w:name="_Toc199037692"/>
      <w:bookmarkStart w:id="523" w:name="_Toc217284823"/>
    </w:p>
    <w:p w14:paraId="5D490158">
      <w:pPr>
        <w:ind w:left="-420" w:leftChars="-200" w:right="-199" w:rightChars="-95" w:firstLine="420" w:firstLineChars="200"/>
        <w:rPr>
          <w:rFonts w:hint="eastAsia" w:ascii="宋体" w:hAnsi="宋体" w:eastAsia="宋体" w:cs="宋体"/>
          <w:color w:val="auto"/>
          <w:highlight w:val="none"/>
        </w:rPr>
      </w:pPr>
    </w:p>
    <w:p w14:paraId="54EFDF8D">
      <w:pPr>
        <w:ind w:left="-420" w:leftChars="-200" w:right="-199" w:rightChars="-95" w:firstLine="420" w:firstLineChars="200"/>
        <w:rPr>
          <w:rFonts w:hint="eastAsia" w:ascii="宋体" w:hAnsi="宋体" w:eastAsia="宋体" w:cs="宋体"/>
          <w:color w:val="auto"/>
          <w:highlight w:val="none"/>
        </w:rPr>
      </w:pPr>
    </w:p>
    <w:p w14:paraId="76EB5843">
      <w:pPr>
        <w:autoSpaceDE w:val="0"/>
        <w:autoSpaceDN w:val="0"/>
        <w:adjustRightInd w:val="0"/>
        <w:ind w:left="-420" w:leftChars="-200" w:right="-199" w:rightChars="-95" w:firstLine="420" w:firstLineChars="200"/>
        <w:jc w:val="center"/>
        <w:rPr>
          <w:rFonts w:hint="eastAsia" w:ascii="宋体" w:hAnsi="宋体" w:eastAsia="宋体" w:cs="宋体"/>
          <w:b/>
          <w:bCs/>
          <w:color w:val="auto"/>
          <w:kern w:val="0"/>
          <w:sz w:val="52"/>
          <w:szCs w:val="52"/>
          <w:highlight w:val="none"/>
        </w:rPr>
      </w:pPr>
      <w:r>
        <w:rPr>
          <w:rFonts w:hint="eastAsia" w:ascii="宋体" w:hAnsi="宋体" w:eastAsia="宋体" w:cs="宋体"/>
          <w:color w:val="auto"/>
          <w:highlight w:val="none"/>
        </w:rPr>
        <w:br w:type="page"/>
      </w:r>
      <w:bookmarkStart w:id="524" w:name="_Toc5894"/>
    </w:p>
    <w:p w14:paraId="3CB77E1F">
      <w:pPr>
        <w:spacing w:line="480" w:lineRule="auto"/>
        <w:ind w:left="0" w:leftChars="0" w:right="-139" w:rightChars="-66" w:firstLine="415" w:firstLineChars="69"/>
        <w:jc w:val="center"/>
        <w:rPr>
          <w:rFonts w:hint="eastAsia" w:ascii="宋体" w:hAnsi="宋体" w:eastAsia="宋体" w:cs="宋体"/>
          <w:b/>
          <w:color w:val="auto"/>
          <w:spacing w:val="60"/>
          <w:sz w:val="48"/>
          <w:szCs w:val="48"/>
          <w:highlight w:val="none"/>
        </w:rPr>
      </w:pPr>
      <w:bookmarkStart w:id="525" w:name="_Toc14308_WPSOffice_Level2"/>
      <w:bookmarkStart w:id="526" w:name="_Toc32151_WPSOffice_Level2"/>
      <w:bookmarkStart w:id="527" w:name="_Toc8896"/>
    </w:p>
    <w:p w14:paraId="4C61395E">
      <w:pPr>
        <w:ind w:left="0" w:leftChars="0" w:right="-139" w:rightChars="-66" w:firstLine="144" w:firstLineChars="69"/>
        <w:rPr>
          <w:rFonts w:hint="eastAsia" w:ascii="宋体" w:hAnsi="宋体" w:eastAsia="宋体" w:cs="宋体"/>
          <w:color w:val="auto"/>
          <w:highlight w:val="none"/>
        </w:rPr>
      </w:pPr>
    </w:p>
    <w:p w14:paraId="60D2CB51">
      <w:pPr>
        <w:ind w:left="0" w:leftChars="0" w:right="-139" w:rightChars="-66" w:firstLine="144" w:firstLineChars="69"/>
        <w:rPr>
          <w:rFonts w:hint="eastAsia" w:ascii="宋体" w:hAnsi="宋体" w:eastAsia="宋体" w:cs="宋体"/>
          <w:color w:val="auto"/>
          <w:highlight w:val="none"/>
        </w:rPr>
      </w:pPr>
    </w:p>
    <w:bookmarkEnd w:id="525"/>
    <w:bookmarkEnd w:id="526"/>
    <w:p w14:paraId="49D86F0C">
      <w:pPr>
        <w:ind w:left="0" w:leftChars="0" w:right="-139" w:rightChars="-66" w:firstLine="0" w:firstLineChars="0"/>
        <w:jc w:val="center"/>
        <w:rPr>
          <w:rFonts w:hint="eastAsia" w:ascii="宋体" w:hAnsi="宋体" w:eastAsia="宋体" w:cs="宋体"/>
          <w:color w:val="auto"/>
          <w:kern w:val="0"/>
          <w:sz w:val="36"/>
          <w:szCs w:val="36"/>
          <w:highlight w:val="none"/>
          <w:lang w:eastAsia="zh-CN"/>
        </w:rPr>
      </w:pPr>
      <w:r>
        <w:rPr>
          <w:rFonts w:hint="eastAsia" w:ascii="宋体" w:hAnsi="宋体" w:eastAsia="宋体" w:cs="宋体"/>
          <w:b/>
          <w:bCs/>
          <w:color w:val="auto"/>
          <w:kern w:val="0"/>
          <w:sz w:val="36"/>
          <w:szCs w:val="36"/>
          <w:highlight w:val="none"/>
          <w:lang w:val="en-US" w:eastAsia="zh-CN"/>
        </w:rPr>
        <w:t>南通轨道资源开发有限公司文创产品生产制作年度供应商库项目（2026—2028年）</w:t>
      </w:r>
      <w:r>
        <w:rPr>
          <w:rFonts w:hint="eastAsia" w:ascii="宋体" w:hAnsi="宋体" w:eastAsia="宋体" w:cs="宋体"/>
          <w:b/>
          <w:bCs/>
          <w:color w:val="auto"/>
          <w:kern w:val="0"/>
          <w:sz w:val="36"/>
          <w:szCs w:val="36"/>
          <w:highlight w:val="none"/>
        </w:rPr>
        <w:t>合同</w:t>
      </w:r>
    </w:p>
    <w:p w14:paraId="30C0D0A5">
      <w:pPr>
        <w:autoSpaceDE w:val="0"/>
        <w:autoSpaceDN w:val="0"/>
        <w:adjustRightInd w:val="0"/>
        <w:ind w:left="0" w:leftChars="0" w:right="-139" w:rightChars="-66" w:firstLine="0" w:firstLineChars="0"/>
        <w:jc w:val="center"/>
        <w:rPr>
          <w:rFonts w:hint="eastAsia" w:ascii="宋体" w:hAnsi="宋体" w:eastAsia="宋体" w:cs="宋体"/>
          <w:color w:val="auto"/>
          <w:kern w:val="0"/>
          <w:sz w:val="24"/>
          <w:szCs w:val="24"/>
          <w:highlight w:val="none"/>
        </w:rPr>
      </w:pPr>
    </w:p>
    <w:p w14:paraId="17B1DC6C">
      <w:pPr>
        <w:autoSpaceDE w:val="0"/>
        <w:autoSpaceDN w:val="0"/>
        <w:adjustRightInd w:val="0"/>
        <w:ind w:left="0" w:leftChars="0" w:right="-139" w:rightChars="-66" w:firstLine="0" w:firstLineChars="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合同编号：</w:t>
      </w:r>
    </w:p>
    <w:p w14:paraId="1AF13081">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52431CA4">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16E58082">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73CDB4F9">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252A521B">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0B086D76">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3E08E019">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78F63277">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2D58BCD3">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43CE262F">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383A0E8B">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329C2F1C">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0162A4A8">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3777D9E5">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4FA41E7F">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564F3827">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221583D5">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0FD370D3">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586A3C1D">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32D1A29C">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2D07232F">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7C13D2EC">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4E412D2A">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238EDB16">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70F9DD9F">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35B7C372">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28025A8A">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65D8CE44">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30131DD3">
      <w:pPr>
        <w:autoSpaceDE w:val="0"/>
        <w:autoSpaceDN w:val="0"/>
        <w:adjustRightInd w:val="0"/>
        <w:spacing w:line="200" w:lineRule="exact"/>
        <w:ind w:left="0" w:leftChars="0" w:right="-139" w:rightChars="-66" w:firstLine="165" w:firstLineChars="69"/>
        <w:rPr>
          <w:rFonts w:hint="eastAsia" w:ascii="宋体" w:hAnsi="宋体" w:eastAsia="宋体" w:cs="宋体"/>
          <w:color w:val="auto"/>
          <w:kern w:val="0"/>
          <w:sz w:val="24"/>
          <w:szCs w:val="24"/>
          <w:highlight w:val="none"/>
        </w:rPr>
      </w:pPr>
    </w:p>
    <w:p w14:paraId="12BCAF96">
      <w:pPr>
        <w:autoSpaceDE w:val="0"/>
        <w:autoSpaceDN w:val="0"/>
        <w:adjustRightInd w:val="0"/>
        <w:spacing w:line="236" w:lineRule="exact"/>
        <w:ind w:left="0" w:leftChars="0" w:right="-139" w:rightChars="-66" w:firstLine="165" w:firstLineChars="69"/>
        <w:rPr>
          <w:rFonts w:hint="eastAsia" w:ascii="宋体" w:hAnsi="宋体" w:eastAsia="宋体" w:cs="宋体"/>
          <w:color w:val="auto"/>
          <w:kern w:val="0"/>
          <w:sz w:val="24"/>
          <w:szCs w:val="24"/>
          <w:highlight w:val="none"/>
        </w:rPr>
      </w:pPr>
    </w:p>
    <w:p w14:paraId="27259E02">
      <w:pPr>
        <w:autoSpaceDE w:val="0"/>
        <w:autoSpaceDN w:val="0"/>
        <w:adjustRightInd w:val="0"/>
        <w:ind w:left="0" w:leftChars="0" w:right="-139" w:rightChars="-66" w:firstLine="1905" w:firstLineChars="593"/>
        <w:rPr>
          <w:rFonts w:hint="eastAsia" w:ascii="宋体" w:hAnsi="宋体" w:eastAsia="宋体" w:cs="宋体"/>
          <w:color w:val="auto"/>
          <w:kern w:val="0"/>
          <w:sz w:val="24"/>
          <w:szCs w:val="24"/>
          <w:highlight w:val="none"/>
          <w:lang w:val="en-US" w:eastAsia="zh-CN"/>
        </w:rPr>
      </w:pPr>
      <w:r>
        <w:rPr>
          <w:rFonts w:hint="eastAsia" w:ascii="宋体" w:hAnsi="宋体" w:eastAsia="宋体" w:cs="宋体"/>
          <w:b/>
          <w:bCs/>
          <w:color w:val="auto"/>
          <w:kern w:val="0"/>
          <w:sz w:val="32"/>
          <w:szCs w:val="32"/>
          <w:highlight w:val="none"/>
          <w:lang w:eastAsia="zh-CN"/>
        </w:rPr>
        <w:t>甲方</w:t>
      </w:r>
      <w:r>
        <w:rPr>
          <w:rFonts w:hint="eastAsia" w:ascii="宋体" w:hAnsi="宋体" w:eastAsia="宋体" w:cs="宋体"/>
          <w:b/>
          <w:bCs/>
          <w:color w:val="auto"/>
          <w:kern w:val="0"/>
          <w:sz w:val="32"/>
          <w:szCs w:val="32"/>
          <w:highlight w:val="none"/>
        </w:rPr>
        <w:t>：</w:t>
      </w:r>
      <w:r>
        <w:rPr>
          <w:rFonts w:hint="eastAsia" w:ascii="宋体" w:hAnsi="宋体" w:eastAsia="宋体" w:cs="宋体"/>
          <w:b/>
          <w:bCs/>
          <w:color w:val="auto"/>
          <w:kern w:val="0"/>
          <w:sz w:val="32"/>
          <w:szCs w:val="32"/>
          <w:highlight w:val="none"/>
          <w:u w:val="single"/>
        </w:rPr>
        <w:t xml:space="preserve"> </w:t>
      </w:r>
      <w:r>
        <w:rPr>
          <w:rFonts w:hint="eastAsia" w:ascii="宋体" w:hAnsi="宋体" w:eastAsia="宋体" w:cs="宋体"/>
          <w:b/>
          <w:bCs/>
          <w:color w:val="auto"/>
          <w:kern w:val="0"/>
          <w:sz w:val="32"/>
          <w:szCs w:val="32"/>
          <w:highlight w:val="none"/>
          <w:u w:val="single"/>
          <w:lang w:eastAsia="zh-CN"/>
        </w:rPr>
        <w:t>南通轨道资源开发有限公司</w:t>
      </w:r>
      <w:r>
        <w:rPr>
          <w:rFonts w:hint="eastAsia" w:ascii="宋体" w:hAnsi="宋体" w:eastAsia="宋体" w:cs="宋体"/>
          <w:b/>
          <w:bCs/>
          <w:color w:val="auto"/>
          <w:kern w:val="0"/>
          <w:sz w:val="32"/>
          <w:szCs w:val="32"/>
          <w:highlight w:val="none"/>
          <w:u w:val="single"/>
          <w:lang w:val="en-US" w:eastAsia="zh-CN"/>
        </w:rPr>
        <w:t xml:space="preserve"> </w:t>
      </w:r>
    </w:p>
    <w:p w14:paraId="0DA250FC">
      <w:pPr>
        <w:autoSpaceDE w:val="0"/>
        <w:autoSpaceDN w:val="0"/>
        <w:adjustRightInd w:val="0"/>
        <w:ind w:left="0" w:leftChars="0" w:right="-139" w:rightChars="-66" w:firstLine="1905" w:firstLineChars="593"/>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32"/>
          <w:szCs w:val="32"/>
          <w:highlight w:val="none"/>
          <w:lang w:eastAsia="zh-CN"/>
        </w:rPr>
        <w:t>乙方</w:t>
      </w:r>
      <w:r>
        <w:rPr>
          <w:rFonts w:hint="eastAsia" w:ascii="宋体" w:hAnsi="宋体" w:eastAsia="宋体" w:cs="宋体"/>
          <w:b/>
          <w:bCs/>
          <w:color w:val="auto"/>
          <w:kern w:val="0"/>
          <w:sz w:val="32"/>
          <w:szCs w:val="32"/>
          <w:highlight w:val="none"/>
        </w:rPr>
        <w:t>：</w:t>
      </w:r>
      <w:r>
        <w:rPr>
          <w:rFonts w:hint="eastAsia" w:ascii="宋体" w:hAnsi="宋体" w:eastAsia="宋体" w:cs="宋体"/>
          <w:b/>
          <w:bCs/>
          <w:color w:val="auto"/>
          <w:kern w:val="0"/>
          <w:sz w:val="32"/>
          <w:szCs w:val="32"/>
          <w:highlight w:val="none"/>
          <w:u w:val="single" w:color="000000"/>
        </w:rPr>
        <w:t xml:space="preserve">                        </w:t>
      </w:r>
      <w:r>
        <w:rPr>
          <w:rFonts w:hint="eastAsia" w:ascii="宋体" w:hAnsi="宋体" w:eastAsia="宋体" w:cs="宋体"/>
          <w:b/>
          <w:bCs/>
          <w:color w:val="auto"/>
          <w:kern w:val="0"/>
          <w:sz w:val="32"/>
          <w:szCs w:val="32"/>
          <w:highlight w:val="none"/>
          <w:u w:val="single" w:color="000000"/>
          <w:lang w:val="en-US" w:eastAsia="zh-CN"/>
        </w:rPr>
        <w:t xml:space="preserve"> </w:t>
      </w:r>
      <w:r>
        <w:rPr>
          <w:rFonts w:hint="eastAsia" w:ascii="宋体" w:hAnsi="宋体" w:eastAsia="宋体" w:cs="宋体"/>
          <w:b/>
          <w:bCs/>
          <w:color w:val="auto"/>
          <w:kern w:val="0"/>
          <w:sz w:val="32"/>
          <w:szCs w:val="32"/>
          <w:highlight w:val="none"/>
          <w:u w:val="single" w:color="000000"/>
        </w:rPr>
        <w:t xml:space="preserve"> </w:t>
      </w:r>
    </w:p>
    <w:p w14:paraId="4764A16D">
      <w:pPr>
        <w:autoSpaceDE w:val="0"/>
        <w:autoSpaceDN w:val="0"/>
        <w:adjustRightInd w:val="0"/>
        <w:spacing w:line="283" w:lineRule="exact"/>
        <w:ind w:left="0" w:leftChars="0" w:right="-139" w:rightChars="-66" w:firstLine="165" w:firstLineChars="69"/>
        <w:rPr>
          <w:rFonts w:hint="eastAsia" w:ascii="宋体" w:hAnsi="宋体" w:eastAsia="宋体" w:cs="宋体"/>
          <w:color w:val="auto"/>
          <w:kern w:val="0"/>
          <w:sz w:val="24"/>
          <w:szCs w:val="24"/>
          <w:highlight w:val="none"/>
        </w:rPr>
      </w:pPr>
    </w:p>
    <w:p w14:paraId="62FFFF8F">
      <w:pPr>
        <w:ind w:left="0" w:leftChars="0" w:right="-139" w:rightChars="-66" w:firstLine="215" w:firstLineChars="69"/>
        <w:jc w:val="both"/>
        <w:rPr>
          <w:rFonts w:hint="eastAsia" w:ascii="宋体" w:hAnsi="宋体" w:eastAsia="宋体" w:cs="宋体"/>
          <w:b/>
          <w:bCs/>
          <w:color w:val="auto"/>
          <w:kern w:val="0"/>
          <w:sz w:val="31"/>
          <w:szCs w:val="31"/>
          <w:highlight w:val="none"/>
        </w:rPr>
      </w:pPr>
    </w:p>
    <w:p w14:paraId="35DFFCB1">
      <w:pPr>
        <w:ind w:left="0" w:leftChars="0" w:right="-139" w:rightChars="-66" w:firstLine="0" w:firstLineChars="0"/>
        <w:jc w:val="center"/>
        <w:rPr>
          <w:rFonts w:hint="eastAsia" w:ascii="宋体" w:hAnsi="宋体" w:eastAsia="宋体" w:cs="宋体"/>
          <w:b/>
          <w:bCs/>
          <w:color w:val="auto"/>
          <w:kern w:val="0"/>
          <w:sz w:val="31"/>
          <w:szCs w:val="31"/>
          <w:highlight w:val="none"/>
        </w:rPr>
      </w:pPr>
      <w:r>
        <w:rPr>
          <w:rFonts w:hint="eastAsia" w:ascii="宋体" w:hAnsi="宋体" w:eastAsia="宋体" w:cs="宋体"/>
          <w:b/>
          <w:bCs/>
          <w:color w:val="auto"/>
          <w:kern w:val="0"/>
          <w:sz w:val="31"/>
          <w:szCs w:val="31"/>
          <w:highlight w:val="none"/>
        </w:rPr>
        <w:t>年  月</w:t>
      </w:r>
    </w:p>
    <w:p w14:paraId="475D8A80">
      <w:pPr>
        <w:ind w:left="0" w:leftChars="0" w:right="-139" w:rightChars="-66" w:firstLine="144" w:firstLineChars="69"/>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AD69340">
      <w:pPr>
        <w:rPr>
          <w:rFonts w:hint="eastAsia" w:ascii="宋体" w:hAnsi="宋体" w:eastAsia="宋体" w:cs="宋体"/>
        </w:rPr>
      </w:pPr>
      <w:bookmarkStart w:id="528" w:name="_Toc28105"/>
      <w:bookmarkStart w:id="529" w:name="_Toc21220"/>
      <w:bookmarkStart w:id="530" w:name="_Toc18805"/>
    </w:p>
    <w:p w14:paraId="122EBF37">
      <w:pPr>
        <w:pStyle w:val="2"/>
        <w:pageBreakBefore w:val="0"/>
        <w:kinsoku/>
        <w:wordWrap/>
        <w:overflowPunct/>
        <w:topLinePunct w:val="0"/>
        <w:autoSpaceDE/>
        <w:autoSpaceDN/>
        <w:bidi w:val="0"/>
        <w:adjustRightInd/>
        <w:snapToGrid/>
        <w:spacing w:before="0" w:after="0" w:line="440" w:lineRule="exact"/>
        <w:jc w:val="center"/>
        <w:rPr>
          <w:rFonts w:hint="eastAsia" w:ascii="宋体" w:hAnsi="宋体" w:eastAsia="宋体" w:cs="宋体"/>
          <w:b/>
          <w:bCs/>
          <w:color w:val="auto"/>
          <w:sz w:val="32"/>
          <w:szCs w:val="32"/>
          <w:highlight w:val="none"/>
          <w:lang w:eastAsia="zh-CN"/>
        </w:rPr>
      </w:pPr>
      <w:bookmarkStart w:id="531" w:name="_Toc20034"/>
      <w:bookmarkStart w:id="532" w:name="_Toc5824"/>
      <w:r>
        <w:rPr>
          <w:rFonts w:hint="eastAsia" w:ascii="宋体" w:hAnsi="宋体" w:eastAsia="宋体" w:cs="宋体"/>
          <w:b/>
          <w:bCs/>
          <w:color w:val="auto"/>
          <w:sz w:val="32"/>
          <w:szCs w:val="32"/>
          <w:highlight w:val="none"/>
          <w:lang w:eastAsia="zh-CN"/>
        </w:rPr>
        <w:t>合同协议书</w:t>
      </w:r>
      <w:bookmarkEnd w:id="531"/>
      <w:bookmarkEnd w:id="532"/>
    </w:p>
    <w:p w14:paraId="18FF6F0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p>
    <w:p w14:paraId="143058A1">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甲方：</w:t>
      </w:r>
      <w:r>
        <w:rPr>
          <w:rFonts w:hint="eastAsia" w:ascii="宋体" w:hAnsi="宋体" w:eastAsia="宋体" w:cs="宋体"/>
          <w:color w:val="auto"/>
          <w:kern w:val="2"/>
          <w:sz w:val="21"/>
          <w:szCs w:val="21"/>
          <w:highlight w:val="none"/>
          <w:u w:val="single"/>
          <w:lang w:val="en-US" w:eastAsia="zh-CN" w:bidi="ar-SA"/>
        </w:rPr>
        <w:t>南通轨道资源开发有限公司</w:t>
      </w:r>
    </w:p>
    <w:p w14:paraId="341272D5">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乙方：</w:t>
      </w:r>
      <w:r>
        <w:rPr>
          <w:rFonts w:hint="eastAsia" w:ascii="宋体" w:hAnsi="宋体" w:eastAsia="宋体" w:cs="宋体"/>
          <w:color w:val="auto"/>
          <w:kern w:val="2"/>
          <w:sz w:val="21"/>
          <w:szCs w:val="21"/>
          <w:highlight w:val="none"/>
          <w:u w:val="single"/>
          <w:lang w:val="en-US" w:eastAsia="zh-CN" w:bidi="ar-SA"/>
        </w:rPr>
        <w:t xml:space="preserve">                        </w:t>
      </w:r>
    </w:p>
    <w:p w14:paraId="668CBB25">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根据《中华人民共和国民法典》及其他有关法律、法规的规定，甲、乙双方在自愿、平等、互利的基础上，经充分协商一致，甲方现将</w:t>
      </w:r>
      <w:r>
        <w:rPr>
          <w:rFonts w:hint="eastAsia" w:ascii="宋体" w:hAnsi="宋体" w:eastAsia="宋体" w:cs="宋体"/>
          <w:color w:val="auto"/>
          <w:sz w:val="21"/>
          <w:szCs w:val="21"/>
          <w:highlight w:val="none"/>
          <w:u w:val="single"/>
          <w:shd w:val="clear" w:color="auto" w:fill="FFFFFF"/>
          <w:lang w:val="en-US" w:eastAsia="zh-CN"/>
        </w:rPr>
        <w:t>南通轨道资源开发有限公司文创产品生产制作年度供应商库项目（2026—2028年）</w:t>
      </w:r>
      <w:r>
        <w:rPr>
          <w:rFonts w:hint="eastAsia" w:ascii="宋体" w:hAnsi="宋体" w:eastAsia="宋体" w:cs="宋体"/>
          <w:color w:val="auto"/>
          <w:kern w:val="2"/>
          <w:sz w:val="21"/>
          <w:szCs w:val="21"/>
          <w:highlight w:val="none"/>
          <w:lang w:val="en-US" w:eastAsia="zh-CN" w:bidi="ar-SA"/>
        </w:rPr>
        <w:t>委托给乙方达成如下协议：</w:t>
      </w:r>
    </w:p>
    <w:p w14:paraId="2C2EAF9B">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bookmarkStart w:id="533" w:name="_Toc9576"/>
      <w:bookmarkStart w:id="534" w:name="_Toc2036"/>
      <w:bookmarkStart w:id="535" w:name="_Toc6691"/>
      <w:bookmarkStart w:id="536" w:name="_Toc9154"/>
      <w:bookmarkStart w:id="537" w:name="_Toc18989"/>
      <w:bookmarkStart w:id="538" w:name="_Toc11045"/>
      <w:bookmarkStart w:id="539" w:name="_Toc28290"/>
      <w:bookmarkStart w:id="540" w:name="_Toc7226"/>
      <w:r>
        <w:rPr>
          <w:rFonts w:hint="eastAsia" w:ascii="宋体" w:hAnsi="宋体" w:eastAsia="宋体" w:cs="宋体"/>
          <w:color w:val="auto"/>
          <w:kern w:val="2"/>
          <w:sz w:val="21"/>
          <w:szCs w:val="21"/>
          <w:highlight w:val="none"/>
          <w:lang w:val="en-US" w:eastAsia="zh-CN" w:bidi="ar-SA"/>
        </w:rPr>
        <w:t>一、项目概况</w:t>
      </w:r>
      <w:bookmarkEnd w:id="533"/>
      <w:bookmarkEnd w:id="534"/>
      <w:bookmarkEnd w:id="535"/>
      <w:bookmarkEnd w:id="536"/>
      <w:bookmarkEnd w:id="537"/>
      <w:bookmarkEnd w:id="538"/>
      <w:bookmarkEnd w:id="539"/>
      <w:bookmarkEnd w:id="540"/>
    </w:p>
    <w:p w14:paraId="166B2C00">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项目名称：</w:t>
      </w:r>
      <w:r>
        <w:rPr>
          <w:rFonts w:hint="eastAsia" w:ascii="宋体" w:hAnsi="宋体" w:eastAsia="宋体" w:cs="宋体"/>
          <w:color w:val="auto"/>
          <w:sz w:val="21"/>
          <w:szCs w:val="21"/>
          <w:highlight w:val="none"/>
          <w:u w:val="single"/>
          <w:shd w:val="clear" w:color="auto" w:fill="FFFFFF"/>
          <w:lang w:val="en-US" w:eastAsia="zh-CN"/>
        </w:rPr>
        <w:t>南通轨道资源开发有限公司文创产品生产制作年度供应商库项目（2026—2028年）</w:t>
      </w:r>
    </w:p>
    <w:p w14:paraId="067C98B9">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项目地址：江苏省南通市</w:t>
      </w:r>
    </w:p>
    <w:p w14:paraId="63F16524">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bookmarkStart w:id="541" w:name="_Toc6889"/>
      <w:bookmarkStart w:id="542" w:name="_Toc1173"/>
      <w:bookmarkStart w:id="543" w:name="_Toc5603"/>
      <w:bookmarkStart w:id="544" w:name="_Toc20267"/>
      <w:bookmarkStart w:id="545" w:name="_Toc13715"/>
      <w:bookmarkStart w:id="546" w:name="_Toc28431"/>
      <w:bookmarkStart w:id="547" w:name="_Toc24082"/>
      <w:bookmarkStart w:id="548" w:name="_Toc21764"/>
      <w:r>
        <w:rPr>
          <w:rFonts w:hint="eastAsia" w:ascii="宋体" w:hAnsi="宋体" w:eastAsia="宋体" w:cs="宋体"/>
          <w:color w:val="auto"/>
          <w:kern w:val="2"/>
          <w:sz w:val="21"/>
          <w:szCs w:val="21"/>
          <w:highlight w:val="none"/>
          <w:lang w:val="en-US" w:eastAsia="zh-CN" w:bidi="ar-SA"/>
        </w:rPr>
        <w:t>二、项目服务范围</w:t>
      </w:r>
      <w:bookmarkEnd w:id="541"/>
      <w:bookmarkEnd w:id="542"/>
      <w:bookmarkEnd w:id="543"/>
      <w:bookmarkEnd w:id="544"/>
      <w:bookmarkEnd w:id="545"/>
      <w:bookmarkEnd w:id="546"/>
      <w:bookmarkEnd w:id="547"/>
      <w:bookmarkEnd w:id="548"/>
    </w:p>
    <w:p w14:paraId="5CA3F8A1">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根据甲方要求对文创产品概念方案进行深化设计、制作文创产品。</w:t>
      </w:r>
    </w:p>
    <w:p w14:paraId="2385B454">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bookmarkStart w:id="549" w:name="_Toc31388"/>
      <w:bookmarkStart w:id="550" w:name="_Toc12872"/>
      <w:bookmarkStart w:id="551" w:name="_Toc10025"/>
      <w:bookmarkStart w:id="552" w:name="_Toc32389"/>
      <w:bookmarkStart w:id="553" w:name="_Toc23529"/>
      <w:bookmarkStart w:id="554" w:name="_Toc29370"/>
      <w:bookmarkStart w:id="555" w:name="_Toc20657"/>
      <w:bookmarkStart w:id="556" w:name="_Toc2733"/>
      <w:r>
        <w:rPr>
          <w:rFonts w:hint="eastAsia" w:ascii="宋体" w:hAnsi="宋体" w:eastAsia="宋体" w:cs="宋体"/>
          <w:color w:val="auto"/>
          <w:kern w:val="2"/>
          <w:sz w:val="21"/>
          <w:szCs w:val="21"/>
          <w:highlight w:val="none"/>
          <w:lang w:val="en-US" w:eastAsia="zh-CN" w:bidi="ar-SA"/>
        </w:rPr>
        <w:t>三、工期</w:t>
      </w:r>
      <w:bookmarkEnd w:id="549"/>
      <w:bookmarkEnd w:id="550"/>
      <w:bookmarkEnd w:id="551"/>
      <w:bookmarkEnd w:id="552"/>
      <w:bookmarkEnd w:id="553"/>
      <w:bookmarkEnd w:id="554"/>
      <w:bookmarkEnd w:id="555"/>
      <w:bookmarkEnd w:id="556"/>
    </w:p>
    <w:p w14:paraId="1D66204A">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工期：自合同签订之日起2年。甲方对乙方实行动态管理，对不合格的机构予以调整。期满后，甲方可以视情延长有效期，或重新比选以及补充比选。</w:t>
      </w:r>
    </w:p>
    <w:p w14:paraId="5BA306FC">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四、项目负责人及联系电话：</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35DD7BCC">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bookmarkStart w:id="557" w:name="_Toc18397"/>
      <w:bookmarkStart w:id="558" w:name="_Toc27507"/>
      <w:bookmarkStart w:id="559" w:name="_Toc5577"/>
      <w:bookmarkStart w:id="560" w:name="_Toc2454"/>
      <w:bookmarkStart w:id="561" w:name="_Toc24074"/>
      <w:bookmarkStart w:id="562" w:name="_Toc23583"/>
      <w:bookmarkStart w:id="563" w:name="_Toc1948"/>
      <w:r>
        <w:rPr>
          <w:rFonts w:hint="eastAsia" w:ascii="宋体" w:hAnsi="宋体" w:eastAsia="宋体" w:cs="宋体"/>
          <w:color w:val="auto"/>
          <w:kern w:val="2"/>
          <w:sz w:val="21"/>
          <w:szCs w:val="21"/>
          <w:highlight w:val="none"/>
          <w:lang w:val="en-US" w:eastAsia="zh-CN" w:bidi="ar-SA"/>
        </w:rPr>
        <w:t>五、组成合同的文件</w:t>
      </w:r>
      <w:bookmarkEnd w:id="557"/>
      <w:bookmarkEnd w:id="558"/>
      <w:bookmarkEnd w:id="559"/>
      <w:bookmarkEnd w:id="560"/>
      <w:bookmarkEnd w:id="561"/>
      <w:bookmarkEnd w:id="562"/>
      <w:bookmarkEnd w:id="563"/>
    </w:p>
    <w:p w14:paraId="3B0EC704">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下列文件应视为构成并作为阅读和理解本协议书的组成部分，构成本合同的合同文件之间应是相互说明和相互补充的。如果合同文件之间出现歧义或相互矛盾，或合同文件中出现明显错误时，按如下顺序进行解释：</w:t>
      </w:r>
    </w:p>
    <w:p w14:paraId="00BC09EA">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（1）合同协议书；</w:t>
      </w:r>
    </w:p>
    <w:p w14:paraId="4D387044">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（2）中选通知书；</w:t>
      </w:r>
    </w:p>
    <w:p w14:paraId="29A60536">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（3）合同条款；</w:t>
      </w:r>
    </w:p>
    <w:p w14:paraId="2404029A">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（4）比选文件及其修改、补充文件；</w:t>
      </w:r>
    </w:p>
    <w:p w14:paraId="6A32FB63">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（5）合同附件；</w:t>
      </w:r>
    </w:p>
    <w:p w14:paraId="6416044B">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（6）质疑澄清文件及其回复文件；</w:t>
      </w:r>
    </w:p>
    <w:p w14:paraId="324E7A5E">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（7）参选文件及其修改、补充文件；</w:t>
      </w:r>
    </w:p>
    <w:p w14:paraId="728468B3">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（8）其他合同文件；</w:t>
      </w:r>
    </w:p>
    <w:p w14:paraId="564368C6">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上述文件互相补充和解释，如有不明或不一致之处，以上述约定的次序在先者为准。对于同一类内容的合同文件，以其最新签署的为准。</w:t>
      </w:r>
    </w:p>
    <w:p w14:paraId="1BE7117F">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在合同订立和履行过程中，双方签署、签发、签收的与本合同订立或履行有关的协议、信函、纪要、备忘录等亦构成合同组成部分，其优先解释顺序按照“新文件优于旧文件”的原则确定。</w:t>
      </w:r>
    </w:p>
    <w:p w14:paraId="740459C7">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六、本协议书有关词语含义与《合同条款》中分别赋予它们的定义相同。</w:t>
      </w:r>
    </w:p>
    <w:p w14:paraId="7EEEC626">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bookmarkStart w:id="564" w:name="_Toc25159"/>
      <w:bookmarkStart w:id="565" w:name="_Toc24814"/>
      <w:bookmarkStart w:id="566" w:name="_Toc14569"/>
      <w:bookmarkStart w:id="567" w:name="_Toc17875"/>
      <w:bookmarkStart w:id="568" w:name="_Toc8523"/>
      <w:bookmarkStart w:id="569" w:name="_Toc22063"/>
      <w:bookmarkStart w:id="570" w:name="_Toc20620"/>
      <w:bookmarkStart w:id="571" w:name="_Toc22069"/>
      <w:r>
        <w:rPr>
          <w:rFonts w:hint="eastAsia" w:ascii="宋体" w:hAnsi="宋体" w:eastAsia="宋体" w:cs="宋体"/>
          <w:color w:val="auto"/>
          <w:kern w:val="2"/>
          <w:sz w:val="21"/>
          <w:szCs w:val="21"/>
          <w:highlight w:val="none"/>
          <w:lang w:val="en-US" w:eastAsia="zh-CN" w:bidi="ar-SA"/>
        </w:rPr>
        <w:t>七、乙方在此向甲方承诺按照本合同的约定履行服务。</w:t>
      </w:r>
      <w:bookmarkEnd w:id="564"/>
      <w:bookmarkEnd w:id="565"/>
      <w:bookmarkEnd w:id="566"/>
      <w:bookmarkEnd w:id="567"/>
      <w:bookmarkEnd w:id="568"/>
      <w:bookmarkEnd w:id="569"/>
      <w:bookmarkEnd w:id="570"/>
      <w:bookmarkEnd w:id="571"/>
    </w:p>
    <w:p w14:paraId="563A089E">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八、甲方在此同意按本合同注明的期限和方式，向乙方支付根据合同规定应支付的款项，以此作为乙方履行合同的报酬。</w:t>
      </w:r>
    </w:p>
    <w:p w14:paraId="77E1EE19">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十、本合同一式陆份，甲乙双方各叁份，具有同等法律效力。</w:t>
      </w:r>
    </w:p>
    <w:p w14:paraId="4E208604">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bookmarkStart w:id="572" w:name="_Toc22969"/>
      <w:bookmarkStart w:id="573" w:name="_Toc28426"/>
      <w:bookmarkStart w:id="574" w:name="_Toc934"/>
      <w:bookmarkStart w:id="575" w:name="_Toc2250"/>
      <w:bookmarkStart w:id="576" w:name="_Toc12991"/>
      <w:bookmarkStart w:id="577" w:name="_Toc32003"/>
      <w:bookmarkStart w:id="578" w:name="_Toc30639"/>
      <w:r>
        <w:rPr>
          <w:rFonts w:hint="eastAsia" w:ascii="宋体" w:hAnsi="宋体" w:eastAsia="宋体" w:cs="宋体"/>
          <w:color w:val="auto"/>
          <w:kern w:val="2"/>
          <w:sz w:val="21"/>
          <w:szCs w:val="21"/>
          <w:highlight w:val="none"/>
          <w:lang w:val="en-US" w:eastAsia="zh-CN" w:bidi="ar-SA"/>
        </w:rPr>
        <w:t>十一、本合同约定自双方签字盖章后开始生效。</w:t>
      </w:r>
      <w:bookmarkEnd w:id="572"/>
      <w:bookmarkEnd w:id="573"/>
      <w:bookmarkEnd w:id="574"/>
      <w:bookmarkEnd w:id="575"/>
      <w:bookmarkEnd w:id="576"/>
      <w:bookmarkEnd w:id="577"/>
      <w:bookmarkEnd w:id="578"/>
    </w:p>
    <w:p w14:paraId="2A888378">
      <w:pPr>
        <w:pStyle w:val="50"/>
        <w:pageBreakBefore w:val="0"/>
        <w:kinsoku/>
        <w:wordWrap/>
        <w:overflowPunct/>
        <w:topLinePunct w:val="0"/>
        <w:autoSpaceDE/>
        <w:autoSpaceDN/>
        <w:bidi w:val="0"/>
        <w:adjustRightInd/>
        <w:snapToGrid/>
        <w:spacing w:line="440" w:lineRule="exact"/>
        <w:ind w:left="0" w:leftChars="0" w:firstLine="0" w:firstLineChars="0"/>
        <w:rPr>
          <w:rFonts w:hint="eastAsia" w:ascii="宋体" w:hAnsi="宋体" w:eastAsia="宋体" w:cs="宋体"/>
          <w:color w:val="auto"/>
          <w:sz w:val="21"/>
          <w:szCs w:val="21"/>
          <w:highlight w:val="none"/>
          <w:lang w:eastAsia="zh-CN"/>
        </w:rPr>
      </w:pPr>
    </w:p>
    <w:tbl>
      <w:tblPr>
        <w:tblStyle w:val="52"/>
        <w:tblW w:w="9185"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7"/>
        <w:gridCol w:w="4608"/>
      </w:tblGrid>
      <w:tr w14:paraId="3672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7" w:type="dxa"/>
            <w:tcBorders>
              <w:top w:val="nil"/>
              <w:left w:val="nil"/>
              <w:bottom w:val="nil"/>
              <w:right w:val="nil"/>
            </w:tcBorders>
            <w:vAlign w:val="top"/>
          </w:tcPr>
          <w:p w14:paraId="797DA44F">
            <w:pPr>
              <w:keepNext w:val="0"/>
              <w:keepLines w:val="0"/>
              <w:pageBreakBefore w:val="0"/>
              <w:widowControl w:val="0"/>
              <w:kinsoku/>
              <w:wordWrap/>
              <w:topLinePunct w:val="0"/>
              <w:bidi w:val="0"/>
              <w:adjustRightInd/>
              <w:snapToGrid/>
              <w:spacing w:line="360" w:lineRule="auto"/>
              <w:ind w:left="0" w:leftChars="0" w:right="-733" w:rightChars="-349"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甲方名称：（盖章）</w:t>
            </w:r>
          </w:p>
        </w:tc>
        <w:tc>
          <w:tcPr>
            <w:tcW w:w="4608" w:type="dxa"/>
            <w:tcBorders>
              <w:top w:val="nil"/>
              <w:left w:val="nil"/>
              <w:bottom w:val="nil"/>
              <w:right w:val="nil"/>
            </w:tcBorders>
            <w:vAlign w:val="top"/>
          </w:tcPr>
          <w:p w14:paraId="6060F92F">
            <w:pPr>
              <w:keepNext w:val="0"/>
              <w:keepLines w:val="0"/>
              <w:pageBreakBefore w:val="0"/>
              <w:widowControl w:val="0"/>
              <w:kinsoku/>
              <w:wordWrap/>
              <w:topLinePunct w:val="0"/>
              <w:bidi w:val="0"/>
              <w:adjustRightInd/>
              <w:snapToGrid/>
              <w:spacing w:line="360" w:lineRule="auto"/>
              <w:ind w:left="0" w:leftChars="0" w:right="23" w:rightChars="11"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乙方名称：（盖章）</w:t>
            </w:r>
          </w:p>
        </w:tc>
      </w:tr>
      <w:tr w14:paraId="57A7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7" w:type="dxa"/>
            <w:tcBorders>
              <w:top w:val="nil"/>
              <w:left w:val="nil"/>
              <w:bottom w:val="nil"/>
              <w:right w:val="nil"/>
            </w:tcBorders>
            <w:vAlign w:val="top"/>
          </w:tcPr>
          <w:p w14:paraId="0C62973C">
            <w:pPr>
              <w:keepNext w:val="0"/>
              <w:keepLines w:val="0"/>
              <w:pageBreakBefore w:val="0"/>
              <w:widowControl w:val="0"/>
              <w:kinsoku/>
              <w:wordWrap/>
              <w:topLinePunct w:val="0"/>
              <w:bidi w:val="0"/>
              <w:adjustRightInd/>
              <w:snapToGrid/>
              <w:spacing w:line="360" w:lineRule="auto"/>
              <w:ind w:left="0" w:leftChars="0" w:right="-733" w:rightChars="-349"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法定代表人或其授权的代理人</w:t>
            </w:r>
          </w:p>
          <w:p w14:paraId="351B54F0">
            <w:pPr>
              <w:keepNext w:val="0"/>
              <w:keepLines w:val="0"/>
              <w:pageBreakBefore w:val="0"/>
              <w:widowControl w:val="0"/>
              <w:kinsoku/>
              <w:wordWrap/>
              <w:topLinePunct w:val="0"/>
              <w:bidi w:val="0"/>
              <w:adjustRightInd/>
              <w:snapToGrid/>
              <w:spacing w:line="360" w:lineRule="auto"/>
              <w:ind w:left="0" w:leftChars="0" w:right="-733" w:rightChars="-349"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签字或盖章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tc>
        <w:tc>
          <w:tcPr>
            <w:tcW w:w="4608" w:type="dxa"/>
            <w:tcBorders>
              <w:top w:val="nil"/>
              <w:left w:val="nil"/>
              <w:bottom w:val="nil"/>
              <w:right w:val="nil"/>
            </w:tcBorders>
            <w:vAlign w:val="top"/>
          </w:tcPr>
          <w:p w14:paraId="553E25B5">
            <w:pPr>
              <w:keepNext w:val="0"/>
              <w:keepLines w:val="0"/>
              <w:pageBreakBefore w:val="0"/>
              <w:widowControl w:val="0"/>
              <w:kinsoku/>
              <w:wordWrap/>
              <w:topLinePunct w:val="0"/>
              <w:bidi w:val="0"/>
              <w:adjustRightInd/>
              <w:snapToGrid/>
              <w:spacing w:line="360" w:lineRule="auto"/>
              <w:ind w:left="0" w:leftChars="0" w:right="23" w:rightChars="11"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法定代表人或其授权的代理人</w:t>
            </w:r>
          </w:p>
          <w:p w14:paraId="6586CF79">
            <w:pPr>
              <w:keepNext w:val="0"/>
              <w:keepLines w:val="0"/>
              <w:pageBreakBefore w:val="0"/>
              <w:widowControl w:val="0"/>
              <w:kinsoku/>
              <w:wordWrap/>
              <w:topLinePunct w:val="0"/>
              <w:bidi w:val="0"/>
              <w:adjustRightInd/>
              <w:snapToGrid/>
              <w:spacing w:line="360" w:lineRule="auto"/>
              <w:ind w:left="0" w:leftChars="0" w:right="23" w:rightChars="11"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签字或盖章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02CB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7" w:type="dxa"/>
            <w:tcBorders>
              <w:top w:val="nil"/>
              <w:left w:val="nil"/>
              <w:bottom w:val="nil"/>
              <w:right w:val="nil"/>
            </w:tcBorders>
            <w:vAlign w:val="top"/>
          </w:tcPr>
          <w:p w14:paraId="75B74103">
            <w:pPr>
              <w:keepNext w:val="0"/>
              <w:keepLines w:val="0"/>
              <w:pageBreakBefore w:val="0"/>
              <w:widowControl w:val="0"/>
              <w:kinsoku/>
              <w:wordWrap/>
              <w:topLinePunct w:val="0"/>
              <w:bidi w:val="0"/>
              <w:adjustRightInd/>
              <w:snapToGrid/>
              <w:spacing w:line="360" w:lineRule="auto"/>
              <w:ind w:left="0" w:leftChars="0" w:right="8" w:rightChars="0"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lang w:val="en-US" w:eastAsia="zh-CN"/>
              </w:rPr>
              <w:t>南通市崇川区崇川路158号地铁大厦1808室</w:t>
            </w:r>
          </w:p>
        </w:tc>
        <w:tc>
          <w:tcPr>
            <w:tcW w:w="4608" w:type="dxa"/>
            <w:tcBorders>
              <w:top w:val="nil"/>
              <w:left w:val="nil"/>
              <w:bottom w:val="nil"/>
              <w:right w:val="nil"/>
            </w:tcBorders>
            <w:vAlign w:val="top"/>
          </w:tcPr>
          <w:p w14:paraId="65EA96FD">
            <w:pPr>
              <w:keepNext w:val="0"/>
              <w:keepLines w:val="0"/>
              <w:pageBreakBefore w:val="0"/>
              <w:widowControl w:val="0"/>
              <w:kinsoku/>
              <w:wordWrap/>
              <w:topLinePunct w:val="0"/>
              <w:bidi w:val="0"/>
              <w:adjustRightInd/>
              <w:snapToGrid/>
              <w:spacing w:line="360" w:lineRule="auto"/>
              <w:ind w:left="0" w:leftChars="0" w:right="23" w:rightChars="11"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p>
        </w:tc>
      </w:tr>
      <w:tr w14:paraId="6043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7" w:type="dxa"/>
            <w:tcBorders>
              <w:top w:val="nil"/>
              <w:left w:val="nil"/>
              <w:bottom w:val="nil"/>
              <w:right w:val="nil"/>
            </w:tcBorders>
            <w:vAlign w:val="top"/>
          </w:tcPr>
          <w:p w14:paraId="361137A5">
            <w:pPr>
              <w:keepNext w:val="0"/>
              <w:keepLines w:val="0"/>
              <w:pageBreakBefore w:val="0"/>
              <w:widowControl w:val="0"/>
              <w:kinsoku/>
              <w:wordWrap/>
              <w:topLinePunct w:val="0"/>
              <w:bidi w:val="0"/>
              <w:adjustRightInd/>
              <w:snapToGrid/>
              <w:spacing w:line="360" w:lineRule="auto"/>
              <w:ind w:left="0" w:leftChars="0" w:right="23" w:rightChars="11"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开户银行：</w:t>
            </w:r>
          </w:p>
        </w:tc>
        <w:tc>
          <w:tcPr>
            <w:tcW w:w="4608" w:type="dxa"/>
            <w:tcBorders>
              <w:top w:val="nil"/>
              <w:left w:val="nil"/>
              <w:bottom w:val="nil"/>
              <w:right w:val="nil"/>
            </w:tcBorders>
            <w:vAlign w:val="top"/>
          </w:tcPr>
          <w:p w14:paraId="71BFDBAD">
            <w:pPr>
              <w:keepNext w:val="0"/>
              <w:keepLines w:val="0"/>
              <w:pageBreakBefore w:val="0"/>
              <w:widowControl w:val="0"/>
              <w:kinsoku/>
              <w:wordWrap/>
              <w:topLinePunct w:val="0"/>
              <w:bidi w:val="0"/>
              <w:adjustRightInd/>
              <w:snapToGrid/>
              <w:spacing w:line="360" w:lineRule="auto"/>
              <w:ind w:left="0" w:leftChars="0" w:right="23" w:rightChars="11" w:firstLine="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开户银行：</w:t>
            </w:r>
          </w:p>
        </w:tc>
      </w:tr>
      <w:tr w14:paraId="4126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7" w:type="dxa"/>
            <w:tcBorders>
              <w:top w:val="nil"/>
              <w:left w:val="nil"/>
              <w:bottom w:val="nil"/>
              <w:right w:val="nil"/>
            </w:tcBorders>
            <w:vAlign w:val="top"/>
          </w:tcPr>
          <w:p w14:paraId="68E2D09E">
            <w:pPr>
              <w:keepNext w:val="0"/>
              <w:keepLines w:val="0"/>
              <w:pageBreakBefore w:val="0"/>
              <w:widowControl w:val="0"/>
              <w:kinsoku/>
              <w:wordWrap/>
              <w:topLinePunct w:val="0"/>
              <w:bidi w:val="0"/>
              <w:adjustRightInd/>
              <w:snapToGrid/>
              <w:spacing w:line="360" w:lineRule="auto"/>
              <w:ind w:left="0" w:leftChars="0" w:right="23" w:rightChars="11"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账</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号：</w:t>
            </w:r>
          </w:p>
        </w:tc>
        <w:tc>
          <w:tcPr>
            <w:tcW w:w="4608" w:type="dxa"/>
            <w:tcBorders>
              <w:top w:val="nil"/>
              <w:left w:val="nil"/>
              <w:bottom w:val="nil"/>
              <w:right w:val="nil"/>
            </w:tcBorders>
            <w:vAlign w:val="top"/>
          </w:tcPr>
          <w:p w14:paraId="7AC90620">
            <w:pPr>
              <w:keepNext w:val="0"/>
              <w:keepLines w:val="0"/>
              <w:pageBreakBefore w:val="0"/>
              <w:widowControl w:val="0"/>
              <w:kinsoku/>
              <w:wordWrap/>
              <w:topLinePunct w:val="0"/>
              <w:bidi w:val="0"/>
              <w:adjustRightInd/>
              <w:snapToGrid/>
              <w:spacing w:line="360" w:lineRule="auto"/>
              <w:ind w:left="0" w:leftChars="0" w:right="23" w:rightChars="11" w:firstLine="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账</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号：</w:t>
            </w:r>
          </w:p>
        </w:tc>
      </w:tr>
      <w:tr w14:paraId="010F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7" w:type="dxa"/>
            <w:tcBorders>
              <w:top w:val="nil"/>
              <w:left w:val="nil"/>
              <w:bottom w:val="nil"/>
              <w:right w:val="nil"/>
            </w:tcBorders>
            <w:vAlign w:val="top"/>
          </w:tcPr>
          <w:p w14:paraId="693158A3">
            <w:pPr>
              <w:keepNext w:val="0"/>
              <w:keepLines w:val="0"/>
              <w:pageBreakBefore w:val="0"/>
              <w:widowControl w:val="0"/>
              <w:kinsoku/>
              <w:wordWrap/>
              <w:topLinePunct w:val="0"/>
              <w:bidi w:val="0"/>
              <w:adjustRightInd/>
              <w:snapToGrid/>
              <w:spacing w:line="360" w:lineRule="auto"/>
              <w:ind w:left="0" w:leftChars="0" w:right="-733" w:rightChars="-349" w:firstLine="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邮</w:t>
            </w:r>
            <w:r>
              <w:rPr>
                <w:rFonts w:hint="eastAsia" w:ascii="宋体" w:hAnsi="宋体" w:eastAsia="宋体" w:cs="宋体"/>
                <w:color w:val="auto"/>
                <w:sz w:val="21"/>
                <w:szCs w:val="21"/>
                <w:highlight w:val="none"/>
                <w:lang w:val="en-US" w:eastAsia="zh-CN"/>
              </w:rPr>
              <w:t xml:space="preserve">  编</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226000</w:t>
            </w:r>
          </w:p>
        </w:tc>
        <w:tc>
          <w:tcPr>
            <w:tcW w:w="4608" w:type="dxa"/>
            <w:tcBorders>
              <w:top w:val="nil"/>
              <w:left w:val="nil"/>
              <w:bottom w:val="nil"/>
              <w:right w:val="nil"/>
            </w:tcBorders>
            <w:vAlign w:val="top"/>
          </w:tcPr>
          <w:p w14:paraId="171DE29B">
            <w:pPr>
              <w:keepNext w:val="0"/>
              <w:keepLines w:val="0"/>
              <w:pageBreakBefore w:val="0"/>
              <w:widowControl w:val="0"/>
              <w:kinsoku/>
              <w:wordWrap/>
              <w:topLinePunct w:val="0"/>
              <w:bidi w:val="0"/>
              <w:adjustRightInd/>
              <w:snapToGrid/>
              <w:spacing w:line="360" w:lineRule="auto"/>
              <w:ind w:left="0" w:leftChars="0" w:right="23" w:rightChars="11" w:firstLine="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邮</w:t>
            </w:r>
            <w:r>
              <w:rPr>
                <w:rFonts w:hint="eastAsia" w:ascii="宋体" w:hAnsi="宋体" w:eastAsia="宋体" w:cs="宋体"/>
                <w:color w:val="auto"/>
                <w:sz w:val="21"/>
                <w:szCs w:val="21"/>
                <w:highlight w:val="none"/>
                <w:lang w:val="en-US" w:eastAsia="zh-CN"/>
              </w:rPr>
              <w:t xml:space="preserve">  编</w:t>
            </w:r>
            <w:r>
              <w:rPr>
                <w:rFonts w:hint="eastAsia" w:ascii="宋体" w:hAnsi="宋体" w:eastAsia="宋体" w:cs="宋体"/>
                <w:color w:val="auto"/>
                <w:sz w:val="21"/>
                <w:szCs w:val="21"/>
                <w:highlight w:val="none"/>
              </w:rPr>
              <w:t>：</w:t>
            </w:r>
          </w:p>
        </w:tc>
      </w:tr>
      <w:tr w14:paraId="17B7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7" w:type="dxa"/>
            <w:tcBorders>
              <w:top w:val="nil"/>
              <w:left w:val="nil"/>
              <w:bottom w:val="nil"/>
              <w:right w:val="nil"/>
            </w:tcBorders>
            <w:vAlign w:val="top"/>
          </w:tcPr>
          <w:p w14:paraId="308C4BF5">
            <w:pPr>
              <w:keepNext w:val="0"/>
              <w:keepLines w:val="0"/>
              <w:pageBreakBefore w:val="0"/>
              <w:widowControl w:val="0"/>
              <w:kinsoku/>
              <w:wordWrap/>
              <w:topLinePunct w:val="0"/>
              <w:bidi w:val="0"/>
              <w:adjustRightInd/>
              <w:snapToGrid/>
              <w:spacing w:line="360" w:lineRule="auto"/>
              <w:ind w:left="0" w:leftChars="0" w:right="-733" w:rightChars="-349"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lang w:val="en-US" w:eastAsia="zh-CN"/>
              </w:rPr>
              <w:t>0513-80813997</w:t>
            </w:r>
          </w:p>
        </w:tc>
        <w:tc>
          <w:tcPr>
            <w:tcW w:w="4608" w:type="dxa"/>
            <w:tcBorders>
              <w:top w:val="nil"/>
              <w:left w:val="nil"/>
              <w:bottom w:val="nil"/>
              <w:right w:val="nil"/>
            </w:tcBorders>
            <w:vAlign w:val="top"/>
          </w:tcPr>
          <w:p w14:paraId="02555D6F">
            <w:pPr>
              <w:keepNext w:val="0"/>
              <w:keepLines w:val="0"/>
              <w:pageBreakBefore w:val="0"/>
              <w:widowControl w:val="0"/>
              <w:kinsoku/>
              <w:wordWrap/>
              <w:topLinePunct w:val="0"/>
              <w:bidi w:val="0"/>
              <w:adjustRightInd/>
              <w:snapToGrid/>
              <w:spacing w:line="360" w:lineRule="auto"/>
              <w:ind w:left="0" w:leftChars="0" w:right="23" w:rightChars="11" w:firstLine="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p>
        </w:tc>
      </w:tr>
      <w:tr w14:paraId="1148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7" w:type="dxa"/>
            <w:tcBorders>
              <w:top w:val="nil"/>
              <w:left w:val="nil"/>
              <w:bottom w:val="nil"/>
              <w:right w:val="nil"/>
            </w:tcBorders>
            <w:vAlign w:val="top"/>
          </w:tcPr>
          <w:p w14:paraId="41D67450">
            <w:pPr>
              <w:keepNext w:val="0"/>
              <w:keepLines w:val="0"/>
              <w:pageBreakBefore w:val="0"/>
              <w:widowControl w:val="0"/>
              <w:kinsoku/>
              <w:wordWrap/>
              <w:topLinePunct w:val="0"/>
              <w:bidi w:val="0"/>
              <w:adjustRightInd/>
              <w:snapToGrid/>
              <w:spacing w:line="360" w:lineRule="auto"/>
              <w:ind w:left="0" w:leftChars="0" w:right="-733" w:rightChars="-349" w:firstLine="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lang w:val="en-US" w:eastAsia="zh-CN"/>
              </w:rPr>
              <w:t>/</w:t>
            </w:r>
          </w:p>
        </w:tc>
        <w:tc>
          <w:tcPr>
            <w:tcW w:w="4608" w:type="dxa"/>
            <w:tcBorders>
              <w:top w:val="nil"/>
              <w:left w:val="nil"/>
              <w:bottom w:val="nil"/>
              <w:right w:val="nil"/>
            </w:tcBorders>
            <w:vAlign w:val="top"/>
          </w:tcPr>
          <w:p w14:paraId="5DB2BE20">
            <w:pPr>
              <w:keepNext w:val="0"/>
              <w:keepLines w:val="0"/>
              <w:pageBreakBefore w:val="0"/>
              <w:widowControl w:val="0"/>
              <w:kinsoku/>
              <w:wordWrap/>
              <w:topLinePunct w:val="0"/>
              <w:bidi w:val="0"/>
              <w:adjustRightInd/>
              <w:snapToGrid/>
              <w:spacing w:line="360" w:lineRule="auto"/>
              <w:ind w:left="0" w:leftChars="0" w:right="23" w:rightChars="11" w:firstLine="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lang w:val="en-US" w:eastAsia="zh-CN"/>
              </w:rPr>
              <w:t>/</w:t>
            </w:r>
          </w:p>
        </w:tc>
      </w:tr>
    </w:tbl>
    <w:p w14:paraId="77B35EA4">
      <w:pPr>
        <w:pStyle w:val="5"/>
        <w:pageBreakBefore w:val="0"/>
        <w:numPr>
          <w:ilvl w:val="0"/>
          <w:numId w:val="0"/>
        </w:numPr>
        <w:kinsoku/>
        <w:wordWrap/>
        <w:overflowPunct/>
        <w:topLinePunct w:val="0"/>
        <w:autoSpaceDE/>
        <w:autoSpaceDN/>
        <w:bidi w:val="0"/>
        <w:adjustRightInd/>
        <w:snapToGrid/>
        <w:spacing w:line="440" w:lineRule="exact"/>
        <w:rPr>
          <w:rFonts w:hint="eastAsia" w:ascii="宋体" w:hAnsi="宋体" w:eastAsia="宋体" w:cs="宋体"/>
          <w:color w:val="auto"/>
          <w:sz w:val="21"/>
          <w:szCs w:val="21"/>
          <w:highlight w:val="none"/>
          <w:lang w:eastAsia="zh-CN"/>
        </w:rPr>
      </w:pPr>
    </w:p>
    <w:p w14:paraId="52C6858D">
      <w:pPr>
        <w:pStyle w:val="5"/>
        <w:pageBreakBefore w:val="0"/>
        <w:numPr>
          <w:ilvl w:val="0"/>
          <w:numId w:val="0"/>
        </w:numPr>
        <w:kinsoku/>
        <w:wordWrap/>
        <w:overflowPunct/>
        <w:topLinePunct w:val="0"/>
        <w:autoSpaceDE/>
        <w:autoSpaceDN/>
        <w:bidi w:val="0"/>
        <w:adjustRightInd/>
        <w:snapToGrid/>
        <w:spacing w:line="440" w:lineRule="exact"/>
        <w:rPr>
          <w:rFonts w:hint="eastAsia" w:ascii="宋体" w:hAnsi="宋体" w:eastAsia="宋体" w:cs="宋体"/>
          <w:color w:val="auto"/>
          <w:sz w:val="21"/>
          <w:szCs w:val="21"/>
          <w:highlight w:val="none"/>
          <w:lang w:eastAsia="zh-CN"/>
        </w:rPr>
      </w:pPr>
    </w:p>
    <w:p w14:paraId="019D2C70">
      <w:pPr>
        <w:pStyle w:val="5"/>
        <w:pageBreakBefore w:val="0"/>
        <w:numPr>
          <w:ilvl w:val="0"/>
          <w:numId w:val="0"/>
        </w:numPr>
        <w:kinsoku/>
        <w:wordWrap/>
        <w:overflowPunct/>
        <w:topLinePunct w:val="0"/>
        <w:autoSpaceDE/>
        <w:autoSpaceDN/>
        <w:bidi w:val="0"/>
        <w:adjustRightInd/>
        <w:snapToGrid/>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签约时间：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日</w:t>
      </w:r>
    </w:p>
    <w:p w14:paraId="4A373430">
      <w:pPr>
        <w:pStyle w:val="5"/>
        <w:pageBreakBefore w:val="0"/>
        <w:numPr>
          <w:ilvl w:val="0"/>
          <w:numId w:val="0"/>
        </w:numPr>
        <w:kinsoku/>
        <w:wordWrap/>
        <w:overflowPunct/>
        <w:topLinePunct w:val="0"/>
        <w:autoSpaceDE/>
        <w:autoSpaceDN/>
        <w:bidi w:val="0"/>
        <w:adjustRightInd/>
        <w:snapToGrid/>
        <w:spacing w:line="440" w:lineRule="exact"/>
        <w:jc w:val="center"/>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签约地点</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single"/>
          <w:lang w:val="en-US" w:eastAsia="zh-CN"/>
        </w:rPr>
        <w:t>江苏省南通市</w:t>
      </w:r>
      <w:r>
        <w:rPr>
          <w:rFonts w:hint="eastAsia" w:ascii="宋体" w:hAnsi="宋体" w:eastAsia="宋体" w:cs="宋体"/>
          <w:color w:val="auto"/>
          <w:sz w:val="21"/>
          <w:szCs w:val="21"/>
          <w:highlight w:val="none"/>
          <w:lang w:val="en-US" w:eastAsia="zh-CN"/>
        </w:rPr>
        <w:t xml:space="preserve"> </w:t>
      </w:r>
    </w:p>
    <w:p w14:paraId="51BBB2CE">
      <w:pPr>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1"/>
          <w:szCs w:val="21"/>
          <w:highlight w:val="none"/>
          <w:lang w:eastAsia="zh-CN"/>
        </w:rPr>
        <w:sectPr>
          <w:headerReference r:id="rId16" w:type="first"/>
          <w:footerReference r:id="rId18" w:type="first"/>
          <w:headerReference r:id="rId15" w:type="default"/>
          <w:footerReference r:id="rId17" w:type="default"/>
          <w:pgSz w:w="11906" w:h="16838"/>
          <w:pgMar w:top="1418" w:right="1531" w:bottom="1418" w:left="1474" w:header="851" w:footer="992" w:gutter="0"/>
          <w:pgNumType w:fmt="decimal" w:start="1"/>
          <w:cols w:space="720" w:num="1"/>
          <w:titlePg/>
          <w:docGrid w:type="lines" w:linePitch="312" w:charSpace="0"/>
        </w:sectPr>
      </w:pPr>
    </w:p>
    <w:p w14:paraId="445B1E0C">
      <w:pPr>
        <w:pStyle w:val="2"/>
        <w:pageBreakBefore w:val="0"/>
        <w:kinsoku/>
        <w:wordWrap/>
        <w:overflowPunct/>
        <w:topLinePunct w:val="0"/>
        <w:autoSpaceDE/>
        <w:autoSpaceDN/>
        <w:bidi w:val="0"/>
        <w:adjustRightInd/>
        <w:snapToGrid/>
        <w:spacing w:before="0" w:after="0" w:line="440" w:lineRule="exact"/>
        <w:jc w:val="center"/>
        <w:rPr>
          <w:rFonts w:hint="eastAsia" w:ascii="宋体" w:hAnsi="宋体" w:eastAsia="宋体" w:cs="宋体"/>
          <w:b/>
          <w:bCs/>
          <w:color w:val="auto"/>
          <w:sz w:val="32"/>
          <w:szCs w:val="32"/>
          <w:highlight w:val="none"/>
          <w:lang w:eastAsia="zh-CN"/>
        </w:rPr>
      </w:pPr>
      <w:bookmarkStart w:id="579" w:name="_Toc25396"/>
      <w:bookmarkStart w:id="580" w:name="_Toc22074"/>
      <w:bookmarkStart w:id="581" w:name="_Toc6203"/>
      <w:bookmarkStart w:id="582" w:name="_Toc14606"/>
      <w:bookmarkStart w:id="583" w:name="_Toc5245"/>
      <w:r>
        <w:rPr>
          <w:rFonts w:hint="eastAsia" w:ascii="宋体" w:hAnsi="宋体" w:eastAsia="宋体" w:cs="宋体"/>
          <w:b/>
          <w:bCs/>
          <w:color w:val="auto"/>
          <w:sz w:val="32"/>
          <w:szCs w:val="32"/>
          <w:highlight w:val="none"/>
          <w:lang w:eastAsia="zh-CN"/>
        </w:rPr>
        <w:t>合同条款</w:t>
      </w:r>
      <w:bookmarkEnd w:id="579"/>
      <w:bookmarkEnd w:id="580"/>
      <w:bookmarkEnd w:id="581"/>
      <w:bookmarkEnd w:id="582"/>
      <w:bookmarkEnd w:id="583"/>
    </w:p>
    <w:p w14:paraId="67FBED40">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color w:val="auto"/>
          <w:sz w:val="24"/>
          <w:szCs w:val="24"/>
          <w:highlight w:val="none"/>
          <w:lang w:eastAsia="zh-CN"/>
        </w:rPr>
      </w:pPr>
      <w:bookmarkStart w:id="584" w:name="_Toc21918"/>
      <w:bookmarkStart w:id="585" w:name="_Toc6375"/>
      <w:bookmarkStart w:id="586" w:name="_Toc30282"/>
    </w:p>
    <w:p w14:paraId="6D6A467B">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第一条：定义</w:t>
      </w:r>
      <w:bookmarkEnd w:id="584"/>
      <w:bookmarkEnd w:id="585"/>
      <w:bookmarkEnd w:id="586"/>
    </w:p>
    <w:p w14:paraId="66552CD1">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在合同中，下列措词和用语具有此处所赋予的含义：</w:t>
      </w:r>
    </w:p>
    <w:p w14:paraId="5F4A9466">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1.1甲方：系指南通轨道资源开发有限公司。</w:t>
      </w:r>
    </w:p>
    <w:p w14:paraId="2704F538">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1.2乙方：接受甲方委托，为本案提供</w:t>
      </w:r>
      <w:r>
        <w:rPr>
          <w:rFonts w:hint="eastAsia" w:ascii="宋体" w:hAnsi="宋体" w:eastAsia="宋体" w:cs="宋体"/>
          <w:sz w:val="21"/>
          <w:szCs w:val="21"/>
          <w:highlight w:val="none"/>
          <w:u w:val="single"/>
          <w:lang w:val="en-US" w:eastAsia="zh-CN"/>
        </w:rPr>
        <w:t>南通轨道资源开发有限公司文创产品生产制作</w:t>
      </w:r>
      <w:r>
        <w:rPr>
          <w:rFonts w:hint="eastAsia" w:ascii="宋体" w:hAnsi="宋体" w:eastAsia="宋体" w:cs="宋体"/>
          <w:b w:val="0"/>
          <w:bCs w:val="0"/>
          <w:color w:val="auto"/>
          <w:sz w:val="21"/>
          <w:szCs w:val="21"/>
          <w:highlight w:val="none"/>
          <w:lang w:eastAsia="zh-CN"/>
        </w:rPr>
        <w:t>的公司</w:t>
      </w:r>
    </w:p>
    <w:p w14:paraId="3B478EAD">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1.3工程/项目：</w:t>
      </w:r>
      <w:r>
        <w:rPr>
          <w:rFonts w:hint="eastAsia" w:ascii="宋体" w:hAnsi="宋体" w:eastAsia="宋体" w:cs="宋体"/>
          <w:sz w:val="21"/>
          <w:szCs w:val="21"/>
          <w:highlight w:val="none"/>
          <w:u w:val="single"/>
          <w:lang w:val="en-US" w:eastAsia="zh-CN"/>
        </w:rPr>
        <w:t>南通轨道资源开发有限公司文创产品生产制作年度供应商库项目（2026—2028年）</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eastAsia="zh-CN"/>
        </w:rPr>
        <w:t>。</w:t>
      </w:r>
    </w:p>
    <w:p w14:paraId="59B72D48">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1.4 服务：是指乙方根据本合同约定为完成项目所提供和履行的所有服务。</w:t>
      </w:r>
    </w:p>
    <w:p w14:paraId="215C9714">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1.5 合同双方：是指甲方和乙方的统称。</w:t>
      </w:r>
    </w:p>
    <w:p w14:paraId="12270AA0">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1.6 日、天：指公历日。</w:t>
      </w:r>
    </w:p>
    <w:p w14:paraId="1FB5C7B0">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1.7 周、星期：指七个公历日。</w:t>
      </w:r>
    </w:p>
    <w:p w14:paraId="20E3CA40">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1.8 月：指公历月份。</w:t>
      </w:r>
    </w:p>
    <w:p w14:paraId="7D32858C">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1.9合同文件（或称合同）：指合同协议书、成交通知书、合同条款、甲方管理的有关规定和其他合同文件等。</w:t>
      </w:r>
    </w:p>
    <w:p w14:paraId="2A06958B">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1.10书面函件：指凡合同中规定是“书面的”，任何手写的、打印的或印刷的函件，包括电报、电子邮件和传真发送件。</w:t>
      </w:r>
    </w:p>
    <w:p w14:paraId="266EB822">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eastAsia="zh-CN"/>
        </w:rPr>
      </w:pPr>
      <w:bookmarkStart w:id="587" w:name="_Toc3994"/>
      <w:bookmarkStart w:id="588" w:name="_Toc19675"/>
      <w:bookmarkStart w:id="589" w:name="_Toc30100"/>
      <w:r>
        <w:rPr>
          <w:rFonts w:hint="eastAsia" w:ascii="宋体" w:hAnsi="宋体" w:eastAsia="宋体" w:cs="宋体"/>
          <w:b/>
          <w:bCs/>
          <w:color w:val="auto"/>
          <w:sz w:val="21"/>
          <w:szCs w:val="21"/>
          <w:highlight w:val="none"/>
          <w:lang w:eastAsia="zh-CN"/>
        </w:rPr>
        <w:t>第二条：语言文字</w:t>
      </w:r>
      <w:bookmarkEnd w:id="587"/>
      <w:bookmarkEnd w:id="588"/>
      <w:bookmarkEnd w:id="589"/>
    </w:p>
    <w:p w14:paraId="32493834">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2.1除专用术语外，合同使用的语言文字为中文。专用术语在使用其他语种文字应附有中文注释。</w:t>
      </w:r>
    </w:p>
    <w:p w14:paraId="07833BBB">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2.2如本合同当事人对本合同条件及其附件有关条款的理解有争议，应当按照合同所使用的词句、合同的有关条款、合同的目的、交易习惯以及诚实信用原则，确定该条款的真实意思。</w:t>
      </w:r>
    </w:p>
    <w:p w14:paraId="070F04E5">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第三条：合同标的</w:t>
      </w:r>
    </w:p>
    <w:p w14:paraId="46505513">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3.1乙方承诺于合同履约期限内负责南通轨道资源开发有限公司年度文创产品制作服务，提供相对应的整体服务。</w:t>
      </w:r>
    </w:p>
    <w:p w14:paraId="2C055FA9">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3.2合同以框架协议+订单方式签订并履行，在服务期内甲方提出单个订单的具体项目需求，乙方按单个订单项目需求提供服务，并按单个订单结算。具体为：</w:t>
      </w:r>
    </w:p>
    <w:p w14:paraId="1E23C398">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b w:val="0"/>
          <w:bCs w:val="0"/>
          <w:color w:val="auto"/>
          <w:sz w:val="21"/>
          <w:szCs w:val="21"/>
          <w:highlight w:val="none"/>
          <w:lang w:val="en-US" w:eastAsia="zh-CN"/>
        </w:rPr>
      </w:pPr>
      <w:bookmarkStart w:id="590" w:name="_Toc4279"/>
      <w:bookmarkStart w:id="591" w:name="_Toc29824"/>
      <w:bookmarkStart w:id="592" w:name="_Toc18993"/>
      <w:bookmarkStart w:id="593" w:name="_Toc11142"/>
      <w:bookmarkStart w:id="594" w:name="_Toc20251"/>
      <w:bookmarkStart w:id="595" w:name="_Toc25549"/>
      <w:bookmarkStart w:id="596" w:name="_Toc21974"/>
      <w:bookmarkStart w:id="597" w:name="_Toc17948"/>
      <w:r>
        <w:rPr>
          <w:rFonts w:hint="eastAsia" w:ascii="宋体" w:hAnsi="宋体" w:eastAsia="宋体" w:cs="宋体"/>
          <w:b w:val="0"/>
          <w:bCs w:val="0"/>
          <w:color w:val="auto"/>
          <w:sz w:val="21"/>
          <w:szCs w:val="21"/>
          <w:highlight w:val="none"/>
          <w:lang w:val="en-US" w:eastAsia="zh-CN"/>
        </w:rPr>
        <w:t>甲方与乙方分别签订框架协议，甲方视各乙方提供的样品（如需）和报价综合选定一个供应商承接该订单。费用明细中的单价作为该笔订单结算依据。</w:t>
      </w:r>
    </w:p>
    <w:p w14:paraId="5A38EFC5">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第四条：合同价款</w:t>
      </w:r>
      <w:bookmarkEnd w:id="590"/>
      <w:bookmarkEnd w:id="591"/>
      <w:bookmarkEnd w:id="592"/>
      <w:bookmarkEnd w:id="593"/>
      <w:bookmarkEnd w:id="594"/>
      <w:bookmarkEnd w:id="595"/>
      <w:bookmarkEnd w:id="596"/>
      <w:bookmarkEnd w:id="597"/>
    </w:p>
    <w:p w14:paraId="4A1CABA1">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本合同为</w:t>
      </w:r>
      <w:r>
        <w:rPr>
          <w:rFonts w:hint="eastAsia" w:ascii="宋体" w:hAnsi="宋体" w:eastAsia="宋体" w:cs="宋体"/>
          <w:color w:val="auto"/>
          <w:kern w:val="2"/>
          <w:sz w:val="21"/>
          <w:szCs w:val="21"/>
          <w:highlight w:val="none"/>
          <w:u w:val="single"/>
          <w:lang w:val="en-US" w:eastAsia="zh-CN" w:bidi="ar-SA"/>
        </w:rPr>
        <w:t>固定单价合同</w:t>
      </w:r>
      <w:r>
        <w:rPr>
          <w:rFonts w:hint="eastAsia" w:ascii="宋体" w:hAnsi="宋体" w:eastAsia="宋体" w:cs="宋体"/>
          <w:color w:val="auto"/>
          <w:kern w:val="2"/>
          <w:sz w:val="21"/>
          <w:szCs w:val="21"/>
          <w:highlight w:val="none"/>
          <w:u w:val="none"/>
          <w:lang w:val="en-US" w:eastAsia="zh-CN" w:bidi="ar-SA"/>
        </w:rPr>
        <w:t>，</w:t>
      </w:r>
      <w:bookmarkStart w:id="598" w:name="_Toc19509"/>
      <w:bookmarkStart w:id="599" w:name="_Toc21035"/>
      <w:bookmarkStart w:id="600" w:name="_Toc4832"/>
      <w:bookmarkStart w:id="601" w:name="_Toc24957"/>
      <w:bookmarkStart w:id="602" w:name="_Toc20134"/>
      <w:r>
        <w:rPr>
          <w:rFonts w:hint="eastAsia" w:ascii="宋体" w:hAnsi="宋体" w:eastAsia="宋体" w:cs="宋体"/>
          <w:color w:val="auto"/>
          <w:kern w:val="2"/>
          <w:sz w:val="21"/>
          <w:szCs w:val="21"/>
          <w:highlight w:val="none"/>
          <w:lang w:val="en-US" w:eastAsia="zh-CN" w:bidi="ar-SA"/>
        </w:rPr>
        <w:t>税率：</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 。</w:t>
      </w:r>
      <w:bookmarkEnd w:id="598"/>
      <w:bookmarkEnd w:id="599"/>
      <w:bookmarkEnd w:id="600"/>
      <w:bookmarkEnd w:id="601"/>
      <w:bookmarkEnd w:id="602"/>
    </w:p>
    <w:p w14:paraId="32E1E35B">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本合同约定的单价为固定单价，在合同执行期间不受政策、法规变化以及汇率浮动、物价指数浮动等影响。乙方在报价时已考虑一定的风险系数（风险包括政策性调价及市场材料价格变化等因素），风险系数进入单价中，结算时不再调整。</w:t>
      </w:r>
    </w:p>
    <w:p w14:paraId="4BD653A5">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4.2本合同</w:t>
      </w:r>
      <w:r>
        <w:rPr>
          <w:rFonts w:hint="eastAsia" w:ascii="宋体" w:hAnsi="宋体" w:eastAsia="宋体" w:cs="宋体"/>
          <w:color w:val="auto"/>
          <w:kern w:val="2"/>
          <w:sz w:val="21"/>
          <w:szCs w:val="21"/>
          <w:highlight w:val="none"/>
          <w:lang w:val="en-US" w:eastAsia="zh-CN" w:bidi="ar-SA"/>
        </w:rPr>
        <w:t>约定的单价</w:t>
      </w:r>
      <w:r>
        <w:rPr>
          <w:rFonts w:hint="eastAsia" w:ascii="宋体" w:hAnsi="宋体" w:eastAsia="宋体" w:cs="宋体"/>
          <w:color w:val="auto"/>
          <w:sz w:val="21"/>
          <w:szCs w:val="21"/>
          <w:highlight w:val="none"/>
          <w:lang w:val="en-US" w:eastAsia="zh-CN"/>
        </w:rPr>
        <w:t>包含人工费、材料费、运输费、5%的货物损耗、产品生产图纸费、开模打样费、税费及完成合同标的相关的所有费用。对于没有填报的项目，甲方将不再支付，并均认为已包含在</w:t>
      </w:r>
      <w:r>
        <w:rPr>
          <w:rFonts w:hint="eastAsia" w:ascii="宋体" w:hAnsi="宋体" w:eastAsia="宋体" w:cs="宋体"/>
          <w:color w:val="auto"/>
          <w:kern w:val="2"/>
          <w:sz w:val="21"/>
          <w:szCs w:val="21"/>
          <w:highlight w:val="none"/>
          <w:lang w:val="en-US" w:eastAsia="zh-CN" w:bidi="ar-SA"/>
        </w:rPr>
        <w:t>单价</w:t>
      </w:r>
      <w:r>
        <w:rPr>
          <w:rFonts w:hint="eastAsia" w:ascii="宋体" w:hAnsi="宋体" w:eastAsia="宋体" w:cs="宋体"/>
          <w:color w:val="auto"/>
          <w:sz w:val="21"/>
          <w:szCs w:val="21"/>
          <w:highlight w:val="none"/>
          <w:lang w:val="en-US" w:eastAsia="zh-CN"/>
        </w:rPr>
        <w:t>内。</w:t>
      </w:r>
    </w:p>
    <w:p w14:paraId="114BEC2F">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eastAsia="zh-CN"/>
        </w:rPr>
      </w:pPr>
      <w:bookmarkStart w:id="603" w:name="_Toc17617"/>
      <w:bookmarkStart w:id="604" w:name="_Toc28768"/>
      <w:bookmarkStart w:id="605" w:name="_Toc19590"/>
      <w:r>
        <w:rPr>
          <w:rFonts w:hint="eastAsia" w:ascii="宋体" w:hAnsi="宋体" w:eastAsia="宋体" w:cs="宋体"/>
          <w:b/>
          <w:bCs/>
          <w:color w:val="auto"/>
          <w:sz w:val="21"/>
          <w:szCs w:val="21"/>
          <w:highlight w:val="none"/>
          <w:lang w:val="en-US" w:eastAsia="zh-CN"/>
        </w:rPr>
        <w:t>第五条：质量要求</w:t>
      </w:r>
      <w:bookmarkEnd w:id="603"/>
      <w:bookmarkEnd w:id="604"/>
      <w:bookmarkEnd w:id="605"/>
    </w:p>
    <w:p w14:paraId="133EB7D8">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提交成果必须符合国家相关规程和规范要求。</w:t>
      </w:r>
    </w:p>
    <w:p w14:paraId="55C43F60">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val="en-US" w:eastAsia="zh-CN"/>
        </w:rPr>
      </w:pPr>
      <w:bookmarkStart w:id="606" w:name="_Toc28085"/>
      <w:bookmarkStart w:id="607" w:name="_Toc15459"/>
      <w:bookmarkStart w:id="608" w:name="_Toc2795"/>
      <w:r>
        <w:rPr>
          <w:rFonts w:hint="eastAsia" w:ascii="宋体" w:hAnsi="宋体" w:eastAsia="宋体" w:cs="宋体"/>
          <w:b/>
          <w:bCs/>
          <w:color w:val="auto"/>
          <w:sz w:val="21"/>
          <w:szCs w:val="21"/>
          <w:highlight w:val="none"/>
          <w:lang w:val="en-US" w:eastAsia="zh-CN"/>
        </w:rPr>
        <w:t>第六条：合同履行时间、地点</w:t>
      </w:r>
      <w:bookmarkEnd w:id="606"/>
      <w:bookmarkEnd w:id="607"/>
      <w:bookmarkEnd w:id="608"/>
    </w:p>
    <w:p w14:paraId="053060C4">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合同履行时间：在合同生效后，乙方必须按甲方要求的时间完成工作。</w:t>
      </w:r>
    </w:p>
    <w:p w14:paraId="7CAD6920">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地点：甲方指定地点。</w:t>
      </w:r>
      <w:bookmarkStart w:id="609" w:name="_Toc7405"/>
      <w:bookmarkStart w:id="610" w:name="_Toc29770"/>
      <w:bookmarkStart w:id="611" w:name="_Toc8186"/>
    </w:p>
    <w:p w14:paraId="66E8E6BE">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第七条 运输</w:t>
      </w:r>
    </w:p>
    <w:p w14:paraId="1DED3221">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运输及</w:t>
      </w:r>
      <w:r>
        <w:rPr>
          <w:rFonts w:hint="eastAsia" w:ascii="宋体" w:hAnsi="宋体" w:eastAsia="宋体" w:cs="宋体"/>
          <w:color w:val="auto"/>
          <w:sz w:val="21"/>
          <w:szCs w:val="21"/>
          <w:highlight w:val="none"/>
          <w:lang w:val="en-US" w:eastAsia="zh-CN"/>
        </w:rPr>
        <w:t>售后</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由乙方</w:t>
      </w:r>
      <w:r>
        <w:rPr>
          <w:rFonts w:hint="eastAsia" w:ascii="宋体" w:hAnsi="宋体" w:eastAsia="宋体" w:cs="宋体"/>
          <w:color w:val="auto"/>
          <w:sz w:val="21"/>
          <w:szCs w:val="21"/>
          <w:highlight w:val="none"/>
        </w:rPr>
        <w:t>负责运输，直</w:t>
      </w:r>
      <w:r>
        <w:rPr>
          <w:rFonts w:hint="eastAsia" w:ascii="宋体" w:hAnsi="宋体" w:eastAsia="宋体" w:cs="宋体"/>
          <w:color w:val="auto"/>
          <w:sz w:val="21"/>
          <w:szCs w:val="21"/>
          <w:highlight w:val="none"/>
          <w:lang w:val="en-US" w:eastAsia="zh-CN"/>
        </w:rPr>
        <w:t>接送至甲方指定地点，送货前必须联系甲方确定具体送货时间和地点，运输产生的相关费用由乙方承担。</w:t>
      </w:r>
    </w:p>
    <w:p w14:paraId="64AD0EC1">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第八条 双方权利义务</w:t>
      </w:r>
    </w:p>
    <w:p w14:paraId="59FCC65A">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8.1</w:t>
      </w:r>
      <w:r>
        <w:rPr>
          <w:rFonts w:hint="eastAsia" w:ascii="宋体" w:hAnsi="宋体" w:eastAsia="宋体" w:cs="宋体"/>
          <w:color w:val="auto"/>
          <w:sz w:val="21"/>
          <w:szCs w:val="21"/>
          <w:highlight w:val="none"/>
        </w:rPr>
        <w:t>甲方权利义务：</w:t>
      </w:r>
    </w:p>
    <w:p w14:paraId="20E18928">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甲方应尽力向乙方提供必要的信息支持、确保提供必要的工作条件。</w:t>
      </w:r>
    </w:p>
    <w:p w14:paraId="039CCA87">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2）甲方有权对本合同的执行进行监督并建立常态化考核机制，在单个订单服务完成后7个日历天内，由甲方按单个订单对服务效果、响应度等内容进行考核(详见附件4)</w:t>
      </w:r>
    </w:p>
    <w:p w14:paraId="54F61BB0">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3）单个订单</w:t>
      </w:r>
      <w:r>
        <w:rPr>
          <w:rFonts w:hint="eastAsia" w:ascii="宋体" w:hAnsi="宋体" w:eastAsia="宋体" w:cs="宋体"/>
          <w:color w:val="auto"/>
          <w:sz w:val="21"/>
          <w:szCs w:val="21"/>
          <w:highlight w:val="none"/>
        </w:rPr>
        <w:t>考核90分（含）及以上，甲方全额</w:t>
      </w:r>
      <w:r>
        <w:rPr>
          <w:rFonts w:hint="eastAsia" w:ascii="宋体" w:hAnsi="宋体" w:eastAsia="宋体" w:cs="宋体"/>
          <w:color w:val="auto"/>
          <w:sz w:val="21"/>
          <w:szCs w:val="21"/>
          <w:highlight w:val="none"/>
          <w:lang w:val="en-US" w:eastAsia="zh-CN"/>
        </w:rPr>
        <w:t>支付</w:t>
      </w:r>
      <w:r>
        <w:rPr>
          <w:rFonts w:hint="eastAsia" w:ascii="宋体" w:hAnsi="宋体" w:eastAsia="宋体" w:cs="宋体"/>
          <w:color w:val="auto"/>
          <w:sz w:val="21"/>
          <w:szCs w:val="21"/>
          <w:highlight w:val="none"/>
        </w:rPr>
        <w:t>该笔</w:t>
      </w:r>
      <w:r>
        <w:rPr>
          <w:rFonts w:hint="eastAsia" w:ascii="宋体" w:hAnsi="宋体" w:eastAsia="宋体" w:cs="宋体"/>
          <w:color w:val="auto"/>
          <w:sz w:val="21"/>
          <w:szCs w:val="21"/>
          <w:highlight w:val="none"/>
          <w:lang w:val="en-US" w:eastAsia="zh-CN"/>
        </w:rPr>
        <w:t>费用</w:t>
      </w:r>
      <w:r>
        <w:rPr>
          <w:rFonts w:hint="eastAsia" w:ascii="宋体" w:hAnsi="宋体" w:eastAsia="宋体" w:cs="宋体"/>
          <w:color w:val="auto"/>
          <w:sz w:val="21"/>
          <w:szCs w:val="21"/>
          <w:highlight w:val="none"/>
        </w:rPr>
        <w:t>。</w:t>
      </w:r>
    </w:p>
    <w:p w14:paraId="2A315F7D">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4）单个订单</w:t>
      </w:r>
      <w:r>
        <w:rPr>
          <w:rFonts w:hint="eastAsia" w:ascii="宋体" w:hAnsi="宋体" w:eastAsia="宋体" w:cs="宋体"/>
          <w:color w:val="auto"/>
          <w:sz w:val="21"/>
          <w:szCs w:val="21"/>
          <w:highlight w:val="none"/>
        </w:rPr>
        <w:t>考核85-90分（含85分，不含90分），甲方将依据考核结果，按照每减少1分（以90分为基数，不足1分的，按四舍五入取整计算），扣减该笔采购</w:t>
      </w:r>
      <w:r>
        <w:rPr>
          <w:rFonts w:hint="eastAsia" w:ascii="宋体" w:hAnsi="宋体" w:eastAsia="宋体" w:cs="宋体"/>
          <w:color w:val="auto"/>
          <w:sz w:val="21"/>
          <w:szCs w:val="21"/>
          <w:highlight w:val="none"/>
          <w:lang w:val="en-US" w:eastAsia="zh-CN"/>
        </w:rPr>
        <w:t>费用</w:t>
      </w:r>
      <w:r>
        <w:rPr>
          <w:rFonts w:hint="eastAsia" w:ascii="宋体" w:hAnsi="宋体" w:eastAsia="宋体" w:cs="宋体"/>
          <w:color w:val="auto"/>
          <w:sz w:val="21"/>
          <w:szCs w:val="21"/>
          <w:highlight w:val="none"/>
        </w:rPr>
        <w:t>1%。</w:t>
      </w:r>
    </w:p>
    <w:p w14:paraId="3969340C">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5）单个订单</w:t>
      </w:r>
      <w:r>
        <w:rPr>
          <w:rFonts w:hint="eastAsia" w:ascii="宋体" w:hAnsi="宋体" w:eastAsia="宋体" w:cs="宋体"/>
          <w:color w:val="auto"/>
          <w:sz w:val="21"/>
          <w:szCs w:val="21"/>
          <w:highlight w:val="none"/>
        </w:rPr>
        <w:t>考核80-85分（含80分，不含85分），甲方将依据考核结果，</w:t>
      </w:r>
      <w:r>
        <w:rPr>
          <w:rFonts w:hint="eastAsia" w:ascii="宋体" w:hAnsi="宋体" w:eastAsia="宋体" w:cs="宋体"/>
          <w:color w:val="auto"/>
          <w:sz w:val="21"/>
          <w:szCs w:val="21"/>
          <w:highlight w:val="none"/>
          <w:lang w:val="en-US" w:eastAsia="zh-CN"/>
        </w:rPr>
        <w:t>在第（4）项基础上</w:t>
      </w:r>
      <w:r>
        <w:rPr>
          <w:rFonts w:hint="eastAsia" w:ascii="宋体" w:hAnsi="宋体" w:eastAsia="宋体" w:cs="宋体"/>
          <w:color w:val="auto"/>
          <w:sz w:val="21"/>
          <w:szCs w:val="21"/>
          <w:highlight w:val="none"/>
        </w:rPr>
        <w:t>按照每减少1分(以85分为基数，不足1分的，按四舍五入取整计算)，扣减该笔采购</w:t>
      </w:r>
      <w:r>
        <w:rPr>
          <w:rFonts w:hint="eastAsia" w:ascii="宋体" w:hAnsi="宋体" w:eastAsia="宋体" w:cs="宋体"/>
          <w:color w:val="auto"/>
          <w:sz w:val="21"/>
          <w:szCs w:val="21"/>
          <w:highlight w:val="none"/>
          <w:lang w:val="en-US" w:eastAsia="zh-CN"/>
        </w:rPr>
        <w:t>费用</w:t>
      </w:r>
      <w:r>
        <w:rPr>
          <w:rFonts w:hint="eastAsia" w:ascii="宋体" w:hAnsi="宋体" w:eastAsia="宋体" w:cs="宋体"/>
          <w:color w:val="auto"/>
          <w:sz w:val="21"/>
          <w:szCs w:val="21"/>
          <w:highlight w:val="none"/>
        </w:rPr>
        <w:t>2%。</w:t>
      </w:r>
    </w:p>
    <w:p w14:paraId="0845ED31">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（6）单个订单</w:t>
      </w:r>
      <w:r>
        <w:rPr>
          <w:rFonts w:hint="eastAsia" w:ascii="宋体" w:hAnsi="宋体" w:eastAsia="宋体" w:cs="宋体"/>
          <w:color w:val="auto"/>
          <w:sz w:val="21"/>
          <w:szCs w:val="21"/>
          <w:highlight w:val="none"/>
        </w:rPr>
        <w:t>考核</w:t>
      </w:r>
      <w:r>
        <w:rPr>
          <w:rFonts w:hint="eastAsia" w:ascii="宋体" w:hAnsi="宋体" w:eastAsia="宋体" w:cs="宋体"/>
          <w:color w:val="auto"/>
          <w:sz w:val="21"/>
          <w:szCs w:val="21"/>
          <w:highlight w:val="none"/>
          <w:lang w:eastAsia="zh-CN"/>
        </w:rPr>
        <w:t>低于80分，视为考核不合格。甲方将依据考核结果，</w:t>
      </w:r>
      <w:r>
        <w:rPr>
          <w:rFonts w:hint="eastAsia" w:ascii="宋体" w:hAnsi="宋体" w:eastAsia="宋体" w:cs="宋体"/>
          <w:color w:val="auto"/>
          <w:sz w:val="21"/>
          <w:szCs w:val="21"/>
          <w:highlight w:val="none"/>
          <w:lang w:val="en-US" w:eastAsia="zh-CN"/>
        </w:rPr>
        <w:t>在第（4）、（5）项基础上</w:t>
      </w:r>
      <w:r>
        <w:rPr>
          <w:rFonts w:hint="eastAsia" w:ascii="宋体" w:hAnsi="宋体" w:eastAsia="宋体" w:cs="宋体"/>
          <w:color w:val="auto"/>
          <w:sz w:val="21"/>
          <w:szCs w:val="21"/>
          <w:highlight w:val="none"/>
          <w:lang w:eastAsia="zh-CN"/>
        </w:rPr>
        <w:t>按照每减少1</w:t>
      </w:r>
      <w:r>
        <w:rPr>
          <w:rFonts w:hint="eastAsia" w:ascii="宋体" w:hAnsi="宋体" w:eastAsia="宋体" w:cs="宋体"/>
          <w:color w:val="auto"/>
          <w:sz w:val="21"/>
          <w:szCs w:val="21"/>
          <w:highlight w:val="none"/>
        </w:rPr>
        <w:t>分(以80分为基数，不足1分的，按四舍五入取整计算)，扣减该笔采购</w:t>
      </w:r>
      <w:r>
        <w:rPr>
          <w:rFonts w:hint="eastAsia" w:ascii="宋体" w:hAnsi="宋体" w:eastAsia="宋体" w:cs="宋体"/>
          <w:color w:val="auto"/>
          <w:sz w:val="21"/>
          <w:szCs w:val="21"/>
          <w:highlight w:val="none"/>
          <w:lang w:val="en-US" w:eastAsia="zh-CN"/>
        </w:rPr>
        <w:t>费用</w:t>
      </w:r>
      <w:r>
        <w:rPr>
          <w:rFonts w:hint="eastAsia" w:ascii="宋体" w:hAnsi="宋体" w:eastAsia="宋体" w:cs="宋体"/>
          <w:color w:val="auto"/>
          <w:sz w:val="21"/>
          <w:szCs w:val="21"/>
          <w:highlight w:val="none"/>
        </w:rPr>
        <w:t>4%。</w:t>
      </w:r>
    </w:p>
    <w:p w14:paraId="308254D4">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7）连续两次订单</w:t>
      </w:r>
      <w:r>
        <w:rPr>
          <w:rFonts w:hint="eastAsia" w:ascii="宋体" w:hAnsi="宋体" w:eastAsia="宋体" w:cs="宋体"/>
          <w:color w:val="auto"/>
          <w:sz w:val="21"/>
          <w:szCs w:val="21"/>
          <w:highlight w:val="none"/>
        </w:rPr>
        <w:t>考核分数</w:t>
      </w:r>
      <w:r>
        <w:rPr>
          <w:rFonts w:hint="eastAsia" w:ascii="宋体" w:hAnsi="宋体" w:eastAsia="宋体" w:cs="宋体"/>
          <w:color w:val="auto"/>
          <w:sz w:val="21"/>
          <w:szCs w:val="21"/>
          <w:highlight w:val="none"/>
          <w:lang w:val="en-US" w:eastAsia="zh-CN"/>
        </w:rPr>
        <w:t>低于60分</w:t>
      </w:r>
      <w:r>
        <w:rPr>
          <w:rFonts w:hint="eastAsia" w:ascii="宋体" w:hAnsi="宋体" w:eastAsia="宋体" w:cs="宋体"/>
          <w:color w:val="auto"/>
          <w:sz w:val="21"/>
          <w:szCs w:val="21"/>
          <w:highlight w:val="none"/>
        </w:rPr>
        <w:t>的，甲方有权</w:t>
      </w:r>
      <w:r>
        <w:rPr>
          <w:rFonts w:hint="eastAsia" w:ascii="宋体" w:hAnsi="宋体" w:eastAsia="宋体" w:cs="宋体"/>
          <w:color w:val="auto"/>
          <w:sz w:val="21"/>
          <w:szCs w:val="21"/>
          <w:highlight w:val="none"/>
          <w:lang w:val="en-US" w:eastAsia="zh-CN"/>
        </w:rPr>
        <w:t>解除合同，并扣减对应项目付款费用10%</w:t>
      </w:r>
      <w:r>
        <w:rPr>
          <w:rFonts w:hint="eastAsia" w:ascii="宋体" w:hAnsi="宋体" w:cs="宋体"/>
          <w:color w:val="auto"/>
          <w:sz w:val="21"/>
          <w:szCs w:val="21"/>
          <w:highlight w:val="none"/>
          <w:lang w:val="en-US" w:eastAsia="zh-CN"/>
        </w:rPr>
        <w:t>。</w:t>
      </w:r>
    </w:p>
    <w:p w14:paraId="17750C47">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8.2</w:t>
      </w:r>
      <w:r>
        <w:rPr>
          <w:rFonts w:hint="eastAsia" w:ascii="宋体" w:hAnsi="宋体" w:eastAsia="宋体" w:cs="宋体"/>
          <w:color w:val="auto"/>
          <w:sz w:val="21"/>
          <w:szCs w:val="21"/>
          <w:highlight w:val="none"/>
        </w:rPr>
        <w:t>乙方权利义务：</w:t>
      </w:r>
    </w:p>
    <w:p w14:paraId="41043282">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乙方须列明工作清单任务分配，以及其人员联系方式。</w:t>
      </w:r>
    </w:p>
    <w:p w14:paraId="6F415F75">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乙方遵守甲方建立考核机制，参与</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考核。</w:t>
      </w:r>
    </w:p>
    <w:p w14:paraId="015210CA">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000000"/>
          <w:kern w:val="0"/>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000000"/>
          <w:kern w:val="0"/>
          <w:sz w:val="21"/>
          <w:szCs w:val="21"/>
          <w:highlight w:val="none"/>
        </w:rPr>
        <w:t xml:space="preserve"> 乙方应按照承诺的时间提供服务，并交付甲方验收使用。</w:t>
      </w:r>
      <w:r>
        <w:rPr>
          <w:rFonts w:hint="eastAsia" w:ascii="宋体" w:hAnsi="宋体" w:eastAsia="宋体" w:cs="宋体"/>
          <w:color w:val="auto"/>
          <w:sz w:val="21"/>
          <w:szCs w:val="21"/>
          <w:highlight w:val="none"/>
        </w:rPr>
        <w:t>由于乙方原因（除不可抗力外)不能按期交付合同标的，乙方应</w:t>
      </w:r>
      <w:r>
        <w:rPr>
          <w:rFonts w:hint="eastAsia" w:ascii="宋体" w:hAnsi="宋体" w:eastAsia="宋体" w:cs="宋体"/>
          <w:color w:val="auto"/>
          <w:sz w:val="21"/>
          <w:szCs w:val="21"/>
          <w:highlight w:val="none"/>
          <w:lang w:val="en-US" w:eastAsia="zh-CN"/>
        </w:rPr>
        <w:t>自超期之日起</w:t>
      </w:r>
      <w:r>
        <w:rPr>
          <w:rFonts w:hint="eastAsia" w:ascii="宋体" w:hAnsi="宋体" w:eastAsia="宋体" w:cs="宋体"/>
          <w:color w:val="auto"/>
          <w:sz w:val="21"/>
          <w:szCs w:val="21"/>
          <w:highlight w:val="none"/>
        </w:rPr>
        <w:t>按</w:t>
      </w:r>
      <w:r>
        <w:rPr>
          <w:rFonts w:hint="eastAsia" w:ascii="宋体" w:hAnsi="宋体" w:eastAsia="宋体" w:cs="宋体"/>
          <w:color w:val="auto"/>
          <w:sz w:val="21"/>
          <w:szCs w:val="21"/>
          <w:highlight w:val="none"/>
          <w:lang w:val="en-US" w:eastAsia="zh-CN"/>
        </w:rPr>
        <w:t>本次采购金额</w:t>
      </w:r>
      <w:r>
        <w:rPr>
          <w:rFonts w:hint="eastAsia" w:ascii="宋体" w:hAnsi="宋体" w:eastAsia="宋体" w:cs="宋体"/>
          <w:color w:val="auto"/>
          <w:sz w:val="21"/>
          <w:szCs w:val="21"/>
          <w:highlight w:val="none"/>
        </w:rPr>
        <w:t>的千分之三</w:t>
      </w:r>
      <w:r>
        <w:rPr>
          <w:rFonts w:hint="eastAsia" w:ascii="宋体" w:hAnsi="宋体" w:eastAsia="宋体" w:cs="宋体"/>
          <w:color w:val="auto"/>
          <w:sz w:val="21"/>
          <w:szCs w:val="21"/>
          <w:highlight w:val="none"/>
          <w:lang w:val="en-US" w:eastAsia="zh-CN"/>
        </w:rPr>
        <w:t>/日</w:t>
      </w:r>
      <w:r>
        <w:rPr>
          <w:rFonts w:hint="eastAsia" w:ascii="宋体" w:hAnsi="宋体" w:eastAsia="宋体" w:cs="宋体"/>
          <w:color w:val="auto"/>
          <w:sz w:val="21"/>
          <w:szCs w:val="21"/>
          <w:highlight w:val="none"/>
        </w:rPr>
        <w:t>承担违约金，</w:t>
      </w:r>
      <w:r>
        <w:rPr>
          <w:rFonts w:hint="eastAsia" w:ascii="宋体" w:hAnsi="宋体" w:eastAsia="宋体" w:cs="宋体"/>
          <w:color w:val="auto"/>
          <w:sz w:val="21"/>
          <w:szCs w:val="21"/>
          <w:highlight w:val="none"/>
          <w:lang w:val="en-US" w:eastAsia="zh-CN"/>
        </w:rPr>
        <w:t>违约金将</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本次采购费用</w:t>
      </w:r>
      <w:r>
        <w:rPr>
          <w:rFonts w:hint="eastAsia" w:ascii="宋体" w:hAnsi="宋体" w:eastAsia="宋体" w:cs="宋体"/>
          <w:color w:val="auto"/>
          <w:sz w:val="21"/>
          <w:szCs w:val="21"/>
          <w:highlight w:val="none"/>
        </w:rPr>
        <w:t>支付时一次性扣除。若超出交付期十天（含十天）以上的，甲方有权终止合同并有权要求乙方承担</w:t>
      </w:r>
      <w:r>
        <w:rPr>
          <w:rFonts w:hint="eastAsia" w:ascii="宋体" w:hAnsi="宋体" w:eastAsia="宋体" w:cs="宋体"/>
          <w:color w:val="auto"/>
          <w:sz w:val="21"/>
          <w:szCs w:val="21"/>
          <w:highlight w:val="none"/>
          <w:lang w:val="en-US" w:eastAsia="zh-CN"/>
        </w:rPr>
        <w:t>本次采购金额</w:t>
      </w:r>
      <w:r>
        <w:rPr>
          <w:rFonts w:hint="eastAsia" w:ascii="宋体" w:hAnsi="宋体" w:eastAsia="宋体" w:cs="宋体"/>
          <w:color w:val="auto"/>
          <w:sz w:val="21"/>
          <w:szCs w:val="21"/>
          <w:highlight w:val="none"/>
        </w:rPr>
        <w:t>20%的违约金，在</w:t>
      </w:r>
      <w:r>
        <w:rPr>
          <w:rFonts w:hint="eastAsia" w:ascii="宋体" w:hAnsi="宋体" w:eastAsia="宋体" w:cs="宋体"/>
          <w:color w:val="auto"/>
          <w:sz w:val="21"/>
          <w:szCs w:val="21"/>
          <w:highlight w:val="none"/>
          <w:lang w:val="en-US" w:eastAsia="zh-CN"/>
        </w:rPr>
        <w:t>本次采购费用</w:t>
      </w:r>
      <w:r>
        <w:rPr>
          <w:rFonts w:hint="eastAsia" w:ascii="宋体" w:hAnsi="宋体" w:eastAsia="宋体" w:cs="宋体"/>
          <w:color w:val="auto"/>
          <w:sz w:val="21"/>
          <w:szCs w:val="21"/>
          <w:highlight w:val="none"/>
        </w:rPr>
        <w:t>支付时一次性扣除。</w:t>
      </w:r>
    </w:p>
    <w:p w14:paraId="2DBCB73A">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在履行合同过程中，如果乙方遇到不能按时提供服务的情况，应及时以书面形式将不能按时提供服务的理由、可能延误的时间同时通知甲方。甲方在收到乙方通知后，应对情况进行分析，决定是否修改合同、酌情延长服务时间或终止合同；同时保留要求乙方承担甲方因延迟交付产生的所有损失的权利。</w:t>
      </w:r>
    </w:p>
    <w:p w14:paraId="0113BE3E">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（5）由于乙方原因导致甲方受到损失的，责任由乙方承担，并依法追究其经济责任和法律责任。</w:t>
      </w:r>
    </w:p>
    <w:p w14:paraId="386B0BD6">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（6）乙方须保护甲方产品知识产权，甲方提供所有的设计交底文件、实物样品、企业名称和标识等版权均属于甲方，不得在未经甲方同意情况下使用或外泄相关资料，如若发生甲方将追诉乙方责任。</w:t>
      </w:r>
    </w:p>
    <w:p w14:paraId="433E4D96">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乙方打样的样品，必须符合甲方要求，如在规定时间内打样2次仍未能通过甲方审核，甲方有权终止合同；乙方制作的产品，必须符合甲方要求，如未能通过甲方审核，需重新制作，相关费用由乙方自行承担。如重新制作产品导致项目延期，由此造成的损失一并由乙方承担。</w:t>
      </w:r>
    </w:p>
    <w:p w14:paraId="14E353F5">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乙方设计的产品、提供的样品、上架图片等均须为原创内容，图文、画面、内容等均须合规合法，表述准确，不产生歧义，设计符合大众审美，不存在侵权行为。若因表述错误、侵权等引发消费者重大投诉及舆情，按该单个订单应付款项的30%扣除违约金，如违约金不足以弥补对甲方产生的负面影响，甲方有权进一步追偿。</w:t>
      </w:r>
    </w:p>
    <w:p w14:paraId="6F30412C">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（9）若乙方在项目执行过程中出现以下情形之一，甲方有权单方面解除合同，终止本合同，乙方应承担合同约定的违约责任：</w:t>
      </w:r>
    </w:p>
    <w:p w14:paraId="4C21FF3A">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1）经确认无法按合同要求履行项目的；</w:t>
      </w:r>
    </w:p>
    <w:p w14:paraId="1B6A36AC">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2）在规定时间内设计方案未能通过资源公司审核；</w:t>
      </w:r>
    </w:p>
    <w:p w14:paraId="4BAA7A44">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3）在规定时间内打样2次仍未能通过资源公司审核的；</w:t>
      </w:r>
    </w:p>
    <w:p w14:paraId="549AF5EF">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4）中选供应商出现不响应我司要求1次；</w:t>
      </w:r>
    </w:p>
    <w:p w14:paraId="502ADF16">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5）中选供应商制作产品质量不合格或制作周期超出应交货时间范围；</w:t>
      </w:r>
    </w:p>
    <w:p w14:paraId="21C9F0CB">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6）其他违反双方签订的合同规定的行为。</w:t>
      </w:r>
    </w:p>
    <w:p w14:paraId="6AA0D638">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第九条：验收</w:t>
      </w:r>
      <w:bookmarkEnd w:id="609"/>
      <w:bookmarkEnd w:id="610"/>
      <w:bookmarkEnd w:id="611"/>
    </w:p>
    <w:p w14:paraId="224B0F3A">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9.1样品制作：乙方按照甲方要求制作样品。</w:t>
      </w:r>
    </w:p>
    <w:p w14:paraId="29172F8B">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9.1.1样品检验：样品经甲方检验认可后方可进行产品批量制作；</w:t>
      </w:r>
    </w:p>
    <w:p w14:paraId="6E182953">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9.1.2样品修改：乙方应按照甲方要求对样品进行修改至甲方认可；</w:t>
      </w:r>
    </w:p>
    <w:p w14:paraId="29ADCDB1">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9.1.3</w:t>
      </w:r>
      <w:r>
        <w:rPr>
          <w:rFonts w:hint="eastAsia" w:ascii="宋体" w:hAnsi="宋体" w:eastAsia="宋体" w:cs="宋体"/>
          <w:color w:val="auto"/>
          <w:sz w:val="21"/>
          <w:szCs w:val="21"/>
          <w:highlight w:val="none"/>
        </w:rPr>
        <w:t>如</w:t>
      </w:r>
      <w:r>
        <w:rPr>
          <w:rFonts w:hint="eastAsia" w:ascii="宋体" w:hAnsi="宋体" w:eastAsia="宋体" w:cs="宋体"/>
          <w:color w:val="auto"/>
          <w:sz w:val="21"/>
          <w:szCs w:val="21"/>
          <w:highlight w:val="none"/>
          <w:lang w:eastAsia="zh-CN"/>
        </w:rPr>
        <w:t>在规定时间内打样</w:t>
      </w:r>
      <w:r>
        <w:rPr>
          <w:rFonts w:hint="eastAsia" w:ascii="宋体" w:hAnsi="宋体" w:eastAsia="宋体" w:cs="宋体"/>
          <w:color w:val="auto"/>
          <w:sz w:val="21"/>
          <w:szCs w:val="21"/>
          <w:highlight w:val="none"/>
          <w:lang w:val="en-US" w:eastAsia="zh-CN"/>
        </w:rPr>
        <w:t>2次仍</w:t>
      </w:r>
      <w:r>
        <w:rPr>
          <w:rFonts w:hint="eastAsia" w:ascii="宋体" w:hAnsi="宋体" w:eastAsia="宋体" w:cs="宋体"/>
          <w:color w:val="auto"/>
          <w:sz w:val="21"/>
          <w:szCs w:val="21"/>
          <w:highlight w:val="none"/>
        </w:rPr>
        <w:t>未能通过甲方审核，</w:t>
      </w:r>
      <w:r>
        <w:rPr>
          <w:rFonts w:hint="eastAsia" w:ascii="宋体" w:hAnsi="宋体" w:eastAsia="宋体" w:cs="宋体"/>
          <w:color w:val="auto"/>
          <w:sz w:val="21"/>
          <w:szCs w:val="21"/>
          <w:highlight w:val="none"/>
          <w:lang w:eastAsia="zh-CN"/>
        </w:rPr>
        <w:t>甲方有权终止合同</w:t>
      </w:r>
      <w:r>
        <w:rPr>
          <w:rFonts w:hint="eastAsia" w:ascii="宋体" w:hAnsi="宋体" w:eastAsia="宋体" w:cs="宋体"/>
          <w:color w:val="auto"/>
          <w:sz w:val="21"/>
          <w:szCs w:val="21"/>
          <w:highlight w:val="none"/>
          <w:lang w:val="en-US" w:eastAsia="zh-CN"/>
        </w:rPr>
        <w:t>。</w:t>
      </w:r>
    </w:p>
    <w:p w14:paraId="747A1E63">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9.2产品制作：产品交付至甲方指定地点后，由甲方组织验收，必要时邀请第三方参加。</w:t>
      </w:r>
    </w:p>
    <w:p w14:paraId="07E5DE49">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9.2.1验收标准：中华人民共和国相关标准及相应的技术规范。</w:t>
      </w:r>
    </w:p>
    <w:p w14:paraId="14C915FE">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9.2.2产品须与甲方认可样品保持一致。</w:t>
      </w:r>
    </w:p>
    <w:p w14:paraId="36CFF5AD">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9.2.3验收费用由乙方承担；</w:t>
      </w:r>
    </w:p>
    <w:p w14:paraId="67953099">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9.2.4验收合格产品数量作为结算依据。</w:t>
      </w:r>
    </w:p>
    <w:p w14:paraId="33162A51">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bookmarkStart w:id="612" w:name="_Toc15990"/>
      <w:bookmarkStart w:id="613" w:name="_Toc2054"/>
      <w:bookmarkStart w:id="614" w:name="_Toc7716"/>
      <w:r>
        <w:rPr>
          <w:rFonts w:hint="eastAsia" w:ascii="宋体" w:hAnsi="宋体" w:eastAsia="宋体" w:cs="宋体"/>
          <w:color w:val="auto"/>
          <w:sz w:val="21"/>
          <w:szCs w:val="21"/>
          <w:highlight w:val="none"/>
          <w:lang w:val="en-US" w:eastAsia="zh-CN"/>
        </w:rPr>
        <w:t>对于验收不合格的产品，乙方应于甲方发出取回通知后3个工作日内自行运回并承担全部相关费用；逾期未取回的，甲方有权自行处置该部分产品且无需向乙方支付任何费用，因此产生的全部相关费用均由乙方承担。</w:t>
      </w:r>
    </w:p>
    <w:p w14:paraId="3CFA2782">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第十条：合同价款支付</w:t>
      </w:r>
      <w:bookmarkEnd w:id="612"/>
      <w:bookmarkEnd w:id="613"/>
      <w:bookmarkEnd w:id="614"/>
    </w:p>
    <w:p w14:paraId="346615DB">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合同签订后产品的深化设计方案、生产图纸及所有</w:t>
      </w:r>
      <w:r>
        <w:rPr>
          <w:rFonts w:hint="eastAsia" w:ascii="宋体" w:hAnsi="宋体" w:eastAsia="宋体" w:cs="宋体"/>
          <w:color w:val="auto"/>
          <w:sz w:val="21"/>
          <w:szCs w:val="21"/>
          <w:highlight w:val="none"/>
          <w:lang w:val="en-US" w:eastAsia="zh-CN"/>
        </w:rPr>
        <w:t>样品</w:t>
      </w:r>
      <w:r>
        <w:rPr>
          <w:rFonts w:hint="eastAsia" w:ascii="宋体" w:hAnsi="宋体" w:eastAsia="宋体" w:cs="宋体"/>
          <w:color w:val="auto"/>
          <w:sz w:val="21"/>
          <w:szCs w:val="21"/>
          <w:highlight w:val="none"/>
          <w:lang w:eastAsia="zh-CN"/>
        </w:rPr>
        <w:t>经</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lang w:eastAsia="zh-CN"/>
        </w:rPr>
        <w:t>认可后，乙方按甲方发出的单笔订单排产供货，甲方按单笔订单支付合同价款，具体如下：</w:t>
      </w:r>
    </w:p>
    <w:p w14:paraId="2E6D3BF9">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10.1单个订单制作完成并验收合格后，选定的乙方向甲方提供详细的费用结算单，待甲方审核通过后三个月内一次性付清相关费用。单个订单结算金额=费用明细中的单价*实际验收合格数量/（1+甲方增值税税率）*（1+乙方增值税税率）-考核扣款及违约金。</w:t>
      </w:r>
    </w:p>
    <w:p w14:paraId="5238E69A">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bookmarkStart w:id="615" w:name="_Toc14371"/>
      <w:bookmarkStart w:id="616" w:name="_Toc12748"/>
      <w:bookmarkStart w:id="617" w:name="_Toc14997"/>
      <w:r>
        <w:rPr>
          <w:rFonts w:hint="eastAsia" w:ascii="宋体" w:hAnsi="宋体" w:eastAsia="宋体" w:cs="宋体"/>
          <w:color w:val="auto"/>
          <w:sz w:val="21"/>
          <w:szCs w:val="21"/>
          <w:highlight w:val="none"/>
          <w:lang w:val="en-US" w:eastAsia="zh-CN"/>
        </w:rPr>
        <w:t>10.2以上款项需乙方出具合法有效的增值税专用发票</w:t>
      </w:r>
      <w:r>
        <w:rPr>
          <w:rFonts w:hint="eastAsia" w:ascii="宋体" w:hAnsi="宋体" w:cs="宋体"/>
          <w:color w:val="auto"/>
          <w:sz w:val="21"/>
          <w:szCs w:val="21"/>
          <w:highlight w:val="none"/>
          <w:lang w:val="en-US" w:eastAsia="zh-CN"/>
        </w:rPr>
        <w:t>，因乙方未及时开具发票或开具的发票不符合要求的，甲方有权顺延支付相关费用，并不承担违约责任，由此造成的损失由乙方自行承担</w:t>
      </w:r>
      <w:r>
        <w:rPr>
          <w:rFonts w:hint="eastAsia" w:ascii="宋体" w:hAnsi="宋体" w:eastAsia="宋体" w:cs="宋体"/>
          <w:color w:val="auto"/>
          <w:sz w:val="21"/>
          <w:szCs w:val="21"/>
          <w:highlight w:val="none"/>
          <w:lang w:eastAsia="zh-CN"/>
        </w:rPr>
        <w:t>。</w:t>
      </w:r>
    </w:p>
    <w:bookmarkEnd w:id="615"/>
    <w:bookmarkEnd w:id="616"/>
    <w:bookmarkEnd w:id="617"/>
    <w:p w14:paraId="492093D4">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val="en-US" w:eastAsia="zh-CN"/>
        </w:rPr>
      </w:pPr>
      <w:bookmarkStart w:id="618" w:name="_Toc16735"/>
      <w:bookmarkStart w:id="619" w:name="_Toc6731"/>
      <w:bookmarkStart w:id="620" w:name="_Toc2216"/>
      <w:r>
        <w:rPr>
          <w:rFonts w:hint="eastAsia" w:ascii="宋体" w:hAnsi="宋体" w:eastAsia="宋体" w:cs="宋体"/>
          <w:b/>
          <w:bCs/>
          <w:color w:val="auto"/>
          <w:sz w:val="21"/>
          <w:szCs w:val="21"/>
          <w:highlight w:val="none"/>
          <w:lang w:val="en-US" w:eastAsia="zh-CN"/>
        </w:rPr>
        <w:t>第十一条：售后服务</w:t>
      </w:r>
    </w:p>
    <w:p w14:paraId="3C3142A4">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7" w:firstLineChars="175"/>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11.1质保：质保期1年（质保期从合同标的验收合格当天起算）。货物在质保期内如出现产品质量问题，乙方须3天内</w:t>
      </w:r>
      <w:r>
        <w:rPr>
          <w:rFonts w:hint="eastAsia" w:ascii="宋体" w:hAnsi="宋体" w:cs="宋体"/>
          <w:color w:val="auto"/>
          <w:sz w:val="21"/>
          <w:szCs w:val="21"/>
          <w:highlight w:val="none"/>
          <w:lang w:val="en-US" w:eastAsia="zh-CN"/>
        </w:rPr>
        <w:t>无偿</w:t>
      </w:r>
      <w:r>
        <w:rPr>
          <w:rFonts w:hint="eastAsia" w:ascii="宋体" w:hAnsi="宋体" w:eastAsia="宋体" w:cs="宋体"/>
          <w:color w:val="auto"/>
          <w:sz w:val="21"/>
          <w:szCs w:val="21"/>
          <w:highlight w:val="none"/>
          <w:lang w:val="en-US" w:eastAsia="zh-CN"/>
        </w:rPr>
        <w:t xml:space="preserve">换货处理。 </w:t>
      </w:r>
    </w:p>
    <w:p w14:paraId="5A2E2E94">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11.2乙方须设立24小时热线服务电话，受理甲方产品质量问题。乙方在收到甲方产品质量问题申告后，必须按要求及时解决。处理完毕后，乙方应在3天内向</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提交书面的处理报告。</w:t>
      </w:r>
      <w:r>
        <w:rPr>
          <w:rFonts w:hint="eastAsia" w:ascii="宋体" w:hAnsi="宋体" w:eastAsia="宋体" w:cs="宋体"/>
          <w:color w:val="auto"/>
          <w:sz w:val="21"/>
          <w:szCs w:val="21"/>
          <w:highlight w:val="none"/>
          <w:lang w:eastAsia="zh-CN"/>
        </w:rPr>
        <w:t xml:space="preserve">                                                                                                     </w:t>
      </w:r>
    </w:p>
    <w:p w14:paraId="6C98F9ED">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val="en-US" w:eastAsia="zh-CN"/>
        </w:rPr>
      </w:pPr>
      <w:bookmarkStart w:id="621" w:name="_Toc23117"/>
      <w:bookmarkStart w:id="622" w:name="_Toc19921"/>
      <w:r>
        <w:rPr>
          <w:rFonts w:hint="eastAsia" w:ascii="宋体" w:hAnsi="宋体" w:eastAsia="宋体" w:cs="宋体"/>
          <w:b/>
          <w:bCs/>
          <w:color w:val="auto"/>
          <w:sz w:val="21"/>
          <w:szCs w:val="21"/>
          <w:highlight w:val="none"/>
          <w:lang w:val="en-US" w:eastAsia="zh-CN"/>
        </w:rPr>
        <w:t>第十二条：乙方承担完成本采购项目的一切费用(包括不可预见费用)和市场风险。</w:t>
      </w:r>
      <w:bookmarkEnd w:id="621"/>
      <w:bookmarkEnd w:id="622"/>
    </w:p>
    <w:p w14:paraId="0F5A20CB">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val="en-US" w:eastAsia="zh-CN"/>
        </w:rPr>
      </w:pPr>
      <w:bookmarkStart w:id="623" w:name="_Toc9638"/>
      <w:bookmarkStart w:id="624" w:name="_Toc8879"/>
      <w:r>
        <w:rPr>
          <w:rFonts w:hint="eastAsia" w:ascii="宋体" w:hAnsi="宋体" w:eastAsia="宋体" w:cs="宋体"/>
          <w:b/>
          <w:bCs/>
          <w:color w:val="auto"/>
          <w:sz w:val="21"/>
          <w:szCs w:val="21"/>
          <w:highlight w:val="none"/>
          <w:lang w:val="en-US" w:eastAsia="zh-CN"/>
        </w:rPr>
        <w:t>第十三条：其他约定：</w:t>
      </w:r>
      <w:bookmarkEnd w:id="623"/>
      <w:bookmarkEnd w:id="624"/>
      <w:r>
        <w:rPr>
          <w:rFonts w:hint="eastAsia" w:ascii="宋体" w:hAnsi="宋体" w:eastAsia="宋体" w:cs="宋体"/>
          <w:b/>
          <w:bCs/>
          <w:color w:val="auto"/>
          <w:sz w:val="21"/>
          <w:szCs w:val="21"/>
          <w:highlight w:val="none"/>
          <w:lang w:val="en-US" w:eastAsia="zh-CN"/>
        </w:rPr>
        <w:t xml:space="preserve">              </w:t>
      </w:r>
    </w:p>
    <w:p w14:paraId="4252D1C9">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val="en-US" w:eastAsia="zh-CN"/>
        </w:rPr>
      </w:pPr>
      <w:bookmarkStart w:id="625" w:name="_Toc26505"/>
      <w:bookmarkStart w:id="626" w:name="_Toc29373"/>
      <w:r>
        <w:rPr>
          <w:rFonts w:hint="eastAsia" w:ascii="宋体" w:hAnsi="宋体" w:eastAsia="宋体" w:cs="宋体"/>
          <w:b/>
          <w:bCs/>
          <w:color w:val="auto"/>
          <w:sz w:val="21"/>
          <w:szCs w:val="21"/>
          <w:highlight w:val="none"/>
          <w:lang w:val="en-US" w:eastAsia="zh-CN"/>
        </w:rPr>
        <w:t>第十四条：知识产权与保密</w:t>
      </w:r>
      <w:bookmarkEnd w:id="625"/>
      <w:bookmarkEnd w:id="626"/>
    </w:p>
    <w:p w14:paraId="752ABEC7">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14.1</w:t>
      </w:r>
      <w:r>
        <w:rPr>
          <w:rFonts w:hint="eastAsia" w:ascii="宋体" w:hAnsi="宋体" w:eastAsia="宋体" w:cs="宋体"/>
          <w:color w:val="auto"/>
          <w:sz w:val="21"/>
          <w:szCs w:val="21"/>
          <w:highlight w:val="none"/>
          <w:lang w:eastAsia="zh-CN"/>
        </w:rPr>
        <w:t>本合同完成之方案、图纸等成果，其所有权及版权归甲方；但乙方有权经甲方同意，用所创作之作品参与公益、专业、行业或媒介所组织的竞赛评比活动，但</w:t>
      </w:r>
      <w:r>
        <w:rPr>
          <w:rFonts w:hint="eastAsia" w:ascii="宋体" w:hAnsi="宋体" w:eastAsia="宋体" w:cs="宋体"/>
          <w:color w:val="auto"/>
          <w:sz w:val="21"/>
          <w:szCs w:val="21"/>
          <w:highlight w:val="none"/>
          <w:lang w:val="en-US" w:eastAsia="zh-CN"/>
        </w:rPr>
        <w:t>不得在任何场合明示或暗示甲方为其背书</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 xml:space="preserve">不得用于除此之外的其他商业赢利事项。 </w:t>
      </w:r>
    </w:p>
    <w:p w14:paraId="61E30FAE">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14.2</w:t>
      </w:r>
      <w:r>
        <w:rPr>
          <w:rFonts w:hint="eastAsia" w:ascii="宋体" w:hAnsi="宋体" w:eastAsia="宋体" w:cs="宋体"/>
          <w:color w:val="auto"/>
          <w:sz w:val="21"/>
          <w:szCs w:val="21"/>
          <w:highlight w:val="none"/>
          <w:lang w:eastAsia="zh-CN"/>
        </w:rPr>
        <w:t>未经甲方书面同意，不得向他人转让、泄露、扩散该项目的资料、图纸、文件及相关经济指标。乙方应严格对各个环节保密，不得在事前向第三方透露，否则将赔偿甲方因此造成的一切损失。</w:t>
      </w:r>
      <w:r>
        <w:rPr>
          <w:rFonts w:hint="eastAsia" w:ascii="宋体" w:hAnsi="宋体" w:cs="宋体"/>
          <w:color w:val="auto"/>
          <w:sz w:val="21"/>
          <w:szCs w:val="21"/>
          <w:highlight w:val="none"/>
          <w:lang w:val="en-US" w:eastAsia="zh-CN"/>
        </w:rPr>
        <w:t>保密义务长期有效，不因本合同的终止而免除或失效。</w:t>
      </w:r>
    </w:p>
    <w:p w14:paraId="4BDED9A6">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p>
    <w:p w14:paraId="70634B1F">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14.3</w:t>
      </w:r>
      <w:r>
        <w:rPr>
          <w:rFonts w:hint="eastAsia" w:ascii="宋体" w:hAnsi="宋体" w:eastAsia="宋体" w:cs="宋体"/>
          <w:color w:val="auto"/>
          <w:sz w:val="21"/>
          <w:szCs w:val="21"/>
          <w:highlight w:val="none"/>
          <w:lang w:eastAsia="zh-CN"/>
        </w:rPr>
        <w:t>乙方不得抄袭、使用他人设计成果，乙方设计成果不得侵犯他人权利。乙方保证甲方免于受到任何知识产权侵权的主张、索赔或诉讼的伤害。如果甲方收到任何第三方有关知识产权的主张、索赔或诉讼，乙方在收到甲方通知后，应以甲方名义处理与第三方的索赔或诉讼，并承担因此产生的费用以及给甲方造成的损失。</w:t>
      </w:r>
      <w:r>
        <w:rPr>
          <w:rFonts w:hint="eastAsia" w:ascii="宋体" w:hAnsi="宋体" w:eastAsia="宋体" w:cs="宋体"/>
          <w:color w:val="auto"/>
          <w:sz w:val="21"/>
          <w:szCs w:val="21"/>
          <w:highlight w:val="none"/>
          <w:lang w:eastAsia="zh-CN"/>
        </w:rPr>
        <w:tab/>
      </w:r>
      <w:r>
        <w:rPr>
          <w:rFonts w:hint="eastAsia" w:ascii="宋体" w:hAnsi="宋体" w:eastAsia="宋体" w:cs="宋体"/>
          <w:color w:val="auto"/>
          <w:sz w:val="21"/>
          <w:szCs w:val="21"/>
          <w:highlight w:val="none"/>
          <w:lang w:eastAsia="zh-CN"/>
        </w:rPr>
        <w:tab/>
      </w:r>
      <w:r>
        <w:rPr>
          <w:rFonts w:hint="eastAsia" w:ascii="宋体" w:hAnsi="宋体" w:eastAsia="宋体" w:cs="宋体"/>
          <w:color w:val="auto"/>
          <w:sz w:val="21"/>
          <w:szCs w:val="21"/>
          <w:highlight w:val="none"/>
          <w:lang w:eastAsia="zh-CN"/>
        </w:rPr>
        <w:t xml:space="preserve">                                                                                                 </w:t>
      </w:r>
    </w:p>
    <w:p w14:paraId="637F6D0F">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val="en-US" w:eastAsia="zh-CN"/>
        </w:rPr>
      </w:pPr>
      <w:bookmarkStart w:id="627" w:name="_Toc21482"/>
      <w:bookmarkStart w:id="628" w:name="_Toc28711"/>
      <w:bookmarkStart w:id="629" w:name="_Toc4261"/>
      <w:r>
        <w:rPr>
          <w:rFonts w:hint="eastAsia" w:ascii="宋体" w:hAnsi="宋体" w:eastAsia="宋体" w:cs="宋体"/>
          <w:b/>
          <w:bCs/>
          <w:color w:val="auto"/>
          <w:sz w:val="21"/>
          <w:szCs w:val="21"/>
          <w:highlight w:val="none"/>
          <w:lang w:val="en-US" w:eastAsia="zh-CN"/>
        </w:rPr>
        <w:t>第十五条：违约责任</w:t>
      </w:r>
      <w:bookmarkEnd w:id="627"/>
      <w:bookmarkEnd w:id="628"/>
      <w:bookmarkEnd w:id="629"/>
    </w:p>
    <w:p w14:paraId="198902BE">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15.1</w:t>
      </w:r>
      <w:r>
        <w:rPr>
          <w:rFonts w:hint="eastAsia" w:ascii="宋体" w:hAnsi="宋体" w:eastAsia="宋体" w:cs="宋体"/>
          <w:color w:val="auto"/>
          <w:sz w:val="21"/>
          <w:szCs w:val="21"/>
          <w:highlight w:val="none"/>
          <w:lang w:eastAsia="zh-CN"/>
        </w:rPr>
        <w:t>由于乙方原因(除不可抗力外)不能按期交付合同标的，对超出交付期的每一天，乙方应按</w:t>
      </w:r>
      <w:r>
        <w:rPr>
          <w:rFonts w:hint="eastAsia"/>
          <w:lang w:val="en-US" w:eastAsia="zh-CN"/>
        </w:rPr>
        <w:t>当次采购金额</w:t>
      </w:r>
      <w:r>
        <w:rPr>
          <w:rFonts w:hint="eastAsia" w:ascii="宋体" w:hAnsi="宋体" w:eastAsia="宋体" w:cs="宋体"/>
          <w:color w:val="auto"/>
          <w:sz w:val="21"/>
          <w:szCs w:val="21"/>
          <w:highlight w:val="none"/>
          <w:lang w:eastAsia="zh-CN"/>
        </w:rPr>
        <w:t>的千分之三承担违约金，在合同款支付时一次性扣除。若超出交付期十天(含十天)以上的，</w:t>
      </w:r>
      <w:r>
        <w:rPr>
          <w:rFonts w:hint="eastAsia" w:ascii="宋体" w:hAnsi="宋体" w:eastAsia="宋体" w:cs="宋体"/>
          <w:color w:val="auto"/>
          <w:sz w:val="21"/>
          <w:szCs w:val="21"/>
          <w:highlight w:val="none"/>
        </w:rPr>
        <w:t>甲方有权终止合同并有权要求乙方承担</w:t>
      </w:r>
      <w:r>
        <w:rPr>
          <w:rFonts w:hint="eastAsia" w:ascii="宋体" w:hAnsi="宋体" w:eastAsia="宋体" w:cs="宋体"/>
          <w:color w:val="auto"/>
          <w:sz w:val="21"/>
          <w:szCs w:val="21"/>
          <w:highlight w:val="none"/>
          <w:lang w:val="en-US" w:eastAsia="zh-CN"/>
        </w:rPr>
        <w:t>本次采购金额</w:t>
      </w:r>
      <w:r>
        <w:rPr>
          <w:rFonts w:hint="eastAsia" w:ascii="宋体" w:hAnsi="宋体" w:eastAsia="宋体" w:cs="宋体"/>
          <w:color w:val="auto"/>
          <w:sz w:val="21"/>
          <w:szCs w:val="21"/>
          <w:highlight w:val="none"/>
        </w:rPr>
        <w:t>20%的违约金</w:t>
      </w:r>
      <w:r>
        <w:rPr>
          <w:rFonts w:hint="eastAsia" w:ascii="宋体" w:hAnsi="宋体" w:eastAsia="宋体" w:cs="宋体"/>
          <w:color w:val="auto"/>
          <w:sz w:val="21"/>
          <w:szCs w:val="21"/>
          <w:highlight w:val="none"/>
          <w:lang w:eastAsia="zh-CN"/>
        </w:rPr>
        <w:t>。</w:t>
      </w:r>
    </w:p>
    <w:p w14:paraId="1B512E49">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15.2</w:t>
      </w:r>
      <w:r>
        <w:rPr>
          <w:rFonts w:hint="eastAsia" w:ascii="宋体" w:hAnsi="宋体" w:eastAsia="宋体" w:cs="宋体"/>
          <w:color w:val="auto"/>
          <w:sz w:val="21"/>
          <w:szCs w:val="21"/>
          <w:highlight w:val="none"/>
          <w:lang w:eastAsia="zh-CN"/>
        </w:rPr>
        <w:t>由于乙方原因导致甲方有重大损失的，责任由乙方承担，并依法追究其经济责任和法律责任。</w:t>
      </w:r>
    </w:p>
    <w:p w14:paraId="636BE5E8">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val="en-US" w:eastAsia="zh-CN"/>
        </w:rPr>
      </w:pPr>
      <w:bookmarkStart w:id="630" w:name="_Toc24364"/>
      <w:bookmarkStart w:id="631" w:name="_Toc25228"/>
      <w:bookmarkStart w:id="632" w:name="_Toc29949"/>
      <w:r>
        <w:rPr>
          <w:rFonts w:hint="eastAsia" w:ascii="宋体" w:hAnsi="宋体" w:eastAsia="宋体" w:cs="宋体"/>
          <w:b/>
          <w:bCs/>
          <w:color w:val="auto"/>
          <w:sz w:val="21"/>
          <w:szCs w:val="21"/>
          <w:highlight w:val="none"/>
          <w:lang w:val="en-US" w:eastAsia="zh-CN"/>
        </w:rPr>
        <w:t>第十六条：争议的解决</w:t>
      </w:r>
      <w:bookmarkEnd w:id="630"/>
      <w:bookmarkEnd w:id="631"/>
      <w:bookmarkEnd w:id="632"/>
    </w:p>
    <w:p w14:paraId="5C02B491">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16.1</w:t>
      </w:r>
      <w:r>
        <w:rPr>
          <w:rFonts w:hint="eastAsia" w:ascii="宋体" w:hAnsi="宋体" w:eastAsia="宋体" w:cs="宋体"/>
          <w:color w:val="auto"/>
          <w:sz w:val="21"/>
          <w:szCs w:val="21"/>
          <w:highlight w:val="none"/>
          <w:lang w:eastAsia="zh-CN"/>
        </w:rPr>
        <w:t>因质量问题发生争议的，由甲方委托有关技术部门进行质量鉴定，该鉴定的结论甲乙双方应当接受，各方均有权直接向对方索赔，并签订书面处理协议书，报相关部门备案。如经鉴定，该质量问题是由乙方原因导致的，则鉴定费用由乙方承担。</w:t>
      </w:r>
    </w:p>
    <w:p w14:paraId="4FFF12FC">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16.2</w:t>
      </w:r>
      <w:r>
        <w:rPr>
          <w:rFonts w:hint="eastAsia" w:ascii="宋体" w:hAnsi="宋体" w:eastAsia="宋体" w:cs="宋体"/>
          <w:color w:val="auto"/>
          <w:sz w:val="21"/>
          <w:szCs w:val="21"/>
          <w:highlight w:val="none"/>
          <w:lang w:eastAsia="zh-CN"/>
        </w:rPr>
        <w:t>双方无法通过协商解决合同争议的，提交南通仲裁委员会仲裁</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由此产生的仲裁费、律师费、差旅费等为维护权益支出的费用由违约方承担</w:t>
      </w:r>
      <w:r>
        <w:rPr>
          <w:rFonts w:hint="eastAsia" w:ascii="宋体" w:hAnsi="宋体" w:eastAsia="宋体" w:cs="宋体"/>
          <w:color w:val="auto"/>
          <w:sz w:val="21"/>
          <w:szCs w:val="21"/>
          <w:highlight w:val="none"/>
          <w:lang w:eastAsia="zh-CN"/>
        </w:rPr>
        <w:t>。</w:t>
      </w:r>
    </w:p>
    <w:p w14:paraId="23A3856F">
      <w:pPr>
        <w:keepNext w:val="0"/>
        <w:keepLines w:val="0"/>
        <w:pageBreakBefore w:val="0"/>
        <w:widowControl w:val="0"/>
        <w:kinsoku/>
        <w:wordWrap/>
        <w:overflowPunct/>
        <w:topLinePunct w:val="0"/>
        <w:autoSpaceDE/>
        <w:autoSpaceDN/>
        <w:bidi w:val="0"/>
        <w:adjustRightInd/>
        <w:snapToGrid/>
        <w:spacing w:line="440" w:lineRule="exact"/>
        <w:ind w:left="0" w:leftChars="0" w:right="-338" w:rightChars="-161" w:firstLine="369" w:firstLineChars="175"/>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第十七条：合同的生效</w:t>
      </w:r>
      <w:bookmarkEnd w:id="618"/>
      <w:bookmarkEnd w:id="619"/>
      <w:bookmarkEnd w:id="620"/>
    </w:p>
    <w:p w14:paraId="34D3DCD4">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17.1</w:t>
      </w:r>
      <w:r>
        <w:rPr>
          <w:rFonts w:hint="eastAsia" w:ascii="宋体" w:hAnsi="宋体" w:eastAsia="宋体" w:cs="宋体"/>
          <w:color w:val="auto"/>
          <w:sz w:val="21"/>
          <w:szCs w:val="21"/>
          <w:highlight w:val="none"/>
          <w:lang w:eastAsia="zh-CN"/>
        </w:rPr>
        <w:t>本合同一式</w:t>
      </w:r>
      <w:r>
        <w:rPr>
          <w:rFonts w:hint="eastAsia" w:ascii="宋体" w:hAnsi="宋体" w:eastAsia="宋体" w:cs="宋体"/>
          <w:color w:val="auto"/>
          <w:sz w:val="21"/>
          <w:szCs w:val="21"/>
          <w:highlight w:val="none"/>
          <w:lang w:val="en-US" w:eastAsia="zh-CN"/>
        </w:rPr>
        <w:t>捌份</w:t>
      </w:r>
      <w:r>
        <w:rPr>
          <w:rFonts w:hint="eastAsia" w:ascii="宋体" w:hAnsi="宋体" w:eastAsia="宋体" w:cs="宋体"/>
          <w:color w:val="auto"/>
          <w:sz w:val="21"/>
          <w:szCs w:val="21"/>
          <w:highlight w:val="none"/>
          <w:lang w:eastAsia="zh-CN"/>
        </w:rPr>
        <w:t>，正本贰份、副本</w:t>
      </w:r>
      <w:r>
        <w:rPr>
          <w:rFonts w:hint="eastAsia" w:ascii="宋体" w:hAnsi="宋体" w:eastAsia="宋体" w:cs="宋体"/>
          <w:color w:val="auto"/>
          <w:sz w:val="21"/>
          <w:szCs w:val="21"/>
          <w:highlight w:val="none"/>
          <w:lang w:val="en-US" w:eastAsia="zh-CN"/>
        </w:rPr>
        <w:t>陆</w:t>
      </w:r>
      <w:r>
        <w:rPr>
          <w:rFonts w:hint="eastAsia" w:ascii="宋体" w:hAnsi="宋体" w:eastAsia="宋体" w:cs="宋体"/>
          <w:color w:val="auto"/>
          <w:sz w:val="21"/>
          <w:szCs w:val="21"/>
          <w:highlight w:val="none"/>
          <w:lang w:eastAsia="zh-CN"/>
        </w:rPr>
        <w:t>份，甲方执正本壹份、副本</w:t>
      </w:r>
      <w:r>
        <w:rPr>
          <w:rFonts w:hint="eastAsia" w:ascii="宋体" w:hAnsi="宋体" w:eastAsia="宋体" w:cs="宋体"/>
          <w:color w:val="auto"/>
          <w:sz w:val="21"/>
          <w:szCs w:val="21"/>
          <w:highlight w:val="none"/>
          <w:lang w:val="en-US" w:eastAsia="zh-CN"/>
        </w:rPr>
        <w:t>叁</w:t>
      </w:r>
      <w:r>
        <w:rPr>
          <w:rFonts w:hint="eastAsia" w:ascii="宋体" w:hAnsi="宋体" w:eastAsia="宋体" w:cs="宋体"/>
          <w:color w:val="auto"/>
          <w:sz w:val="21"/>
          <w:szCs w:val="21"/>
          <w:highlight w:val="none"/>
          <w:lang w:eastAsia="zh-CN"/>
        </w:rPr>
        <w:t>份，乙方执正本壹份、副本叁份。</w:t>
      </w:r>
    </w:p>
    <w:p w14:paraId="5640CA9E">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17.2</w:t>
      </w:r>
      <w:r>
        <w:rPr>
          <w:rFonts w:hint="eastAsia" w:ascii="宋体" w:hAnsi="宋体" w:eastAsia="宋体" w:cs="宋体"/>
          <w:color w:val="auto"/>
          <w:sz w:val="21"/>
          <w:szCs w:val="21"/>
          <w:highlight w:val="none"/>
          <w:lang w:eastAsia="zh-CN"/>
        </w:rPr>
        <w:t>本合同经甲乙双方法定代表人或委托代理人签字并加盖公章后生效。</w:t>
      </w:r>
    </w:p>
    <w:p w14:paraId="2F35EE7A">
      <w:pPr>
        <w:pStyle w:val="5"/>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right="-338" w:rightChars="-161" w:firstLine="367" w:firstLineChars="17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17.3</w:t>
      </w:r>
      <w:r>
        <w:rPr>
          <w:rFonts w:hint="eastAsia" w:ascii="宋体" w:hAnsi="宋体" w:eastAsia="宋体" w:cs="宋体"/>
          <w:color w:val="auto"/>
          <w:sz w:val="21"/>
          <w:szCs w:val="21"/>
          <w:highlight w:val="none"/>
          <w:lang w:eastAsia="zh-CN"/>
        </w:rPr>
        <w:t>本合同未尽事宜，经双方商议可续签补充协议。该补充协议与本合同具有相同法律效力，但该补充协议的内容不能实质性修改</w:t>
      </w:r>
      <w:r>
        <w:rPr>
          <w:rFonts w:hint="eastAsia" w:ascii="宋体" w:hAnsi="宋体" w:eastAsia="宋体" w:cs="宋体"/>
          <w:strike w:val="0"/>
          <w:dstrike w:val="0"/>
          <w:color w:val="auto"/>
          <w:sz w:val="21"/>
          <w:szCs w:val="21"/>
          <w:highlight w:val="none"/>
          <w:lang w:eastAsia="zh-CN"/>
        </w:rPr>
        <w:t>比选文件及合同</w:t>
      </w:r>
      <w:r>
        <w:rPr>
          <w:rFonts w:hint="eastAsia" w:ascii="宋体" w:hAnsi="宋体" w:eastAsia="宋体" w:cs="宋体"/>
          <w:color w:val="auto"/>
          <w:sz w:val="21"/>
          <w:szCs w:val="21"/>
          <w:highlight w:val="none"/>
          <w:lang w:eastAsia="zh-CN"/>
        </w:rPr>
        <w:t>的主要条款。</w:t>
      </w:r>
    </w:p>
    <w:p w14:paraId="7FB8AE35">
      <w:pPr>
        <w:pStyle w:val="5"/>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p>
    <w:p w14:paraId="4AD5E580">
      <w:pPr>
        <w:pStyle w:val="2"/>
        <w:pageBreakBefore w:val="0"/>
        <w:kinsoku/>
        <w:wordWrap/>
        <w:overflowPunct/>
        <w:topLinePunct w:val="0"/>
        <w:autoSpaceDE/>
        <w:autoSpaceDN/>
        <w:bidi w:val="0"/>
        <w:adjustRightInd/>
        <w:snapToGrid/>
        <w:spacing w:before="0" w:after="0" w:line="440" w:lineRule="exact"/>
        <w:jc w:val="both"/>
        <w:rPr>
          <w:rFonts w:hint="eastAsia" w:ascii="宋体" w:hAnsi="宋体" w:eastAsia="宋体" w:cs="宋体"/>
          <w:color w:val="auto"/>
          <w:sz w:val="24"/>
          <w:szCs w:val="24"/>
          <w:highlight w:val="none"/>
          <w:lang w:val="en-US" w:eastAsia="zh-CN"/>
        </w:rPr>
        <w:sectPr>
          <w:pgSz w:w="11906" w:h="16838"/>
          <w:pgMar w:top="1418" w:right="1531" w:bottom="1418" w:left="1474" w:header="851" w:footer="992" w:gutter="0"/>
          <w:pgNumType w:fmt="decimal"/>
          <w:cols w:space="720" w:num="1"/>
          <w:titlePg/>
          <w:docGrid w:type="lines" w:linePitch="312" w:charSpace="0"/>
        </w:sectPr>
      </w:pPr>
      <w:bookmarkStart w:id="633" w:name="_Toc18606"/>
      <w:bookmarkStart w:id="634" w:name="_Toc24977"/>
      <w:bookmarkStart w:id="635" w:name="_Toc9702"/>
      <w:bookmarkStart w:id="636" w:name="_Toc5880"/>
      <w:bookmarkStart w:id="637" w:name="_Toc10191"/>
    </w:p>
    <w:p w14:paraId="2686DD35">
      <w:pPr>
        <w:pStyle w:val="2"/>
        <w:pageBreakBefore w:val="0"/>
        <w:kinsoku/>
        <w:wordWrap/>
        <w:overflowPunct/>
        <w:topLinePunct w:val="0"/>
        <w:autoSpaceDE/>
        <w:autoSpaceDN/>
        <w:bidi w:val="0"/>
        <w:adjustRightInd/>
        <w:snapToGrid/>
        <w:spacing w:before="0" w:after="0" w:line="440" w:lineRule="exact"/>
        <w:jc w:val="both"/>
        <w:rPr>
          <w:rFonts w:hint="eastAsia" w:ascii="宋体" w:hAnsi="宋体" w:eastAsia="宋体" w:cs="宋体"/>
          <w:color w:val="auto"/>
          <w:sz w:val="24"/>
          <w:szCs w:val="24"/>
          <w:highlight w:val="none"/>
          <w:lang w:val="en-US" w:eastAsia="zh-CN"/>
        </w:rPr>
      </w:pPr>
      <w:bookmarkStart w:id="638" w:name="_Toc31124"/>
      <w:r>
        <w:rPr>
          <w:rFonts w:hint="eastAsia" w:ascii="宋体" w:hAnsi="宋体" w:eastAsia="宋体" w:cs="宋体"/>
          <w:color w:val="auto"/>
          <w:sz w:val="24"/>
          <w:szCs w:val="24"/>
          <w:highlight w:val="none"/>
          <w:lang w:val="en-US" w:eastAsia="zh-CN"/>
        </w:rPr>
        <w:t>附件1：</w:t>
      </w:r>
      <w:bookmarkStart w:id="639" w:name="_Toc17910"/>
      <w:bookmarkStart w:id="640" w:name="_Toc69909997"/>
      <w:bookmarkStart w:id="641" w:name="_Toc69891507"/>
      <w:r>
        <w:rPr>
          <w:rFonts w:hint="eastAsia" w:ascii="宋体" w:hAnsi="宋体" w:eastAsia="宋体" w:cs="宋体"/>
          <w:color w:val="auto"/>
          <w:sz w:val="24"/>
          <w:szCs w:val="24"/>
          <w:highlight w:val="none"/>
          <w:lang w:val="en-US" w:eastAsia="zh-CN"/>
        </w:rPr>
        <w:t>廉政合同格式</w:t>
      </w:r>
      <w:bookmarkEnd w:id="633"/>
      <w:bookmarkEnd w:id="634"/>
      <w:bookmarkEnd w:id="635"/>
      <w:bookmarkEnd w:id="636"/>
      <w:bookmarkEnd w:id="637"/>
      <w:bookmarkEnd w:id="638"/>
      <w:bookmarkEnd w:id="639"/>
      <w:bookmarkEnd w:id="640"/>
      <w:bookmarkEnd w:id="641"/>
    </w:p>
    <w:p w14:paraId="31EF5487">
      <w:pPr>
        <w:pageBreakBefore w:val="0"/>
        <w:kinsoku/>
        <w:wordWrap/>
        <w:overflowPunct/>
        <w:topLinePunct w:val="0"/>
        <w:autoSpaceDE/>
        <w:autoSpaceDN/>
        <w:bidi w:val="0"/>
        <w:adjustRightInd/>
        <w:snapToGrid/>
        <w:spacing w:line="440" w:lineRule="exact"/>
        <w:ind w:left="-420" w:leftChars="-200" w:right="-512" w:rightChars="-244" w:firstLine="562" w:firstLine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廉政合同</w:t>
      </w:r>
    </w:p>
    <w:p w14:paraId="0A6414AA">
      <w:pPr>
        <w:pageBreakBefore w:val="0"/>
        <w:kinsoku/>
        <w:wordWrap/>
        <w:overflowPunct/>
        <w:topLinePunct w:val="0"/>
        <w:autoSpaceDE/>
        <w:autoSpaceDN/>
        <w:bidi w:val="0"/>
        <w:adjustRightInd/>
        <w:snapToGrid/>
        <w:spacing w:line="440" w:lineRule="exact"/>
        <w:ind w:left="0" w:leftChars="0" w:right="-338" w:rightChars="-161" w:firstLine="420" w:firstLineChars="175"/>
        <w:rPr>
          <w:rFonts w:hint="eastAsia" w:ascii="宋体" w:hAnsi="宋体" w:eastAsia="宋体" w:cs="宋体"/>
          <w:color w:val="auto"/>
          <w:sz w:val="24"/>
          <w:szCs w:val="24"/>
          <w:highlight w:val="none"/>
        </w:rPr>
      </w:pPr>
    </w:p>
    <w:p w14:paraId="4C619450">
      <w:pPr>
        <w:pageBreakBefore w:val="0"/>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根据国家法律、法规以及有关规定，为做好</w:t>
      </w:r>
      <w:r>
        <w:rPr>
          <w:rFonts w:hint="eastAsia" w:ascii="宋体" w:hAnsi="宋体" w:eastAsia="宋体" w:cs="宋体"/>
          <w:sz w:val="21"/>
          <w:szCs w:val="21"/>
          <w:highlight w:val="none"/>
          <w:u w:val="single"/>
          <w:lang w:val="en-US" w:eastAsia="zh-CN"/>
        </w:rPr>
        <w:t>南通轨道资源开发有限公司文创产品生产制作年度供应商库项目（2026—2028年）</w:t>
      </w:r>
      <w:r>
        <w:rPr>
          <w:rFonts w:hint="eastAsia" w:ascii="宋体" w:hAnsi="宋体" w:eastAsia="宋体" w:cs="宋体"/>
          <w:color w:val="auto"/>
          <w:sz w:val="21"/>
          <w:szCs w:val="21"/>
          <w:highlight w:val="none"/>
        </w:rPr>
        <w:t>的法人</w:t>
      </w:r>
      <w:r>
        <w:rPr>
          <w:rFonts w:hint="eastAsia" w:ascii="宋体" w:hAnsi="宋体" w:eastAsia="宋体" w:cs="宋体"/>
          <w:color w:val="auto"/>
          <w:kern w:val="2"/>
          <w:sz w:val="21"/>
          <w:szCs w:val="21"/>
          <w:highlight w:val="none"/>
          <w:u w:val="single"/>
          <w:lang w:val="en-US" w:eastAsia="zh-CN" w:bidi="ar-SA"/>
        </w:rPr>
        <w:t>南通轨道资源开发有限公司</w:t>
      </w:r>
      <w:r>
        <w:rPr>
          <w:rFonts w:hint="eastAsia" w:ascii="宋体" w:hAnsi="宋体" w:eastAsia="宋体" w:cs="宋体"/>
          <w:color w:val="auto"/>
          <w:sz w:val="21"/>
          <w:szCs w:val="21"/>
          <w:highlight w:val="none"/>
        </w:rPr>
        <w:t>(以下称甲方)与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以下称乙方），特订立如下合同。</w:t>
      </w:r>
    </w:p>
    <w:p w14:paraId="7A36DD7A">
      <w:pPr>
        <w:pageBreakBefore w:val="0"/>
        <w:tabs>
          <w:tab w:val="left" w:pos="2115"/>
        </w:tabs>
        <w:kinsoku/>
        <w:wordWrap/>
        <w:overflowPunct/>
        <w:topLinePunct w:val="0"/>
        <w:autoSpaceDE/>
        <w:autoSpaceDN/>
        <w:bidi w:val="0"/>
        <w:adjustRightInd/>
        <w:snapToGrid/>
        <w:spacing w:line="440" w:lineRule="exact"/>
        <w:ind w:left="0" w:leftChars="0" w:right="-338" w:rightChars="-161" w:firstLine="369" w:firstLineChars="175"/>
        <w:rPr>
          <w:rFonts w:hint="eastAsia" w:ascii="宋体" w:hAnsi="宋体" w:eastAsia="宋体" w:cs="宋体"/>
          <w:b/>
          <w:bCs/>
          <w:color w:val="auto"/>
          <w:sz w:val="21"/>
          <w:szCs w:val="21"/>
          <w:highlight w:val="none"/>
        </w:rPr>
      </w:pPr>
      <w:bookmarkStart w:id="642" w:name="_Toc29416"/>
      <w:bookmarkStart w:id="643" w:name="_Toc59900969"/>
      <w:bookmarkStart w:id="644" w:name="_Toc7867"/>
      <w:bookmarkStart w:id="645" w:name="_Toc9109"/>
      <w:bookmarkStart w:id="646" w:name="_Toc59896701"/>
      <w:bookmarkStart w:id="647" w:name="_Toc7074"/>
      <w:r>
        <w:rPr>
          <w:rFonts w:hint="eastAsia" w:ascii="宋体" w:hAnsi="宋体" w:eastAsia="宋体" w:cs="宋体"/>
          <w:b/>
          <w:bCs/>
          <w:color w:val="auto"/>
          <w:sz w:val="21"/>
          <w:szCs w:val="21"/>
          <w:highlight w:val="none"/>
        </w:rPr>
        <w:t>第一条 甲乙双方的权利和义务</w:t>
      </w:r>
      <w:bookmarkEnd w:id="642"/>
      <w:bookmarkEnd w:id="643"/>
      <w:bookmarkEnd w:id="644"/>
      <w:bookmarkEnd w:id="645"/>
      <w:bookmarkEnd w:id="646"/>
      <w:bookmarkEnd w:id="647"/>
    </w:p>
    <w:p w14:paraId="0FDA9ACB">
      <w:pPr>
        <w:pageBreakBefore w:val="0"/>
        <w:tabs>
          <w:tab w:val="left" w:pos="2115"/>
        </w:tabs>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（一）严格遵守党和国家有关法律法规及江苏省、南通市的有关规定，遵守南通轨道交通有限公司六不准则。</w:t>
      </w:r>
    </w:p>
    <w:p w14:paraId="2F27A8DB">
      <w:pPr>
        <w:pageBreakBefore w:val="0"/>
        <w:tabs>
          <w:tab w:val="left" w:pos="2115"/>
        </w:tabs>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（二）严格执行</w:t>
      </w:r>
      <w:r>
        <w:rPr>
          <w:rFonts w:hint="eastAsia" w:ascii="宋体" w:hAnsi="宋体" w:eastAsia="宋体" w:cs="宋体"/>
          <w:sz w:val="21"/>
          <w:szCs w:val="21"/>
          <w:highlight w:val="none"/>
          <w:u w:val="single"/>
          <w:lang w:val="en-US" w:eastAsia="zh-CN"/>
        </w:rPr>
        <w:t>南通轨道资源开发有限公司文创产品生产制作年度供应商库项目（2026—2028年）</w:t>
      </w:r>
      <w:r>
        <w:rPr>
          <w:rFonts w:hint="eastAsia" w:ascii="宋体" w:hAnsi="宋体" w:eastAsia="宋体" w:cs="宋体"/>
          <w:color w:val="auto"/>
          <w:sz w:val="21"/>
          <w:szCs w:val="21"/>
          <w:highlight w:val="none"/>
        </w:rPr>
        <w:t>的合同文件，自觉按合同办事。</w:t>
      </w:r>
    </w:p>
    <w:p w14:paraId="2F14B2F6">
      <w:pPr>
        <w:pageBreakBefore w:val="0"/>
        <w:tabs>
          <w:tab w:val="left" w:pos="2115"/>
        </w:tabs>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（三）双方的业务活动坚持公开、公正、诚信、透明的原则（除法律认定的商业秘密和合同文件另有规定之外），不得损害国家和集体利益。</w:t>
      </w:r>
    </w:p>
    <w:p w14:paraId="12AE3517">
      <w:pPr>
        <w:pageBreakBefore w:val="0"/>
        <w:tabs>
          <w:tab w:val="left" w:pos="2115"/>
        </w:tabs>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（四）发现对方在业务活动中有违反廉政规定的行为，有及时提醒对方纠正的权利和义务。</w:t>
      </w:r>
    </w:p>
    <w:p w14:paraId="1D7A7076">
      <w:pPr>
        <w:pageBreakBefore w:val="0"/>
        <w:tabs>
          <w:tab w:val="left" w:pos="2115"/>
        </w:tabs>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（五）发现对方严重违反本合同义务条款的行为，有向其上级有关部门举报、建议给予处理并要求告知处理结果的权利。</w:t>
      </w:r>
    </w:p>
    <w:p w14:paraId="54729B46">
      <w:pPr>
        <w:pageBreakBefore w:val="0"/>
        <w:tabs>
          <w:tab w:val="left" w:pos="2115"/>
        </w:tabs>
        <w:kinsoku/>
        <w:wordWrap/>
        <w:overflowPunct/>
        <w:topLinePunct w:val="0"/>
        <w:autoSpaceDE/>
        <w:autoSpaceDN/>
        <w:bidi w:val="0"/>
        <w:adjustRightInd/>
        <w:snapToGrid/>
        <w:spacing w:line="440" w:lineRule="exact"/>
        <w:ind w:left="0" w:leftChars="0" w:right="-338" w:rightChars="-161" w:firstLine="369" w:firstLineChars="175"/>
        <w:rPr>
          <w:rFonts w:hint="eastAsia" w:ascii="宋体" w:hAnsi="宋体" w:eastAsia="宋体" w:cs="宋体"/>
          <w:b/>
          <w:bCs/>
          <w:color w:val="auto"/>
          <w:sz w:val="21"/>
          <w:szCs w:val="21"/>
          <w:highlight w:val="none"/>
        </w:rPr>
      </w:pPr>
      <w:bookmarkStart w:id="648" w:name="_Toc14917"/>
      <w:bookmarkStart w:id="649" w:name="_Toc59900970"/>
      <w:bookmarkStart w:id="650" w:name="_Toc23923"/>
      <w:bookmarkStart w:id="651" w:name="_Toc59896702"/>
      <w:bookmarkStart w:id="652" w:name="_Toc9096"/>
      <w:bookmarkStart w:id="653" w:name="_Toc26071"/>
      <w:bookmarkStart w:id="654" w:name="_Toc21792"/>
      <w:r>
        <w:rPr>
          <w:rFonts w:hint="eastAsia" w:ascii="宋体" w:hAnsi="宋体" w:eastAsia="宋体" w:cs="宋体"/>
          <w:b/>
          <w:bCs/>
          <w:color w:val="auto"/>
          <w:sz w:val="21"/>
          <w:szCs w:val="21"/>
          <w:highlight w:val="none"/>
        </w:rPr>
        <w:t>第二条 甲方的义务</w:t>
      </w:r>
      <w:bookmarkEnd w:id="648"/>
      <w:bookmarkEnd w:id="649"/>
      <w:bookmarkEnd w:id="650"/>
      <w:bookmarkEnd w:id="651"/>
      <w:bookmarkEnd w:id="652"/>
      <w:bookmarkEnd w:id="653"/>
      <w:bookmarkEnd w:id="654"/>
    </w:p>
    <w:p w14:paraId="79ACF4F6">
      <w:pPr>
        <w:pageBreakBefore w:val="0"/>
        <w:tabs>
          <w:tab w:val="left" w:pos="0"/>
          <w:tab w:val="left" w:pos="2115"/>
        </w:tabs>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（一）甲方及其工作人员不得索要或接受乙方的礼金、有价证券和贵重物品，不得在乙方报销任何应由甲方或个人支付的费用等。</w:t>
      </w:r>
    </w:p>
    <w:p w14:paraId="24591C0E">
      <w:pPr>
        <w:pageBreakBefore w:val="0"/>
        <w:tabs>
          <w:tab w:val="left" w:pos="0"/>
          <w:tab w:val="left" w:pos="2115"/>
        </w:tabs>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（二）甲方工作人员不得参加乙方安排的超标准宴请和娱乐活动；不得接受乙方提供的通讯工具、交通工具和高档办公用品等。</w:t>
      </w:r>
    </w:p>
    <w:p w14:paraId="2CD4B850">
      <w:pPr>
        <w:pageBreakBefore w:val="0"/>
        <w:tabs>
          <w:tab w:val="left" w:pos="0"/>
          <w:tab w:val="left" w:pos="2115"/>
        </w:tabs>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（三）甲方及其工作人员不得要求或者接受乙方为其住房装修、婚丧嫁娶活动、配偶子女的工作安排以及出国出境、旅游等提供方便等。</w:t>
      </w:r>
    </w:p>
    <w:p w14:paraId="04F4F828">
      <w:pPr>
        <w:pageBreakBefore w:val="0"/>
        <w:tabs>
          <w:tab w:val="left" w:pos="2115"/>
        </w:tabs>
        <w:kinsoku/>
        <w:wordWrap/>
        <w:overflowPunct/>
        <w:topLinePunct w:val="0"/>
        <w:autoSpaceDE/>
        <w:autoSpaceDN/>
        <w:bidi w:val="0"/>
        <w:adjustRightInd/>
        <w:snapToGrid/>
        <w:spacing w:line="440" w:lineRule="exact"/>
        <w:ind w:left="0" w:leftChars="0" w:right="-338" w:rightChars="-161" w:firstLine="369" w:firstLineChars="175"/>
        <w:rPr>
          <w:rFonts w:hint="eastAsia" w:ascii="宋体" w:hAnsi="宋体" w:eastAsia="宋体" w:cs="宋体"/>
          <w:b/>
          <w:bCs/>
          <w:color w:val="auto"/>
          <w:sz w:val="21"/>
          <w:szCs w:val="21"/>
          <w:highlight w:val="none"/>
        </w:rPr>
      </w:pPr>
      <w:bookmarkStart w:id="655" w:name="_Toc59900971"/>
      <w:bookmarkStart w:id="656" w:name="_Toc5899"/>
      <w:bookmarkStart w:id="657" w:name="_Toc15212"/>
      <w:bookmarkStart w:id="658" w:name="_Toc10469"/>
      <w:bookmarkStart w:id="659" w:name="_Toc16001"/>
      <w:bookmarkStart w:id="660" w:name="_Toc311"/>
      <w:bookmarkStart w:id="661" w:name="_Toc59896703"/>
      <w:r>
        <w:rPr>
          <w:rFonts w:hint="eastAsia" w:ascii="宋体" w:hAnsi="宋体" w:eastAsia="宋体" w:cs="宋体"/>
          <w:b/>
          <w:bCs/>
          <w:color w:val="auto"/>
          <w:sz w:val="21"/>
          <w:szCs w:val="21"/>
          <w:highlight w:val="none"/>
        </w:rPr>
        <w:t>第三条 乙方义务</w:t>
      </w:r>
      <w:bookmarkEnd w:id="655"/>
      <w:bookmarkEnd w:id="656"/>
      <w:bookmarkEnd w:id="657"/>
      <w:bookmarkEnd w:id="658"/>
      <w:bookmarkEnd w:id="659"/>
      <w:bookmarkEnd w:id="660"/>
      <w:bookmarkEnd w:id="661"/>
    </w:p>
    <w:p w14:paraId="5E7EE509">
      <w:pPr>
        <w:pageBreakBefore w:val="0"/>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（一）乙方不得以任何理由向甲方及其工作人员行贿或馈赠礼金、有价证券、贵重礼品。</w:t>
      </w:r>
    </w:p>
    <w:p w14:paraId="72CD74F5">
      <w:pPr>
        <w:pageBreakBefore w:val="0"/>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（二）乙方不得以任何名义为甲方及其工作人员报销应由甲方单位或个人支付的任何费用。</w:t>
      </w:r>
    </w:p>
    <w:p w14:paraId="7C106CD8">
      <w:pPr>
        <w:pageBreakBefore w:val="0"/>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（三）乙方不得以任何理由安排甲方工作人员参加超标准宴请及娱乐活动。</w:t>
      </w:r>
    </w:p>
    <w:p w14:paraId="070348C1">
      <w:pPr>
        <w:pageBreakBefore w:val="0"/>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（四）乙方不得为甲方单位和个人购置或提供通讯工具、交通工具和高档办公用品等。</w:t>
      </w:r>
    </w:p>
    <w:p w14:paraId="7627FF6E">
      <w:pPr>
        <w:pageBreakBefore w:val="0"/>
        <w:tabs>
          <w:tab w:val="left" w:pos="2115"/>
        </w:tabs>
        <w:kinsoku/>
        <w:wordWrap/>
        <w:overflowPunct/>
        <w:topLinePunct w:val="0"/>
        <w:autoSpaceDE/>
        <w:autoSpaceDN/>
        <w:bidi w:val="0"/>
        <w:adjustRightInd/>
        <w:snapToGrid/>
        <w:spacing w:line="440" w:lineRule="exact"/>
        <w:ind w:left="0" w:leftChars="0" w:right="-338" w:rightChars="-161" w:firstLine="369" w:firstLineChars="175"/>
        <w:rPr>
          <w:rFonts w:hint="eastAsia" w:ascii="宋体" w:hAnsi="宋体" w:eastAsia="宋体" w:cs="宋体"/>
          <w:b/>
          <w:bCs/>
          <w:color w:val="auto"/>
          <w:sz w:val="21"/>
          <w:szCs w:val="21"/>
          <w:highlight w:val="none"/>
        </w:rPr>
      </w:pPr>
      <w:bookmarkStart w:id="662" w:name="_Toc3962"/>
      <w:bookmarkStart w:id="663" w:name="_Toc12557"/>
      <w:bookmarkStart w:id="664" w:name="_Toc28680"/>
      <w:bookmarkStart w:id="665" w:name="_Toc9983"/>
      <w:bookmarkStart w:id="666" w:name="_Toc7914"/>
      <w:r>
        <w:rPr>
          <w:rFonts w:hint="eastAsia" w:ascii="宋体" w:hAnsi="宋体" w:eastAsia="宋体" w:cs="宋体"/>
          <w:b/>
          <w:bCs/>
          <w:color w:val="auto"/>
          <w:sz w:val="21"/>
          <w:szCs w:val="21"/>
          <w:highlight w:val="none"/>
        </w:rPr>
        <w:t>第四条 违约责任</w:t>
      </w:r>
      <w:bookmarkEnd w:id="662"/>
      <w:bookmarkEnd w:id="663"/>
      <w:bookmarkEnd w:id="664"/>
      <w:bookmarkEnd w:id="665"/>
      <w:bookmarkEnd w:id="666"/>
    </w:p>
    <w:p w14:paraId="76AD5D77">
      <w:pPr>
        <w:pageBreakBefore w:val="0"/>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（一）甲方及其工作人员违反本合同第一、二条，按管理权限，依据有关规定给予党纪、政纪或组织处理，调离其工作岗位；涉嫌犯罪的，移交司法机关追究刑事责任；给乙方单位造成经济损失的，应予以赔偿。</w:t>
      </w:r>
    </w:p>
    <w:p w14:paraId="6E85E24A">
      <w:pPr>
        <w:pageBreakBefore w:val="0"/>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项目进行</w:t>
      </w:r>
      <w:r>
        <w:rPr>
          <w:rFonts w:hint="eastAsia" w:ascii="宋体" w:hAnsi="宋体" w:eastAsia="宋体" w:cs="宋体"/>
          <w:color w:val="auto"/>
          <w:sz w:val="21"/>
          <w:szCs w:val="21"/>
          <w:highlight w:val="none"/>
          <w:lang w:eastAsia="zh-CN"/>
        </w:rPr>
        <w:t>报价</w:t>
      </w:r>
      <w:r>
        <w:rPr>
          <w:rFonts w:hint="eastAsia" w:ascii="宋体" w:hAnsi="宋体" w:eastAsia="宋体" w:cs="宋体"/>
          <w:color w:val="auto"/>
          <w:sz w:val="21"/>
          <w:szCs w:val="21"/>
          <w:highlight w:val="none"/>
        </w:rPr>
        <w:t>的处罚。</w:t>
      </w:r>
    </w:p>
    <w:p w14:paraId="0740E903">
      <w:pPr>
        <w:pageBreakBefore w:val="0"/>
        <w:kinsoku/>
        <w:wordWrap/>
        <w:overflowPunct/>
        <w:topLinePunct w:val="0"/>
        <w:autoSpaceDE/>
        <w:autoSpaceDN/>
        <w:bidi w:val="0"/>
        <w:adjustRightInd/>
        <w:snapToGrid/>
        <w:spacing w:line="440" w:lineRule="exact"/>
        <w:ind w:left="0" w:leftChars="0" w:right="-338" w:rightChars="-161" w:firstLine="369" w:firstLineChars="175"/>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第五条</w:t>
      </w:r>
      <w:r>
        <w:rPr>
          <w:rFonts w:hint="eastAsia" w:ascii="宋体" w:hAnsi="宋体" w:eastAsia="宋体" w:cs="宋体"/>
          <w:color w:val="auto"/>
          <w:sz w:val="21"/>
          <w:szCs w:val="21"/>
          <w:highlight w:val="none"/>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14:paraId="5F230C59">
      <w:pPr>
        <w:pageBreakBefore w:val="0"/>
        <w:kinsoku/>
        <w:wordWrap/>
        <w:overflowPunct/>
        <w:topLinePunct w:val="0"/>
        <w:autoSpaceDE/>
        <w:autoSpaceDN/>
        <w:bidi w:val="0"/>
        <w:adjustRightInd/>
        <w:snapToGrid/>
        <w:spacing w:line="440" w:lineRule="exact"/>
        <w:ind w:left="0" w:leftChars="0" w:right="-338" w:rightChars="-161" w:firstLine="369" w:firstLineChars="175"/>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第六条</w:t>
      </w:r>
      <w:r>
        <w:rPr>
          <w:rFonts w:hint="eastAsia" w:ascii="宋体" w:hAnsi="宋体" w:eastAsia="宋体" w:cs="宋体"/>
          <w:color w:val="auto"/>
          <w:sz w:val="21"/>
          <w:szCs w:val="21"/>
          <w:highlight w:val="none"/>
        </w:rPr>
        <w:t xml:space="preserve"> 本合同有效期为甲乙双方签署之日起至该</w:t>
      </w:r>
      <w:r>
        <w:rPr>
          <w:rFonts w:hint="eastAsia" w:ascii="宋体" w:hAnsi="宋体" w:eastAsia="宋体" w:cs="宋体"/>
          <w:color w:val="auto"/>
          <w:sz w:val="21"/>
          <w:szCs w:val="21"/>
          <w:highlight w:val="none"/>
          <w:lang w:eastAsia="zh-CN"/>
        </w:rPr>
        <w:t>合同标的交付完成且</w:t>
      </w:r>
      <w:r>
        <w:rPr>
          <w:rFonts w:hint="eastAsia" w:ascii="宋体" w:hAnsi="宋体" w:eastAsia="宋体" w:cs="宋体"/>
          <w:color w:val="auto"/>
          <w:sz w:val="21"/>
          <w:szCs w:val="21"/>
          <w:highlight w:val="none"/>
        </w:rPr>
        <w:t>验收合格之日止。</w:t>
      </w:r>
    </w:p>
    <w:p w14:paraId="74CF7DF8">
      <w:pPr>
        <w:pageBreakBefore w:val="0"/>
        <w:kinsoku/>
        <w:wordWrap/>
        <w:overflowPunct/>
        <w:topLinePunct w:val="0"/>
        <w:autoSpaceDE/>
        <w:autoSpaceDN/>
        <w:bidi w:val="0"/>
        <w:adjustRightInd/>
        <w:snapToGrid/>
        <w:spacing w:line="440" w:lineRule="exact"/>
        <w:ind w:left="0" w:leftChars="0" w:right="-338" w:rightChars="-161" w:firstLine="369" w:firstLineChars="175"/>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第七条</w:t>
      </w:r>
      <w:r>
        <w:rPr>
          <w:rFonts w:hint="eastAsia" w:ascii="宋体" w:hAnsi="宋体" w:eastAsia="宋体" w:cs="宋体"/>
          <w:color w:val="auto"/>
          <w:sz w:val="21"/>
          <w:szCs w:val="21"/>
          <w:highlight w:val="none"/>
        </w:rPr>
        <w:t xml:space="preserve"> 本合同作为</w:t>
      </w:r>
      <w:r>
        <w:rPr>
          <w:rFonts w:hint="eastAsia" w:ascii="宋体" w:hAnsi="宋体" w:eastAsia="宋体" w:cs="宋体"/>
          <w:sz w:val="21"/>
          <w:szCs w:val="21"/>
          <w:highlight w:val="none"/>
          <w:u w:val="single"/>
          <w:lang w:val="en-US" w:eastAsia="zh-CN"/>
        </w:rPr>
        <w:t>南通轨道资源开发有限公司文创产品生产制作年度供应商库项目（2026—2028年）</w:t>
      </w:r>
      <w:r>
        <w:rPr>
          <w:rFonts w:hint="eastAsia" w:ascii="宋体" w:hAnsi="宋体" w:eastAsia="宋体" w:cs="宋体"/>
          <w:color w:val="auto"/>
          <w:sz w:val="21"/>
          <w:szCs w:val="21"/>
          <w:highlight w:val="none"/>
        </w:rPr>
        <w:t>合同的附件，与主合同具有同等法律效力。经合同双方签署立即生效。</w:t>
      </w:r>
    </w:p>
    <w:p w14:paraId="0AC81B05">
      <w:pPr>
        <w:pageBreakBefore w:val="0"/>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p>
    <w:p w14:paraId="75E145E0">
      <w:pPr>
        <w:pageBreakBefore w:val="0"/>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甲方：（盖章）                         乙方：（盖章）</w:t>
      </w:r>
    </w:p>
    <w:p w14:paraId="1ED2DEFB">
      <w:pPr>
        <w:pageBreakBefore w:val="0"/>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p>
    <w:p w14:paraId="5665889A">
      <w:pPr>
        <w:pageBreakBefore w:val="0"/>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                             法定代表人</w:t>
      </w:r>
    </w:p>
    <w:p w14:paraId="2F40DC20">
      <w:pPr>
        <w:pageBreakBefore w:val="0"/>
        <w:kinsoku/>
        <w:wordWrap/>
        <w:overflowPunct/>
        <w:topLinePunct w:val="0"/>
        <w:autoSpaceDE/>
        <w:autoSpaceDN/>
        <w:bidi w:val="0"/>
        <w:adjustRightInd/>
        <w:snapToGrid/>
        <w:spacing w:line="440" w:lineRule="exact"/>
        <w:ind w:left="0" w:leftChars="0" w:right="-338" w:rightChars="-161"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或其授权代理人：                       或其授权代理人：</w:t>
      </w:r>
    </w:p>
    <w:p w14:paraId="3F1FC2F2">
      <w:pPr>
        <w:pageBreakBefore w:val="0"/>
        <w:kinsoku/>
        <w:wordWrap/>
        <w:overflowPunct/>
        <w:topLinePunct w:val="0"/>
        <w:autoSpaceDE/>
        <w:autoSpaceDN/>
        <w:bidi w:val="0"/>
        <w:adjustRightInd/>
        <w:snapToGrid/>
        <w:spacing w:line="440" w:lineRule="exact"/>
        <w:ind w:left="-420" w:leftChars="-200" w:right="-512" w:rightChars="-244" w:firstLine="480" w:firstLineChars="200"/>
        <w:rPr>
          <w:rFonts w:hint="eastAsia" w:ascii="宋体" w:hAnsi="宋体" w:eastAsia="宋体" w:cs="宋体"/>
          <w:color w:val="auto"/>
          <w:sz w:val="24"/>
          <w:szCs w:val="24"/>
          <w:highlight w:val="none"/>
        </w:rPr>
      </w:pPr>
    </w:p>
    <w:p w14:paraId="4E7BAB33">
      <w:pPr>
        <w:pageBreakBefore w:val="0"/>
        <w:kinsoku/>
        <w:wordWrap/>
        <w:overflowPunct/>
        <w:topLinePunct w:val="0"/>
        <w:autoSpaceDE/>
        <w:autoSpaceDN/>
        <w:bidi w:val="0"/>
        <w:adjustRightInd/>
        <w:snapToGrid/>
        <w:spacing w:line="440" w:lineRule="exact"/>
        <w:jc w:val="left"/>
        <w:rPr>
          <w:rFonts w:hint="eastAsia" w:ascii="宋体" w:hAnsi="宋体" w:eastAsia="宋体" w:cs="宋体"/>
          <w:color w:val="auto"/>
          <w:sz w:val="24"/>
          <w:szCs w:val="24"/>
          <w:highlight w:val="none"/>
          <w:lang w:val="en-US" w:eastAsia="zh-CN"/>
        </w:rPr>
      </w:pPr>
    </w:p>
    <w:p w14:paraId="3E675475">
      <w:pPr>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4"/>
          <w:szCs w:val="24"/>
          <w:highlight w:val="none"/>
          <w:lang w:val="en-US" w:eastAsia="zh-CN"/>
        </w:rPr>
      </w:pPr>
    </w:p>
    <w:p w14:paraId="06155D65">
      <w:pPr>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4"/>
          <w:szCs w:val="24"/>
          <w:highlight w:val="none"/>
          <w:lang w:val="en-US" w:eastAsia="zh-CN"/>
        </w:rPr>
      </w:pPr>
    </w:p>
    <w:p w14:paraId="44D339E2">
      <w:pPr>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4"/>
          <w:szCs w:val="24"/>
          <w:highlight w:val="none"/>
          <w:lang w:val="en-US" w:eastAsia="zh-CN"/>
        </w:rPr>
      </w:pPr>
    </w:p>
    <w:p w14:paraId="55E48081">
      <w:pPr>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4"/>
          <w:szCs w:val="24"/>
          <w:highlight w:val="none"/>
          <w:lang w:val="en-US" w:eastAsia="zh-CN"/>
        </w:rPr>
      </w:pPr>
    </w:p>
    <w:p w14:paraId="34DA91AC">
      <w:pPr>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4"/>
          <w:szCs w:val="24"/>
          <w:highlight w:val="none"/>
          <w:lang w:val="en-US" w:eastAsia="zh-CN"/>
        </w:rPr>
      </w:pPr>
    </w:p>
    <w:p w14:paraId="6900C7C9">
      <w:pPr>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4"/>
          <w:szCs w:val="24"/>
          <w:highlight w:val="none"/>
          <w:lang w:val="en-US" w:eastAsia="zh-CN"/>
        </w:rPr>
      </w:pPr>
    </w:p>
    <w:p w14:paraId="5ADC985E">
      <w:pPr>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4"/>
          <w:szCs w:val="24"/>
          <w:highlight w:val="none"/>
          <w:lang w:val="en-US" w:eastAsia="zh-CN"/>
        </w:rPr>
      </w:pPr>
    </w:p>
    <w:p w14:paraId="707A3D0E">
      <w:pPr>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4"/>
          <w:szCs w:val="24"/>
          <w:highlight w:val="none"/>
          <w:lang w:val="en-US" w:eastAsia="zh-CN"/>
        </w:rPr>
      </w:pPr>
    </w:p>
    <w:p w14:paraId="1C6890EE">
      <w:pPr>
        <w:pStyle w:val="50"/>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4"/>
          <w:szCs w:val="24"/>
          <w:highlight w:val="none"/>
          <w:lang w:eastAsia="zh-CN"/>
        </w:rPr>
        <w:sectPr>
          <w:pgSz w:w="11906" w:h="16838"/>
          <w:pgMar w:top="1418" w:right="1531" w:bottom="1418" w:left="1474" w:header="851" w:footer="992" w:gutter="0"/>
          <w:pgNumType w:fmt="decimal"/>
          <w:cols w:space="720" w:num="1"/>
          <w:titlePg/>
          <w:docGrid w:type="lines" w:linePitch="312" w:charSpace="0"/>
        </w:sectPr>
      </w:pPr>
    </w:p>
    <w:p w14:paraId="66AD0572">
      <w:pPr>
        <w:pStyle w:val="2"/>
        <w:pageBreakBefore w:val="0"/>
        <w:kinsoku/>
        <w:wordWrap/>
        <w:overflowPunct/>
        <w:topLinePunct w:val="0"/>
        <w:autoSpaceDE/>
        <w:autoSpaceDN/>
        <w:bidi w:val="0"/>
        <w:adjustRightInd/>
        <w:snapToGrid/>
        <w:spacing w:before="0" w:after="0" w:line="440" w:lineRule="exact"/>
        <w:jc w:val="both"/>
        <w:rPr>
          <w:rFonts w:hint="eastAsia" w:ascii="宋体" w:hAnsi="宋体" w:eastAsia="宋体" w:cs="宋体"/>
          <w:color w:val="auto"/>
          <w:sz w:val="24"/>
          <w:szCs w:val="24"/>
          <w:highlight w:val="none"/>
          <w:lang w:val="en-US" w:eastAsia="zh-CN"/>
        </w:rPr>
      </w:pPr>
      <w:bookmarkStart w:id="667" w:name="_Toc27544"/>
      <w:bookmarkStart w:id="668" w:name="_Toc22349"/>
      <w:bookmarkStart w:id="669" w:name="_Toc29287"/>
      <w:bookmarkStart w:id="670" w:name="_Toc16776"/>
      <w:bookmarkStart w:id="671" w:name="_Toc32375"/>
      <w:bookmarkStart w:id="672" w:name="_Toc6700"/>
      <w:bookmarkStart w:id="673" w:name="_Toc22413"/>
      <w:bookmarkStart w:id="674" w:name="_Toc13339"/>
      <w:r>
        <w:rPr>
          <w:rFonts w:hint="eastAsia" w:ascii="宋体" w:hAnsi="宋体" w:eastAsia="宋体" w:cs="宋体"/>
          <w:color w:val="auto"/>
          <w:sz w:val="24"/>
          <w:szCs w:val="24"/>
          <w:highlight w:val="none"/>
          <w:lang w:val="en-US" w:eastAsia="zh-CN"/>
        </w:rPr>
        <w:t>附件2：保密协议</w:t>
      </w:r>
      <w:bookmarkEnd w:id="667"/>
      <w:bookmarkEnd w:id="668"/>
      <w:bookmarkEnd w:id="669"/>
      <w:bookmarkEnd w:id="670"/>
      <w:bookmarkEnd w:id="671"/>
      <w:bookmarkEnd w:id="672"/>
      <w:bookmarkEnd w:id="673"/>
      <w:bookmarkEnd w:id="674"/>
    </w:p>
    <w:p w14:paraId="74D758BA">
      <w:pPr>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南通轨道交通项目信息数据使用许可与保密协议</w:t>
      </w:r>
    </w:p>
    <w:p w14:paraId="68F15B3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p>
    <w:p w14:paraId="128A5F1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为了加强对轨道交通项目规划、设计成果信息数据/资料的管理，根据国家有关法律法规，制定本协议。</w:t>
      </w:r>
    </w:p>
    <w:p w14:paraId="4E16DB3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一、获得规划、设计成果信息数据/资料的使用部门、单位和个人，必须严格履行相关保密责任。</w:t>
      </w:r>
    </w:p>
    <w:p w14:paraId="29489510">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二、规划、设计成果信息数据/资料的备份和复制品与原数据/资料等同，受本协议的保护。</w:t>
      </w:r>
    </w:p>
    <w:p w14:paraId="3787449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三、使用单位及个人应当确保规划、设计成果信息数据/资料的安全，防止数据/资料丢失或者给第三方使用；由此造成泄密事故的，应当及时向提供单位报告；造成后果的，由使用单位及个人承担责任。</w:t>
      </w:r>
    </w:p>
    <w:p w14:paraId="1744025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四、当使用单位及个人的身份变更或者使用单位对数据/资料使用用途改变时，应当向原数据提供单位提出申请，重新签订使用许可协议。</w:t>
      </w:r>
    </w:p>
    <w:p w14:paraId="15D8DC5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五、使用单位使用规划、设计成果信息数据/资料时违反有关保密规定的，依照《中华人民共和国保密法》等有关法律法规的规定处理。</w:t>
      </w:r>
    </w:p>
    <w:p w14:paraId="6EB58079">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六、违反本协议，擅自将未公开的规划、设计成果信息数据/资料携带或者邮寄出境，或者以任何方式传输至境外的，由使用单位承担相应责任，给发包人造成损失的应予赔偿，构成犯罪的移交司法机关处理。</w:t>
      </w:r>
    </w:p>
    <w:p w14:paraId="3B1700C9">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sz w:val="21"/>
          <w:szCs w:val="21"/>
          <w:highlight w:val="none"/>
          <w:lang w:val="en-US" w:eastAsia="zh-CN"/>
        </w:rPr>
      </w:pPr>
      <w:bookmarkStart w:id="675" w:name="_Toc7155"/>
      <w:bookmarkStart w:id="676" w:name="_Toc20752"/>
      <w:bookmarkStart w:id="677" w:name="_Toc30701"/>
      <w:bookmarkStart w:id="678" w:name="_Toc11857"/>
      <w:bookmarkStart w:id="679" w:name="_Toc14096"/>
      <w:bookmarkStart w:id="680" w:name="_Toc15146"/>
      <w:bookmarkStart w:id="681" w:name="_Toc16714"/>
      <w:bookmarkStart w:id="682" w:name="_Toc30950"/>
      <w:r>
        <w:rPr>
          <w:rFonts w:hint="eastAsia" w:ascii="宋体" w:hAnsi="宋体" w:eastAsia="宋体" w:cs="宋体"/>
          <w:color w:val="auto"/>
          <w:sz w:val="21"/>
          <w:szCs w:val="21"/>
          <w:highlight w:val="none"/>
          <w:lang w:val="en-US" w:eastAsia="zh-CN"/>
        </w:rPr>
        <w:t>七、其他未尽事宜，参照国家相关法律法规办理。</w:t>
      </w:r>
      <w:bookmarkEnd w:id="675"/>
      <w:bookmarkEnd w:id="676"/>
      <w:bookmarkEnd w:id="677"/>
      <w:bookmarkEnd w:id="678"/>
      <w:bookmarkEnd w:id="679"/>
      <w:bookmarkEnd w:id="680"/>
      <w:bookmarkEnd w:id="681"/>
      <w:bookmarkEnd w:id="682"/>
    </w:p>
    <w:p w14:paraId="72796274">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八、本协议一式贰份，提供单位与使用单位各执壹份，签订后生效。   </w:t>
      </w:r>
    </w:p>
    <w:p w14:paraId="5E5F6A3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sz w:val="21"/>
          <w:szCs w:val="21"/>
          <w:highlight w:val="none"/>
          <w:lang w:val="en-US" w:eastAsia="zh-CN"/>
        </w:rPr>
      </w:pPr>
    </w:p>
    <w:p w14:paraId="28D3AAE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数据/资料提供单位：南通轨道资源开发有限公司</w:t>
      </w:r>
    </w:p>
    <w:p w14:paraId="6AAD9A7A">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trike/>
          <w:dstrike w:val="0"/>
          <w:color w:val="auto"/>
          <w:sz w:val="21"/>
          <w:szCs w:val="21"/>
          <w:highlight w:val="none"/>
          <w:lang w:val="en-US" w:eastAsia="zh-CN"/>
        </w:rPr>
      </w:pPr>
    </w:p>
    <w:p w14:paraId="2EFAF20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 xml:space="preserve">使用单位/个人：            </w:t>
      </w:r>
    </w:p>
    <w:p w14:paraId="24C97E02">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trike w:val="0"/>
          <w:dstrike w:val="0"/>
          <w:color w:val="auto"/>
          <w:sz w:val="21"/>
          <w:szCs w:val="21"/>
          <w:highlight w:val="none"/>
          <w:lang w:val="en-US" w:eastAsia="zh-CN"/>
        </w:rPr>
      </w:pPr>
    </w:p>
    <w:p w14:paraId="1914232D">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trike w:val="0"/>
          <w:dstrike w:val="0"/>
          <w:color w:val="auto"/>
          <w:sz w:val="21"/>
          <w:szCs w:val="21"/>
          <w:highlight w:val="none"/>
          <w:u w:val="none"/>
          <w:lang w:val="en-US" w:eastAsia="zh-CN"/>
        </w:rPr>
      </w:pPr>
      <w:r>
        <w:rPr>
          <w:rFonts w:hint="eastAsia" w:ascii="宋体" w:hAnsi="宋体" w:eastAsia="宋体" w:cs="宋体"/>
          <w:strike w:val="0"/>
          <w:dstrike w:val="0"/>
          <w:color w:val="auto"/>
          <w:sz w:val="21"/>
          <w:szCs w:val="21"/>
          <w:highlight w:val="none"/>
          <w:lang w:val="en-US" w:eastAsia="zh-CN"/>
        </w:rPr>
        <w:t>单位</w:t>
      </w:r>
      <w:r>
        <w:rPr>
          <w:rFonts w:hint="eastAsia" w:ascii="宋体" w:hAnsi="宋体" w:eastAsia="宋体" w:cs="宋体"/>
          <w:strike w:val="0"/>
          <w:dstrike w:val="0"/>
          <w:color w:val="auto"/>
          <w:sz w:val="21"/>
          <w:szCs w:val="21"/>
          <w:highlight w:val="none"/>
          <w:u w:val="none"/>
          <w:lang w:val="en-US" w:eastAsia="zh-CN"/>
        </w:rPr>
        <w:t>盖章 ：                  经办人（签字）：</w:t>
      </w:r>
    </w:p>
    <w:p w14:paraId="16971E9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trike/>
          <w:dstrike w:val="0"/>
          <w:color w:val="auto"/>
          <w:sz w:val="21"/>
          <w:szCs w:val="21"/>
          <w:highlight w:val="none"/>
          <w:lang w:val="en-US" w:eastAsia="zh-CN"/>
        </w:rPr>
      </w:pPr>
    </w:p>
    <w:p w14:paraId="501F32A2">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trike/>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u w:val="none"/>
          <w:lang w:val="en-US" w:eastAsia="zh-CN"/>
        </w:rPr>
        <w:t>联系方式：</w:t>
      </w:r>
    </w:p>
    <w:p w14:paraId="26D985D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trike/>
          <w:dstrike w:val="0"/>
          <w:color w:val="auto"/>
          <w:sz w:val="21"/>
          <w:szCs w:val="21"/>
          <w:highlight w:val="none"/>
          <w:lang w:val="en-US" w:eastAsia="zh-CN"/>
        </w:rPr>
      </w:pPr>
    </w:p>
    <w:p w14:paraId="2DA220A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trike w:val="0"/>
          <w:dstrike w:val="0"/>
          <w:color w:val="auto"/>
          <w:sz w:val="21"/>
          <w:szCs w:val="21"/>
          <w:highlight w:val="none"/>
          <w:u w:val="none"/>
          <w:lang w:val="en-US" w:eastAsia="zh-CN"/>
        </w:rPr>
      </w:pPr>
      <w:r>
        <w:rPr>
          <w:rFonts w:hint="eastAsia" w:ascii="宋体" w:hAnsi="宋体" w:eastAsia="宋体" w:cs="宋体"/>
          <w:strike w:val="0"/>
          <w:dstrike w:val="0"/>
          <w:color w:val="auto"/>
          <w:sz w:val="21"/>
          <w:szCs w:val="21"/>
          <w:highlight w:val="none"/>
          <w:u w:val="none"/>
          <w:lang w:val="en-US" w:eastAsia="zh-CN"/>
        </w:rPr>
        <w:t>时    间：</w:t>
      </w:r>
    </w:p>
    <w:p w14:paraId="03CF2788">
      <w:pPr>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1"/>
          <w:szCs w:val="21"/>
          <w:highlight w:val="none"/>
          <w:lang w:val="en-US" w:eastAsia="zh-CN"/>
        </w:rPr>
        <w:sectPr>
          <w:pgSz w:w="11906" w:h="16838"/>
          <w:pgMar w:top="1418" w:right="1531" w:bottom="1418" w:left="1474" w:header="851" w:footer="992" w:gutter="0"/>
          <w:pgNumType w:fmt="decimal"/>
          <w:cols w:space="720" w:num="1"/>
          <w:titlePg/>
          <w:docGrid w:type="lines" w:linePitch="312" w:charSpace="0"/>
        </w:sectPr>
      </w:pPr>
    </w:p>
    <w:p w14:paraId="1DAE6C8F">
      <w:pPr>
        <w:pStyle w:val="2"/>
        <w:pageBreakBefore w:val="0"/>
        <w:kinsoku/>
        <w:wordWrap/>
        <w:overflowPunct/>
        <w:topLinePunct w:val="0"/>
        <w:autoSpaceDE/>
        <w:autoSpaceDN/>
        <w:bidi w:val="0"/>
        <w:adjustRightInd/>
        <w:snapToGrid/>
        <w:spacing w:before="0" w:after="0" w:line="440" w:lineRule="exact"/>
        <w:jc w:val="left"/>
        <w:rPr>
          <w:rFonts w:hint="eastAsia" w:ascii="宋体" w:hAnsi="宋体" w:eastAsia="宋体" w:cs="宋体"/>
          <w:color w:val="auto"/>
          <w:sz w:val="24"/>
          <w:szCs w:val="24"/>
          <w:highlight w:val="none"/>
          <w:lang w:val="en-US" w:eastAsia="zh-CN"/>
        </w:rPr>
      </w:pPr>
      <w:bookmarkStart w:id="683" w:name="_Toc13325"/>
      <w:bookmarkStart w:id="684" w:name="_Toc31210"/>
      <w:bookmarkStart w:id="685" w:name="_Toc31049"/>
      <w:bookmarkStart w:id="686" w:name="_Toc15633"/>
      <w:r>
        <w:rPr>
          <w:rFonts w:hint="eastAsia" w:ascii="宋体" w:hAnsi="宋体" w:eastAsia="宋体" w:cs="宋体"/>
          <w:color w:val="auto"/>
          <w:sz w:val="24"/>
          <w:szCs w:val="24"/>
          <w:highlight w:val="none"/>
          <w:lang w:val="en-US" w:eastAsia="zh-CN"/>
        </w:rPr>
        <w:t>附件3：</w:t>
      </w:r>
      <w:bookmarkEnd w:id="683"/>
      <w:bookmarkEnd w:id="684"/>
      <w:bookmarkEnd w:id="685"/>
      <w:r>
        <w:rPr>
          <w:rFonts w:hint="eastAsia" w:ascii="宋体" w:hAnsi="宋体" w:eastAsia="宋体" w:cs="宋体"/>
          <w:color w:val="auto"/>
          <w:sz w:val="24"/>
          <w:szCs w:val="24"/>
          <w:highlight w:val="none"/>
          <w:lang w:val="en-US" w:eastAsia="zh-CN"/>
        </w:rPr>
        <w:t>服务考核表</w:t>
      </w:r>
      <w:bookmarkEnd w:id="686"/>
    </w:p>
    <w:tbl>
      <w:tblPr>
        <w:tblStyle w:val="51"/>
        <w:tblW w:w="9124" w:type="dxa"/>
        <w:tblInd w:w="90" w:type="dxa"/>
        <w:tblLayout w:type="fixed"/>
        <w:tblCellMar>
          <w:top w:w="0" w:type="dxa"/>
          <w:left w:w="108" w:type="dxa"/>
          <w:bottom w:w="0" w:type="dxa"/>
          <w:right w:w="108" w:type="dxa"/>
        </w:tblCellMar>
      </w:tblPr>
      <w:tblGrid>
        <w:gridCol w:w="1624"/>
        <w:gridCol w:w="1747"/>
        <w:gridCol w:w="1732"/>
        <w:gridCol w:w="1779"/>
        <w:gridCol w:w="2242"/>
      </w:tblGrid>
      <w:tr w14:paraId="6F077B91">
        <w:tblPrEx>
          <w:tblCellMar>
            <w:top w:w="0" w:type="dxa"/>
            <w:left w:w="108" w:type="dxa"/>
            <w:bottom w:w="0" w:type="dxa"/>
            <w:right w:w="108" w:type="dxa"/>
          </w:tblCellMar>
        </w:tblPrEx>
        <w:trPr>
          <w:trHeight w:val="817" w:hRule="atLeast"/>
        </w:trPr>
        <w:tc>
          <w:tcPr>
            <w:tcW w:w="9124" w:type="dxa"/>
            <w:gridSpan w:val="5"/>
            <w:tcBorders>
              <w:top w:val="nil"/>
              <w:left w:val="nil"/>
              <w:bottom w:val="nil"/>
              <w:right w:val="nil"/>
            </w:tcBorders>
            <w:noWrap/>
            <w:vAlign w:val="center"/>
          </w:tcPr>
          <w:p w14:paraId="380F4072">
            <w:pPr>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考核表</w:t>
            </w:r>
          </w:p>
        </w:tc>
      </w:tr>
      <w:tr w14:paraId="556B10DB">
        <w:tblPrEx>
          <w:tblCellMar>
            <w:top w:w="0" w:type="dxa"/>
            <w:left w:w="108" w:type="dxa"/>
            <w:bottom w:w="0" w:type="dxa"/>
            <w:right w:w="108" w:type="dxa"/>
          </w:tblCellMar>
        </w:tblPrEx>
        <w:trPr>
          <w:trHeight w:val="1284" w:hRule="atLeast"/>
        </w:trPr>
        <w:tc>
          <w:tcPr>
            <w:tcW w:w="1624" w:type="dxa"/>
            <w:tcBorders>
              <w:top w:val="single" w:color="000000" w:sz="4" w:space="0"/>
              <w:left w:val="single" w:color="000000" w:sz="4" w:space="0"/>
              <w:bottom w:val="single" w:color="000000" w:sz="4" w:space="0"/>
              <w:right w:val="single" w:color="000000" w:sz="4" w:space="0"/>
            </w:tcBorders>
            <w:noWrap/>
            <w:vAlign w:val="center"/>
          </w:tcPr>
          <w:p w14:paraId="0D5C7DD2">
            <w:pPr>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品质</w:t>
            </w:r>
          </w:p>
          <w:p w14:paraId="0699218E">
            <w:pPr>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25分</w:t>
            </w:r>
            <w:r>
              <w:rPr>
                <w:rFonts w:hint="eastAsia" w:ascii="宋体" w:hAnsi="宋体" w:eastAsia="宋体" w:cs="宋体"/>
                <w:color w:val="auto"/>
                <w:kern w:val="0"/>
                <w:sz w:val="24"/>
                <w:szCs w:val="24"/>
                <w:highlight w:val="none"/>
                <w:lang w:eastAsia="zh-CN" w:bidi="ar"/>
              </w:rPr>
              <w:t>）</w:t>
            </w:r>
          </w:p>
        </w:tc>
        <w:tc>
          <w:tcPr>
            <w:tcW w:w="1747" w:type="dxa"/>
            <w:tcBorders>
              <w:top w:val="single" w:color="000000" w:sz="4" w:space="0"/>
              <w:left w:val="single" w:color="000000" w:sz="4" w:space="0"/>
              <w:bottom w:val="single" w:color="000000" w:sz="4" w:space="0"/>
              <w:right w:val="single" w:color="000000" w:sz="4" w:space="0"/>
            </w:tcBorders>
            <w:vAlign w:val="center"/>
          </w:tcPr>
          <w:p w14:paraId="60055CB5">
            <w:pPr>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合格率</w:t>
            </w:r>
          </w:p>
          <w:p w14:paraId="48128E72">
            <w:pPr>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w:t>
            </w:r>
            <w:r>
              <w:rPr>
                <w:rFonts w:hint="eastAsia" w:ascii="宋体" w:hAnsi="宋体" w:eastAsia="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bidi="ar"/>
              </w:rPr>
              <w:t>分）</w:t>
            </w:r>
          </w:p>
        </w:tc>
        <w:tc>
          <w:tcPr>
            <w:tcW w:w="1732" w:type="dxa"/>
            <w:tcBorders>
              <w:top w:val="single" w:color="000000" w:sz="4" w:space="0"/>
              <w:left w:val="single" w:color="000000" w:sz="4" w:space="0"/>
              <w:bottom w:val="single" w:color="000000" w:sz="4" w:space="0"/>
              <w:right w:val="single" w:color="000000" w:sz="4" w:space="0"/>
            </w:tcBorders>
            <w:vAlign w:val="center"/>
          </w:tcPr>
          <w:p w14:paraId="32CBABA2">
            <w:pPr>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服务</w:t>
            </w:r>
          </w:p>
          <w:p w14:paraId="327E2CDF">
            <w:pPr>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w:t>
            </w:r>
            <w:r>
              <w:rPr>
                <w:rFonts w:hint="eastAsia" w:ascii="宋体" w:hAnsi="宋体" w:eastAsia="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bidi="ar"/>
              </w:rPr>
              <w:t>分）</w:t>
            </w:r>
          </w:p>
        </w:tc>
        <w:tc>
          <w:tcPr>
            <w:tcW w:w="1779" w:type="dxa"/>
            <w:tcBorders>
              <w:top w:val="single" w:color="000000" w:sz="4" w:space="0"/>
              <w:left w:val="single" w:color="000000" w:sz="4" w:space="0"/>
              <w:bottom w:val="single" w:color="000000" w:sz="4" w:space="0"/>
              <w:right w:val="single" w:color="000000" w:sz="4" w:space="0"/>
            </w:tcBorders>
            <w:vAlign w:val="center"/>
          </w:tcPr>
          <w:p w14:paraId="11FFBC1F">
            <w:pPr>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响应度</w:t>
            </w:r>
          </w:p>
          <w:p w14:paraId="309E6190">
            <w:pPr>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r>
              <w:rPr>
                <w:rFonts w:hint="eastAsia" w:ascii="宋体" w:hAnsi="宋体" w:eastAsia="宋体" w:cs="宋体"/>
                <w:color w:val="000000"/>
                <w:kern w:val="0"/>
                <w:sz w:val="24"/>
                <w:szCs w:val="24"/>
                <w:highlight w:val="none"/>
                <w:lang w:val="en-US" w:eastAsia="zh-CN" w:bidi="ar"/>
              </w:rPr>
              <w:t>5</w:t>
            </w:r>
            <w:r>
              <w:rPr>
                <w:rFonts w:hint="eastAsia" w:ascii="宋体" w:hAnsi="宋体" w:eastAsia="宋体" w:cs="宋体"/>
                <w:color w:val="000000"/>
                <w:kern w:val="0"/>
                <w:sz w:val="24"/>
                <w:szCs w:val="24"/>
                <w:highlight w:val="none"/>
                <w:lang w:bidi="ar"/>
              </w:rPr>
              <w:t>分）</w:t>
            </w:r>
          </w:p>
        </w:tc>
        <w:tc>
          <w:tcPr>
            <w:tcW w:w="2242" w:type="dxa"/>
            <w:tcBorders>
              <w:top w:val="single" w:color="000000" w:sz="4" w:space="0"/>
              <w:left w:val="single" w:color="000000" w:sz="4" w:space="0"/>
              <w:bottom w:val="single" w:color="000000" w:sz="4" w:space="0"/>
              <w:right w:val="single" w:color="000000" w:sz="4" w:space="0"/>
            </w:tcBorders>
            <w:vAlign w:val="center"/>
          </w:tcPr>
          <w:p w14:paraId="3846759D">
            <w:pPr>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总  分</w:t>
            </w:r>
          </w:p>
        </w:tc>
      </w:tr>
      <w:tr w14:paraId="52F334BE">
        <w:tblPrEx>
          <w:tblCellMar>
            <w:top w:w="0" w:type="dxa"/>
            <w:left w:w="108" w:type="dxa"/>
            <w:bottom w:w="0" w:type="dxa"/>
            <w:right w:w="108" w:type="dxa"/>
          </w:tblCellMar>
        </w:tblPrEx>
        <w:trPr>
          <w:trHeight w:val="1380" w:hRule="atLeast"/>
        </w:trPr>
        <w:tc>
          <w:tcPr>
            <w:tcW w:w="1624" w:type="dxa"/>
            <w:tcBorders>
              <w:top w:val="single" w:color="000000" w:sz="4" w:space="0"/>
              <w:left w:val="single" w:color="000000" w:sz="4" w:space="0"/>
              <w:bottom w:val="single" w:color="000000" w:sz="4" w:space="0"/>
              <w:right w:val="single" w:color="000000" w:sz="4" w:space="0"/>
            </w:tcBorders>
            <w:noWrap/>
            <w:vAlign w:val="center"/>
          </w:tcPr>
          <w:p w14:paraId="3FA25A72">
            <w:pPr>
              <w:pageBreakBefore w:val="0"/>
              <w:kinsoku/>
              <w:wordWrap/>
              <w:overflowPunct/>
              <w:topLinePunct w:val="0"/>
              <w:autoSpaceDE/>
              <w:autoSpaceDN/>
              <w:bidi w:val="0"/>
              <w:adjustRightInd/>
              <w:snapToGrid/>
              <w:spacing w:line="440" w:lineRule="exact"/>
              <w:rPr>
                <w:rFonts w:hint="eastAsia" w:ascii="宋体" w:hAnsi="宋体" w:eastAsia="宋体" w:cs="宋体"/>
                <w:color w:val="000000"/>
                <w:sz w:val="24"/>
                <w:szCs w:val="24"/>
                <w:highlight w:val="none"/>
              </w:rPr>
            </w:pPr>
          </w:p>
        </w:tc>
        <w:tc>
          <w:tcPr>
            <w:tcW w:w="1747" w:type="dxa"/>
            <w:tcBorders>
              <w:top w:val="single" w:color="000000" w:sz="4" w:space="0"/>
              <w:left w:val="single" w:color="000000" w:sz="4" w:space="0"/>
              <w:bottom w:val="single" w:color="000000" w:sz="4" w:space="0"/>
              <w:right w:val="single" w:color="000000" w:sz="4" w:space="0"/>
            </w:tcBorders>
            <w:noWrap/>
            <w:vAlign w:val="center"/>
          </w:tcPr>
          <w:p w14:paraId="5523DB1C">
            <w:pPr>
              <w:pageBreakBefore w:val="0"/>
              <w:kinsoku/>
              <w:wordWrap/>
              <w:overflowPunct/>
              <w:topLinePunct w:val="0"/>
              <w:autoSpaceDE/>
              <w:autoSpaceDN/>
              <w:bidi w:val="0"/>
              <w:adjustRightInd/>
              <w:snapToGrid/>
              <w:spacing w:line="440" w:lineRule="exact"/>
              <w:rPr>
                <w:rFonts w:hint="eastAsia" w:ascii="宋体" w:hAnsi="宋体" w:eastAsia="宋体" w:cs="宋体"/>
                <w:color w:val="000000"/>
                <w:sz w:val="24"/>
                <w:szCs w:val="24"/>
                <w:highlight w:val="none"/>
              </w:rPr>
            </w:pPr>
          </w:p>
        </w:tc>
        <w:tc>
          <w:tcPr>
            <w:tcW w:w="1732" w:type="dxa"/>
            <w:tcBorders>
              <w:top w:val="single" w:color="000000" w:sz="4" w:space="0"/>
              <w:left w:val="single" w:color="000000" w:sz="4" w:space="0"/>
              <w:bottom w:val="single" w:color="000000" w:sz="4" w:space="0"/>
              <w:right w:val="single" w:color="000000" w:sz="4" w:space="0"/>
            </w:tcBorders>
            <w:noWrap/>
            <w:vAlign w:val="center"/>
          </w:tcPr>
          <w:p w14:paraId="2B86D52C">
            <w:pPr>
              <w:pageBreakBefore w:val="0"/>
              <w:kinsoku/>
              <w:wordWrap/>
              <w:overflowPunct/>
              <w:topLinePunct w:val="0"/>
              <w:autoSpaceDE/>
              <w:autoSpaceDN/>
              <w:bidi w:val="0"/>
              <w:adjustRightInd/>
              <w:snapToGrid/>
              <w:spacing w:line="440" w:lineRule="exact"/>
              <w:rPr>
                <w:rFonts w:hint="eastAsia" w:ascii="宋体" w:hAnsi="宋体" w:eastAsia="宋体" w:cs="宋体"/>
                <w:color w:val="000000"/>
                <w:sz w:val="24"/>
                <w:szCs w:val="24"/>
                <w:highlight w:val="none"/>
              </w:rPr>
            </w:pPr>
          </w:p>
        </w:tc>
        <w:tc>
          <w:tcPr>
            <w:tcW w:w="1779" w:type="dxa"/>
            <w:tcBorders>
              <w:top w:val="single" w:color="000000" w:sz="4" w:space="0"/>
              <w:left w:val="single" w:color="000000" w:sz="4" w:space="0"/>
              <w:bottom w:val="single" w:color="000000" w:sz="4" w:space="0"/>
              <w:right w:val="single" w:color="000000" w:sz="4" w:space="0"/>
            </w:tcBorders>
            <w:noWrap/>
            <w:vAlign w:val="center"/>
          </w:tcPr>
          <w:p w14:paraId="2EE8CE8D">
            <w:pPr>
              <w:pageBreakBefore w:val="0"/>
              <w:kinsoku/>
              <w:wordWrap/>
              <w:overflowPunct/>
              <w:topLinePunct w:val="0"/>
              <w:autoSpaceDE/>
              <w:autoSpaceDN/>
              <w:bidi w:val="0"/>
              <w:adjustRightInd/>
              <w:snapToGrid/>
              <w:spacing w:line="440" w:lineRule="exact"/>
              <w:rPr>
                <w:rFonts w:hint="eastAsia" w:ascii="宋体" w:hAnsi="宋体" w:eastAsia="宋体" w:cs="宋体"/>
                <w:color w:val="000000"/>
                <w:sz w:val="24"/>
                <w:szCs w:val="24"/>
                <w:highlight w:val="none"/>
              </w:rPr>
            </w:pPr>
          </w:p>
        </w:tc>
        <w:tc>
          <w:tcPr>
            <w:tcW w:w="2242" w:type="dxa"/>
            <w:tcBorders>
              <w:top w:val="single" w:color="000000" w:sz="4" w:space="0"/>
              <w:left w:val="single" w:color="000000" w:sz="4" w:space="0"/>
              <w:bottom w:val="single" w:color="000000" w:sz="4" w:space="0"/>
              <w:right w:val="single" w:color="000000" w:sz="4" w:space="0"/>
            </w:tcBorders>
            <w:noWrap/>
            <w:vAlign w:val="center"/>
          </w:tcPr>
          <w:p w14:paraId="782602EA">
            <w:pPr>
              <w:pageBreakBefore w:val="0"/>
              <w:kinsoku/>
              <w:wordWrap/>
              <w:overflowPunct/>
              <w:topLinePunct w:val="0"/>
              <w:autoSpaceDE/>
              <w:autoSpaceDN/>
              <w:bidi w:val="0"/>
              <w:adjustRightInd/>
              <w:snapToGrid/>
              <w:spacing w:line="440" w:lineRule="exact"/>
              <w:rPr>
                <w:rFonts w:hint="eastAsia" w:ascii="宋体" w:hAnsi="宋体" w:eastAsia="宋体" w:cs="宋体"/>
                <w:color w:val="000000"/>
                <w:sz w:val="24"/>
                <w:szCs w:val="24"/>
                <w:highlight w:val="none"/>
              </w:rPr>
            </w:pPr>
          </w:p>
        </w:tc>
      </w:tr>
    </w:tbl>
    <w:p w14:paraId="00747E93">
      <w:pPr>
        <w:pageBreakBefore w:val="0"/>
        <w:kinsoku/>
        <w:wordWrap/>
        <w:overflowPunct/>
        <w:topLinePunct w:val="0"/>
        <w:autoSpaceDE/>
        <w:autoSpaceDN/>
        <w:bidi w:val="0"/>
        <w:adjustRightInd/>
        <w:snapToGrid/>
        <w:spacing w:line="440" w:lineRule="exact"/>
        <w:rPr>
          <w:rStyle w:val="394"/>
          <w:rFonts w:hint="eastAsia" w:ascii="宋体" w:hAnsi="宋体" w:eastAsia="宋体" w:cs="宋体"/>
          <w:sz w:val="24"/>
          <w:szCs w:val="24"/>
          <w:highlight w:val="none"/>
        </w:rPr>
      </w:pPr>
      <w:bookmarkStart w:id="687" w:name="_Toc21770"/>
      <w:r>
        <w:rPr>
          <w:rStyle w:val="394"/>
          <w:rFonts w:hint="eastAsia" w:ascii="宋体" w:hAnsi="宋体" w:eastAsia="宋体" w:cs="宋体"/>
          <w:sz w:val="24"/>
          <w:szCs w:val="24"/>
          <w:highlight w:val="none"/>
        </w:rPr>
        <w:t>考核部门：</w:t>
      </w:r>
      <w:r>
        <w:rPr>
          <w:rStyle w:val="394"/>
          <w:rFonts w:hint="eastAsia" w:ascii="宋体" w:hAnsi="宋体" w:eastAsia="宋体" w:cs="宋体"/>
          <w:sz w:val="24"/>
          <w:szCs w:val="24"/>
          <w:highlight w:val="none"/>
          <w:lang w:val="en-US" w:eastAsia="zh-CN"/>
        </w:rPr>
        <w:t xml:space="preserve">          </w:t>
      </w:r>
      <w:r>
        <w:rPr>
          <w:rStyle w:val="394"/>
          <w:rFonts w:hint="eastAsia" w:ascii="宋体" w:hAnsi="宋体" w:eastAsia="宋体" w:cs="宋体"/>
          <w:sz w:val="24"/>
          <w:szCs w:val="24"/>
          <w:highlight w:val="none"/>
        </w:rPr>
        <w:t xml:space="preserve"> 经办人：               负责人：</w:t>
      </w:r>
    </w:p>
    <w:bookmarkEnd w:id="687"/>
    <w:p w14:paraId="0C821E1A">
      <w:pPr>
        <w:pageBreakBefore w:val="0"/>
        <w:kinsoku/>
        <w:wordWrap/>
        <w:overflowPunct/>
        <w:topLinePunct w:val="0"/>
        <w:autoSpaceDE/>
        <w:autoSpaceDN/>
        <w:bidi w:val="0"/>
        <w:adjustRightInd/>
        <w:snapToGrid/>
        <w:spacing w:line="440" w:lineRule="exact"/>
        <w:rPr>
          <w:rFonts w:hint="eastAsia" w:ascii="宋体" w:hAnsi="宋体" w:eastAsia="宋体" w:cs="宋体"/>
          <w:sz w:val="24"/>
          <w:szCs w:val="24"/>
          <w:highlight w:val="none"/>
        </w:rPr>
      </w:pPr>
      <w:bookmarkStart w:id="688" w:name="_Toc7969"/>
      <w:r>
        <w:rPr>
          <w:rStyle w:val="394"/>
          <w:rFonts w:hint="eastAsia" w:ascii="宋体" w:hAnsi="宋体" w:eastAsia="宋体" w:cs="宋体"/>
          <w:sz w:val="24"/>
          <w:szCs w:val="24"/>
          <w:highlight w:val="none"/>
        </w:rPr>
        <w:t xml:space="preserve">考核时间：    </w:t>
      </w:r>
      <w:r>
        <w:rPr>
          <w:rStyle w:val="394"/>
          <w:rFonts w:hint="eastAsia" w:ascii="宋体" w:hAnsi="宋体" w:eastAsia="宋体" w:cs="宋体"/>
          <w:sz w:val="24"/>
          <w:szCs w:val="24"/>
          <w:highlight w:val="none"/>
          <w:lang w:val="en-US" w:eastAsia="zh-CN"/>
        </w:rPr>
        <w:t xml:space="preserve"> </w:t>
      </w:r>
      <w:r>
        <w:rPr>
          <w:rStyle w:val="394"/>
          <w:rFonts w:hint="eastAsia" w:ascii="宋体" w:hAnsi="宋体" w:eastAsia="宋体" w:cs="宋体"/>
          <w:sz w:val="24"/>
          <w:szCs w:val="24"/>
          <w:highlight w:val="none"/>
        </w:rPr>
        <w:t xml:space="preserve"> 年   月   日</w:t>
      </w:r>
      <w:bookmarkEnd w:id="688"/>
    </w:p>
    <w:p w14:paraId="07173FB8">
      <w:pPr>
        <w:pStyle w:val="2"/>
        <w:ind w:right="-139" w:rightChars="-66"/>
        <w:rPr>
          <w:rFonts w:hint="eastAsia" w:ascii="宋体" w:hAnsi="宋体" w:eastAsia="宋体" w:cs="宋体"/>
          <w:color w:val="auto"/>
          <w:highlight w:val="none"/>
          <w:lang w:val="en-US" w:eastAsia="zh-CN"/>
        </w:rPr>
        <w:sectPr>
          <w:headerReference r:id="rId19" w:type="default"/>
          <w:footerReference r:id="rId20" w:type="default"/>
          <w:pgSz w:w="11906" w:h="16838"/>
          <w:pgMar w:top="1440" w:right="1266" w:bottom="1440" w:left="154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527"/>
    <w:bookmarkEnd w:id="528"/>
    <w:bookmarkEnd w:id="529"/>
    <w:bookmarkEnd w:id="530"/>
    <w:p w14:paraId="26BE6F2B">
      <w:pPr>
        <w:rPr>
          <w:rFonts w:hint="eastAsia" w:ascii="宋体" w:hAnsi="宋体" w:eastAsia="宋体" w:cs="宋体"/>
          <w:color w:val="auto"/>
          <w:highlight w:val="none"/>
        </w:rPr>
      </w:pPr>
    </w:p>
    <w:p w14:paraId="21385B13">
      <w:pPr>
        <w:rPr>
          <w:rFonts w:hint="eastAsia" w:ascii="宋体" w:hAnsi="宋体" w:eastAsia="宋体" w:cs="宋体"/>
          <w:color w:val="auto"/>
          <w:highlight w:val="none"/>
        </w:rPr>
      </w:pPr>
    </w:p>
    <w:p w14:paraId="176EFBD6">
      <w:pPr>
        <w:rPr>
          <w:rFonts w:hint="eastAsia" w:ascii="宋体" w:hAnsi="宋体" w:eastAsia="宋体" w:cs="宋体"/>
          <w:color w:val="auto"/>
          <w:highlight w:val="none"/>
        </w:rPr>
      </w:pPr>
    </w:p>
    <w:p w14:paraId="1B77D2BC">
      <w:pPr>
        <w:rPr>
          <w:rFonts w:hint="eastAsia" w:ascii="宋体" w:hAnsi="宋体" w:eastAsia="宋体" w:cs="宋体"/>
          <w:color w:val="auto"/>
          <w:highlight w:val="none"/>
        </w:rPr>
      </w:pPr>
    </w:p>
    <w:p w14:paraId="44E20AD5">
      <w:pPr>
        <w:rPr>
          <w:rFonts w:hint="eastAsia" w:ascii="宋体" w:hAnsi="宋体" w:eastAsia="宋体" w:cs="宋体"/>
          <w:color w:val="auto"/>
          <w:highlight w:val="none"/>
        </w:rPr>
      </w:pPr>
    </w:p>
    <w:p w14:paraId="23A78DE3">
      <w:pPr>
        <w:rPr>
          <w:rFonts w:hint="eastAsia" w:ascii="宋体" w:hAnsi="宋体" w:eastAsia="宋体" w:cs="宋体"/>
          <w:color w:val="auto"/>
          <w:highlight w:val="none"/>
        </w:rPr>
      </w:pPr>
      <w:bookmarkStart w:id="689" w:name="_Toc22516"/>
      <w:bookmarkStart w:id="690" w:name="_Toc3980"/>
      <w:bookmarkStart w:id="691" w:name="_Toc7488"/>
    </w:p>
    <w:p w14:paraId="2A0A90C4">
      <w:pPr>
        <w:rPr>
          <w:rFonts w:hint="eastAsia" w:ascii="宋体" w:hAnsi="宋体" w:eastAsia="宋体" w:cs="宋体"/>
          <w:color w:val="auto"/>
          <w:highlight w:val="none"/>
        </w:rPr>
      </w:pPr>
    </w:p>
    <w:p w14:paraId="2754AC0B">
      <w:pPr>
        <w:rPr>
          <w:rFonts w:hint="eastAsia" w:ascii="宋体" w:hAnsi="宋体" w:eastAsia="宋体" w:cs="宋体"/>
          <w:color w:val="auto"/>
          <w:highlight w:val="none"/>
        </w:rPr>
      </w:pPr>
    </w:p>
    <w:p w14:paraId="543B394E">
      <w:pPr>
        <w:rPr>
          <w:rFonts w:hint="eastAsia" w:ascii="宋体" w:hAnsi="宋体" w:eastAsia="宋体" w:cs="宋体"/>
          <w:color w:val="auto"/>
          <w:highlight w:val="none"/>
        </w:rPr>
      </w:pPr>
    </w:p>
    <w:p w14:paraId="4A7D54A6">
      <w:pPr>
        <w:rPr>
          <w:rFonts w:hint="eastAsia" w:ascii="宋体" w:hAnsi="宋体" w:eastAsia="宋体" w:cs="宋体"/>
          <w:color w:val="auto"/>
          <w:highlight w:val="none"/>
        </w:rPr>
      </w:pPr>
    </w:p>
    <w:p w14:paraId="28A46400">
      <w:pPr>
        <w:rPr>
          <w:rFonts w:hint="eastAsia" w:ascii="宋体" w:hAnsi="宋体" w:eastAsia="宋体" w:cs="宋体"/>
          <w:color w:val="auto"/>
          <w:highlight w:val="none"/>
        </w:rPr>
      </w:pPr>
    </w:p>
    <w:p w14:paraId="652D6742">
      <w:pPr>
        <w:rPr>
          <w:rFonts w:hint="eastAsia" w:ascii="宋体" w:hAnsi="宋体" w:eastAsia="宋体" w:cs="宋体"/>
          <w:color w:val="auto"/>
          <w:highlight w:val="none"/>
        </w:rPr>
      </w:pPr>
    </w:p>
    <w:p w14:paraId="6584C793">
      <w:pPr>
        <w:rPr>
          <w:rFonts w:hint="eastAsia" w:ascii="宋体" w:hAnsi="宋体" w:eastAsia="宋体" w:cs="宋体"/>
          <w:color w:val="auto"/>
          <w:highlight w:val="none"/>
        </w:rPr>
      </w:pPr>
    </w:p>
    <w:p w14:paraId="2AB42E36">
      <w:pPr>
        <w:pStyle w:val="3"/>
        <w:rPr>
          <w:rFonts w:hint="eastAsia" w:ascii="宋体" w:hAnsi="宋体" w:eastAsia="宋体" w:cs="宋体"/>
          <w:color w:val="auto"/>
          <w:highlight w:val="none"/>
        </w:rPr>
      </w:pPr>
      <w:bookmarkStart w:id="692" w:name="_Toc9537"/>
      <w:r>
        <w:rPr>
          <w:rFonts w:hint="eastAsia" w:ascii="宋体" w:hAnsi="宋体" w:eastAsia="宋体" w:cs="宋体"/>
          <w:color w:val="auto"/>
          <w:highlight w:val="none"/>
          <w:lang w:eastAsia="zh-CN"/>
        </w:rPr>
        <w:t>第三卷</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格式</w:t>
      </w:r>
      <w:bookmarkEnd w:id="689"/>
      <w:bookmarkEnd w:id="690"/>
      <w:bookmarkEnd w:id="691"/>
      <w:bookmarkEnd w:id="692"/>
    </w:p>
    <w:p w14:paraId="2ED9D9E8">
      <w:pPr>
        <w:ind w:left="17" w:leftChars="8" w:right="-92" w:rightChars="-44" w:firstLine="399" w:firstLineChars="190"/>
        <w:rPr>
          <w:rFonts w:hint="eastAsia" w:ascii="宋体" w:hAnsi="宋体" w:eastAsia="宋体" w:cs="宋体"/>
          <w:color w:val="auto"/>
          <w:highlight w:val="none"/>
        </w:rPr>
      </w:pPr>
      <w:r>
        <w:rPr>
          <w:rFonts w:hint="eastAsia" w:ascii="宋体" w:hAnsi="宋体" w:eastAsia="宋体" w:cs="宋体"/>
          <w:color w:val="auto"/>
          <w:highlight w:val="none"/>
        </w:rPr>
        <w:br w:type="page"/>
      </w:r>
    </w:p>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14:paraId="5163869D">
      <w:pPr>
        <w:spacing w:line="400" w:lineRule="exact"/>
        <w:rPr>
          <w:rFonts w:hint="eastAsia" w:ascii="宋体" w:hAnsi="宋体" w:eastAsia="宋体" w:cs="宋体"/>
          <w:color w:val="auto"/>
          <w:highlight w:val="none"/>
        </w:rPr>
      </w:pPr>
    </w:p>
    <w:p w14:paraId="1120442E">
      <w:pPr>
        <w:spacing w:line="400" w:lineRule="exact"/>
        <w:rPr>
          <w:rFonts w:hint="eastAsia" w:ascii="宋体" w:hAnsi="宋体" w:eastAsia="宋体" w:cs="宋体"/>
          <w:color w:val="auto"/>
          <w:highlight w:val="none"/>
        </w:rPr>
      </w:pPr>
    </w:p>
    <w:p w14:paraId="23B20EC6">
      <w:pPr>
        <w:spacing w:line="400" w:lineRule="exact"/>
        <w:rPr>
          <w:rFonts w:hint="eastAsia" w:ascii="宋体" w:hAnsi="宋体" w:eastAsia="宋体" w:cs="宋体"/>
          <w:color w:val="auto"/>
          <w:highlight w:val="none"/>
        </w:rPr>
      </w:pPr>
    </w:p>
    <w:p w14:paraId="037069A0">
      <w:pPr>
        <w:spacing w:line="400" w:lineRule="exact"/>
        <w:rPr>
          <w:rFonts w:hint="eastAsia" w:ascii="宋体" w:hAnsi="宋体" w:eastAsia="宋体" w:cs="宋体"/>
          <w:color w:val="auto"/>
          <w:highlight w:val="none"/>
        </w:rPr>
      </w:pPr>
    </w:p>
    <w:p w14:paraId="751460DF">
      <w:pPr>
        <w:jc w:val="center"/>
        <w:rPr>
          <w:rFonts w:hint="eastAsia" w:ascii="宋体" w:hAnsi="宋体" w:eastAsia="宋体" w:cs="宋体"/>
          <w:b/>
          <w:bCs/>
          <w:color w:val="auto"/>
          <w:sz w:val="36"/>
          <w:szCs w:val="36"/>
          <w:highlight w:val="none"/>
          <w:lang w:val="en-US" w:eastAsia="zh-CN"/>
        </w:rPr>
      </w:pPr>
      <w:bookmarkStart w:id="693" w:name="_Toc16566_WPSOffice_Level2"/>
      <w:bookmarkStart w:id="694" w:name="_Toc30967_WPSOffice_Level2"/>
      <w:bookmarkStart w:id="695" w:name="_Toc16976_WPSOffice_Level2"/>
      <w:r>
        <w:rPr>
          <w:rFonts w:hint="eastAsia" w:ascii="宋体" w:hAnsi="宋体" w:eastAsia="宋体" w:cs="宋体"/>
          <w:b/>
          <w:bCs/>
          <w:color w:val="auto"/>
          <w:sz w:val="36"/>
          <w:szCs w:val="36"/>
          <w:highlight w:val="none"/>
          <w:lang w:val="en-US" w:eastAsia="zh-CN"/>
        </w:rPr>
        <w:t>南通轨道资源开发有限公司文创产品生产制作年度供应商库项目（2026—2028年）</w:t>
      </w:r>
    </w:p>
    <w:p w14:paraId="39FD33C5">
      <w:pPr>
        <w:jc w:val="center"/>
        <w:rPr>
          <w:rFonts w:hint="eastAsia" w:ascii="宋体" w:hAnsi="宋体" w:eastAsia="宋体" w:cs="宋体"/>
          <w:b/>
          <w:color w:val="auto"/>
          <w:sz w:val="36"/>
          <w:szCs w:val="36"/>
          <w:highlight w:val="none"/>
        </w:rPr>
      </w:pPr>
    </w:p>
    <w:p w14:paraId="1800D373">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（资格审查文件）</w:t>
      </w:r>
      <w:bookmarkEnd w:id="693"/>
      <w:bookmarkEnd w:id="694"/>
      <w:bookmarkEnd w:id="695"/>
    </w:p>
    <w:p w14:paraId="35156DF7">
      <w:pPr>
        <w:spacing w:line="800" w:lineRule="exact"/>
        <w:rPr>
          <w:rFonts w:hint="eastAsia" w:ascii="宋体" w:hAnsi="宋体" w:eastAsia="宋体" w:cs="宋体"/>
          <w:color w:val="auto"/>
          <w:sz w:val="32"/>
          <w:highlight w:val="none"/>
        </w:rPr>
      </w:pPr>
    </w:p>
    <w:p w14:paraId="71408F81">
      <w:pPr>
        <w:spacing w:line="800" w:lineRule="exact"/>
        <w:rPr>
          <w:rFonts w:hint="eastAsia" w:ascii="宋体" w:hAnsi="宋体" w:eastAsia="宋体" w:cs="宋体"/>
          <w:color w:val="auto"/>
          <w:sz w:val="32"/>
          <w:highlight w:val="none"/>
        </w:rPr>
      </w:pPr>
    </w:p>
    <w:p w14:paraId="602C2CCA">
      <w:pPr>
        <w:spacing w:line="800" w:lineRule="exact"/>
        <w:rPr>
          <w:rFonts w:hint="eastAsia" w:ascii="宋体" w:hAnsi="宋体" w:eastAsia="宋体" w:cs="宋体"/>
          <w:color w:val="auto"/>
          <w:sz w:val="32"/>
          <w:highlight w:val="none"/>
        </w:rPr>
      </w:pPr>
    </w:p>
    <w:p w14:paraId="31D7C2BE">
      <w:pPr>
        <w:spacing w:line="800" w:lineRule="exact"/>
        <w:rPr>
          <w:rFonts w:hint="eastAsia" w:ascii="宋体" w:hAnsi="宋体" w:eastAsia="宋体" w:cs="宋体"/>
          <w:color w:val="auto"/>
          <w:sz w:val="32"/>
          <w:highlight w:val="none"/>
        </w:rPr>
      </w:pPr>
    </w:p>
    <w:p w14:paraId="202EE7AE">
      <w:pPr>
        <w:spacing w:line="800" w:lineRule="exact"/>
        <w:rPr>
          <w:rFonts w:hint="eastAsia" w:ascii="宋体" w:hAnsi="宋体" w:eastAsia="宋体" w:cs="宋体"/>
          <w:color w:val="auto"/>
          <w:sz w:val="32"/>
          <w:highlight w:val="none"/>
        </w:rPr>
      </w:pPr>
    </w:p>
    <w:p w14:paraId="74658FF2">
      <w:pPr>
        <w:spacing w:line="800" w:lineRule="exact"/>
        <w:rPr>
          <w:rFonts w:hint="eastAsia" w:ascii="宋体" w:hAnsi="宋体" w:eastAsia="宋体" w:cs="宋体"/>
          <w:color w:val="auto"/>
          <w:sz w:val="32"/>
          <w:highlight w:val="none"/>
        </w:rPr>
      </w:pPr>
    </w:p>
    <w:p w14:paraId="23A367C0">
      <w:pPr>
        <w:spacing w:line="800" w:lineRule="exact"/>
        <w:ind w:firstLine="1897" w:firstLineChars="675"/>
        <w:rPr>
          <w:rFonts w:hint="eastAsia" w:ascii="宋体" w:hAnsi="宋体" w:eastAsia="宋体" w:cs="宋体"/>
          <w:b/>
          <w:color w:val="auto"/>
          <w:sz w:val="28"/>
          <w:szCs w:val="28"/>
          <w:highlight w:val="none"/>
        </w:rPr>
      </w:pPr>
      <w:bookmarkStart w:id="696" w:name="_Toc25067_WPSOffice_Level3"/>
      <w:bookmarkStart w:id="697" w:name="_Toc22742_WPSOffice_Level3"/>
      <w:bookmarkStart w:id="698" w:name="_Toc25691_WPSOffice_Level3"/>
    </w:p>
    <w:bookmarkEnd w:id="696"/>
    <w:bookmarkEnd w:id="697"/>
    <w:bookmarkEnd w:id="698"/>
    <w:p w14:paraId="5C105283">
      <w:pPr>
        <w:spacing w:line="800" w:lineRule="exact"/>
        <w:ind w:firstLine="1897" w:firstLineChars="675"/>
        <w:rPr>
          <w:rFonts w:hint="eastAsia" w:ascii="宋体" w:hAnsi="宋体" w:eastAsia="宋体" w:cs="宋体"/>
          <w:b/>
          <w:color w:val="auto"/>
          <w:sz w:val="28"/>
          <w:szCs w:val="28"/>
          <w:highlight w:val="none"/>
        </w:rPr>
      </w:pPr>
    </w:p>
    <w:p w14:paraId="2B590AE8">
      <w:pPr>
        <w:spacing w:line="800" w:lineRule="exact"/>
        <w:ind w:firstLine="1897" w:firstLineChars="675"/>
        <w:rPr>
          <w:rFonts w:hint="eastAsia" w:ascii="宋体" w:hAnsi="宋体" w:eastAsia="宋体" w:cs="宋体"/>
          <w:b/>
          <w:color w:val="auto"/>
          <w:sz w:val="28"/>
          <w:szCs w:val="28"/>
          <w:highlight w:val="none"/>
          <w:u w:val="single"/>
        </w:rPr>
      </w:pPr>
      <w:bookmarkStart w:id="699" w:name="_Toc18552_WPSOffice_Level3"/>
      <w:bookmarkStart w:id="700" w:name="_Toc18332_WPSOffice_Level3"/>
      <w:bookmarkStart w:id="701" w:name="_Toc18032_WPSOffice_Level3"/>
      <w:r>
        <w:rPr>
          <w:rFonts w:hint="eastAsia" w:ascii="宋体" w:hAnsi="宋体" w:eastAsia="宋体" w:cs="宋体"/>
          <w:b/>
          <w:color w:val="auto"/>
          <w:sz w:val="28"/>
          <w:szCs w:val="28"/>
          <w:highlight w:val="none"/>
          <w:lang w:val="en-US" w:eastAsia="zh-CN"/>
        </w:rPr>
        <w:t>参</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选</w:t>
      </w:r>
      <w:r>
        <w:rPr>
          <w:rFonts w:hint="eastAsia" w:ascii="宋体" w:hAnsi="宋体" w:eastAsia="宋体" w:cs="宋体"/>
          <w:b/>
          <w:color w:val="auto"/>
          <w:sz w:val="28"/>
          <w:szCs w:val="28"/>
          <w:highlight w:val="none"/>
        </w:rPr>
        <w:t xml:space="preserve"> 人: </w:t>
      </w:r>
      <w:r>
        <w:rPr>
          <w:rFonts w:hint="eastAsia" w:ascii="宋体" w:hAnsi="宋体" w:eastAsia="宋体" w:cs="宋体"/>
          <w:b/>
          <w:color w:val="auto"/>
          <w:sz w:val="28"/>
          <w:szCs w:val="28"/>
          <w:highlight w:val="none"/>
          <w:u w:val="single"/>
        </w:rPr>
        <w:t xml:space="preserve">      （全称）（盖章）    </w:t>
      </w:r>
    </w:p>
    <w:p w14:paraId="6A93FADB">
      <w:pPr>
        <w:spacing w:line="800" w:lineRule="exact"/>
        <w:ind w:firstLine="1897" w:firstLineChars="675"/>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法定代表人：</w:t>
      </w:r>
      <w:r>
        <w:rPr>
          <w:rFonts w:hint="eastAsia" w:ascii="宋体" w:hAnsi="宋体" w:eastAsia="宋体" w:cs="宋体"/>
          <w:b/>
          <w:color w:val="auto"/>
          <w:sz w:val="28"/>
          <w:szCs w:val="28"/>
          <w:highlight w:val="none"/>
          <w:u w:val="single"/>
        </w:rPr>
        <w:t xml:space="preserve">      （签字或盖章）</w:t>
      </w:r>
      <w:bookmarkEnd w:id="699"/>
      <w:bookmarkEnd w:id="700"/>
      <w:bookmarkEnd w:id="701"/>
      <w:r>
        <w:rPr>
          <w:rFonts w:hint="eastAsia" w:ascii="宋体" w:hAnsi="宋体" w:eastAsia="宋体" w:cs="宋体"/>
          <w:b/>
          <w:color w:val="auto"/>
          <w:sz w:val="28"/>
          <w:szCs w:val="28"/>
          <w:highlight w:val="none"/>
          <w:u w:val="single"/>
        </w:rPr>
        <w:t xml:space="preserve">    </w:t>
      </w:r>
    </w:p>
    <w:p w14:paraId="0D8DFB77">
      <w:pPr>
        <w:spacing w:line="800" w:lineRule="exact"/>
        <w:ind w:firstLine="1897" w:firstLineChars="675"/>
        <w:rPr>
          <w:rFonts w:hint="eastAsia" w:ascii="宋体" w:hAnsi="宋体" w:eastAsia="宋体" w:cs="宋体"/>
          <w:b/>
          <w:color w:val="auto"/>
          <w:sz w:val="28"/>
          <w:szCs w:val="28"/>
          <w:highlight w:val="none"/>
        </w:rPr>
      </w:pPr>
      <w:bookmarkStart w:id="702" w:name="_Toc21222_WPSOffice_Level3"/>
      <w:bookmarkStart w:id="703" w:name="_Toc6448_WPSOffice_Level3"/>
      <w:bookmarkStart w:id="704" w:name="_Toc30546_WPSOffice_Level3"/>
      <w:r>
        <w:rPr>
          <w:rFonts w:hint="eastAsia" w:ascii="宋体" w:hAnsi="宋体" w:eastAsia="宋体" w:cs="宋体"/>
          <w:b/>
          <w:color w:val="auto"/>
          <w:sz w:val="28"/>
          <w:szCs w:val="28"/>
          <w:highlight w:val="none"/>
        </w:rPr>
        <w:t>时    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月</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日</w:t>
      </w:r>
      <w:bookmarkEnd w:id="702"/>
      <w:bookmarkEnd w:id="703"/>
      <w:bookmarkEnd w:id="704"/>
    </w:p>
    <w:p w14:paraId="68CD4569">
      <w:pPr>
        <w:rPr>
          <w:rFonts w:hint="eastAsia" w:ascii="宋体" w:hAnsi="宋体" w:eastAsia="宋体" w:cs="宋体"/>
          <w:color w:val="auto"/>
          <w:szCs w:val="28"/>
          <w:highlight w:val="none"/>
        </w:rPr>
      </w:pPr>
      <w:bookmarkStart w:id="705" w:name="_Hlt117927992"/>
      <w:bookmarkEnd w:id="705"/>
      <w:bookmarkStart w:id="706" w:name="_Hlt107126341"/>
      <w:bookmarkEnd w:id="706"/>
      <w:bookmarkStart w:id="707" w:name="_Hlt107371569"/>
      <w:bookmarkEnd w:id="707"/>
      <w:bookmarkStart w:id="708" w:name="_Hlt107215896"/>
      <w:bookmarkEnd w:id="708"/>
      <w:bookmarkStart w:id="709" w:name="_Hlt117927990"/>
      <w:bookmarkEnd w:id="709"/>
      <w:bookmarkStart w:id="710" w:name="_Hlt108338257"/>
      <w:bookmarkEnd w:id="710"/>
      <w:bookmarkStart w:id="711" w:name="_Hlt110758833"/>
      <w:bookmarkEnd w:id="711"/>
      <w:bookmarkStart w:id="712" w:name="_Toc17147"/>
      <w:bookmarkStart w:id="713" w:name="_Toc32363_WPSOffice_Level3"/>
      <w:bookmarkStart w:id="714" w:name="_Toc16581_WPSOffice_Level3"/>
      <w:bookmarkStart w:id="715" w:name="_Toc11480"/>
      <w:bookmarkStart w:id="716" w:name="_Toc20169"/>
      <w:bookmarkStart w:id="717" w:name="_Toc17657"/>
      <w:bookmarkStart w:id="718" w:name="_Toc25660"/>
      <w:bookmarkStart w:id="719" w:name="_Toc10713"/>
      <w:bookmarkStart w:id="720" w:name="_Toc6179_WPSOffice_Level3"/>
      <w:bookmarkStart w:id="721" w:name="_Toc12943"/>
      <w:bookmarkStart w:id="722" w:name="_Toc16478"/>
      <w:bookmarkStart w:id="723" w:name="_Toc184635137"/>
      <w:bookmarkStart w:id="724" w:name="_Toc20681"/>
      <w:bookmarkStart w:id="725" w:name="_Toc15095"/>
      <w:bookmarkStart w:id="726" w:name="_Toc10341"/>
      <w:bookmarkStart w:id="727" w:name="_Toc31253"/>
      <w:r>
        <w:rPr>
          <w:rFonts w:hint="eastAsia" w:ascii="宋体" w:hAnsi="宋体" w:eastAsia="宋体" w:cs="宋体"/>
          <w:color w:val="auto"/>
          <w:szCs w:val="28"/>
          <w:highlight w:val="none"/>
        </w:rPr>
        <w:br w:type="page"/>
      </w:r>
    </w:p>
    <w:p w14:paraId="53BD60A4">
      <w:pPr>
        <w:pStyle w:val="2"/>
        <w:jc w:val="center"/>
        <w:rPr>
          <w:rFonts w:hint="eastAsia" w:ascii="宋体" w:hAnsi="宋体" w:eastAsia="宋体" w:cs="宋体"/>
          <w:color w:val="auto"/>
          <w:szCs w:val="28"/>
          <w:highlight w:val="none"/>
        </w:rPr>
      </w:pPr>
      <w:bookmarkStart w:id="728" w:name="_Toc22118"/>
      <w:r>
        <w:rPr>
          <w:rFonts w:hint="eastAsia" w:ascii="宋体" w:hAnsi="宋体" w:eastAsia="宋体" w:cs="宋体"/>
          <w:color w:val="auto"/>
          <w:szCs w:val="28"/>
          <w:highlight w:val="none"/>
        </w:rPr>
        <w:t>目  录</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14:paraId="7EBDB20B">
      <w:pPr>
        <w:rPr>
          <w:rFonts w:hint="eastAsia" w:ascii="宋体" w:hAnsi="宋体" w:eastAsia="宋体" w:cs="宋体"/>
          <w:color w:val="auto"/>
          <w:highlight w:val="none"/>
        </w:rPr>
      </w:pPr>
      <w:bookmarkStart w:id="729" w:name="_Toc14117_WPSOffice_Level3"/>
      <w:bookmarkStart w:id="730" w:name="_Toc25880_WPSOffice_Level3"/>
      <w:bookmarkStart w:id="731" w:name="_Toc218710262"/>
    </w:p>
    <w:p w14:paraId="4C1D5FC8">
      <w:pPr>
        <w:rPr>
          <w:rFonts w:hint="eastAsia" w:ascii="宋体" w:hAnsi="宋体" w:eastAsia="宋体" w:cs="宋体"/>
          <w:color w:val="auto"/>
          <w:highlight w:val="none"/>
        </w:rPr>
      </w:pPr>
      <w:r>
        <w:rPr>
          <w:rFonts w:hint="eastAsia" w:ascii="宋体" w:hAnsi="宋体" w:eastAsia="宋体" w:cs="宋体"/>
          <w:color w:val="auto"/>
          <w:highlight w:val="none"/>
        </w:rPr>
        <w:t>一</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法定代表人身份证明或其授权委托书</w:t>
      </w:r>
      <w:bookmarkEnd w:id="729"/>
      <w:bookmarkEnd w:id="730"/>
    </w:p>
    <w:p w14:paraId="07B66BBD">
      <w:pPr>
        <w:rPr>
          <w:rFonts w:hint="eastAsia" w:ascii="宋体" w:hAnsi="宋体" w:eastAsia="宋体" w:cs="宋体"/>
          <w:color w:val="auto"/>
          <w:highlight w:val="none"/>
        </w:rPr>
      </w:pPr>
      <w:bookmarkStart w:id="732" w:name="_Toc18864_WPSOffice_Level3"/>
      <w:bookmarkStart w:id="733" w:name="_Toc30089_WPSOffice_Level3"/>
      <w:r>
        <w:rPr>
          <w:rFonts w:hint="eastAsia" w:ascii="宋体" w:hAnsi="宋体" w:eastAsia="宋体" w:cs="宋体"/>
          <w:color w:val="auto"/>
          <w:highlight w:val="none"/>
        </w:rPr>
        <w:t>二</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基本情况表</w:t>
      </w:r>
    </w:p>
    <w:p w14:paraId="300BBEDD">
      <w:pP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三</w:t>
      </w:r>
      <w:bookmarkEnd w:id="732"/>
      <w:bookmarkEnd w:id="733"/>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参选人业绩</w:t>
      </w:r>
    </w:p>
    <w:p w14:paraId="5CE7D803">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四、</w:t>
      </w:r>
      <w:r>
        <w:rPr>
          <w:rFonts w:hint="eastAsia" w:ascii="宋体" w:hAnsi="宋体" w:eastAsia="宋体" w:cs="宋体"/>
          <w:color w:val="auto"/>
          <w:highlight w:val="none"/>
        </w:rPr>
        <w:t>承诺书</w:t>
      </w:r>
    </w:p>
    <w:p w14:paraId="5CE7B936">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参选人自行编制目录页码</w:t>
      </w:r>
      <w:r>
        <w:rPr>
          <w:rFonts w:hint="eastAsia" w:ascii="宋体" w:hAnsi="宋体" w:eastAsia="宋体" w:cs="宋体"/>
          <w:color w:val="auto"/>
          <w:highlight w:val="none"/>
          <w:lang w:eastAsia="zh-CN"/>
        </w:rPr>
        <w:t>）</w:t>
      </w:r>
    </w:p>
    <w:p w14:paraId="522183D5">
      <w:pPr>
        <w:rPr>
          <w:rFonts w:hint="eastAsia" w:ascii="宋体" w:hAnsi="宋体" w:eastAsia="宋体" w:cs="宋体"/>
          <w:color w:val="auto"/>
          <w:highlight w:val="none"/>
        </w:rPr>
      </w:pPr>
    </w:p>
    <w:p w14:paraId="356BBD00">
      <w:pPr>
        <w:rPr>
          <w:rFonts w:hint="eastAsia" w:ascii="宋体" w:hAnsi="宋体" w:eastAsia="宋体" w:cs="宋体"/>
          <w:color w:val="auto"/>
          <w:highlight w:val="none"/>
        </w:rPr>
      </w:pPr>
      <w:r>
        <w:rPr>
          <w:rFonts w:hint="eastAsia" w:ascii="宋体" w:hAnsi="宋体" w:eastAsia="宋体" w:cs="宋体"/>
          <w:color w:val="auto"/>
          <w:szCs w:val="28"/>
          <w:highlight w:val="none"/>
        </w:rPr>
        <w:br w:type="page"/>
      </w:r>
      <w:bookmarkEnd w:id="731"/>
      <w:bookmarkStart w:id="734" w:name="_Toc4544"/>
      <w:bookmarkStart w:id="735" w:name="_Toc31902"/>
      <w:bookmarkStart w:id="736" w:name="_Toc9153_WPSOffice_Level2"/>
      <w:bookmarkStart w:id="737" w:name="_Toc28487"/>
      <w:bookmarkStart w:id="738" w:name="_Toc18247"/>
      <w:bookmarkStart w:id="739" w:name="_Toc27388_WPSOffice_Level2"/>
      <w:bookmarkStart w:id="740" w:name="_Toc6943"/>
    </w:p>
    <w:p w14:paraId="55E7C3FD">
      <w:pPr>
        <w:pStyle w:val="2"/>
        <w:jc w:val="center"/>
        <w:rPr>
          <w:rFonts w:hint="eastAsia" w:ascii="宋体" w:hAnsi="宋体" w:eastAsia="宋体" w:cs="宋体"/>
          <w:b/>
          <w:bCs/>
          <w:color w:val="auto"/>
          <w:highlight w:val="none"/>
        </w:rPr>
      </w:pPr>
      <w:bookmarkStart w:id="741" w:name="_Toc9079"/>
      <w:bookmarkStart w:id="742" w:name="_Toc26699"/>
      <w:bookmarkStart w:id="743" w:name="_Toc23565"/>
      <w:bookmarkStart w:id="744" w:name="_Toc14693"/>
      <w:bookmarkStart w:id="745" w:name="_Toc23909"/>
      <w:bookmarkStart w:id="746" w:name="_Toc26206"/>
      <w:r>
        <w:rPr>
          <w:rFonts w:hint="eastAsia" w:ascii="宋体" w:hAnsi="宋体" w:eastAsia="宋体" w:cs="宋体"/>
          <w:b/>
          <w:bCs/>
          <w:color w:val="auto"/>
          <w:highlight w:val="none"/>
        </w:rPr>
        <w:t>一</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法定代表人身份证明或其授权委托书</w:t>
      </w:r>
      <w:bookmarkEnd w:id="734"/>
      <w:bookmarkEnd w:id="735"/>
      <w:bookmarkEnd w:id="736"/>
      <w:bookmarkEnd w:id="737"/>
      <w:bookmarkEnd w:id="738"/>
      <w:bookmarkEnd w:id="739"/>
      <w:bookmarkEnd w:id="740"/>
      <w:bookmarkEnd w:id="741"/>
      <w:bookmarkEnd w:id="742"/>
      <w:bookmarkEnd w:id="743"/>
      <w:bookmarkEnd w:id="744"/>
      <w:bookmarkEnd w:id="745"/>
      <w:bookmarkEnd w:id="746"/>
    </w:p>
    <w:p w14:paraId="7D52403C">
      <w:pPr>
        <w:jc w:val="center"/>
        <w:rPr>
          <w:rFonts w:hint="eastAsia" w:ascii="宋体" w:hAnsi="宋体" w:eastAsia="宋体" w:cs="宋体"/>
          <w:b/>
          <w:color w:val="auto"/>
          <w:sz w:val="24"/>
          <w:szCs w:val="24"/>
          <w:highlight w:val="none"/>
        </w:rPr>
      </w:pPr>
      <w:bookmarkStart w:id="747" w:name="_Toc18350_WPSOffice_Level3"/>
      <w:bookmarkStart w:id="748" w:name="_Toc17327_WPSOffice_Level3"/>
      <w:r>
        <w:rPr>
          <w:rFonts w:hint="eastAsia" w:ascii="宋体" w:hAnsi="宋体" w:eastAsia="宋体" w:cs="宋体"/>
          <w:b/>
          <w:color w:val="auto"/>
          <w:sz w:val="24"/>
          <w:szCs w:val="24"/>
          <w:highlight w:val="none"/>
        </w:rPr>
        <w:t>（一）法定代表人资格证明书</w:t>
      </w:r>
      <w:bookmarkEnd w:id="747"/>
      <w:bookmarkEnd w:id="748"/>
    </w:p>
    <w:p w14:paraId="7C1E233B">
      <w:pPr>
        <w:adjustRightInd w:val="0"/>
        <w:snapToGrid w:val="0"/>
        <w:ind w:firstLine="480" w:firstLineChars="200"/>
        <w:rPr>
          <w:rFonts w:hint="eastAsia" w:ascii="宋体" w:hAnsi="宋体" w:eastAsia="宋体" w:cs="宋体"/>
          <w:color w:val="auto"/>
          <w:sz w:val="24"/>
          <w:highlight w:val="none"/>
        </w:rPr>
      </w:pPr>
    </w:p>
    <w:p w14:paraId="312AE4F7">
      <w:p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名称：</w:t>
      </w:r>
      <w:r>
        <w:rPr>
          <w:rFonts w:hint="eastAsia" w:ascii="宋体" w:hAnsi="宋体" w:eastAsia="宋体" w:cs="宋体"/>
          <w:color w:val="auto"/>
          <w:highlight w:val="none"/>
          <w:u w:val="single"/>
        </w:rPr>
        <w:t xml:space="preserve">                                </w:t>
      </w:r>
    </w:p>
    <w:p w14:paraId="111B2018">
      <w:pPr>
        <w:adjustRightInd w:val="0"/>
        <w:snapToGrid w:val="0"/>
        <w:ind w:firstLine="420" w:firstLineChars="200"/>
        <w:rPr>
          <w:rFonts w:hint="eastAsia" w:ascii="宋体" w:hAnsi="宋体" w:eastAsia="宋体" w:cs="宋体"/>
          <w:color w:val="auto"/>
          <w:highlight w:val="none"/>
        </w:rPr>
      </w:pPr>
    </w:p>
    <w:p w14:paraId="33C14A4A">
      <w:p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地址：</w:t>
      </w:r>
      <w:r>
        <w:rPr>
          <w:rFonts w:hint="eastAsia" w:ascii="宋体" w:hAnsi="宋体" w:eastAsia="宋体" w:cs="宋体"/>
          <w:color w:val="auto"/>
          <w:highlight w:val="none"/>
          <w:u w:val="single"/>
        </w:rPr>
        <w:t xml:space="preserve">                                      </w:t>
      </w:r>
    </w:p>
    <w:p w14:paraId="1C0D8EBF">
      <w:pPr>
        <w:adjustRightInd w:val="0"/>
        <w:snapToGrid w:val="0"/>
        <w:ind w:firstLine="420" w:firstLineChars="200"/>
        <w:rPr>
          <w:rFonts w:hint="eastAsia" w:ascii="宋体" w:hAnsi="宋体" w:eastAsia="宋体" w:cs="宋体"/>
          <w:color w:val="auto"/>
          <w:highlight w:val="none"/>
        </w:rPr>
      </w:pPr>
    </w:p>
    <w:p w14:paraId="2028DEDA">
      <w:p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性别：</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职务：</w:t>
      </w:r>
      <w:r>
        <w:rPr>
          <w:rFonts w:hint="eastAsia" w:ascii="宋体" w:hAnsi="宋体" w:eastAsia="宋体" w:cs="宋体"/>
          <w:color w:val="auto"/>
          <w:highlight w:val="none"/>
          <w:u w:val="single"/>
        </w:rPr>
        <w:t xml:space="preserve">           </w:t>
      </w:r>
    </w:p>
    <w:p w14:paraId="7AC1E75B">
      <w:pPr>
        <w:adjustRightInd w:val="0"/>
        <w:snapToGrid w:val="0"/>
        <w:ind w:firstLine="420" w:firstLineChars="200"/>
        <w:rPr>
          <w:rFonts w:hint="eastAsia" w:ascii="宋体" w:hAnsi="宋体" w:eastAsia="宋体" w:cs="宋体"/>
          <w:color w:val="auto"/>
          <w:highlight w:val="none"/>
        </w:rPr>
      </w:pPr>
    </w:p>
    <w:p w14:paraId="530BE13A">
      <w:p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参选人</w:t>
      </w:r>
      <w:r>
        <w:rPr>
          <w:rFonts w:hint="eastAsia" w:ascii="宋体" w:hAnsi="宋体" w:eastAsia="宋体" w:cs="宋体"/>
          <w:color w:val="auto"/>
          <w:highlight w:val="none"/>
          <w:u w:val="single"/>
        </w:rPr>
        <w:t xml:space="preserve">名称）                       </w:t>
      </w:r>
      <w:r>
        <w:rPr>
          <w:rFonts w:hint="eastAsia" w:ascii="宋体" w:hAnsi="宋体" w:eastAsia="宋体" w:cs="宋体"/>
          <w:color w:val="auto"/>
          <w:highlight w:val="none"/>
        </w:rPr>
        <w:t>的法定代表人。</w:t>
      </w:r>
    </w:p>
    <w:p w14:paraId="2F201C86">
      <w:pPr>
        <w:adjustRightInd w:val="0"/>
        <w:snapToGrid w:val="0"/>
        <w:ind w:firstLine="420" w:firstLineChars="200"/>
        <w:rPr>
          <w:rFonts w:hint="eastAsia" w:ascii="宋体" w:hAnsi="宋体" w:eastAsia="宋体" w:cs="宋体"/>
          <w:color w:val="auto"/>
          <w:highlight w:val="none"/>
        </w:rPr>
      </w:pPr>
    </w:p>
    <w:p w14:paraId="55CF28AD">
      <w:p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特此证明。</w:t>
      </w:r>
    </w:p>
    <w:p w14:paraId="4C929C95">
      <w:pPr>
        <w:adjustRightInd w:val="0"/>
        <w:snapToGrid w:val="0"/>
        <w:ind w:firstLine="420" w:firstLineChars="200"/>
        <w:rPr>
          <w:rFonts w:hint="eastAsia" w:ascii="宋体" w:hAnsi="宋体" w:eastAsia="宋体" w:cs="宋体"/>
          <w:color w:val="auto"/>
          <w:highlight w:val="none"/>
        </w:rPr>
      </w:pPr>
    </w:p>
    <w:p w14:paraId="72807EDD">
      <w:pPr>
        <w:adjustRightInd w:val="0"/>
        <w:snapToGrid w:val="0"/>
        <w:ind w:firstLine="420" w:firstLineChars="200"/>
        <w:rPr>
          <w:rFonts w:hint="eastAsia" w:ascii="宋体" w:hAnsi="宋体" w:eastAsia="宋体" w:cs="宋体"/>
          <w:color w:val="auto"/>
          <w:highlight w:val="none"/>
        </w:rPr>
      </w:pPr>
    </w:p>
    <w:p w14:paraId="71C1F127">
      <w:pPr>
        <w:adjustRightInd w:val="0"/>
        <w:snapToGrid w:val="0"/>
        <w:ind w:firstLine="420" w:firstLineChars="200"/>
        <w:rPr>
          <w:rFonts w:hint="eastAsia" w:ascii="宋体" w:hAnsi="宋体" w:eastAsia="宋体" w:cs="宋体"/>
          <w:color w:val="auto"/>
          <w:highlight w:val="none"/>
        </w:rPr>
      </w:pPr>
    </w:p>
    <w:p w14:paraId="631444FF">
      <w:pPr>
        <w:adjustRightInd w:val="0"/>
        <w:snapToGrid w:val="0"/>
        <w:ind w:firstLine="420" w:firstLineChars="200"/>
        <w:rPr>
          <w:rFonts w:hint="eastAsia" w:ascii="宋体" w:hAnsi="宋体" w:eastAsia="宋体" w:cs="宋体"/>
          <w:color w:val="auto"/>
          <w:highlight w:val="none"/>
        </w:rPr>
      </w:pPr>
    </w:p>
    <w:p w14:paraId="35B1B9D6">
      <w:p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：（盖章）</w:t>
      </w:r>
    </w:p>
    <w:p w14:paraId="2A344B9E">
      <w:pPr>
        <w:adjustRightInd w:val="0"/>
        <w:snapToGrid w:val="0"/>
        <w:ind w:firstLine="420" w:firstLineChars="200"/>
        <w:rPr>
          <w:rFonts w:hint="eastAsia" w:ascii="宋体" w:hAnsi="宋体" w:eastAsia="宋体" w:cs="宋体"/>
          <w:color w:val="auto"/>
          <w:highlight w:val="none"/>
        </w:rPr>
      </w:pPr>
    </w:p>
    <w:p w14:paraId="6BA4AC6E">
      <w:p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法定代表人：（签字）                            </w:t>
      </w:r>
    </w:p>
    <w:p w14:paraId="3BE1F33F">
      <w:pPr>
        <w:adjustRightInd w:val="0"/>
        <w:snapToGrid w:val="0"/>
        <w:ind w:firstLine="420" w:firstLineChars="200"/>
        <w:rPr>
          <w:rFonts w:hint="eastAsia" w:ascii="宋体" w:hAnsi="宋体" w:eastAsia="宋体" w:cs="宋体"/>
          <w:color w:val="auto"/>
          <w:highlight w:val="none"/>
        </w:rPr>
      </w:pPr>
    </w:p>
    <w:p w14:paraId="2CEAC484">
      <w:p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日期：   年   月   日</w:t>
      </w:r>
    </w:p>
    <w:p w14:paraId="18F12C7B">
      <w:pPr>
        <w:adjustRightInd w:val="0"/>
        <w:snapToGrid w:val="0"/>
        <w:ind w:firstLine="420" w:firstLineChars="200"/>
        <w:rPr>
          <w:rFonts w:hint="eastAsia" w:ascii="宋体" w:hAnsi="宋体" w:eastAsia="宋体" w:cs="宋体"/>
          <w:color w:val="auto"/>
          <w:highlight w:val="none"/>
        </w:rPr>
      </w:pPr>
    </w:p>
    <w:p w14:paraId="1D679F93">
      <w:pPr>
        <w:adjustRightInd w:val="0"/>
        <w:snapToGrid w:val="0"/>
        <w:ind w:firstLine="420" w:firstLineChars="200"/>
        <w:rPr>
          <w:rFonts w:hint="eastAsia" w:ascii="宋体" w:hAnsi="宋体" w:eastAsia="宋体" w:cs="宋体"/>
          <w:color w:val="auto"/>
          <w:highlight w:val="none"/>
        </w:rPr>
      </w:pPr>
    </w:p>
    <w:p w14:paraId="4D19094E">
      <w:pPr>
        <w:adjustRightInd w:val="0"/>
        <w:snapToGrid w:val="0"/>
        <w:ind w:firstLine="420" w:firstLineChars="200"/>
        <w:rPr>
          <w:rFonts w:hint="eastAsia" w:ascii="宋体" w:hAnsi="宋体" w:eastAsia="宋体" w:cs="宋体"/>
          <w:color w:val="auto"/>
          <w:highlight w:val="none"/>
        </w:rPr>
      </w:pPr>
    </w:p>
    <w:p w14:paraId="0A11E57C">
      <w:pPr>
        <w:topLinePunct/>
        <w:adjustRightInd w:val="0"/>
        <w:snapToGrid w:val="0"/>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附：法定代表人身份证双面复印件。</w:t>
      </w:r>
    </w:p>
    <w:p w14:paraId="4D1B0E5B">
      <w:pPr>
        <w:jc w:val="center"/>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br w:type="page"/>
      </w:r>
      <w:bookmarkStart w:id="749" w:name="_Toc2932_WPSOffice_Level3"/>
      <w:bookmarkStart w:id="750" w:name="_Toc21175_WPSOffice_Level3"/>
      <w:r>
        <w:rPr>
          <w:rFonts w:hint="eastAsia" w:ascii="宋体" w:hAnsi="宋体" w:eastAsia="宋体" w:cs="宋体"/>
          <w:b/>
          <w:color w:val="auto"/>
          <w:sz w:val="24"/>
          <w:szCs w:val="24"/>
          <w:highlight w:val="none"/>
        </w:rPr>
        <w:t>（二）法定代表人授权委托书</w:t>
      </w:r>
      <w:bookmarkEnd w:id="749"/>
      <w:bookmarkEnd w:id="750"/>
    </w:p>
    <w:p w14:paraId="4EEB6E9F">
      <w:pPr>
        <w:ind w:firstLine="422" w:firstLineChars="200"/>
        <w:rPr>
          <w:rFonts w:hint="eastAsia" w:ascii="宋体" w:hAnsi="宋体" w:eastAsia="宋体" w:cs="宋体"/>
          <w:b/>
          <w:color w:val="auto"/>
          <w:highlight w:val="none"/>
        </w:rPr>
      </w:pPr>
    </w:p>
    <w:p w14:paraId="61838096">
      <w:pPr>
        <w:ind w:firstLine="422" w:firstLineChars="200"/>
        <w:rPr>
          <w:rFonts w:hint="eastAsia" w:ascii="宋体" w:hAnsi="宋体" w:eastAsia="宋体" w:cs="宋体"/>
          <w:b/>
          <w:color w:val="auto"/>
          <w:highlight w:val="none"/>
          <w:lang w:eastAsia="zh-CN"/>
        </w:rPr>
      </w:pPr>
      <w:r>
        <w:rPr>
          <w:rFonts w:hint="eastAsia" w:ascii="宋体" w:hAnsi="宋体" w:eastAsia="宋体" w:cs="宋体"/>
          <w:b/>
          <w:color w:val="auto"/>
          <w:highlight w:val="none"/>
        </w:rPr>
        <w:t>致：</w:t>
      </w:r>
      <w:r>
        <w:rPr>
          <w:rFonts w:hint="eastAsia" w:ascii="宋体" w:hAnsi="宋体" w:eastAsia="宋体" w:cs="宋体"/>
          <w:b/>
          <w:color w:val="auto"/>
          <w:highlight w:val="none"/>
          <w:lang w:eastAsia="zh-CN"/>
        </w:rPr>
        <w:t>南通轨道资源开发有限公司</w:t>
      </w:r>
    </w:p>
    <w:p w14:paraId="547C2DA0">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本授权委托书声明：</w:t>
      </w:r>
    </w:p>
    <w:p w14:paraId="533D4FA1">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（姓名），系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名称）的法定代表人，现授权委托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（姓名）为我公司授权的合法代理人，以本公司的名义参加</w:t>
      </w:r>
      <w:r>
        <w:rPr>
          <w:rFonts w:hint="eastAsia" w:ascii="宋体" w:hAnsi="宋体" w:eastAsia="宋体" w:cs="宋体"/>
          <w:color w:val="auto"/>
          <w:highlight w:val="none"/>
          <w:u w:val="single"/>
        </w:rPr>
        <w:t xml:space="preserve"> （项目名称）</w:t>
      </w:r>
      <w:r>
        <w:rPr>
          <w:rFonts w:hint="eastAsia" w:ascii="宋体" w:hAnsi="宋体" w:eastAsia="宋体" w:cs="宋体"/>
          <w:color w:val="auto"/>
          <w:highlight w:val="none"/>
          <w:u w:val="single"/>
          <w:lang w:val="en-US" w:eastAsia="zh-CN"/>
        </w:rPr>
        <w:t xml:space="preserve">  标</w:t>
      </w:r>
      <w:r>
        <w:rPr>
          <w:rFonts w:hint="eastAsia" w:ascii="宋体" w:hAnsi="宋体" w:eastAsia="宋体" w:cs="宋体"/>
          <w:color w:val="auto"/>
          <w:highlight w:val="none"/>
          <w:lang w:eastAsia="zh-CN"/>
        </w:rPr>
        <w:t>比选参选</w:t>
      </w:r>
      <w:r>
        <w:rPr>
          <w:rFonts w:hint="eastAsia" w:ascii="宋体" w:hAnsi="宋体" w:eastAsia="宋体" w:cs="宋体"/>
          <w:color w:val="auto"/>
          <w:highlight w:val="none"/>
        </w:rPr>
        <w:t>活动。</w:t>
      </w:r>
    </w:p>
    <w:p w14:paraId="1468DC27">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委托代理人在开标、评标、合同谈判和合同签署过程中所签署的一切文件和处理与之有关的一切事务，我均予以承认。</w:t>
      </w:r>
    </w:p>
    <w:p w14:paraId="505FF139">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本委托书的有效期限为</w:t>
      </w:r>
      <w:r>
        <w:rPr>
          <w:rFonts w:hint="eastAsia" w:ascii="宋体" w:hAnsi="宋体" w:eastAsia="宋体" w:cs="宋体"/>
          <w:color w:val="auto"/>
          <w:highlight w:val="none"/>
          <w:u w:val="single"/>
        </w:rPr>
        <w:t>自即日起至       日止</w:t>
      </w:r>
      <w:r>
        <w:rPr>
          <w:rFonts w:hint="eastAsia" w:ascii="宋体" w:hAnsi="宋体" w:eastAsia="宋体" w:cs="宋体"/>
          <w:color w:val="auto"/>
          <w:highlight w:val="none"/>
        </w:rPr>
        <w:t>。</w:t>
      </w:r>
    </w:p>
    <w:p w14:paraId="16D7EBF5">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特此委托，此委托无转委托权。</w:t>
      </w:r>
    </w:p>
    <w:p w14:paraId="70114D6E">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附：委托代理人身份证双面复印件。</w:t>
      </w:r>
    </w:p>
    <w:p w14:paraId="35A9959C">
      <w:pPr>
        <w:ind w:firstLine="420" w:firstLineChars="200"/>
        <w:rPr>
          <w:rFonts w:hint="eastAsia" w:ascii="宋体" w:hAnsi="宋体" w:eastAsia="宋体" w:cs="宋体"/>
          <w:color w:val="auto"/>
          <w:highlight w:val="none"/>
        </w:rPr>
      </w:pPr>
    </w:p>
    <w:p w14:paraId="777CFEFA">
      <w:pPr>
        <w:ind w:firstLine="420" w:firstLineChars="200"/>
        <w:rPr>
          <w:rFonts w:hint="eastAsia" w:ascii="宋体" w:hAnsi="宋体" w:eastAsia="宋体" w:cs="宋体"/>
          <w:color w:val="auto"/>
          <w:highlight w:val="none"/>
        </w:rPr>
      </w:pPr>
    </w:p>
    <w:p w14:paraId="042DE10C">
      <w:pPr>
        <w:ind w:firstLine="420" w:firstLineChars="200"/>
        <w:rPr>
          <w:rFonts w:hint="eastAsia" w:ascii="宋体" w:hAnsi="宋体" w:eastAsia="宋体" w:cs="宋体"/>
          <w:color w:val="auto"/>
          <w:highlight w:val="none"/>
        </w:rPr>
      </w:pPr>
    </w:p>
    <w:p w14:paraId="740EC298">
      <w:pPr>
        <w:pStyle w:val="20"/>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参选人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（盖章）</w:t>
      </w:r>
    </w:p>
    <w:p w14:paraId="01E23D5B">
      <w:pPr>
        <w:pStyle w:val="20"/>
        <w:ind w:left="0"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（签字或盖章）</w:t>
      </w:r>
    </w:p>
    <w:p w14:paraId="57A5A3C2">
      <w:pPr>
        <w:pStyle w:val="20"/>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p w14:paraId="08629682">
      <w:pPr>
        <w:pStyle w:val="20"/>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r>
        <w:rPr>
          <w:rFonts w:hint="eastAsia" w:ascii="宋体" w:hAnsi="宋体" w:eastAsia="宋体" w:cs="宋体"/>
          <w:color w:val="auto"/>
          <w:szCs w:val="21"/>
          <w:highlight w:val="none"/>
          <w:u w:val="single"/>
        </w:rPr>
        <w:t xml:space="preserve">                 （签字或盖章）</w:t>
      </w:r>
    </w:p>
    <w:p w14:paraId="1FC6C9AE">
      <w:pPr>
        <w:pStyle w:val="20"/>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p w14:paraId="5EEC8A0D">
      <w:pPr>
        <w:pStyle w:val="20"/>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r>
        <w:rPr>
          <w:rFonts w:hint="eastAsia" w:ascii="宋体" w:hAnsi="宋体" w:eastAsia="宋体" w:cs="宋体"/>
          <w:color w:val="auto"/>
          <w:szCs w:val="21"/>
          <w:highlight w:val="none"/>
          <w:lang w:val="en-US" w:eastAsia="zh-CN"/>
        </w:rPr>
        <w:t>联系方式</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15E35C87">
      <w:pPr>
        <w:pStyle w:val="20"/>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39FB156">
      <w:pPr>
        <w:adjustRightInd w:val="0"/>
        <w:ind w:firstLine="420" w:firstLineChars="200"/>
        <w:textAlignment w:val="baseline"/>
        <w:rPr>
          <w:rFonts w:hint="eastAsia" w:ascii="宋体" w:hAnsi="宋体" w:eastAsia="宋体" w:cs="宋体"/>
          <w:color w:val="auto"/>
          <w:highlight w:val="none"/>
        </w:rPr>
      </w:pPr>
    </w:p>
    <w:p w14:paraId="340DF83C">
      <w:pPr>
        <w:adjustRightInd w:val="0"/>
        <w:ind w:firstLine="420" w:firstLineChars="200"/>
        <w:textAlignment w:val="baseline"/>
        <w:rPr>
          <w:rFonts w:hint="eastAsia" w:ascii="宋体" w:hAnsi="宋体" w:eastAsia="宋体" w:cs="宋体"/>
          <w:color w:val="auto"/>
          <w:highlight w:val="none"/>
        </w:rPr>
      </w:pPr>
    </w:p>
    <w:p w14:paraId="6EC765DF">
      <w:pPr>
        <w:pStyle w:val="20"/>
        <w:adjustRightInd w:val="0"/>
        <w:snapToGrid w:val="0"/>
        <w:spacing w:after="0"/>
        <w:ind w:left="1105" w:leftChars="211" w:hanging="662" w:hangingChars="314"/>
        <w:rPr>
          <w:rFonts w:hint="eastAsia" w:ascii="宋体" w:hAnsi="宋体" w:eastAsia="宋体" w:cs="宋体"/>
          <w:b/>
          <w:color w:val="auto"/>
          <w:highlight w:val="none"/>
        </w:rPr>
      </w:pPr>
      <w:r>
        <w:rPr>
          <w:rFonts w:hint="eastAsia" w:ascii="宋体" w:hAnsi="宋体" w:eastAsia="宋体" w:cs="宋体"/>
          <w:b/>
          <w:color w:val="auto"/>
          <w:highlight w:val="none"/>
        </w:rPr>
        <w:t>说明：如</w:t>
      </w:r>
      <w:r>
        <w:rPr>
          <w:rFonts w:hint="eastAsia" w:ascii="宋体" w:hAnsi="宋体" w:eastAsia="宋体" w:cs="宋体"/>
          <w:b/>
          <w:color w:val="auto"/>
          <w:highlight w:val="none"/>
          <w:lang w:eastAsia="zh-CN"/>
        </w:rPr>
        <w:t>参选人</w:t>
      </w:r>
      <w:r>
        <w:rPr>
          <w:rFonts w:hint="eastAsia" w:ascii="宋体" w:hAnsi="宋体" w:eastAsia="宋体" w:cs="宋体"/>
          <w:b/>
          <w:color w:val="auto"/>
          <w:highlight w:val="none"/>
        </w:rPr>
        <w:t>由法定代表人亲自签署</w:t>
      </w:r>
      <w:r>
        <w:rPr>
          <w:rFonts w:hint="eastAsia" w:ascii="宋体" w:hAnsi="宋体" w:eastAsia="宋体" w:cs="宋体"/>
          <w:b/>
          <w:color w:val="auto"/>
          <w:highlight w:val="none"/>
          <w:lang w:eastAsia="zh-CN"/>
        </w:rPr>
        <w:t>参选文件</w:t>
      </w:r>
      <w:r>
        <w:rPr>
          <w:rFonts w:hint="eastAsia" w:ascii="宋体" w:hAnsi="宋体" w:eastAsia="宋体" w:cs="宋体"/>
          <w:b/>
          <w:color w:val="auto"/>
          <w:highlight w:val="none"/>
        </w:rPr>
        <w:t>并参与相关活动，则不需办理授权。如由被授权的代理人签署上述文件，则必须按本格式规定办理授权书。</w:t>
      </w:r>
    </w:p>
    <w:p w14:paraId="2729968B">
      <w:pPr>
        <w:rPr>
          <w:rFonts w:hint="eastAsia" w:ascii="宋体" w:hAnsi="宋体" w:eastAsia="宋体" w:cs="宋体"/>
          <w:b/>
          <w:bCs/>
          <w:color w:val="auto"/>
          <w:highlight w:val="none"/>
        </w:rPr>
      </w:pPr>
      <w:r>
        <w:rPr>
          <w:rFonts w:hint="eastAsia" w:ascii="宋体" w:hAnsi="宋体" w:eastAsia="宋体" w:cs="宋体"/>
          <w:color w:val="auto"/>
          <w:sz w:val="24"/>
          <w:highlight w:val="none"/>
        </w:rPr>
        <w:br w:type="page"/>
      </w:r>
      <w:bookmarkStart w:id="751" w:name="_Toc30751"/>
      <w:bookmarkStart w:id="752" w:name="_Toc21531"/>
      <w:bookmarkStart w:id="753" w:name="_Toc11305"/>
      <w:bookmarkStart w:id="754" w:name="_Toc13358"/>
      <w:bookmarkStart w:id="755" w:name="_Toc3758"/>
      <w:bookmarkStart w:id="756" w:name="_Toc25409"/>
      <w:bookmarkStart w:id="757" w:name="_Toc29270"/>
      <w:bookmarkStart w:id="758" w:name="_Toc26036"/>
      <w:bookmarkStart w:id="759" w:name="_Toc21962"/>
      <w:bookmarkStart w:id="760" w:name="_Toc24057"/>
      <w:bookmarkStart w:id="761" w:name="_Toc2356"/>
      <w:bookmarkStart w:id="762" w:name="_Toc31010_WPSOffice_Level2"/>
    </w:p>
    <w:p w14:paraId="3214DBBE">
      <w:pPr>
        <w:pStyle w:val="2"/>
        <w:jc w:val="center"/>
        <w:rPr>
          <w:rFonts w:hint="eastAsia" w:ascii="宋体" w:hAnsi="宋体" w:eastAsia="宋体" w:cs="宋体"/>
          <w:b/>
          <w:bCs/>
          <w:color w:val="auto"/>
          <w:highlight w:val="none"/>
        </w:rPr>
      </w:pPr>
      <w:bookmarkStart w:id="763" w:name="_Toc31273"/>
      <w:bookmarkStart w:id="764" w:name="_Toc17006"/>
      <w:r>
        <w:rPr>
          <w:rFonts w:hint="eastAsia" w:ascii="宋体" w:hAnsi="宋体" w:eastAsia="宋体" w:cs="宋体"/>
          <w:b/>
          <w:bCs/>
          <w:color w:val="auto"/>
          <w:highlight w:val="none"/>
          <w:lang w:val="en-US" w:eastAsia="zh-CN"/>
        </w:rPr>
        <w:t>二</w:t>
      </w:r>
      <w:r>
        <w:rPr>
          <w:rFonts w:hint="eastAsia" w:ascii="宋体" w:hAnsi="宋体" w:eastAsia="宋体" w:cs="宋体"/>
          <w:b/>
          <w:bCs/>
          <w:color w:val="auto"/>
          <w:highlight w:val="none"/>
          <w:lang w:eastAsia="zh-CN"/>
        </w:rPr>
        <w:t>、参选人</w:t>
      </w:r>
      <w:r>
        <w:rPr>
          <w:rFonts w:hint="eastAsia" w:ascii="宋体" w:hAnsi="宋体" w:eastAsia="宋体" w:cs="宋体"/>
          <w:b/>
          <w:bCs/>
          <w:color w:val="auto"/>
          <w:highlight w:val="none"/>
        </w:rPr>
        <w:t>基本情况表</w:t>
      </w:r>
      <w:bookmarkEnd w:id="763"/>
      <w:bookmarkEnd w:id="764"/>
    </w:p>
    <w:p w14:paraId="55664081">
      <w:pPr>
        <w:rPr>
          <w:rFonts w:hint="eastAsia" w:ascii="宋体" w:hAnsi="宋体" w:eastAsia="宋体" w:cs="宋体"/>
          <w:color w:val="auto"/>
          <w:highlight w:val="none"/>
        </w:rPr>
      </w:pPr>
    </w:p>
    <w:tbl>
      <w:tblPr>
        <w:tblStyle w:val="51"/>
        <w:tblW w:w="849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72"/>
        <w:gridCol w:w="1308"/>
        <w:gridCol w:w="1635"/>
        <w:gridCol w:w="1395"/>
        <w:gridCol w:w="1575"/>
        <w:gridCol w:w="1207"/>
      </w:tblGrid>
      <w:tr w14:paraId="5B58F3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vAlign w:val="center"/>
          </w:tcPr>
          <w:p w14:paraId="503C9356">
            <w:pPr>
              <w:jc w:val="center"/>
              <w:rPr>
                <w:rFonts w:hint="eastAsia" w:ascii="宋体" w:hAnsi="宋体" w:eastAsia="宋体" w:cs="宋体"/>
                <w:color w:val="auto"/>
                <w:highlight w:val="none"/>
              </w:rPr>
            </w:pP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名称</w:t>
            </w:r>
          </w:p>
        </w:tc>
        <w:tc>
          <w:tcPr>
            <w:tcW w:w="7120" w:type="dxa"/>
            <w:gridSpan w:val="5"/>
            <w:vAlign w:val="center"/>
          </w:tcPr>
          <w:p w14:paraId="423AEBEA">
            <w:pPr>
              <w:rPr>
                <w:rFonts w:hint="eastAsia" w:ascii="宋体" w:hAnsi="宋体" w:eastAsia="宋体" w:cs="宋体"/>
                <w:color w:val="auto"/>
                <w:highlight w:val="none"/>
              </w:rPr>
            </w:pPr>
          </w:p>
        </w:tc>
      </w:tr>
      <w:tr w14:paraId="046FA9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vAlign w:val="center"/>
          </w:tcPr>
          <w:p w14:paraId="076B2174">
            <w:pPr>
              <w:jc w:val="center"/>
              <w:rPr>
                <w:rFonts w:hint="eastAsia" w:ascii="宋体" w:hAnsi="宋体" w:eastAsia="宋体" w:cs="宋体"/>
                <w:color w:val="auto"/>
                <w:highlight w:val="none"/>
              </w:rPr>
            </w:pPr>
            <w:r>
              <w:rPr>
                <w:rFonts w:hint="eastAsia" w:ascii="宋体" w:hAnsi="宋体" w:eastAsia="宋体" w:cs="宋体"/>
                <w:color w:val="auto"/>
                <w:highlight w:val="none"/>
              </w:rPr>
              <w:t>营业执照</w:t>
            </w:r>
          </w:p>
        </w:tc>
        <w:tc>
          <w:tcPr>
            <w:tcW w:w="7120" w:type="dxa"/>
            <w:gridSpan w:val="5"/>
            <w:vAlign w:val="center"/>
          </w:tcPr>
          <w:p w14:paraId="3380310E">
            <w:pPr>
              <w:rPr>
                <w:rFonts w:hint="eastAsia" w:ascii="宋体" w:hAnsi="宋体" w:eastAsia="宋体" w:cs="宋体"/>
                <w:color w:val="auto"/>
                <w:highlight w:val="none"/>
              </w:rPr>
            </w:pPr>
            <w:r>
              <w:rPr>
                <w:rFonts w:hint="eastAsia" w:ascii="宋体" w:hAnsi="宋体" w:eastAsia="宋体" w:cs="宋体"/>
              </w:rPr>
              <w:t>1、统一社会信用代码：     2、发照机关：       3、营业范围：</w:t>
            </w:r>
          </w:p>
        </w:tc>
      </w:tr>
      <w:tr w14:paraId="4E2744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vAlign w:val="center"/>
          </w:tcPr>
          <w:p w14:paraId="2E619798">
            <w:pPr>
              <w:jc w:val="center"/>
              <w:rPr>
                <w:rFonts w:hint="eastAsia" w:ascii="宋体" w:hAnsi="宋体" w:eastAsia="宋体" w:cs="宋体"/>
                <w:color w:val="auto"/>
                <w:highlight w:val="none"/>
              </w:rPr>
            </w:pPr>
            <w:r>
              <w:rPr>
                <w:rFonts w:hint="eastAsia" w:ascii="宋体" w:hAnsi="宋体" w:eastAsia="宋体" w:cs="宋体"/>
                <w:color w:val="auto"/>
                <w:highlight w:val="none"/>
              </w:rPr>
              <w:t>成立日期</w:t>
            </w:r>
          </w:p>
        </w:tc>
        <w:tc>
          <w:tcPr>
            <w:tcW w:w="1308" w:type="dxa"/>
            <w:vAlign w:val="center"/>
          </w:tcPr>
          <w:p w14:paraId="13ED49AF">
            <w:pPr>
              <w:rPr>
                <w:rFonts w:hint="eastAsia" w:ascii="宋体" w:hAnsi="宋体" w:eastAsia="宋体" w:cs="宋体"/>
                <w:color w:val="auto"/>
                <w:highlight w:val="none"/>
              </w:rPr>
            </w:pPr>
          </w:p>
        </w:tc>
        <w:tc>
          <w:tcPr>
            <w:tcW w:w="1635" w:type="dxa"/>
            <w:vAlign w:val="center"/>
          </w:tcPr>
          <w:p w14:paraId="37B2BEE3">
            <w:pPr>
              <w:jc w:val="center"/>
              <w:rPr>
                <w:rFonts w:hint="eastAsia" w:ascii="宋体" w:hAnsi="宋体" w:eastAsia="宋体" w:cs="宋体"/>
                <w:color w:val="auto"/>
                <w:highlight w:val="none"/>
              </w:rPr>
            </w:pPr>
            <w:r>
              <w:rPr>
                <w:rFonts w:hint="eastAsia" w:ascii="宋体" w:hAnsi="宋体" w:eastAsia="宋体" w:cs="宋体"/>
                <w:color w:val="auto"/>
                <w:highlight w:val="none"/>
              </w:rPr>
              <w:t>现有职工</w:t>
            </w:r>
          </w:p>
          <w:p w14:paraId="1802E9A6">
            <w:pPr>
              <w:jc w:val="center"/>
              <w:rPr>
                <w:rFonts w:hint="eastAsia" w:ascii="宋体" w:hAnsi="宋体" w:eastAsia="宋体" w:cs="宋体"/>
                <w:color w:val="auto"/>
                <w:highlight w:val="none"/>
              </w:rPr>
            </w:pPr>
            <w:r>
              <w:rPr>
                <w:rFonts w:hint="eastAsia" w:ascii="宋体" w:hAnsi="宋体" w:eastAsia="宋体" w:cs="宋体"/>
                <w:color w:val="auto"/>
                <w:highlight w:val="none"/>
              </w:rPr>
              <w:t>总人数（人）</w:t>
            </w:r>
          </w:p>
        </w:tc>
        <w:tc>
          <w:tcPr>
            <w:tcW w:w="1395" w:type="dxa"/>
            <w:vAlign w:val="center"/>
          </w:tcPr>
          <w:p w14:paraId="75DC78C2">
            <w:pPr>
              <w:rPr>
                <w:rFonts w:hint="eastAsia" w:ascii="宋体" w:hAnsi="宋体" w:eastAsia="宋体" w:cs="宋体"/>
                <w:color w:val="auto"/>
                <w:highlight w:val="none"/>
              </w:rPr>
            </w:pPr>
          </w:p>
        </w:tc>
        <w:tc>
          <w:tcPr>
            <w:tcW w:w="1575" w:type="dxa"/>
            <w:tcBorders>
              <w:right w:val="single" w:color="000000" w:sz="6" w:space="0"/>
            </w:tcBorders>
            <w:vAlign w:val="center"/>
          </w:tcPr>
          <w:p w14:paraId="37A529D7">
            <w:pPr>
              <w:jc w:val="center"/>
              <w:rPr>
                <w:rFonts w:hint="eastAsia" w:ascii="宋体" w:hAnsi="宋体" w:eastAsia="宋体" w:cs="宋体"/>
                <w:color w:val="auto"/>
                <w:highlight w:val="none"/>
              </w:rPr>
            </w:pPr>
            <w:r>
              <w:rPr>
                <w:rFonts w:hint="eastAsia" w:ascii="宋体" w:hAnsi="宋体" w:eastAsia="宋体" w:cs="宋体"/>
                <w:color w:val="auto"/>
                <w:highlight w:val="none"/>
              </w:rPr>
              <w:t>技术人员人数</w:t>
            </w:r>
          </w:p>
          <w:p w14:paraId="5893D200">
            <w:pPr>
              <w:jc w:val="center"/>
              <w:rPr>
                <w:rFonts w:hint="eastAsia" w:ascii="宋体" w:hAnsi="宋体" w:eastAsia="宋体" w:cs="宋体"/>
                <w:color w:val="auto"/>
                <w:highlight w:val="none"/>
              </w:rPr>
            </w:pPr>
            <w:r>
              <w:rPr>
                <w:rFonts w:hint="eastAsia" w:ascii="宋体" w:hAnsi="宋体" w:eastAsia="宋体" w:cs="宋体"/>
                <w:color w:val="auto"/>
                <w:highlight w:val="none"/>
              </w:rPr>
              <w:t>（人）</w:t>
            </w:r>
          </w:p>
        </w:tc>
        <w:tc>
          <w:tcPr>
            <w:tcW w:w="1207" w:type="dxa"/>
            <w:tcBorders>
              <w:left w:val="single" w:color="000000" w:sz="6" w:space="0"/>
            </w:tcBorders>
            <w:vAlign w:val="center"/>
          </w:tcPr>
          <w:p w14:paraId="7FB835C6">
            <w:pPr>
              <w:jc w:val="center"/>
              <w:rPr>
                <w:rFonts w:hint="eastAsia" w:ascii="宋体" w:hAnsi="宋体" w:eastAsia="宋体" w:cs="宋体"/>
                <w:color w:val="auto"/>
                <w:highlight w:val="none"/>
              </w:rPr>
            </w:pPr>
          </w:p>
        </w:tc>
      </w:tr>
      <w:tr w14:paraId="4D158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vAlign w:val="center"/>
          </w:tcPr>
          <w:p w14:paraId="5DD792F5">
            <w:pPr>
              <w:spacing w:line="3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法定代表人</w:t>
            </w:r>
          </w:p>
        </w:tc>
        <w:tc>
          <w:tcPr>
            <w:tcW w:w="7120" w:type="dxa"/>
            <w:gridSpan w:val="5"/>
            <w:vAlign w:val="center"/>
          </w:tcPr>
          <w:p w14:paraId="783D6480">
            <w:pPr>
              <w:rPr>
                <w:rFonts w:hint="eastAsia" w:ascii="宋体" w:hAnsi="宋体" w:eastAsia="宋体" w:cs="宋体"/>
                <w:color w:val="auto"/>
                <w:highlight w:val="none"/>
              </w:rPr>
            </w:pPr>
            <w:r>
              <w:rPr>
                <w:rFonts w:hint="eastAsia" w:ascii="宋体" w:hAnsi="宋体" w:eastAsia="宋体" w:cs="宋体"/>
                <w:color w:val="auto"/>
                <w:highlight w:val="none"/>
              </w:rPr>
              <w:t xml:space="preserve">1、姓名：           2、职务：             3、职称：                 </w:t>
            </w:r>
          </w:p>
          <w:p w14:paraId="0817A64A">
            <w:pPr>
              <w:rPr>
                <w:rFonts w:hint="eastAsia" w:ascii="宋体" w:hAnsi="宋体" w:eastAsia="宋体" w:cs="宋体"/>
                <w:color w:val="auto"/>
                <w:highlight w:val="none"/>
              </w:rPr>
            </w:pPr>
            <w:r>
              <w:rPr>
                <w:rFonts w:hint="eastAsia" w:ascii="宋体" w:hAnsi="宋体" w:eastAsia="宋体" w:cs="宋体"/>
                <w:color w:val="auto"/>
                <w:highlight w:val="none"/>
              </w:rPr>
              <w:t>4、联系电话：</w:t>
            </w:r>
          </w:p>
        </w:tc>
      </w:tr>
      <w:tr w14:paraId="75B662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vAlign w:val="center"/>
          </w:tcPr>
          <w:p w14:paraId="3B2D81AA">
            <w:pPr>
              <w:spacing w:line="3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联系方式</w:t>
            </w:r>
          </w:p>
        </w:tc>
        <w:tc>
          <w:tcPr>
            <w:tcW w:w="7120" w:type="dxa"/>
            <w:gridSpan w:val="5"/>
            <w:vAlign w:val="center"/>
          </w:tcPr>
          <w:p w14:paraId="3CD19018">
            <w:pPr>
              <w:rPr>
                <w:rFonts w:hint="eastAsia" w:ascii="宋体" w:hAnsi="宋体" w:eastAsia="宋体" w:cs="宋体"/>
                <w:color w:val="auto"/>
                <w:highlight w:val="none"/>
              </w:rPr>
            </w:pPr>
            <w:r>
              <w:rPr>
                <w:rFonts w:hint="eastAsia" w:ascii="宋体" w:hAnsi="宋体" w:eastAsia="宋体" w:cs="宋体"/>
                <w:color w:val="auto"/>
                <w:highlight w:val="none"/>
              </w:rPr>
              <w:t xml:space="preserve">1、地址：           2、邮编：             3、联系人：              </w:t>
            </w:r>
          </w:p>
          <w:p w14:paraId="7AE095DA">
            <w:pPr>
              <w:rPr>
                <w:rFonts w:hint="eastAsia" w:ascii="宋体" w:hAnsi="宋体" w:eastAsia="宋体" w:cs="宋体"/>
                <w:color w:val="auto"/>
                <w:highlight w:val="none"/>
              </w:rPr>
            </w:pPr>
            <w:r>
              <w:rPr>
                <w:rFonts w:hint="eastAsia" w:ascii="宋体" w:hAnsi="宋体" w:eastAsia="宋体" w:cs="宋体"/>
                <w:color w:val="auto"/>
                <w:highlight w:val="none"/>
              </w:rPr>
              <w:t xml:space="preserve">4、联系电话：       5、传真：             6、E-mail：  </w:t>
            </w:r>
          </w:p>
        </w:tc>
      </w:tr>
      <w:tr w14:paraId="4CB858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shd w:val="clear" w:color="auto" w:fill="auto"/>
            <w:vAlign w:val="center"/>
          </w:tcPr>
          <w:p w14:paraId="0533378C">
            <w:pPr>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highlight w:val="none"/>
                <w:lang w:val="en-US" w:eastAsia="zh-CN"/>
              </w:rPr>
              <w:t>拟派本项目</w:t>
            </w:r>
            <w:r>
              <w:rPr>
                <w:rFonts w:hint="eastAsia" w:ascii="宋体" w:hAnsi="宋体" w:eastAsia="宋体" w:cs="宋体"/>
                <w:color w:val="auto"/>
                <w:highlight w:val="none"/>
              </w:rPr>
              <w:t>负责人</w:t>
            </w:r>
          </w:p>
        </w:tc>
        <w:tc>
          <w:tcPr>
            <w:tcW w:w="7120" w:type="dxa"/>
            <w:gridSpan w:val="5"/>
            <w:shd w:val="clear" w:color="auto" w:fill="auto"/>
            <w:vAlign w:val="center"/>
          </w:tcPr>
          <w:p w14:paraId="234B2D7A">
            <w:pPr>
              <w:rPr>
                <w:rFonts w:hint="eastAsia" w:ascii="宋体" w:hAnsi="宋体" w:eastAsia="宋体" w:cs="宋体"/>
                <w:color w:val="auto"/>
                <w:highlight w:val="none"/>
              </w:rPr>
            </w:pPr>
            <w:r>
              <w:rPr>
                <w:rFonts w:hint="eastAsia" w:ascii="宋体" w:hAnsi="宋体" w:eastAsia="宋体" w:cs="宋体"/>
                <w:color w:val="auto"/>
                <w:highlight w:val="none"/>
              </w:rPr>
              <w:t xml:space="preserve">1、姓名：           2、职务：             3、职称：                </w:t>
            </w:r>
          </w:p>
          <w:p w14:paraId="55CA4D37">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highlight w:val="none"/>
              </w:rPr>
              <w:t>4、联系电话：</w:t>
            </w:r>
          </w:p>
        </w:tc>
      </w:tr>
      <w:tr w14:paraId="0E21F3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372" w:type="dxa"/>
            <w:vAlign w:val="center"/>
          </w:tcPr>
          <w:p w14:paraId="5151EFC5">
            <w:pPr>
              <w:jc w:val="center"/>
              <w:rPr>
                <w:rFonts w:hint="eastAsia" w:ascii="宋体" w:hAnsi="宋体" w:eastAsia="宋体" w:cs="宋体"/>
                <w:color w:val="auto"/>
                <w:highlight w:val="none"/>
              </w:rPr>
            </w:pPr>
            <w:r>
              <w:rPr>
                <w:rFonts w:hint="eastAsia" w:ascii="宋体" w:hAnsi="宋体" w:eastAsia="宋体" w:cs="宋体"/>
                <w:color w:val="auto"/>
                <w:highlight w:val="none"/>
              </w:rPr>
              <w:t>开户银行</w:t>
            </w:r>
          </w:p>
        </w:tc>
        <w:tc>
          <w:tcPr>
            <w:tcW w:w="7120" w:type="dxa"/>
            <w:gridSpan w:val="5"/>
            <w:vAlign w:val="center"/>
          </w:tcPr>
          <w:p w14:paraId="7458F7DE">
            <w:pPr>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rPr>
              <w:t>银行</w:t>
            </w:r>
            <w:r>
              <w:rPr>
                <w:rFonts w:hint="eastAsia" w:ascii="宋体" w:hAnsi="宋体" w:eastAsia="宋体" w:cs="宋体"/>
                <w:color w:val="auto"/>
                <w:highlight w:val="none"/>
              </w:rPr>
              <w:t>名称：           2、</w:t>
            </w:r>
            <w:r>
              <w:rPr>
                <w:rFonts w:hint="eastAsia" w:ascii="宋体" w:hAnsi="宋体" w:eastAsia="宋体" w:cs="宋体"/>
                <w:color w:val="auto"/>
                <w:highlight w:val="none"/>
                <w:lang w:eastAsia="zh-CN"/>
              </w:rPr>
              <w:t>账号</w:t>
            </w:r>
            <w:r>
              <w:rPr>
                <w:rFonts w:hint="eastAsia" w:ascii="宋体" w:hAnsi="宋体" w:eastAsia="宋体" w:cs="宋体"/>
                <w:color w:val="auto"/>
                <w:highlight w:val="none"/>
              </w:rPr>
              <w:t>：</w:t>
            </w:r>
          </w:p>
        </w:tc>
      </w:tr>
    </w:tbl>
    <w:p w14:paraId="26B6D25A">
      <w:pPr>
        <w:adjustRightInd w:val="0"/>
        <w:snapToGrid w:val="0"/>
        <w:spacing w:line="400" w:lineRule="exact"/>
        <w:ind w:left="420" w:hanging="420" w:hangingChars="200"/>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注：本表后应包括不限于附</w:t>
      </w:r>
      <w:r>
        <w:rPr>
          <w:rFonts w:hint="eastAsia" w:ascii="宋体" w:hAnsi="宋体" w:eastAsia="宋体" w:cs="宋体"/>
          <w:b w:val="0"/>
          <w:bCs w:val="0"/>
          <w:color w:val="auto"/>
          <w:highlight w:val="none"/>
          <w:lang w:eastAsia="zh-CN"/>
        </w:rPr>
        <w:t>参选人</w:t>
      </w:r>
      <w:r>
        <w:rPr>
          <w:rFonts w:hint="eastAsia" w:ascii="宋体" w:hAnsi="宋体" w:eastAsia="宋体" w:cs="宋体"/>
          <w:b w:val="0"/>
          <w:bCs w:val="0"/>
          <w:color w:val="auto"/>
          <w:highlight w:val="none"/>
        </w:rPr>
        <w:t>营业执照（事业单位可以提供事业单位法人证书）复印件或扫描件等。</w:t>
      </w:r>
    </w:p>
    <w:p w14:paraId="13C1051D">
      <w:pP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765" w:name="_Toc14054"/>
      <w:bookmarkStart w:id="766" w:name="_Toc8395"/>
      <w:bookmarkStart w:id="767" w:name="_Toc11801"/>
      <w:bookmarkStart w:id="768" w:name="_Toc10047_WPSOffice_Level2"/>
      <w:bookmarkStart w:id="769" w:name="_Toc3538"/>
      <w:bookmarkStart w:id="770" w:name="_Toc19906"/>
    </w:p>
    <w:bookmarkEnd w:id="751"/>
    <w:bookmarkEnd w:id="752"/>
    <w:bookmarkEnd w:id="753"/>
    <w:bookmarkEnd w:id="754"/>
    <w:bookmarkEnd w:id="755"/>
    <w:bookmarkEnd w:id="756"/>
    <w:bookmarkEnd w:id="757"/>
    <w:bookmarkEnd w:id="758"/>
    <w:bookmarkEnd w:id="759"/>
    <w:bookmarkEnd w:id="760"/>
    <w:bookmarkEnd w:id="761"/>
    <w:bookmarkEnd w:id="762"/>
    <w:bookmarkEnd w:id="765"/>
    <w:bookmarkEnd w:id="766"/>
    <w:bookmarkEnd w:id="767"/>
    <w:bookmarkEnd w:id="768"/>
    <w:bookmarkEnd w:id="769"/>
    <w:bookmarkEnd w:id="770"/>
    <w:p w14:paraId="4BA8B2A8">
      <w:pPr>
        <w:pStyle w:val="2"/>
        <w:jc w:val="center"/>
        <w:rPr>
          <w:rFonts w:hint="eastAsia" w:ascii="宋体" w:hAnsi="宋体" w:eastAsia="宋体" w:cs="宋体"/>
          <w:b/>
          <w:bCs/>
          <w:color w:val="auto"/>
          <w:szCs w:val="28"/>
          <w:highlight w:val="none"/>
          <w:lang w:val="en-US" w:eastAsia="zh-CN"/>
        </w:rPr>
      </w:pPr>
      <w:bookmarkStart w:id="771" w:name="_Toc26563"/>
      <w:bookmarkStart w:id="772" w:name="_Toc5833"/>
      <w:r>
        <w:rPr>
          <w:rFonts w:hint="eastAsia" w:ascii="宋体" w:hAnsi="宋体" w:eastAsia="宋体" w:cs="宋体"/>
          <w:b/>
          <w:bCs/>
          <w:color w:val="auto"/>
          <w:szCs w:val="28"/>
          <w:highlight w:val="none"/>
          <w:lang w:val="en-US" w:eastAsia="zh-CN"/>
        </w:rPr>
        <w:t>三、参选人业绩</w:t>
      </w:r>
      <w:bookmarkEnd w:id="771"/>
    </w:p>
    <w:p w14:paraId="43D8EBA3">
      <w:pPr>
        <w:rPr>
          <w:rFonts w:hint="eastAsia" w:ascii="宋体" w:hAnsi="宋体" w:eastAsia="宋体" w:cs="宋体"/>
          <w:b w:val="0"/>
          <w:bCs w:val="0"/>
          <w:color w:val="auto"/>
          <w:szCs w:val="28"/>
          <w:highlight w:val="none"/>
          <w:lang w:val="en-US" w:eastAsia="zh-CN"/>
        </w:rPr>
      </w:pPr>
      <w:r>
        <w:rPr>
          <w:rFonts w:hint="eastAsia" w:ascii="宋体" w:hAnsi="宋体" w:eastAsia="宋体" w:cs="宋体"/>
          <w:b w:val="0"/>
          <w:bCs w:val="0"/>
          <w:color w:val="auto"/>
          <w:szCs w:val="28"/>
          <w:highlight w:val="none"/>
          <w:lang w:val="en-US" w:eastAsia="zh-CN"/>
        </w:rPr>
        <w:t>附相关证明材料的</w:t>
      </w:r>
      <w:r>
        <w:rPr>
          <w:rFonts w:hint="eastAsia" w:ascii="宋体" w:hAnsi="宋体" w:eastAsia="宋体" w:cs="宋体"/>
          <w:highlight w:val="none"/>
        </w:rPr>
        <w:t>复印件</w:t>
      </w:r>
      <w:r>
        <w:rPr>
          <w:rFonts w:hint="eastAsia" w:ascii="宋体" w:hAnsi="宋体" w:eastAsia="宋体" w:cs="宋体"/>
          <w:highlight w:val="none"/>
          <w:lang w:val="en-US" w:eastAsia="zh-CN"/>
        </w:rPr>
        <w:t>或扫描件</w:t>
      </w:r>
      <w:r>
        <w:rPr>
          <w:rFonts w:hint="eastAsia" w:ascii="宋体" w:hAnsi="宋体" w:eastAsia="宋体" w:cs="宋体"/>
          <w:b w:val="0"/>
          <w:bCs w:val="0"/>
          <w:color w:val="auto"/>
          <w:szCs w:val="28"/>
          <w:highlight w:val="none"/>
          <w:lang w:val="en-US" w:eastAsia="zh-CN"/>
        </w:rPr>
        <w:t>。</w:t>
      </w:r>
      <w:r>
        <w:rPr>
          <w:rFonts w:hint="eastAsia" w:ascii="宋体" w:hAnsi="宋体" w:eastAsia="宋体" w:cs="宋体"/>
          <w:b w:val="0"/>
          <w:bCs w:val="0"/>
          <w:color w:val="auto"/>
          <w:szCs w:val="28"/>
          <w:highlight w:val="none"/>
          <w:lang w:val="en-US" w:eastAsia="zh-CN"/>
        </w:rPr>
        <w:br w:type="page"/>
      </w:r>
    </w:p>
    <w:p w14:paraId="2C5BCD02">
      <w:pPr>
        <w:pStyle w:val="2"/>
        <w:jc w:val="center"/>
        <w:rPr>
          <w:rFonts w:hint="eastAsia" w:ascii="宋体" w:hAnsi="宋体" w:eastAsia="宋体" w:cs="宋体"/>
          <w:b/>
          <w:bCs/>
          <w:color w:val="auto"/>
          <w:szCs w:val="28"/>
          <w:highlight w:val="none"/>
        </w:rPr>
      </w:pPr>
      <w:bookmarkStart w:id="773" w:name="_Toc29410"/>
      <w:r>
        <w:rPr>
          <w:rFonts w:hint="eastAsia" w:ascii="宋体" w:hAnsi="宋体" w:eastAsia="宋体" w:cs="宋体"/>
          <w:b/>
          <w:bCs/>
          <w:color w:val="auto"/>
          <w:szCs w:val="28"/>
          <w:highlight w:val="none"/>
          <w:lang w:val="en-US" w:eastAsia="zh-CN"/>
        </w:rPr>
        <w:t>四、</w:t>
      </w:r>
      <w:r>
        <w:rPr>
          <w:rFonts w:hint="eastAsia" w:ascii="宋体" w:hAnsi="宋体" w:eastAsia="宋体" w:cs="宋体"/>
          <w:b/>
          <w:bCs/>
          <w:color w:val="auto"/>
          <w:szCs w:val="28"/>
          <w:highlight w:val="none"/>
        </w:rPr>
        <w:t>承诺书</w:t>
      </w:r>
      <w:bookmarkEnd w:id="772"/>
      <w:bookmarkEnd w:id="773"/>
    </w:p>
    <w:p w14:paraId="38AC7B18">
      <w:pPr>
        <w:rPr>
          <w:rFonts w:hint="eastAsia" w:ascii="宋体" w:hAnsi="宋体" w:eastAsia="宋体" w:cs="宋体"/>
          <w:color w:val="auto"/>
          <w:highlight w:val="none"/>
        </w:rPr>
      </w:pPr>
    </w:p>
    <w:p w14:paraId="58517DBC">
      <w:pPr>
        <w:spacing w:line="360" w:lineRule="auto"/>
        <w:rPr>
          <w:rFonts w:hint="eastAsia" w:ascii="宋体" w:hAnsi="宋体" w:eastAsia="宋体" w:cs="宋体"/>
          <w:b/>
          <w:color w:val="auto"/>
          <w:highlight w:val="none"/>
        </w:rPr>
      </w:pPr>
      <w:r>
        <w:rPr>
          <w:rFonts w:hint="eastAsia" w:ascii="宋体" w:hAnsi="宋体" w:eastAsia="宋体" w:cs="宋体"/>
          <w:color w:val="auto"/>
          <w:kern w:val="0"/>
          <w:highlight w:val="none"/>
          <w:u w:val="single"/>
          <w:lang w:eastAsia="zh-CN"/>
        </w:rPr>
        <w:t>南通轨道资源开发有限公司</w:t>
      </w:r>
      <w:r>
        <w:rPr>
          <w:rFonts w:hint="eastAsia" w:ascii="宋体" w:hAnsi="宋体" w:eastAsia="宋体" w:cs="宋体"/>
          <w:color w:val="auto"/>
          <w:kern w:val="0"/>
          <w:highlight w:val="none"/>
        </w:rPr>
        <w:t>：</w:t>
      </w:r>
    </w:p>
    <w:p w14:paraId="08AAF5C3">
      <w:pPr>
        <w:widowControl/>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我方参加你方的</w:t>
      </w:r>
      <w:r>
        <w:rPr>
          <w:rFonts w:hint="eastAsia" w:ascii="宋体" w:hAnsi="宋体" w:eastAsia="宋体" w:cs="宋体"/>
          <w:b/>
          <w:bCs/>
          <w:color w:val="auto"/>
          <w:kern w:val="0"/>
          <w:highlight w:val="none"/>
          <w:u w:val="single"/>
        </w:rPr>
        <w:t xml:space="preserve">                          </w:t>
      </w:r>
      <w:r>
        <w:rPr>
          <w:rFonts w:hint="eastAsia" w:ascii="宋体" w:hAnsi="宋体" w:eastAsia="宋体" w:cs="宋体"/>
          <w:color w:val="auto"/>
          <w:kern w:val="0"/>
          <w:highlight w:val="none"/>
        </w:rPr>
        <w:t>（以下简称“本工程”）的投标，现我方法定代表人向你方慎重承诺：</w:t>
      </w:r>
    </w:p>
    <w:p w14:paraId="3FDC6AF5">
      <w:pPr>
        <w:adjustRightInd w:val="0"/>
        <w:snapToGrid w:val="0"/>
        <w:spacing w:line="360" w:lineRule="auto"/>
        <w:ind w:firstLine="42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1、我方未被“信用中国”网站（www.creditchina.gov.cn）列入失信被执行人、重大税收违法案件当事人名单、政府采购严重失信行为记录名单；</w:t>
      </w:r>
    </w:p>
    <w:p w14:paraId="6519579C">
      <w:pPr>
        <w:adjustRightInd w:val="0"/>
        <w:snapToGrid w:val="0"/>
        <w:spacing w:line="360" w:lineRule="auto"/>
        <w:ind w:firstLine="42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2、我方不属于</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的任何不具独立法人资格的附属机构（单位）；</w:t>
      </w:r>
    </w:p>
    <w:p w14:paraId="2115CDAF">
      <w:pPr>
        <w:adjustRightInd w:val="0"/>
        <w:snapToGrid w:val="0"/>
        <w:spacing w:line="360" w:lineRule="auto"/>
        <w:ind w:firstLine="42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3、我方和</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不存在利害关系</w:t>
      </w:r>
      <w:r>
        <w:rPr>
          <w:rFonts w:hint="eastAsia" w:ascii="宋体" w:hAnsi="宋体" w:eastAsia="宋体" w:cs="宋体"/>
          <w:color w:val="auto"/>
          <w:highlight w:val="none"/>
          <w:lang w:eastAsia="zh-CN"/>
        </w:rPr>
        <w:t>；</w:t>
      </w:r>
    </w:p>
    <w:p w14:paraId="28743CDD">
      <w:pPr>
        <w:adjustRightInd w:val="0"/>
        <w:snapToGrid w:val="0"/>
        <w:spacing w:line="360" w:lineRule="auto"/>
        <w:ind w:firstLine="42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单位负责人为同一人或者存在控股、管理关系的不同单位，不得参加同一标段</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rPr>
        <w:t>或者未划分标段的同一</w:t>
      </w:r>
      <w:r>
        <w:rPr>
          <w:rFonts w:hint="eastAsia" w:ascii="宋体" w:hAnsi="宋体" w:eastAsia="宋体" w:cs="宋体"/>
          <w:color w:val="auto"/>
          <w:highlight w:val="none"/>
          <w:lang w:eastAsia="zh-CN"/>
        </w:rPr>
        <w:t>项目</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rPr>
        <w:t>。如出现前述情况，</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应当做好协商，于开标时选出一个</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参与开标，如不能按时选出的，</w:t>
      </w:r>
      <w:r>
        <w:rPr>
          <w:rFonts w:hint="eastAsia" w:ascii="宋体" w:hAnsi="宋体" w:eastAsia="宋体" w:cs="宋体"/>
          <w:color w:val="auto"/>
          <w:highlight w:val="none"/>
          <w:lang w:eastAsia="zh-CN"/>
        </w:rPr>
        <w:t>比选人</w:t>
      </w:r>
      <w:r>
        <w:rPr>
          <w:rFonts w:hint="eastAsia" w:ascii="宋体" w:hAnsi="宋体" w:eastAsia="宋体" w:cs="宋体"/>
          <w:color w:val="auto"/>
          <w:highlight w:val="none"/>
        </w:rPr>
        <w:t>有权否决所有相关</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的</w:t>
      </w:r>
      <w:r>
        <w:rPr>
          <w:rFonts w:hint="eastAsia" w:ascii="宋体" w:hAnsi="宋体" w:eastAsia="宋体" w:cs="宋体"/>
          <w:color w:val="auto"/>
          <w:highlight w:val="none"/>
          <w:lang w:val="en-US" w:eastAsia="zh-CN"/>
        </w:rPr>
        <w:t>参选</w:t>
      </w:r>
      <w:r>
        <w:rPr>
          <w:rFonts w:hint="eastAsia" w:ascii="宋体" w:hAnsi="宋体" w:eastAsia="宋体" w:cs="宋体"/>
          <w:color w:val="auto"/>
          <w:highlight w:val="none"/>
        </w:rPr>
        <w:t>资格。</w:t>
      </w:r>
    </w:p>
    <w:p w14:paraId="7276A702">
      <w:pPr>
        <w:adjustRightInd w:val="0"/>
        <w:snapToGrid w:val="0"/>
        <w:spacing w:line="360" w:lineRule="auto"/>
        <w:ind w:firstLine="422" w:firstLineChars="200"/>
        <w:jc w:val="both"/>
        <w:rPr>
          <w:rFonts w:hint="eastAsia" w:ascii="宋体" w:hAnsi="宋体" w:eastAsia="宋体" w:cs="宋体"/>
          <w:b/>
          <w:bCs/>
          <w:color w:val="auto"/>
          <w:highlight w:val="none"/>
        </w:rPr>
      </w:pPr>
      <w:r>
        <w:rPr>
          <w:rFonts w:hint="eastAsia" w:ascii="宋体" w:hAnsi="宋体" w:eastAsia="宋体" w:cs="宋体"/>
          <w:b/>
          <w:bCs/>
          <w:color w:val="auto"/>
          <w:highlight w:val="none"/>
        </w:rPr>
        <w:t>我方承诺：违反上述任何一条承诺，愿意接受任何处罚，包括同意你方取消我方</w:t>
      </w:r>
      <w:r>
        <w:rPr>
          <w:rFonts w:hint="eastAsia" w:ascii="宋体" w:hAnsi="宋体" w:eastAsia="宋体" w:cs="宋体"/>
          <w:b/>
          <w:bCs/>
          <w:color w:val="auto"/>
          <w:highlight w:val="none"/>
          <w:lang w:eastAsia="zh-CN"/>
        </w:rPr>
        <w:t>中选</w:t>
      </w:r>
      <w:r>
        <w:rPr>
          <w:rFonts w:hint="eastAsia" w:ascii="宋体" w:hAnsi="宋体" w:eastAsia="宋体" w:cs="宋体"/>
          <w:b/>
          <w:bCs/>
          <w:color w:val="auto"/>
          <w:highlight w:val="none"/>
        </w:rPr>
        <w:t>资格，将我方列入黑名单，我方主动放弃今后参与你公司所有项目的投标或竞价的资格。</w:t>
      </w:r>
    </w:p>
    <w:p w14:paraId="6EC85C7E">
      <w:pPr>
        <w:widowControl/>
        <w:spacing w:line="380" w:lineRule="exact"/>
        <w:ind w:firstLine="422" w:firstLineChars="200"/>
        <w:rPr>
          <w:rFonts w:hint="eastAsia" w:ascii="宋体" w:hAnsi="宋体" w:eastAsia="宋体" w:cs="宋体"/>
          <w:b/>
          <w:color w:val="auto"/>
          <w:kern w:val="0"/>
          <w:highlight w:val="none"/>
        </w:rPr>
      </w:pPr>
    </w:p>
    <w:p w14:paraId="4F6C3E86">
      <w:pPr>
        <w:ind w:firstLine="403" w:firstLineChars="192"/>
        <w:jc w:val="right"/>
        <w:rPr>
          <w:rFonts w:hint="eastAsia" w:ascii="宋体" w:hAnsi="宋体" w:eastAsia="宋体" w:cs="宋体"/>
          <w:color w:val="auto"/>
          <w:highlight w:val="none"/>
          <w:lang w:eastAsia="zh-CN"/>
        </w:rPr>
      </w:pPr>
    </w:p>
    <w:p w14:paraId="27CE7CD4">
      <w:pPr>
        <w:ind w:firstLine="403" w:firstLineChars="192"/>
        <w:jc w:val="right"/>
        <w:rPr>
          <w:rFonts w:hint="eastAsia" w:ascii="宋体" w:hAnsi="宋体" w:eastAsia="宋体" w:cs="宋体"/>
          <w:color w:val="auto"/>
          <w:highlight w:val="none"/>
          <w:lang w:eastAsia="zh-CN"/>
        </w:rPr>
      </w:pPr>
    </w:p>
    <w:p w14:paraId="3FF19EE7">
      <w:pPr>
        <w:ind w:firstLine="403" w:firstLineChars="192"/>
        <w:jc w:val="right"/>
        <w:rPr>
          <w:rFonts w:hint="eastAsia" w:ascii="宋体" w:hAnsi="宋体" w:eastAsia="宋体" w:cs="宋体"/>
          <w:color w:val="auto"/>
          <w:highlight w:val="none"/>
          <w:u w:val="single"/>
        </w:rPr>
      </w:pP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（盖章） </w:t>
      </w:r>
    </w:p>
    <w:p w14:paraId="680877DB">
      <w:pPr>
        <w:ind w:firstLine="403" w:firstLineChars="192"/>
        <w:jc w:val="right"/>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法定代表人或委托代理人：</w:t>
      </w:r>
      <w:r>
        <w:rPr>
          <w:rFonts w:hint="eastAsia" w:ascii="宋体" w:hAnsi="宋体" w:eastAsia="宋体" w:cs="宋体"/>
          <w:color w:val="auto"/>
          <w:highlight w:val="none"/>
          <w:u w:val="single"/>
        </w:rPr>
        <w:t xml:space="preserve">（签字或盖章） </w:t>
      </w:r>
    </w:p>
    <w:p w14:paraId="06F33DBC">
      <w:pPr>
        <w:ind w:firstLine="403" w:firstLineChars="192"/>
        <w:jc w:val="right"/>
        <w:rPr>
          <w:rFonts w:hint="eastAsia" w:ascii="宋体" w:hAnsi="宋体" w:eastAsia="宋体" w:cs="宋体"/>
          <w:color w:val="auto"/>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5541ADB1">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8DCD9E2">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7D89CB7E">
      <w:pPr>
        <w:spacing w:line="400" w:lineRule="exact"/>
        <w:rPr>
          <w:rFonts w:hint="eastAsia" w:ascii="宋体" w:hAnsi="宋体" w:eastAsia="宋体" w:cs="宋体"/>
          <w:color w:val="auto"/>
          <w:highlight w:val="none"/>
        </w:rPr>
      </w:pPr>
    </w:p>
    <w:p w14:paraId="3D3BA26D">
      <w:pPr>
        <w:spacing w:line="400" w:lineRule="exact"/>
        <w:rPr>
          <w:rFonts w:hint="eastAsia" w:ascii="宋体" w:hAnsi="宋体" w:eastAsia="宋体" w:cs="宋体"/>
          <w:color w:val="auto"/>
          <w:highlight w:val="none"/>
        </w:rPr>
      </w:pPr>
    </w:p>
    <w:p w14:paraId="1B81531B">
      <w:pPr>
        <w:spacing w:line="400" w:lineRule="exact"/>
        <w:rPr>
          <w:rFonts w:hint="eastAsia" w:ascii="宋体" w:hAnsi="宋体" w:eastAsia="宋体" w:cs="宋体"/>
          <w:color w:val="auto"/>
          <w:highlight w:val="none"/>
        </w:rPr>
      </w:pPr>
    </w:p>
    <w:p w14:paraId="04D91AB3">
      <w:pPr>
        <w:jc w:val="center"/>
        <w:rPr>
          <w:rFonts w:hint="eastAsia" w:ascii="宋体" w:hAnsi="宋体" w:eastAsia="宋体" w:cs="宋体"/>
          <w:b/>
          <w:bCs/>
          <w:color w:val="auto"/>
          <w:sz w:val="36"/>
          <w:szCs w:val="36"/>
          <w:highlight w:val="none"/>
          <w:lang w:val="en-US" w:eastAsia="zh-CN"/>
        </w:rPr>
      </w:pPr>
      <w:bookmarkStart w:id="774" w:name="_Toc29614_WPSOffice_Level2"/>
      <w:bookmarkStart w:id="775" w:name="_Toc12353_WPSOffice_Level2"/>
      <w:r>
        <w:rPr>
          <w:rFonts w:hint="eastAsia" w:ascii="宋体" w:hAnsi="宋体" w:eastAsia="宋体" w:cs="宋体"/>
          <w:b/>
          <w:bCs/>
          <w:color w:val="auto"/>
          <w:sz w:val="36"/>
          <w:szCs w:val="36"/>
          <w:highlight w:val="none"/>
          <w:lang w:val="en-US" w:eastAsia="zh-CN"/>
        </w:rPr>
        <w:t>南通轨道资源开发有限公司文创产品生产制作年度供应商库项目（2026—2028年）</w:t>
      </w:r>
    </w:p>
    <w:p w14:paraId="06304C3D">
      <w:pPr>
        <w:jc w:val="center"/>
        <w:rPr>
          <w:rFonts w:hint="eastAsia" w:ascii="宋体" w:hAnsi="宋体" w:eastAsia="宋体" w:cs="宋体"/>
          <w:b/>
          <w:color w:val="auto"/>
          <w:sz w:val="36"/>
          <w:szCs w:val="36"/>
          <w:highlight w:val="none"/>
        </w:rPr>
      </w:pPr>
    </w:p>
    <w:p w14:paraId="32041035">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36"/>
          <w:szCs w:val="36"/>
          <w:highlight w:val="none"/>
        </w:rPr>
        <w:t>（商务</w:t>
      </w:r>
      <w:r>
        <w:rPr>
          <w:rFonts w:hint="eastAsia" w:ascii="宋体" w:hAnsi="宋体" w:eastAsia="宋体" w:cs="宋体"/>
          <w:b/>
          <w:color w:val="auto"/>
          <w:sz w:val="36"/>
          <w:szCs w:val="36"/>
          <w:highlight w:val="none"/>
          <w:lang w:eastAsia="zh-CN"/>
        </w:rPr>
        <w:t>参选文件</w:t>
      </w:r>
      <w:r>
        <w:rPr>
          <w:rFonts w:hint="eastAsia" w:ascii="宋体" w:hAnsi="宋体" w:eastAsia="宋体" w:cs="宋体"/>
          <w:b/>
          <w:color w:val="auto"/>
          <w:sz w:val="36"/>
          <w:szCs w:val="36"/>
          <w:highlight w:val="none"/>
        </w:rPr>
        <w:t>）</w:t>
      </w:r>
      <w:bookmarkEnd w:id="774"/>
      <w:bookmarkEnd w:id="775"/>
    </w:p>
    <w:p w14:paraId="2C4CA4C6">
      <w:pPr>
        <w:spacing w:line="800" w:lineRule="exact"/>
        <w:rPr>
          <w:rFonts w:hint="eastAsia" w:ascii="宋体" w:hAnsi="宋体" w:eastAsia="宋体" w:cs="宋体"/>
          <w:color w:val="auto"/>
          <w:sz w:val="32"/>
          <w:highlight w:val="none"/>
        </w:rPr>
      </w:pPr>
    </w:p>
    <w:p w14:paraId="09BD402F">
      <w:pPr>
        <w:spacing w:line="800" w:lineRule="exact"/>
        <w:rPr>
          <w:rFonts w:hint="eastAsia" w:ascii="宋体" w:hAnsi="宋体" w:eastAsia="宋体" w:cs="宋体"/>
          <w:color w:val="auto"/>
          <w:sz w:val="32"/>
          <w:highlight w:val="none"/>
        </w:rPr>
      </w:pPr>
    </w:p>
    <w:p w14:paraId="347D6B9D">
      <w:pPr>
        <w:spacing w:line="800" w:lineRule="exact"/>
        <w:rPr>
          <w:rFonts w:hint="eastAsia" w:ascii="宋体" w:hAnsi="宋体" w:eastAsia="宋体" w:cs="宋体"/>
          <w:color w:val="auto"/>
          <w:sz w:val="32"/>
          <w:highlight w:val="none"/>
        </w:rPr>
      </w:pPr>
    </w:p>
    <w:p w14:paraId="5A530C27">
      <w:pPr>
        <w:spacing w:line="800" w:lineRule="exact"/>
        <w:rPr>
          <w:rFonts w:hint="eastAsia" w:ascii="宋体" w:hAnsi="宋体" w:eastAsia="宋体" w:cs="宋体"/>
          <w:color w:val="auto"/>
          <w:sz w:val="32"/>
          <w:highlight w:val="none"/>
        </w:rPr>
      </w:pPr>
    </w:p>
    <w:p w14:paraId="290BA342">
      <w:pPr>
        <w:spacing w:line="800" w:lineRule="exact"/>
        <w:rPr>
          <w:rFonts w:hint="eastAsia" w:ascii="宋体" w:hAnsi="宋体" w:eastAsia="宋体" w:cs="宋体"/>
          <w:color w:val="auto"/>
          <w:sz w:val="32"/>
          <w:highlight w:val="none"/>
        </w:rPr>
      </w:pPr>
    </w:p>
    <w:p w14:paraId="3967B119">
      <w:pPr>
        <w:spacing w:line="800" w:lineRule="exact"/>
        <w:rPr>
          <w:rFonts w:hint="eastAsia" w:ascii="宋体" w:hAnsi="宋体" w:eastAsia="宋体" w:cs="宋体"/>
          <w:color w:val="auto"/>
          <w:sz w:val="32"/>
          <w:highlight w:val="none"/>
        </w:rPr>
      </w:pPr>
    </w:p>
    <w:p w14:paraId="15FA65A5">
      <w:pPr>
        <w:spacing w:line="800" w:lineRule="exact"/>
        <w:rPr>
          <w:rFonts w:hint="eastAsia" w:ascii="宋体" w:hAnsi="宋体" w:eastAsia="宋体" w:cs="宋体"/>
          <w:color w:val="auto"/>
          <w:sz w:val="32"/>
          <w:highlight w:val="none"/>
        </w:rPr>
      </w:pPr>
    </w:p>
    <w:p w14:paraId="77A565B0">
      <w:pPr>
        <w:spacing w:line="800" w:lineRule="exact"/>
        <w:ind w:firstLine="1897" w:firstLineChars="675"/>
        <w:rPr>
          <w:rFonts w:hint="eastAsia" w:ascii="宋体" w:hAnsi="宋体" w:eastAsia="宋体" w:cs="宋体"/>
          <w:b/>
          <w:color w:val="auto"/>
          <w:sz w:val="28"/>
          <w:szCs w:val="28"/>
          <w:highlight w:val="none"/>
        </w:rPr>
      </w:pPr>
    </w:p>
    <w:p w14:paraId="3150E0CA">
      <w:pPr>
        <w:spacing w:line="800" w:lineRule="exact"/>
        <w:ind w:firstLine="1897" w:firstLineChars="675"/>
        <w:rPr>
          <w:rFonts w:hint="eastAsia" w:ascii="宋体" w:hAnsi="宋体" w:eastAsia="宋体" w:cs="宋体"/>
          <w:b/>
          <w:color w:val="auto"/>
          <w:sz w:val="28"/>
          <w:szCs w:val="28"/>
          <w:highlight w:val="none"/>
          <w:u w:val="single"/>
        </w:rPr>
      </w:pPr>
      <w:bookmarkStart w:id="776" w:name="_Toc560_WPSOffice_Level3"/>
      <w:bookmarkStart w:id="777" w:name="_Toc30340_WPSOffice_Level3"/>
      <w:r>
        <w:rPr>
          <w:rFonts w:hint="eastAsia" w:ascii="宋体" w:hAnsi="宋体" w:eastAsia="宋体" w:cs="宋体"/>
          <w:b/>
          <w:color w:val="auto"/>
          <w:sz w:val="28"/>
          <w:szCs w:val="28"/>
          <w:highlight w:val="none"/>
          <w:lang w:val="en-US" w:eastAsia="zh-CN"/>
        </w:rPr>
        <w:t>参</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选</w:t>
      </w:r>
      <w:r>
        <w:rPr>
          <w:rFonts w:hint="eastAsia" w:ascii="宋体" w:hAnsi="宋体" w:eastAsia="宋体" w:cs="宋体"/>
          <w:b/>
          <w:color w:val="auto"/>
          <w:sz w:val="28"/>
          <w:szCs w:val="28"/>
          <w:highlight w:val="none"/>
        </w:rPr>
        <w:t xml:space="preserve"> 人: </w:t>
      </w:r>
      <w:r>
        <w:rPr>
          <w:rFonts w:hint="eastAsia" w:ascii="宋体" w:hAnsi="宋体" w:eastAsia="宋体" w:cs="宋体"/>
          <w:b/>
          <w:color w:val="auto"/>
          <w:sz w:val="28"/>
          <w:szCs w:val="28"/>
          <w:highlight w:val="none"/>
          <w:u w:val="single"/>
        </w:rPr>
        <w:t xml:space="preserve">      （全称）（盖章）</w:t>
      </w:r>
      <w:bookmarkEnd w:id="776"/>
      <w:bookmarkEnd w:id="777"/>
      <w:r>
        <w:rPr>
          <w:rFonts w:hint="eastAsia" w:ascii="宋体" w:hAnsi="宋体" w:eastAsia="宋体" w:cs="宋体"/>
          <w:b/>
          <w:color w:val="auto"/>
          <w:sz w:val="28"/>
          <w:szCs w:val="28"/>
          <w:highlight w:val="none"/>
          <w:u w:val="single"/>
        </w:rPr>
        <w:t xml:space="preserve">    </w:t>
      </w:r>
    </w:p>
    <w:p w14:paraId="79F365B4">
      <w:pPr>
        <w:spacing w:line="800" w:lineRule="exact"/>
        <w:ind w:firstLine="1897" w:firstLineChars="675"/>
        <w:rPr>
          <w:rFonts w:hint="eastAsia" w:ascii="宋体" w:hAnsi="宋体" w:eastAsia="宋体" w:cs="宋体"/>
          <w:b/>
          <w:color w:val="auto"/>
          <w:sz w:val="28"/>
          <w:szCs w:val="28"/>
          <w:highlight w:val="none"/>
          <w:u w:val="single"/>
        </w:rPr>
      </w:pPr>
      <w:bookmarkStart w:id="778" w:name="_Toc19712_WPSOffice_Level3"/>
      <w:bookmarkStart w:id="779" w:name="_Toc15130_WPSOffice_Level3"/>
      <w:r>
        <w:rPr>
          <w:rFonts w:hint="eastAsia" w:ascii="宋体" w:hAnsi="宋体" w:eastAsia="宋体" w:cs="宋体"/>
          <w:b/>
          <w:color w:val="auto"/>
          <w:sz w:val="28"/>
          <w:szCs w:val="28"/>
          <w:highlight w:val="none"/>
        </w:rPr>
        <w:t>法定代表人：</w:t>
      </w:r>
      <w:r>
        <w:rPr>
          <w:rFonts w:hint="eastAsia" w:ascii="宋体" w:hAnsi="宋体" w:eastAsia="宋体" w:cs="宋体"/>
          <w:b/>
          <w:color w:val="auto"/>
          <w:sz w:val="28"/>
          <w:szCs w:val="28"/>
          <w:highlight w:val="none"/>
          <w:u w:val="single"/>
        </w:rPr>
        <w:t xml:space="preserve">      （签字或盖章）</w:t>
      </w:r>
      <w:bookmarkEnd w:id="778"/>
      <w:bookmarkEnd w:id="779"/>
      <w:r>
        <w:rPr>
          <w:rFonts w:hint="eastAsia" w:ascii="宋体" w:hAnsi="宋体" w:eastAsia="宋体" w:cs="宋体"/>
          <w:b/>
          <w:color w:val="auto"/>
          <w:sz w:val="28"/>
          <w:szCs w:val="28"/>
          <w:highlight w:val="none"/>
          <w:u w:val="single"/>
        </w:rPr>
        <w:t xml:space="preserve">    </w:t>
      </w:r>
    </w:p>
    <w:p w14:paraId="4BDDBB22">
      <w:pPr>
        <w:spacing w:line="800" w:lineRule="exact"/>
        <w:ind w:firstLine="1897" w:firstLineChars="675"/>
        <w:rPr>
          <w:rFonts w:hint="eastAsia" w:ascii="宋体" w:hAnsi="宋体" w:eastAsia="宋体" w:cs="宋体"/>
          <w:b/>
          <w:color w:val="auto"/>
          <w:sz w:val="28"/>
          <w:szCs w:val="28"/>
          <w:highlight w:val="none"/>
        </w:rPr>
      </w:pPr>
      <w:bookmarkStart w:id="780" w:name="_Toc29958_WPSOffice_Level3"/>
      <w:bookmarkStart w:id="781" w:name="_Toc15358_WPSOffice_Level3"/>
      <w:r>
        <w:rPr>
          <w:rFonts w:hint="eastAsia" w:ascii="宋体" w:hAnsi="宋体" w:eastAsia="宋体" w:cs="宋体"/>
          <w:b/>
          <w:color w:val="auto"/>
          <w:sz w:val="28"/>
          <w:szCs w:val="28"/>
          <w:highlight w:val="none"/>
        </w:rPr>
        <w:t>时    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月</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日</w:t>
      </w:r>
      <w:bookmarkEnd w:id="780"/>
      <w:bookmarkEnd w:id="781"/>
    </w:p>
    <w:p w14:paraId="51345DD6">
      <w:pPr>
        <w:rPr>
          <w:rFonts w:hint="eastAsia" w:ascii="宋体" w:hAnsi="宋体" w:eastAsia="宋体" w:cs="宋体"/>
          <w:color w:val="auto"/>
          <w:highlight w:val="none"/>
        </w:rPr>
      </w:pPr>
      <w:bookmarkStart w:id="782" w:name="_Toc4661_WPSOffice_Level3"/>
      <w:bookmarkStart w:id="783" w:name="_Toc11095"/>
      <w:bookmarkStart w:id="784" w:name="_Toc21600"/>
      <w:bookmarkStart w:id="785" w:name="_Toc26161"/>
      <w:bookmarkStart w:id="786" w:name="_Toc27889"/>
      <w:bookmarkStart w:id="787" w:name="_Toc27985"/>
      <w:r>
        <w:rPr>
          <w:rFonts w:hint="eastAsia" w:ascii="宋体" w:hAnsi="宋体" w:eastAsia="宋体" w:cs="宋体"/>
          <w:color w:val="auto"/>
          <w:highlight w:val="none"/>
        </w:rPr>
        <w:br w:type="page"/>
      </w:r>
    </w:p>
    <w:p w14:paraId="1C39319F">
      <w:pPr>
        <w:pStyle w:val="2"/>
        <w:jc w:val="center"/>
        <w:rPr>
          <w:rFonts w:hint="eastAsia" w:ascii="宋体" w:hAnsi="宋体" w:eastAsia="宋体" w:cs="宋体"/>
          <w:color w:val="auto"/>
          <w:szCs w:val="28"/>
          <w:highlight w:val="none"/>
        </w:rPr>
      </w:pPr>
      <w:bookmarkStart w:id="788" w:name="_Toc2668"/>
      <w:bookmarkStart w:id="789" w:name="_Toc25882"/>
      <w:bookmarkStart w:id="790" w:name="_Toc10525"/>
      <w:bookmarkStart w:id="791" w:name="_Toc20387"/>
      <w:bookmarkStart w:id="792" w:name="_Toc25135"/>
      <w:bookmarkStart w:id="793" w:name="_Toc12442"/>
      <w:r>
        <w:rPr>
          <w:rFonts w:hint="eastAsia" w:ascii="宋体" w:hAnsi="宋体" w:eastAsia="宋体" w:cs="宋体"/>
          <w:color w:val="auto"/>
          <w:szCs w:val="28"/>
          <w:highlight w:val="none"/>
        </w:rPr>
        <w:t>目  录</w:t>
      </w:r>
      <w:bookmarkEnd w:id="782"/>
      <w:bookmarkEnd w:id="783"/>
      <w:bookmarkEnd w:id="784"/>
      <w:bookmarkEnd w:id="785"/>
      <w:bookmarkEnd w:id="786"/>
      <w:bookmarkEnd w:id="787"/>
      <w:bookmarkEnd w:id="788"/>
      <w:bookmarkEnd w:id="789"/>
      <w:bookmarkEnd w:id="790"/>
      <w:bookmarkEnd w:id="791"/>
      <w:bookmarkEnd w:id="792"/>
      <w:bookmarkEnd w:id="793"/>
    </w:p>
    <w:p w14:paraId="4B600FFF">
      <w:pPr>
        <w:rPr>
          <w:rFonts w:hint="eastAsia" w:ascii="宋体" w:hAnsi="宋体" w:eastAsia="宋体" w:cs="宋体"/>
          <w:color w:val="auto"/>
          <w:highlight w:val="none"/>
        </w:rPr>
      </w:pPr>
      <w:bookmarkStart w:id="794" w:name="_Toc3911_WPSOffice_Level2"/>
    </w:p>
    <w:p w14:paraId="6825DD78">
      <w:pPr>
        <w:rPr>
          <w:rFonts w:hint="eastAsia" w:ascii="宋体" w:hAnsi="宋体" w:eastAsia="宋体" w:cs="宋体"/>
          <w:color w:val="auto"/>
          <w:highlight w:val="none"/>
        </w:rPr>
      </w:pPr>
      <w:r>
        <w:rPr>
          <w:rFonts w:hint="eastAsia" w:ascii="宋体" w:hAnsi="宋体" w:eastAsia="宋体" w:cs="宋体"/>
          <w:color w:val="auto"/>
          <w:highlight w:val="none"/>
        </w:rPr>
        <w:t>一</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投标函</w:t>
      </w:r>
      <w:bookmarkEnd w:id="794"/>
    </w:p>
    <w:p w14:paraId="3D0A5A84">
      <w:pPr>
        <w:rPr>
          <w:rFonts w:hint="eastAsia" w:ascii="宋体" w:hAnsi="宋体" w:eastAsia="宋体" w:cs="宋体"/>
          <w:color w:val="auto"/>
          <w:highlight w:val="none"/>
        </w:rPr>
      </w:pPr>
      <w:bookmarkStart w:id="795" w:name="_Toc483_WPSOffice_Level2"/>
      <w:r>
        <w:rPr>
          <w:rFonts w:hint="eastAsia" w:ascii="宋体" w:hAnsi="宋体" w:eastAsia="宋体" w:cs="宋体"/>
          <w:color w:val="auto"/>
          <w:highlight w:val="none"/>
        </w:rPr>
        <w:t>二</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承诺书</w:t>
      </w:r>
      <w:bookmarkEnd w:id="795"/>
    </w:p>
    <w:p w14:paraId="54904BBA">
      <w:pPr>
        <w:rPr>
          <w:rFonts w:hint="eastAsia" w:ascii="宋体" w:hAnsi="宋体" w:eastAsia="宋体" w:cs="宋体"/>
          <w:color w:val="auto"/>
          <w:highlight w:val="none"/>
        </w:rPr>
      </w:pPr>
      <w:bookmarkStart w:id="796" w:name="_Toc25080_WPSOffice_Level2"/>
      <w:r>
        <w:rPr>
          <w:rFonts w:hint="eastAsia" w:ascii="宋体" w:hAnsi="宋体" w:eastAsia="宋体" w:cs="宋体"/>
          <w:color w:val="auto"/>
          <w:highlight w:val="none"/>
        </w:rPr>
        <w:t>三</w:t>
      </w:r>
      <w:bookmarkEnd w:id="796"/>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企业</w:t>
      </w:r>
      <w:r>
        <w:rPr>
          <w:rFonts w:hint="eastAsia" w:ascii="宋体" w:hAnsi="宋体" w:eastAsia="宋体" w:cs="宋体"/>
          <w:color w:val="auto"/>
          <w:highlight w:val="none"/>
        </w:rPr>
        <w:t>业绩汇总表</w:t>
      </w:r>
    </w:p>
    <w:p w14:paraId="4FD4E99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w:t>
      </w:r>
      <w:r>
        <w:rPr>
          <w:rFonts w:hint="eastAsia" w:ascii="宋体" w:hAnsi="宋体" w:eastAsia="宋体" w:cs="宋体"/>
          <w:color w:val="auto"/>
          <w:highlight w:val="none"/>
          <w:lang w:eastAsia="zh-CN"/>
        </w:rPr>
        <w:t>、企业</w:t>
      </w:r>
      <w:r>
        <w:rPr>
          <w:rFonts w:hint="eastAsia" w:ascii="宋体" w:hAnsi="宋体" w:eastAsia="宋体" w:cs="宋体"/>
          <w:color w:val="auto"/>
          <w:highlight w:val="none"/>
          <w:lang w:val="en-US" w:eastAsia="zh-CN"/>
        </w:rPr>
        <w:t>资质汇总</w:t>
      </w:r>
      <w:r>
        <w:rPr>
          <w:rFonts w:hint="eastAsia" w:ascii="宋体" w:hAnsi="宋体" w:eastAsia="宋体" w:cs="宋体"/>
          <w:color w:val="auto"/>
          <w:highlight w:val="none"/>
          <w:lang w:eastAsia="zh-CN"/>
        </w:rPr>
        <w:t>表</w:t>
      </w:r>
    </w:p>
    <w:p w14:paraId="7C006120">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参选人自行编制目录页码</w:t>
      </w:r>
      <w:r>
        <w:rPr>
          <w:rFonts w:hint="eastAsia" w:ascii="宋体" w:hAnsi="宋体" w:eastAsia="宋体" w:cs="宋体"/>
          <w:color w:val="auto"/>
          <w:highlight w:val="none"/>
          <w:lang w:eastAsia="zh-CN"/>
        </w:rPr>
        <w:t>）</w:t>
      </w:r>
    </w:p>
    <w:p w14:paraId="76D55205">
      <w:pPr>
        <w:rPr>
          <w:rFonts w:hint="eastAsia" w:ascii="宋体" w:hAnsi="宋体" w:eastAsia="宋体" w:cs="宋体"/>
          <w:color w:val="auto"/>
          <w:highlight w:val="none"/>
        </w:rPr>
      </w:pPr>
    </w:p>
    <w:p w14:paraId="741F54B3">
      <w:pPr>
        <w:pStyle w:val="2"/>
        <w:jc w:val="center"/>
        <w:rPr>
          <w:rFonts w:hint="eastAsia" w:ascii="宋体" w:hAnsi="宋体" w:eastAsia="宋体" w:cs="宋体"/>
          <w:b/>
          <w:bCs/>
          <w:color w:val="auto"/>
          <w:highlight w:val="none"/>
        </w:rPr>
      </w:pPr>
      <w:r>
        <w:rPr>
          <w:rFonts w:hint="eastAsia" w:ascii="宋体" w:hAnsi="宋体" w:eastAsia="宋体" w:cs="宋体"/>
          <w:color w:val="auto"/>
          <w:sz w:val="36"/>
          <w:szCs w:val="36"/>
          <w:highlight w:val="none"/>
        </w:rPr>
        <w:br w:type="page"/>
      </w:r>
      <w:bookmarkStart w:id="797" w:name="_Toc30425"/>
      <w:bookmarkStart w:id="798" w:name="_Toc21842"/>
      <w:bookmarkStart w:id="799" w:name="_Toc25748"/>
      <w:bookmarkStart w:id="800" w:name="_Toc2147"/>
      <w:bookmarkStart w:id="801" w:name="_Toc10521"/>
      <w:bookmarkStart w:id="802" w:name="_Toc25904"/>
      <w:bookmarkStart w:id="803" w:name="_Toc18552_WPSOffice_Level2"/>
      <w:bookmarkStart w:id="804" w:name="_Toc17874"/>
      <w:bookmarkStart w:id="805" w:name="_Toc26406"/>
      <w:bookmarkStart w:id="806" w:name="_Toc25746"/>
      <w:bookmarkStart w:id="807" w:name="_Toc2852"/>
      <w:bookmarkStart w:id="808" w:name="_Toc25815"/>
      <w:r>
        <w:rPr>
          <w:rFonts w:hint="eastAsia" w:ascii="宋体" w:hAnsi="宋体" w:eastAsia="宋体" w:cs="宋体"/>
          <w:b/>
          <w:bCs/>
          <w:color w:val="auto"/>
          <w:highlight w:val="none"/>
        </w:rPr>
        <w:t>一</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参选</w:t>
      </w:r>
      <w:r>
        <w:rPr>
          <w:rFonts w:hint="eastAsia" w:ascii="宋体" w:hAnsi="宋体" w:eastAsia="宋体" w:cs="宋体"/>
          <w:b/>
          <w:bCs/>
          <w:color w:val="auto"/>
          <w:highlight w:val="none"/>
        </w:rPr>
        <w:t>函</w:t>
      </w:r>
      <w:bookmarkEnd w:id="797"/>
      <w:bookmarkEnd w:id="798"/>
      <w:bookmarkEnd w:id="799"/>
      <w:bookmarkEnd w:id="800"/>
      <w:bookmarkEnd w:id="801"/>
      <w:bookmarkEnd w:id="802"/>
      <w:bookmarkEnd w:id="803"/>
      <w:bookmarkEnd w:id="804"/>
      <w:bookmarkEnd w:id="805"/>
      <w:bookmarkEnd w:id="806"/>
      <w:bookmarkEnd w:id="807"/>
      <w:bookmarkEnd w:id="808"/>
    </w:p>
    <w:p w14:paraId="3AE958CB">
      <w:pPr>
        <w:ind w:firstLine="422" w:firstLineChars="200"/>
        <w:rPr>
          <w:rFonts w:hint="eastAsia" w:ascii="宋体" w:hAnsi="宋体" w:eastAsia="宋体" w:cs="宋体"/>
          <w:b/>
          <w:color w:val="auto"/>
          <w:highlight w:val="none"/>
          <w:lang w:eastAsia="zh-CN"/>
        </w:rPr>
      </w:pPr>
      <w:r>
        <w:rPr>
          <w:rFonts w:hint="eastAsia" w:ascii="宋体" w:hAnsi="宋体" w:eastAsia="宋体" w:cs="宋体"/>
          <w:b/>
          <w:color w:val="auto"/>
          <w:highlight w:val="none"/>
        </w:rPr>
        <w:t>致：</w:t>
      </w:r>
      <w:r>
        <w:rPr>
          <w:rFonts w:hint="eastAsia" w:ascii="宋体" w:hAnsi="宋体" w:eastAsia="宋体" w:cs="宋体"/>
          <w:b/>
          <w:color w:val="auto"/>
          <w:highlight w:val="none"/>
          <w:lang w:eastAsia="zh-CN"/>
        </w:rPr>
        <w:t>南通轨道资源开发有限公司</w:t>
      </w:r>
    </w:p>
    <w:p w14:paraId="6D51F5BA">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根据已收到的</w:t>
      </w:r>
      <w:r>
        <w:rPr>
          <w:rFonts w:hint="eastAsia" w:ascii="宋体" w:hAnsi="宋体" w:eastAsia="宋体" w:cs="宋体"/>
          <w:color w:val="auto"/>
          <w:highlight w:val="none"/>
          <w:u w:val="single"/>
          <w:lang w:val="en-US" w:eastAsia="zh-CN"/>
        </w:rPr>
        <w:t>南通轨道资源开发有限公司文创产品生产制作年度供应商库项目（2026—2028年）</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，遵照规定,我方经考察现场和认真研究上述</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后，愿承认其全部内容。</w:t>
      </w:r>
    </w:p>
    <w:p w14:paraId="1BA49859">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1、我方按</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中的要求承担</w:t>
      </w:r>
      <w:r>
        <w:rPr>
          <w:rFonts w:hint="eastAsia" w:ascii="宋体" w:hAnsi="宋体" w:eastAsia="宋体" w:cs="宋体"/>
          <w:color w:val="auto"/>
          <w:highlight w:val="none"/>
          <w:u w:val="single"/>
          <w:lang w:val="en-US" w:eastAsia="zh-CN"/>
        </w:rPr>
        <w:t>南通轨道资源开发有限公司文创产品生产制作年度供应商库项目（2026—2028年）</w:t>
      </w:r>
      <w:r>
        <w:rPr>
          <w:rFonts w:hint="eastAsia" w:ascii="宋体" w:hAnsi="宋体" w:eastAsia="宋体" w:cs="宋体"/>
          <w:color w:val="auto"/>
          <w:highlight w:val="none"/>
        </w:rPr>
        <w:t>的全部工作内容。</w:t>
      </w:r>
    </w:p>
    <w:p w14:paraId="026B2ECC">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2、我方承诺服务周期及</w:t>
      </w: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响应</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所规定的所有工作完成时间均满足合同条款。</w:t>
      </w:r>
    </w:p>
    <w:p w14:paraId="77A0E3C7">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3、如果贵方接受我方投标，我方在接到</w:t>
      </w: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通知书后将按</w:t>
      </w: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通知书和</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的要求及时签订合同。我方保证在</w:t>
      </w:r>
      <w:r>
        <w:rPr>
          <w:rFonts w:hint="eastAsia" w:ascii="宋体" w:hAnsi="宋体" w:eastAsia="宋体" w:cs="宋体"/>
          <w:color w:val="auto"/>
          <w:highlight w:val="none"/>
          <w:lang w:eastAsia="zh-CN"/>
        </w:rPr>
        <w:t>参选人须知</w:t>
      </w:r>
      <w:r>
        <w:rPr>
          <w:rFonts w:hint="eastAsia" w:ascii="宋体" w:hAnsi="宋体" w:eastAsia="宋体" w:cs="宋体"/>
          <w:color w:val="auto"/>
          <w:highlight w:val="none"/>
        </w:rPr>
        <w:t>中规定的期限内按照要求提交成果。</w:t>
      </w:r>
    </w:p>
    <w:p w14:paraId="6D2EC3F6">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4、我方同意在贵方</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规定的</w:t>
      </w:r>
      <w:r>
        <w:rPr>
          <w:rFonts w:hint="eastAsia" w:ascii="宋体" w:hAnsi="宋体" w:eastAsia="宋体" w:cs="宋体"/>
          <w:color w:val="auto"/>
          <w:highlight w:val="none"/>
          <w:lang w:eastAsia="zh-CN"/>
        </w:rPr>
        <w:t>参选投标有效期</w:t>
      </w:r>
      <w:r>
        <w:rPr>
          <w:rFonts w:hint="eastAsia" w:ascii="宋体" w:hAnsi="宋体" w:eastAsia="宋体" w:cs="宋体"/>
          <w:color w:val="auto"/>
          <w:highlight w:val="none"/>
        </w:rPr>
        <w:t>内遵守约定。在该期限期满之前，本投标书对我方始终具有约束力。</w:t>
      </w:r>
    </w:p>
    <w:p w14:paraId="30629D4A">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5、我方充分理解贵方</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所提出的关于人员、设备、管理等提出的隐性要求，一旦</w:t>
      </w: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，确保能按照贵方要求执行，否则愿意接受贵方对我方的相关处罚。</w:t>
      </w:r>
    </w:p>
    <w:p w14:paraId="0EC3E852">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6、在正式签订合同协议书之前，本投标书连同贵方的</w:t>
      </w: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通知书应成为约束贵方、我方的合同文件。</w:t>
      </w:r>
    </w:p>
    <w:p w14:paraId="4D5F27A6">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7、我方理解，贵方不一定接受最低标价的投标或可能接受其他任何投标；同时也理解，贵方不负担我单位的任何投标费用。</w:t>
      </w:r>
    </w:p>
    <w:p w14:paraId="0B6C999F">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8、我方承诺：本</w:t>
      </w: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提供的信息、数据、资料或证书均真实有效，否则贵方有权取消我方的投标或</w:t>
      </w:r>
      <w:r>
        <w:rPr>
          <w:rFonts w:hint="eastAsia" w:ascii="宋体" w:hAnsi="宋体" w:eastAsia="宋体" w:cs="宋体"/>
          <w:color w:val="auto"/>
          <w:highlight w:val="none"/>
          <w:lang w:eastAsia="zh-CN"/>
        </w:rPr>
        <w:t>中选</w:t>
      </w:r>
      <w:r>
        <w:rPr>
          <w:rFonts w:hint="eastAsia" w:ascii="宋体" w:hAnsi="宋体" w:eastAsia="宋体" w:cs="宋体"/>
          <w:color w:val="auto"/>
          <w:highlight w:val="none"/>
        </w:rPr>
        <w:t>资格。</w:t>
      </w:r>
    </w:p>
    <w:p w14:paraId="1347802B">
      <w:pPr>
        <w:ind w:firstLine="420" w:firstLineChars="200"/>
        <w:rPr>
          <w:rFonts w:hint="eastAsia" w:ascii="宋体" w:hAnsi="宋体" w:eastAsia="宋体" w:cs="宋体"/>
          <w:color w:val="auto"/>
          <w:highlight w:val="none"/>
        </w:rPr>
      </w:pPr>
    </w:p>
    <w:p w14:paraId="5F394D7D">
      <w:pPr>
        <w:ind w:firstLine="420" w:firstLineChars="200"/>
        <w:rPr>
          <w:rFonts w:hint="eastAsia" w:ascii="宋体" w:hAnsi="宋体" w:eastAsia="宋体" w:cs="宋体"/>
          <w:color w:val="auto"/>
          <w:highlight w:val="none"/>
        </w:rPr>
      </w:pPr>
    </w:p>
    <w:p w14:paraId="64C4B21C">
      <w:pPr>
        <w:ind w:firstLine="403" w:firstLineChars="192"/>
        <w:rPr>
          <w:rFonts w:hint="eastAsia" w:ascii="宋体" w:hAnsi="宋体" w:eastAsia="宋体" w:cs="宋体"/>
          <w:color w:val="auto"/>
          <w:highlight w:val="none"/>
        </w:rPr>
      </w:pPr>
    </w:p>
    <w:p w14:paraId="5873E5FB">
      <w:pPr>
        <w:ind w:firstLine="403" w:firstLineChars="192"/>
        <w:jc w:val="right"/>
        <w:rPr>
          <w:rFonts w:hint="eastAsia" w:ascii="宋体" w:hAnsi="宋体" w:eastAsia="宋体" w:cs="宋体"/>
          <w:color w:val="auto"/>
          <w:highlight w:val="none"/>
          <w:u w:val="single"/>
        </w:rPr>
      </w:pP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（盖章） </w:t>
      </w:r>
    </w:p>
    <w:p w14:paraId="05FAD1E2">
      <w:pPr>
        <w:ind w:firstLine="403" w:firstLineChars="192"/>
        <w:jc w:val="right"/>
        <w:rPr>
          <w:rFonts w:hint="eastAsia" w:ascii="宋体" w:hAnsi="宋体" w:eastAsia="宋体" w:cs="宋体"/>
          <w:color w:val="auto"/>
          <w:highlight w:val="none"/>
        </w:rPr>
      </w:pPr>
      <w:r>
        <w:rPr>
          <w:rFonts w:hint="eastAsia" w:ascii="宋体" w:hAnsi="宋体" w:eastAsia="宋体" w:cs="宋体"/>
          <w:color w:val="auto"/>
          <w:highlight w:val="none"/>
        </w:rPr>
        <w:t>法定代表人或委托代理人：</w:t>
      </w:r>
      <w:r>
        <w:rPr>
          <w:rFonts w:hint="eastAsia" w:ascii="宋体" w:hAnsi="宋体" w:eastAsia="宋体" w:cs="宋体"/>
          <w:color w:val="auto"/>
          <w:highlight w:val="none"/>
          <w:u w:val="single"/>
        </w:rPr>
        <w:t xml:space="preserve"> （签字或盖章） </w:t>
      </w:r>
      <w:r>
        <w:rPr>
          <w:rFonts w:hint="eastAsia" w:ascii="宋体" w:hAnsi="宋体" w:eastAsia="宋体" w:cs="宋体"/>
          <w:color w:val="auto"/>
          <w:highlight w:val="none"/>
        </w:rPr>
        <w:t xml:space="preserve"> </w:t>
      </w:r>
    </w:p>
    <w:p w14:paraId="780EB444">
      <w:pPr>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512056B4">
      <w:pPr>
        <w:rPr>
          <w:rFonts w:hint="eastAsia" w:ascii="宋体" w:hAnsi="宋体" w:eastAsia="宋体" w:cs="宋体"/>
          <w:color w:val="auto"/>
          <w:highlight w:val="none"/>
        </w:rPr>
      </w:pPr>
    </w:p>
    <w:p w14:paraId="1321DEFE">
      <w:pPr>
        <w:rPr>
          <w:rFonts w:hint="eastAsia" w:ascii="宋体" w:hAnsi="宋体" w:eastAsia="宋体" w:cs="宋体"/>
          <w:color w:val="auto"/>
          <w:highlight w:val="none"/>
        </w:rPr>
      </w:pPr>
    </w:p>
    <w:p w14:paraId="7A8A4D0F">
      <w:pPr>
        <w:pStyle w:val="2"/>
        <w:jc w:val="center"/>
        <w:rPr>
          <w:rFonts w:hint="eastAsia" w:ascii="宋体" w:hAnsi="宋体" w:eastAsia="宋体" w:cs="宋体"/>
          <w:b/>
          <w:bCs/>
          <w:color w:val="auto"/>
          <w:highlight w:val="none"/>
        </w:rPr>
      </w:pPr>
      <w:bookmarkStart w:id="809" w:name="_Toc7480"/>
      <w:bookmarkStart w:id="810" w:name="_Toc5404"/>
      <w:bookmarkStart w:id="811" w:name="_Toc9837"/>
      <w:bookmarkStart w:id="812" w:name="_Toc9037"/>
      <w:bookmarkStart w:id="813" w:name="_Toc18733"/>
      <w:bookmarkStart w:id="814" w:name="_Toc13480"/>
      <w:bookmarkStart w:id="815" w:name="_Toc30546_WPSOffice_Level2"/>
      <w:bookmarkStart w:id="816" w:name="_Toc25723"/>
      <w:bookmarkStart w:id="817" w:name="_Toc10388"/>
      <w:bookmarkStart w:id="818" w:name="_Toc9949"/>
      <w:bookmarkStart w:id="819" w:name="_Toc14847"/>
      <w:bookmarkStart w:id="820" w:name="_Toc25179"/>
      <w:bookmarkStart w:id="821" w:name="_Toc22369"/>
      <w:r>
        <w:rPr>
          <w:rFonts w:hint="eastAsia" w:ascii="宋体" w:hAnsi="宋体" w:eastAsia="宋体" w:cs="宋体"/>
          <w:b/>
          <w:bCs/>
          <w:color w:val="auto"/>
          <w:highlight w:val="none"/>
        </w:rPr>
        <w:t>二</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承诺书</w:t>
      </w:r>
      <w:bookmarkEnd w:id="809"/>
      <w:bookmarkEnd w:id="810"/>
      <w:bookmarkEnd w:id="811"/>
      <w:bookmarkEnd w:id="812"/>
      <w:bookmarkEnd w:id="813"/>
      <w:bookmarkEnd w:id="814"/>
      <w:bookmarkEnd w:id="815"/>
      <w:bookmarkEnd w:id="816"/>
      <w:bookmarkEnd w:id="817"/>
      <w:bookmarkEnd w:id="818"/>
      <w:bookmarkEnd w:id="819"/>
      <w:bookmarkEnd w:id="820"/>
      <w:bookmarkEnd w:id="821"/>
    </w:p>
    <w:p w14:paraId="30DC8F24">
      <w:pPr>
        <w:spacing w:line="380" w:lineRule="exact"/>
        <w:rPr>
          <w:rFonts w:hint="eastAsia" w:ascii="宋体" w:hAnsi="宋体" w:eastAsia="宋体" w:cs="宋体"/>
          <w:color w:val="auto"/>
          <w:kern w:val="0"/>
          <w:highlight w:val="none"/>
          <w:u w:val="single"/>
        </w:rPr>
      </w:pPr>
    </w:p>
    <w:p w14:paraId="44B735DD">
      <w:pPr>
        <w:spacing w:line="360" w:lineRule="auto"/>
        <w:rPr>
          <w:rFonts w:hint="eastAsia" w:ascii="宋体" w:hAnsi="宋体" w:eastAsia="宋体" w:cs="宋体"/>
          <w:b/>
          <w:color w:val="auto"/>
          <w:highlight w:val="none"/>
        </w:rPr>
      </w:pPr>
      <w:r>
        <w:rPr>
          <w:rFonts w:hint="eastAsia" w:ascii="宋体" w:hAnsi="宋体" w:eastAsia="宋体" w:cs="宋体"/>
          <w:color w:val="auto"/>
          <w:kern w:val="0"/>
          <w:highlight w:val="none"/>
          <w:u w:val="single"/>
          <w:lang w:eastAsia="zh-CN"/>
        </w:rPr>
        <w:t>南通轨道资源开发有限公司</w:t>
      </w:r>
      <w:r>
        <w:rPr>
          <w:rFonts w:hint="eastAsia" w:ascii="宋体" w:hAnsi="宋体" w:eastAsia="宋体" w:cs="宋体"/>
          <w:color w:val="auto"/>
          <w:kern w:val="0"/>
          <w:highlight w:val="none"/>
        </w:rPr>
        <w:t>：</w:t>
      </w:r>
    </w:p>
    <w:p w14:paraId="749F91C2">
      <w:pPr>
        <w:widowControl/>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我方参加你方的</w:t>
      </w:r>
      <w:r>
        <w:rPr>
          <w:rFonts w:hint="eastAsia" w:ascii="宋体" w:hAnsi="宋体" w:eastAsia="宋体" w:cs="宋体"/>
          <w:b/>
          <w:bCs/>
          <w:color w:val="auto"/>
          <w:kern w:val="0"/>
          <w:highlight w:val="none"/>
          <w:u w:val="single"/>
        </w:rPr>
        <w:t xml:space="preserve">                          </w:t>
      </w:r>
      <w:r>
        <w:rPr>
          <w:rFonts w:hint="eastAsia" w:ascii="宋体" w:hAnsi="宋体" w:eastAsia="宋体" w:cs="宋体"/>
          <w:color w:val="auto"/>
          <w:kern w:val="0"/>
          <w:highlight w:val="none"/>
        </w:rPr>
        <w:t>（以下简称“本工程”）的投标，现我方法定代表人向你方慎重承诺：</w:t>
      </w:r>
    </w:p>
    <w:p w14:paraId="239EB039">
      <w:pPr>
        <w:widowControl/>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1、企业财务和经营状况良好，具备履行合同能力；未处于被责令停业、投标资格被取消或者财产被接管、冻结和破产状态；无因</w:t>
      </w:r>
      <w:r>
        <w:rPr>
          <w:rFonts w:hint="eastAsia" w:ascii="宋体" w:hAnsi="宋体" w:eastAsia="宋体" w:cs="宋体"/>
          <w:color w:val="auto"/>
          <w:kern w:val="0"/>
          <w:highlight w:val="none"/>
          <w:lang w:eastAsia="zh-CN"/>
        </w:rPr>
        <w:t>参选人</w:t>
      </w:r>
      <w:r>
        <w:rPr>
          <w:rFonts w:hint="eastAsia" w:ascii="宋体" w:hAnsi="宋体" w:eastAsia="宋体" w:cs="宋体"/>
          <w:color w:val="auto"/>
          <w:kern w:val="0"/>
          <w:highlight w:val="none"/>
        </w:rPr>
        <w:t>违约或不恰当履约引起的合同争议纠纷及仲裁和诉讼记录。如果我方经本工程评标委员会评定为</w:t>
      </w:r>
      <w:r>
        <w:rPr>
          <w:rFonts w:hint="eastAsia" w:ascii="宋体" w:hAnsi="宋体" w:eastAsia="宋体" w:cs="宋体"/>
          <w:color w:val="auto"/>
          <w:kern w:val="0"/>
          <w:highlight w:val="none"/>
          <w:lang w:eastAsia="zh-CN"/>
        </w:rPr>
        <w:t>中选</w:t>
      </w:r>
      <w:r>
        <w:rPr>
          <w:rFonts w:hint="eastAsia" w:ascii="宋体" w:hAnsi="宋体" w:eastAsia="宋体" w:cs="宋体"/>
          <w:color w:val="auto"/>
          <w:kern w:val="0"/>
          <w:highlight w:val="none"/>
        </w:rPr>
        <w:t>候选人后，被他人举报并经</w:t>
      </w:r>
      <w:r>
        <w:rPr>
          <w:rFonts w:hint="eastAsia" w:ascii="宋体" w:hAnsi="宋体" w:eastAsia="宋体" w:cs="宋体"/>
          <w:color w:val="auto"/>
          <w:highlight w:val="none"/>
        </w:rPr>
        <w:t>监督部门</w:t>
      </w:r>
      <w:r>
        <w:rPr>
          <w:rFonts w:hint="eastAsia" w:ascii="宋体" w:hAnsi="宋体" w:eastAsia="宋体" w:cs="宋体"/>
          <w:color w:val="auto"/>
          <w:kern w:val="0"/>
          <w:highlight w:val="none"/>
        </w:rPr>
        <w:t>核实，确认存在上述不良记录，你方即可取消我方</w:t>
      </w:r>
      <w:r>
        <w:rPr>
          <w:rFonts w:hint="eastAsia" w:ascii="宋体" w:hAnsi="宋体" w:eastAsia="宋体" w:cs="宋体"/>
          <w:color w:val="auto"/>
          <w:kern w:val="0"/>
          <w:highlight w:val="none"/>
          <w:lang w:eastAsia="zh-CN"/>
        </w:rPr>
        <w:t>中选</w:t>
      </w:r>
      <w:r>
        <w:rPr>
          <w:rFonts w:hint="eastAsia" w:ascii="宋体" w:hAnsi="宋体" w:eastAsia="宋体" w:cs="宋体"/>
          <w:color w:val="auto"/>
          <w:kern w:val="0"/>
          <w:highlight w:val="none"/>
        </w:rPr>
        <w:t>资格，并同意</w:t>
      </w:r>
      <w:r>
        <w:rPr>
          <w:rFonts w:hint="eastAsia" w:ascii="宋体" w:hAnsi="宋体" w:eastAsia="宋体" w:cs="宋体"/>
          <w:color w:val="auto"/>
          <w:kern w:val="0"/>
          <w:highlight w:val="none"/>
          <w:lang w:eastAsia="zh-CN"/>
        </w:rPr>
        <w:t>参选保证金</w:t>
      </w:r>
      <w:r>
        <w:rPr>
          <w:rFonts w:hint="eastAsia" w:ascii="宋体" w:hAnsi="宋体" w:eastAsia="宋体" w:cs="宋体"/>
          <w:color w:val="auto"/>
          <w:kern w:val="0"/>
          <w:highlight w:val="none"/>
        </w:rPr>
        <w:t>不予退还，并接受处罚。</w:t>
      </w:r>
    </w:p>
    <w:p w14:paraId="3D370451">
      <w:pPr>
        <w:widowControl/>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2、本单位递交的</w:t>
      </w:r>
      <w:r>
        <w:rPr>
          <w:rFonts w:hint="eastAsia" w:ascii="宋体" w:hAnsi="宋体" w:eastAsia="宋体" w:cs="宋体"/>
          <w:color w:val="auto"/>
          <w:kern w:val="0"/>
          <w:highlight w:val="none"/>
          <w:lang w:eastAsia="zh-CN"/>
        </w:rPr>
        <w:t>参选文件</w:t>
      </w:r>
      <w:r>
        <w:rPr>
          <w:rFonts w:hint="eastAsia" w:ascii="宋体" w:hAnsi="宋体" w:eastAsia="宋体" w:cs="宋体"/>
          <w:color w:val="auto"/>
          <w:kern w:val="0"/>
          <w:highlight w:val="none"/>
        </w:rPr>
        <w:t>中的所有资料都是真实可信的，没有弄虚作假。</w:t>
      </w:r>
    </w:p>
    <w:p w14:paraId="2EDA49C5">
      <w:pPr>
        <w:widowControl/>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3、不组织、不参与串标围标，没有出借资质等违法违规行为。</w:t>
      </w:r>
    </w:p>
    <w:p w14:paraId="28892F9B">
      <w:pPr>
        <w:widowControl/>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4、如果以后涉及</w:t>
      </w:r>
      <w:r>
        <w:rPr>
          <w:rFonts w:hint="eastAsia" w:ascii="宋体" w:hAnsi="宋体" w:eastAsia="宋体" w:cs="宋体"/>
          <w:color w:val="auto"/>
          <w:kern w:val="0"/>
          <w:highlight w:val="none"/>
          <w:lang w:eastAsia="zh-CN"/>
        </w:rPr>
        <w:t>比选参选</w:t>
      </w:r>
      <w:r>
        <w:rPr>
          <w:rFonts w:hint="eastAsia" w:ascii="宋体" w:hAnsi="宋体" w:eastAsia="宋体" w:cs="宋体"/>
          <w:color w:val="auto"/>
          <w:kern w:val="0"/>
          <w:highlight w:val="none"/>
        </w:rPr>
        <w:t>方面的投诉举报，我方将严格按照规定进行投诉，否则，</w:t>
      </w:r>
      <w:r>
        <w:rPr>
          <w:rFonts w:hint="eastAsia" w:ascii="宋体" w:hAnsi="宋体" w:eastAsia="宋体" w:cs="宋体"/>
          <w:color w:val="auto"/>
          <w:kern w:val="0"/>
          <w:highlight w:val="none"/>
          <w:lang w:eastAsia="zh-CN"/>
        </w:rPr>
        <w:t>比选人</w:t>
      </w:r>
      <w:r>
        <w:rPr>
          <w:rFonts w:hint="eastAsia" w:ascii="宋体" w:hAnsi="宋体" w:eastAsia="宋体" w:cs="宋体"/>
          <w:color w:val="auto"/>
          <w:kern w:val="0"/>
          <w:highlight w:val="none"/>
        </w:rPr>
        <w:t>可以不予受理。</w:t>
      </w:r>
    </w:p>
    <w:p w14:paraId="57CDF4F8">
      <w:pPr>
        <w:widowControl/>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5、我方保证：如</w:t>
      </w:r>
      <w:r>
        <w:rPr>
          <w:rFonts w:hint="eastAsia" w:ascii="宋体" w:hAnsi="宋体" w:eastAsia="宋体" w:cs="宋体"/>
          <w:color w:val="auto"/>
          <w:kern w:val="0"/>
          <w:highlight w:val="none"/>
          <w:lang w:eastAsia="zh-CN"/>
        </w:rPr>
        <w:t>中选</w:t>
      </w:r>
      <w:r>
        <w:rPr>
          <w:rFonts w:hint="eastAsia" w:ascii="宋体" w:hAnsi="宋体" w:eastAsia="宋体" w:cs="宋体"/>
          <w:color w:val="auto"/>
          <w:kern w:val="0"/>
          <w:highlight w:val="none"/>
        </w:rPr>
        <w:t>，确保在领取</w:t>
      </w:r>
      <w:r>
        <w:rPr>
          <w:rFonts w:hint="eastAsia" w:ascii="宋体" w:hAnsi="宋体" w:eastAsia="宋体" w:cs="宋体"/>
          <w:color w:val="auto"/>
          <w:kern w:val="0"/>
          <w:highlight w:val="none"/>
          <w:lang w:eastAsia="zh-CN"/>
        </w:rPr>
        <w:t>中选</w:t>
      </w:r>
      <w:r>
        <w:rPr>
          <w:rFonts w:hint="eastAsia" w:ascii="宋体" w:hAnsi="宋体" w:eastAsia="宋体" w:cs="宋体"/>
          <w:color w:val="auto"/>
          <w:kern w:val="0"/>
          <w:highlight w:val="none"/>
        </w:rPr>
        <w:t>通知书后十天内、签订合同前提交履约担保并开始作业，并在规定的合同工期内完成任务。如在规定的合同工期内未完成任务，即可认为我方组织不力。</w:t>
      </w:r>
    </w:p>
    <w:p w14:paraId="7CD27C09">
      <w:pPr>
        <w:widowControl/>
        <w:spacing w:line="360" w:lineRule="auto"/>
        <w:ind w:firstLine="420" w:firstLineChars="200"/>
        <w:rPr>
          <w:rFonts w:hint="eastAsia" w:ascii="宋体" w:hAnsi="宋体" w:eastAsia="宋体" w:cs="宋体"/>
          <w:b/>
          <w:color w:val="auto"/>
          <w:kern w:val="0"/>
          <w:highlight w:val="none"/>
        </w:rPr>
      </w:pPr>
      <w:r>
        <w:rPr>
          <w:rFonts w:hint="eastAsia" w:ascii="宋体" w:hAnsi="宋体" w:eastAsia="宋体" w:cs="宋体"/>
          <w:color w:val="auto"/>
          <w:kern w:val="0"/>
          <w:highlight w:val="none"/>
        </w:rPr>
        <w:t>6、我方保证：如</w:t>
      </w:r>
      <w:r>
        <w:rPr>
          <w:rFonts w:hint="eastAsia" w:ascii="宋体" w:hAnsi="宋体" w:eastAsia="宋体" w:cs="宋体"/>
          <w:color w:val="auto"/>
          <w:kern w:val="0"/>
          <w:highlight w:val="none"/>
          <w:lang w:eastAsia="zh-CN"/>
        </w:rPr>
        <w:t>中选</w:t>
      </w:r>
      <w:r>
        <w:rPr>
          <w:rFonts w:hint="eastAsia" w:ascii="宋体" w:hAnsi="宋体" w:eastAsia="宋体" w:cs="宋体"/>
          <w:color w:val="auto"/>
          <w:kern w:val="0"/>
          <w:highlight w:val="none"/>
        </w:rPr>
        <w:t>，按要求，确保在公示结束后十天内我方法定代表人及项目负责人来参加你方法人约谈。如在规定的时间内未能前来参加法人约谈，即可认为我方主动放弃</w:t>
      </w:r>
      <w:r>
        <w:rPr>
          <w:rFonts w:hint="eastAsia" w:ascii="宋体" w:hAnsi="宋体" w:eastAsia="宋体" w:cs="宋体"/>
          <w:color w:val="auto"/>
          <w:kern w:val="0"/>
          <w:highlight w:val="none"/>
          <w:lang w:eastAsia="zh-CN"/>
        </w:rPr>
        <w:t>中选</w:t>
      </w:r>
      <w:r>
        <w:rPr>
          <w:rFonts w:hint="eastAsia" w:ascii="宋体" w:hAnsi="宋体" w:eastAsia="宋体" w:cs="宋体"/>
          <w:color w:val="auto"/>
          <w:kern w:val="0"/>
          <w:highlight w:val="none"/>
        </w:rPr>
        <w:t>候选人资格，并同意</w:t>
      </w:r>
      <w:r>
        <w:rPr>
          <w:rFonts w:hint="eastAsia" w:ascii="宋体" w:hAnsi="宋体" w:eastAsia="宋体" w:cs="宋体"/>
          <w:color w:val="auto"/>
          <w:kern w:val="0"/>
          <w:highlight w:val="none"/>
          <w:lang w:eastAsia="zh-CN"/>
        </w:rPr>
        <w:t>参选保证金</w:t>
      </w:r>
      <w:r>
        <w:rPr>
          <w:rFonts w:hint="eastAsia" w:ascii="宋体" w:hAnsi="宋体" w:eastAsia="宋体" w:cs="宋体"/>
          <w:color w:val="auto"/>
          <w:kern w:val="0"/>
          <w:highlight w:val="none"/>
        </w:rPr>
        <w:t>不予退还。</w:t>
      </w:r>
    </w:p>
    <w:p w14:paraId="30560D95">
      <w:pPr>
        <w:widowControl/>
        <w:spacing w:line="360" w:lineRule="auto"/>
        <w:ind w:firstLine="422" w:firstLineChars="200"/>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我方承诺：违反上述任何一条承诺，愿意接受任何处罚，包括同意你方取消我方</w:t>
      </w:r>
      <w:r>
        <w:rPr>
          <w:rFonts w:hint="eastAsia" w:ascii="宋体" w:hAnsi="宋体" w:eastAsia="宋体" w:cs="宋体"/>
          <w:b/>
          <w:color w:val="auto"/>
          <w:kern w:val="0"/>
          <w:highlight w:val="none"/>
          <w:lang w:eastAsia="zh-CN"/>
        </w:rPr>
        <w:t>中选</w:t>
      </w:r>
      <w:r>
        <w:rPr>
          <w:rFonts w:hint="eastAsia" w:ascii="宋体" w:hAnsi="宋体" w:eastAsia="宋体" w:cs="宋体"/>
          <w:b/>
          <w:color w:val="auto"/>
          <w:kern w:val="0"/>
          <w:highlight w:val="none"/>
        </w:rPr>
        <w:t>资格并不予退还</w:t>
      </w:r>
      <w:r>
        <w:rPr>
          <w:rFonts w:hint="eastAsia" w:ascii="宋体" w:hAnsi="宋体" w:eastAsia="宋体" w:cs="宋体"/>
          <w:b/>
          <w:color w:val="auto"/>
          <w:kern w:val="0"/>
          <w:highlight w:val="none"/>
          <w:lang w:eastAsia="zh-CN"/>
        </w:rPr>
        <w:t>参选保证金</w:t>
      </w:r>
      <w:r>
        <w:rPr>
          <w:rFonts w:hint="eastAsia" w:ascii="宋体" w:hAnsi="宋体" w:eastAsia="宋体" w:cs="宋体"/>
          <w:b/>
          <w:color w:val="auto"/>
          <w:kern w:val="0"/>
          <w:highlight w:val="none"/>
        </w:rPr>
        <w:t>或履约担保，将我方列入黑名单，我方主动放弃今后参与你集团及下属公司所有项目的投标或竞价的资格。</w:t>
      </w:r>
    </w:p>
    <w:p w14:paraId="2937AA72">
      <w:pPr>
        <w:widowControl/>
        <w:spacing w:line="380" w:lineRule="exact"/>
        <w:ind w:firstLine="2205" w:firstLineChars="1050"/>
        <w:jc w:val="center"/>
        <w:rPr>
          <w:rFonts w:hint="eastAsia" w:ascii="宋体" w:hAnsi="宋体" w:eastAsia="宋体" w:cs="宋体"/>
          <w:color w:val="auto"/>
          <w:kern w:val="0"/>
          <w:highlight w:val="none"/>
        </w:rPr>
      </w:pPr>
      <w:bookmarkStart w:id="822" w:name="_Toc7065_WPSOffice_Level2"/>
      <w:bookmarkStart w:id="823" w:name="_Toc10412_WPSOffice_Level3"/>
    </w:p>
    <w:bookmarkEnd w:id="822"/>
    <w:bookmarkEnd w:id="823"/>
    <w:p w14:paraId="7296DB6D">
      <w:pPr>
        <w:ind w:firstLine="403" w:firstLineChars="192"/>
        <w:jc w:val="right"/>
        <w:rPr>
          <w:rFonts w:hint="eastAsia" w:ascii="宋体" w:hAnsi="宋体" w:eastAsia="宋体" w:cs="宋体"/>
          <w:color w:val="auto"/>
          <w:highlight w:val="none"/>
          <w:u w:val="single"/>
        </w:rPr>
      </w:pPr>
      <w:bookmarkStart w:id="824" w:name="_Toc218710265"/>
      <w:bookmarkStart w:id="825" w:name="_Toc22471"/>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（盖章） </w:t>
      </w:r>
    </w:p>
    <w:p w14:paraId="744A1BA3">
      <w:pPr>
        <w:ind w:firstLine="403" w:firstLineChars="192"/>
        <w:jc w:val="right"/>
        <w:rPr>
          <w:rFonts w:hint="eastAsia" w:ascii="宋体" w:hAnsi="宋体" w:eastAsia="宋体" w:cs="宋体"/>
          <w:color w:val="auto"/>
          <w:highlight w:val="none"/>
        </w:rPr>
      </w:pPr>
      <w:r>
        <w:rPr>
          <w:rFonts w:hint="eastAsia" w:ascii="宋体" w:hAnsi="宋体" w:eastAsia="宋体" w:cs="宋体"/>
          <w:color w:val="auto"/>
          <w:highlight w:val="none"/>
        </w:rPr>
        <w:t>法定代表人或委托代理人：</w:t>
      </w:r>
      <w:r>
        <w:rPr>
          <w:rFonts w:hint="eastAsia" w:ascii="宋体" w:hAnsi="宋体" w:eastAsia="宋体" w:cs="宋体"/>
          <w:color w:val="auto"/>
          <w:highlight w:val="none"/>
          <w:u w:val="single"/>
        </w:rPr>
        <w:t xml:space="preserve"> （签字或盖章） </w:t>
      </w:r>
      <w:r>
        <w:rPr>
          <w:rFonts w:hint="eastAsia" w:ascii="宋体" w:hAnsi="宋体" w:eastAsia="宋体" w:cs="宋体"/>
          <w:color w:val="auto"/>
          <w:highlight w:val="none"/>
        </w:rPr>
        <w:t xml:space="preserve"> </w:t>
      </w:r>
    </w:p>
    <w:p w14:paraId="61290BCF">
      <w:pPr>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18043CC3">
      <w:pPr>
        <w:rPr>
          <w:rFonts w:hint="eastAsia" w:ascii="宋体" w:hAnsi="宋体" w:eastAsia="宋体" w:cs="宋体"/>
          <w:b/>
          <w:bCs/>
          <w:color w:val="auto"/>
          <w:highlight w:val="none"/>
        </w:rPr>
      </w:pPr>
      <w:r>
        <w:rPr>
          <w:rFonts w:hint="eastAsia" w:ascii="宋体" w:hAnsi="宋体" w:eastAsia="宋体" w:cs="宋体"/>
          <w:color w:val="auto"/>
          <w:highlight w:val="none"/>
        </w:rPr>
        <w:br w:type="page"/>
      </w:r>
      <w:bookmarkEnd w:id="824"/>
      <w:bookmarkEnd w:id="825"/>
      <w:bookmarkStart w:id="826" w:name="_Toc7574"/>
      <w:bookmarkStart w:id="827" w:name="_Toc25880_WPSOffice_Level2"/>
      <w:bookmarkStart w:id="828" w:name="_Toc4389"/>
      <w:bookmarkStart w:id="829" w:name="_Toc27920"/>
      <w:bookmarkStart w:id="830" w:name="_Toc20039"/>
      <w:bookmarkStart w:id="831" w:name="_Toc1151"/>
      <w:bookmarkStart w:id="832" w:name="_Toc26085"/>
      <w:bookmarkStart w:id="833" w:name="_Toc19776"/>
      <w:bookmarkStart w:id="834" w:name="_Toc22333"/>
      <w:bookmarkStart w:id="835" w:name="_Toc521"/>
      <w:bookmarkStart w:id="836" w:name="_Toc18919"/>
    </w:p>
    <w:p w14:paraId="052E5EF1">
      <w:pPr>
        <w:pStyle w:val="2"/>
        <w:jc w:val="center"/>
        <w:rPr>
          <w:rFonts w:hint="eastAsia" w:ascii="宋体" w:hAnsi="宋体" w:eastAsia="宋体" w:cs="宋体"/>
          <w:b/>
          <w:bCs/>
          <w:color w:val="auto"/>
          <w:highlight w:val="none"/>
        </w:rPr>
      </w:pPr>
      <w:bookmarkStart w:id="837" w:name="_Toc9894"/>
      <w:bookmarkStart w:id="838" w:name="_Toc4063"/>
      <w:r>
        <w:rPr>
          <w:rFonts w:hint="eastAsia" w:ascii="宋体" w:hAnsi="宋体" w:eastAsia="宋体" w:cs="宋体"/>
          <w:b/>
          <w:bCs/>
          <w:color w:val="auto"/>
          <w:highlight w:val="none"/>
          <w:lang w:val="en-US" w:eastAsia="zh-CN"/>
        </w:rPr>
        <w:t>三、</w:t>
      </w:r>
      <w:r>
        <w:rPr>
          <w:rFonts w:hint="eastAsia" w:ascii="宋体" w:hAnsi="宋体" w:eastAsia="宋体" w:cs="宋体"/>
          <w:b/>
          <w:bCs/>
          <w:color w:val="auto"/>
          <w:highlight w:val="none"/>
        </w:rPr>
        <w:t>企业业绩汇总表</w:t>
      </w:r>
      <w:bookmarkEnd w:id="826"/>
      <w:bookmarkEnd w:id="827"/>
      <w:bookmarkEnd w:id="828"/>
      <w:bookmarkEnd w:id="829"/>
      <w:bookmarkEnd w:id="830"/>
      <w:bookmarkEnd w:id="831"/>
      <w:bookmarkEnd w:id="832"/>
      <w:bookmarkEnd w:id="833"/>
      <w:bookmarkEnd w:id="834"/>
      <w:bookmarkEnd w:id="835"/>
      <w:bookmarkEnd w:id="836"/>
      <w:bookmarkEnd w:id="837"/>
      <w:bookmarkEnd w:id="838"/>
    </w:p>
    <w:p w14:paraId="7B11D9E8">
      <w:pPr>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bl>
      <w:tblPr>
        <w:tblStyle w:val="51"/>
        <w:tblW w:w="87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6"/>
        <w:gridCol w:w="1808"/>
        <w:gridCol w:w="2040"/>
        <w:gridCol w:w="2023"/>
        <w:gridCol w:w="1800"/>
      </w:tblGrid>
      <w:tr w14:paraId="0C03E6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3" w:hRule="atLeast"/>
          <w:jc w:val="center"/>
        </w:trPr>
        <w:tc>
          <w:tcPr>
            <w:tcW w:w="1106" w:type="dxa"/>
            <w:vAlign w:val="center"/>
          </w:tcPr>
          <w:p w14:paraId="449C2BA0">
            <w:pPr>
              <w:jc w:val="center"/>
              <w:rPr>
                <w:rFonts w:hint="eastAsia" w:ascii="宋体" w:hAnsi="宋体" w:eastAsia="宋体" w:cs="宋体"/>
                <w:color w:val="auto"/>
                <w:highlight w:val="none"/>
              </w:rPr>
            </w:pPr>
            <w:bookmarkStart w:id="839" w:name="_Toc218710269"/>
            <w:r>
              <w:rPr>
                <w:rFonts w:hint="eastAsia" w:ascii="宋体" w:hAnsi="宋体" w:eastAsia="宋体" w:cs="宋体"/>
                <w:color w:val="auto"/>
                <w:highlight w:val="none"/>
              </w:rPr>
              <w:t>序号</w:t>
            </w:r>
          </w:p>
        </w:tc>
        <w:tc>
          <w:tcPr>
            <w:tcW w:w="1808" w:type="dxa"/>
            <w:vAlign w:val="center"/>
          </w:tcPr>
          <w:p w14:paraId="0B2C783D">
            <w:pPr>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2040" w:type="dxa"/>
            <w:vAlign w:val="center"/>
          </w:tcPr>
          <w:p w14:paraId="4106B59A">
            <w:pPr>
              <w:jc w:val="center"/>
              <w:rPr>
                <w:rFonts w:hint="eastAsia" w:ascii="宋体" w:hAnsi="宋体" w:eastAsia="宋体" w:cs="宋体"/>
                <w:color w:val="auto"/>
                <w:highlight w:val="none"/>
              </w:rPr>
            </w:pPr>
            <w:r>
              <w:rPr>
                <w:rFonts w:hint="eastAsia" w:ascii="宋体" w:hAnsi="宋体" w:eastAsia="宋体" w:cs="宋体"/>
                <w:color w:val="auto"/>
                <w:highlight w:val="none"/>
              </w:rPr>
              <w:t>合同签订时间</w:t>
            </w:r>
          </w:p>
        </w:tc>
        <w:tc>
          <w:tcPr>
            <w:tcW w:w="2023" w:type="dxa"/>
            <w:vAlign w:val="center"/>
          </w:tcPr>
          <w:p w14:paraId="6FF8120A">
            <w:pPr>
              <w:jc w:val="center"/>
              <w:rPr>
                <w:rFonts w:hint="eastAsia" w:ascii="宋体" w:hAnsi="宋体" w:eastAsia="宋体" w:cs="宋体"/>
                <w:color w:val="auto"/>
                <w:highlight w:val="none"/>
              </w:rPr>
            </w:pPr>
            <w:r>
              <w:rPr>
                <w:rFonts w:hint="eastAsia" w:ascii="宋体" w:hAnsi="宋体" w:eastAsia="宋体" w:cs="宋体"/>
                <w:color w:val="auto"/>
                <w:highlight w:val="none"/>
              </w:rPr>
              <w:t>合同金额</w:t>
            </w:r>
          </w:p>
        </w:tc>
        <w:tc>
          <w:tcPr>
            <w:tcW w:w="1800" w:type="dxa"/>
            <w:vAlign w:val="center"/>
          </w:tcPr>
          <w:p w14:paraId="3869259E">
            <w:pPr>
              <w:jc w:val="center"/>
              <w:rPr>
                <w:rFonts w:hint="eastAsia" w:ascii="宋体" w:hAnsi="宋体" w:eastAsia="宋体" w:cs="宋体"/>
                <w:color w:val="auto"/>
                <w:highlight w:val="none"/>
              </w:rPr>
            </w:pPr>
            <w:r>
              <w:rPr>
                <w:rFonts w:hint="eastAsia" w:ascii="宋体" w:hAnsi="宋体" w:eastAsia="宋体" w:cs="宋体"/>
                <w:color w:val="auto"/>
                <w:highlight w:val="none"/>
              </w:rPr>
              <w:t>工作内容</w:t>
            </w:r>
          </w:p>
        </w:tc>
      </w:tr>
      <w:tr w14:paraId="36A203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3E973112">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808" w:type="dxa"/>
            <w:vAlign w:val="center"/>
          </w:tcPr>
          <w:p w14:paraId="24DD73EB">
            <w:pPr>
              <w:jc w:val="center"/>
              <w:rPr>
                <w:rFonts w:hint="eastAsia" w:ascii="宋体" w:hAnsi="宋体" w:eastAsia="宋体" w:cs="宋体"/>
                <w:color w:val="auto"/>
                <w:highlight w:val="none"/>
              </w:rPr>
            </w:pPr>
          </w:p>
        </w:tc>
        <w:tc>
          <w:tcPr>
            <w:tcW w:w="2040" w:type="dxa"/>
            <w:vAlign w:val="center"/>
          </w:tcPr>
          <w:p w14:paraId="70C3A276">
            <w:pPr>
              <w:jc w:val="center"/>
              <w:rPr>
                <w:rFonts w:hint="eastAsia" w:ascii="宋体" w:hAnsi="宋体" w:eastAsia="宋体" w:cs="宋体"/>
                <w:color w:val="auto"/>
                <w:highlight w:val="none"/>
              </w:rPr>
            </w:pPr>
          </w:p>
        </w:tc>
        <w:tc>
          <w:tcPr>
            <w:tcW w:w="2023" w:type="dxa"/>
            <w:vAlign w:val="center"/>
          </w:tcPr>
          <w:p w14:paraId="39DEC20B">
            <w:pPr>
              <w:jc w:val="center"/>
              <w:rPr>
                <w:rFonts w:hint="eastAsia" w:ascii="宋体" w:hAnsi="宋体" w:eastAsia="宋体" w:cs="宋体"/>
                <w:color w:val="auto"/>
                <w:highlight w:val="none"/>
              </w:rPr>
            </w:pPr>
          </w:p>
        </w:tc>
        <w:tc>
          <w:tcPr>
            <w:tcW w:w="1800" w:type="dxa"/>
            <w:vAlign w:val="center"/>
          </w:tcPr>
          <w:p w14:paraId="48492041">
            <w:pPr>
              <w:jc w:val="center"/>
              <w:rPr>
                <w:rFonts w:hint="eastAsia" w:ascii="宋体" w:hAnsi="宋体" w:eastAsia="宋体" w:cs="宋体"/>
                <w:color w:val="auto"/>
                <w:highlight w:val="none"/>
              </w:rPr>
            </w:pPr>
          </w:p>
        </w:tc>
      </w:tr>
      <w:tr w14:paraId="7CF21F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228BC8E4">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808" w:type="dxa"/>
            <w:vAlign w:val="center"/>
          </w:tcPr>
          <w:p w14:paraId="10608D72">
            <w:pPr>
              <w:jc w:val="center"/>
              <w:rPr>
                <w:rFonts w:hint="eastAsia" w:ascii="宋体" w:hAnsi="宋体" w:eastAsia="宋体" w:cs="宋体"/>
                <w:color w:val="auto"/>
                <w:highlight w:val="none"/>
              </w:rPr>
            </w:pPr>
          </w:p>
        </w:tc>
        <w:tc>
          <w:tcPr>
            <w:tcW w:w="2040" w:type="dxa"/>
            <w:vAlign w:val="center"/>
          </w:tcPr>
          <w:p w14:paraId="0CC04335">
            <w:pPr>
              <w:jc w:val="center"/>
              <w:rPr>
                <w:rFonts w:hint="eastAsia" w:ascii="宋体" w:hAnsi="宋体" w:eastAsia="宋体" w:cs="宋体"/>
                <w:color w:val="auto"/>
                <w:highlight w:val="none"/>
              </w:rPr>
            </w:pPr>
          </w:p>
        </w:tc>
        <w:tc>
          <w:tcPr>
            <w:tcW w:w="2023" w:type="dxa"/>
            <w:vAlign w:val="center"/>
          </w:tcPr>
          <w:p w14:paraId="5EDF5145">
            <w:pPr>
              <w:jc w:val="center"/>
              <w:rPr>
                <w:rFonts w:hint="eastAsia" w:ascii="宋体" w:hAnsi="宋体" w:eastAsia="宋体" w:cs="宋体"/>
                <w:color w:val="auto"/>
                <w:highlight w:val="none"/>
              </w:rPr>
            </w:pPr>
          </w:p>
        </w:tc>
        <w:tc>
          <w:tcPr>
            <w:tcW w:w="1800" w:type="dxa"/>
            <w:vAlign w:val="center"/>
          </w:tcPr>
          <w:p w14:paraId="21C222F9">
            <w:pPr>
              <w:jc w:val="center"/>
              <w:rPr>
                <w:rFonts w:hint="eastAsia" w:ascii="宋体" w:hAnsi="宋体" w:eastAsia="宋体" w:cs="宋体"/>
                <w:color w:val="auto"/>
                <w:highlight w:val="none"/>
              </w:rPr>
            </w:pPr>
          </w:p>
        </w:tc>
      </w:tr>
      <w:tr w14:paraId="315F59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6110F67F">
            <w:pPr>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808" w:type="dxa"/>
            <w:vAlign w:val="center"/>
          </w:tcPr>
          <w:p w14:paraId="1AA629E2">
            <w:pPr>
              <w:jc w:val="center"/>
              <w:rPr>
                <w:rFonts w:hint="eastAsia" w:ascii="宋体" w:hAnsi="宋体" w:eastAsia="宋体" w:cs="宋体"/>
                <w:color w:val="auto"/>
                <w:highlight w:val="none"/>
              </w:rPr>
            </w:pPr>
          </w:p>
        </w:tc>
        <w:tc>
          <w:tcPr>
            <w:tcW w:w="2040" w:type="dxa"/>
            <w:vAlign w:val="center"/>
          </w:tcPr>
          <w:p w14:paraId="2765B6D3">
            <w:pPr>
              <w:jc w:val="center"/>
              <w:rPr>
                <w:rFonts w:hint="eastAsia" w:ascii="宋体" w:hAnsi="宋体" w:eastAsia="宋体" w:cs="宋体"/>
                <w:color w:val="auto"/>
                <w:highlight w:val="none"/>
              </w:rPr>
            </w:pPr>
          </w:p>
        </w:tc>
        <w:tc>
          <w:tcPr>
            <w:tcW w:w="2023" w:type="dxa"/>
            <w:vAlign w:val="center"/>
          </w:tcPr>
          <w:p w14:paraId="31BF0AEA">
            <w:pPr>
              <w:jc w:val="center"/>
              <w:rPr>
                <w:rFonts w:hint="eastAsia" w:ascii="宋体" w:hAnsi="宋体" w:eastAsia="宋体" w:cs="宋体"/>
                <w:color w:val="auto"/>
                <w:highlight w:val="none"/>
              </w:rPr>
            </w:pPr>
          </w:p>
        </w:tc>
        <w:tc>
          <w:tcPr>
            <w:tcW w:w="1800" w:type="dxa"/>
            <w:vAlign w:val="center"/>
          </w:tcPr>
          <w:p w14:paraId="5895F7C1">
            <w:pPr>
              <w:jc w:val="center"/>
              <w:rPr>
                <w:rFonts w:hint="eastAsia" w:ascii="宋体" w:hAnsi="宋体" w:eastAsia="宋体" w:cs="宋体"/>
                <w:color w:val="auto"/>
                <w:highlight w:val="none"/>
              </w:rPr>
            </w:pPr>
          </w:p>
        </w:tc>
      </w:tr>
      <w:tr w14:paraId="450378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49F4D967">
            <w:pPr>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808" w:type="dxa"/>
            <w:vAlign w:val="center"/>
          </w:tcPr>
          <w:p w14:paraId="1AEBAB16">
            <w:pPr>
              <w:jc w:val="center"/>
              <w:rPr>
                <w:rFonts w:hint="eastAsia" w:ascii="宋体" w:hAnsi="宋体" w:eastAsia="宋体" w:cs="宋体"/>
                <w:color w:val="auto"/>
                <w:highlight w:val="none"/>
              </w:rPr>
            </w:pPr>
          </w:p>
        </w:tc>
        <w:tc>
          <w:tcPr>
            <w:tcW w:w="2040" w:type="dxa"/>
            <w:vAlign w:val="center"/>
          </w:tcPr>
          <w:p w14:paraId="0AD4DEAE">
            <w:pPr>
              <w:jc w:val="center"/>
              <w:rPr>
                <w:rFonts w:hint="eastAsia" w:ascii="宋体" w:hAnsi="宋体" w:eastAsia="宋体" w:cs="宋体"/>
                <w:color w:val="auto"/>
                <w:highlight w:val="none"/>
              </w:rPr>
            </w:pPr>
          </w:p>
        </w:tc>
        <w:tc>
          <w:tcPr>
            <w:tcW w:w="2023" w:type="dxa"/>
            <w:vAlign w:val="center"/>
          </w:tcPr>
          <w:p w14:paraId="214115B1">
            <w:pPr>
              <w:jc w:val="center"/>
              <w:rPr>
                <w:rFonts w:hint="eastAsia" w:ascii="宋体" w:hAnsi="宋体" w:eastAsia="宋体" w:cs="宋体"/>
                <w:color w:val="auto"/>
                <w:highlight w:val="none"/>
              </w:rPr>
            </w:pPr>
          </w:p>
        </w:tc>
        <w:tc>
          <w:tcPr>
            <w:tcW w:w="1800" w:type="dxa"/>
            <w:vAlign w:val="center"/>
          </w:tcPr>
          <w:p w14:paraId="25447F69">
            <w:pPr>
              <w:jc w:val="center"/>
              <w:rPr>
                <w:rFonts w:hint="eastAsia" w:ascii="宋体" w:hAnsi="宋体" w:eastAsia="宋体" w:cs="宋体"/>
                <w:color w:val="auto"/>
                <w:highlight w:val="none"/>
              </w:rPr>
            </w:pPr>
          </w:p>
        </w:tc>
      </w:tr>
      <w:tr w14:paraId="651BE2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3" w:hRule="atLeast"/>
          <w:jc w:val="center"/>
        </w:trPr>
        <w:tc>
          <w:tcPr>
            <w:tcW w:w="1106" w:type="dxa"/>
            <w:vAlign w:val="center"/>
          </w:tcPr>
          <w:p w14:paraId="74FE5C47">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808" w:type="dxa"/>
            <w:vAlign w:val="center"/>
          </w:tcPr>
          <w:p w14:paraId="0EB72177">
            <w:pPr>
              <w:jc w:val="center"/>
              <w:rPr>
                <w:rFonts w:hint="eastAsia" w:ascii="宋体" w:hAnsi="宋体" w:eastAsia="宋体" w:cs="宋体"/>
                <w:color w:val="auto"/>
                <w:highlight w:val="none"/>
              </w:rPr>
            </w:pPr>
          </w:p>
        </w:tc>
        <w:tc>
          <w:tcPr>
            <w:tcW w:w="2040" w:type="dxa"/>
            <w:vAlign w:val="center"/>
          </w:tcPr>
          <w:p w14:paraId="4B9C07DB">
            <w:pPr>
              <w:jc w:val="center"/>
              <w:rPr>
                <w:rFonts w:hint="eastAsia" w:ascii="宋体" w:hAnsi="宋体" w:eastAsia="宋体" w:cs="宋体"/>
                <w:color w:val="auto"/>
                <w:highlight w:val="none"/>
              </w:rPr>
            </w:pPr>
          </w:p>
        </w:tc>
        <w:tc>
          <w:tcPr>
            <w:tcW w:w="2023" w:type="dxa"/>
            <w:vAlign w:val="center"/>
          </w:tcPr>
          <w:p w14:paraId="5751661B">
            <w:pPr>
              <w:jc w:val="center"/>
              <w:rPr>
                <w:rFonts w:hint="eastAsia" w:ascii="宋体" w:hAnsi="宋体" w:eastAsia="宋体" w:cs="宋体"/>
                <w:color w:val="auto"/>
                <w:highlight w:val="none"/>
              </w:rPr>
            </w:pPr>
          </w:p>
        </w:tc>
        <w:tc>
          <w:tcPr>
            <w:tcW w:w="1800" w:type="dxa"/>
            <w:vAlign w:val="center"/>
          </w:tcPr>
          <w:p w14:paraId="3E2CA2DC">
            <w:pPr>
              <w:jc w:val="center"/>
              <w:rPr>
                <w:rFonts w:hint="eastAsia" w:ascii="宋体" w:hAnsi="宋体" w:eastAsia="宋体" w:cs="宋体"/>
                <w:color w:val="auto"/>
                <w:highlight w:val="none"/>
              </w:rPr>
            </w:pPr>
          </w:p>
        </w:tc>
      </w:tr>
    </w:tbl>
    <w:p w14:paraId="6FAB27B2">
      <w:pPr>
        <w:ind w:firstLine="403" w:firstLineChars="192"/>
        <w:rPr>
          <w:rFonts w:hint="eastAsia" w:ascii="宋体" w:hAnsi="宋体" w:eastAsia="宋体" w:cs="宋体"/>
          <w:color w:val="auto"/>
          <w:highlight w:val="none"/>
        </w:rPr>
      </w:pPr>
    </w:p>
    <w:p w14:paraId="7083A6FF">
      <w:pPr>
        <w:ind w:firstLine="403" w:firstLineChars="192"/>
        <w:rPr>
          <w:rFonts w:hint="eastAsia" w:ascii="宋体" w:hAnsi="宋体" w:eastAsia="宋体" w:cs="宋体"/>
          <w:color w:val="auto"/>
          <w:highlight w:val="none"/>
        </w:rPr>
      </w:pPr>
    </w:p>
    <w:p w14:paraId="6EC04E82">
      <w:pPr>
        <w:rPr>
          <w:rFonts w:hint="eastAsia" w:ascii="宋体" w:hAnsi="宋体" w:eastAsia="宋体" w:cs="宋体"/>
          <w:color w:val="auto"/>
          <w:highlight w:val="none"/>
        </w:rPr>
      </w:pPr>
      <w:r>
        <w:rPr>
          <w:rFonts w:hint="eastAsia" w:ascii="宋体" w:hAnsi="宋体" w:eastAsia="宋体" w:cs="宋体"/>
          <w:color w:val="auto"/>
          <w:sz w:val="24"/>
          <w:szCs w:val="24"/>
          <w:highlight w:val="none"/>
        </w:rPr>
        <w:br w:type="page"/>
      </w:r>
      <w:bookmarkEnd w:id="839"/>
      <w:bookmarkStart w:id="840" w:name="_Toc25884_WPSOffice_Level2"/>
      <w:bookmarkStart w:id="841" w:name="_Toc26218"/>
      <w:bookmarkStart w:id="842" w:name="_Toc27763"/>
      <w:bookmarkStart w:id="843" w:name="_Toc28152"/>
      <w:bookmarkStart w:id="844" w:name="_Toc28067"/>
      <w:bookmarkStart w:id="845" w:name="_Toc19541"/>
      <w:bookmarkStart w:id="846" w:name="_Toc18518"/>
      <w:bookmarkStart w:id="847" w:name="_Toc1538"/>
    </w:p>
    <w:bookmarkEnd w:id="840"/>
    <w:bookmarkEnd w:id="841"/>
    <w:bookmarkEnd w:id="842"/>
    <w:bookmarkEnd w:id="843"/>
    <w:bookmarkEnd w:id="844"/>
    <w:bookmarkEnd w:id="845"/>
    <w:bookmarkEnd w:id="846"/>
    <w:bookmarkEnd w:id="847"/>
    <w:p w14:paraId="2CA2A2CC">
      <w:pPr>
        <w:pStyle w:val="2"/>
        <w:jc w:val="center"/>
        <w:rPr>
          <w:rFonts w:hint="eastAsia" w:ascii="宋体" w:hAnsi="宋体" w:eastAsia="宋体" w:cs="宋体"/>
          <w:b/>
          <w:bCs/>
          <w:color w:val="auto"/>
          <w:szCs w:val="28"/>
          <w:highlight w:val="none"/>
          <w:lang w:val="en-US" w:eastAsia="zh-CN"/>
        </w:rPr>
      </w:pPr>
      <w:bookmarkStart w:id="848" w:name="_Toc11575"/>
      <w:bookmarkStart w:id="849" w:name="_Toc23435"/>
      <w:r>
        <w:rPr>
          <w:rFonts w:hint="eastAsia" w:ascii="宋体" w:hAnsi="宋体" w:eastAsia="宋体" w:cs="宋体"/>
          <w:b/>
          <w:bCs/>
          <w:color w:val="auto"/>
          <w:szCs w:val="28"/>
          <w:highlight w:val="none"/>
          <w:lang w:val="en-US" w:eastAsia="zh-CN"/>
        </w:rPr>
        <w:t>四</w:t>
      </w:r>
      <w:r>
        <w:rPr>
          <w:rFonts w:hint="eastAsia" w:ascii="宋体" w:hAnsi="宋体" w:eastAsia="宋体" w:cs="宋体"/>
          <w:b/>
          <w:bCs/>
          <w:color w:val="auto"/>
          <w:szCs w:val="28"/>
          <w:highlight w:val="none"/>
          <w:lang w:eastAsia="zh-CN"/>
        </w:rPr>
        <w:t>、</w:t>
      </w:r>
      <w:bookmarkEnd w:id="848"/>
      <w:r>
        <w:rPr>
          <w:rFonts w:hint="eastAsia" w:ascii="宋体" w:hAnsi="宋体" w:eastAsia="宋体" w:cs="宋体"/>
          <w:b/>
          <w:bCs/>
          <w:color w:val="auto"/>
          <w:szCs w:val="28"/>
          <w:highlight w:val="none"/>
          <w:lang w:eastAsia="zh-CN"/>
        </w:rPr>
        <w:t>企业</w:t>
      </w:r>
      <w:r>
        <w:rPr>
          <w:rFonts w:hint="eastAsia" w:ascii="宋体" w:hAnsi="宋体" w:eastAsia="宋体" w:cs="宋体"/>
          <w:b/>
          <w:bCs/>
          <w:color w:val="auto"/>
          <w:szCs w:val="28"/>
          <w:highlight w:val="none"/>
          <w:lang w:val="en-US" w:eastAsia="zh-CN"/>
        </w:rPr>
        <w:t>资质汇总</w:t>
      </w:r>
      <w:r>
        <w:rPr>
          <w:rFonts w:hint="eastAsia" w:ascii="宋体" w:hAnsi="宋体" w:eastAsia="宋体" w:cs="宋体"/>
          <w:b/>
          <w:bCs/>
          <w:color w:val="auto"/>
          <w:szCs w:val="28"/>
          <w:highlight w:val="none"/>
          <w:lang w:eastAsia="zh-CN"/>
        </w:rPr>
        <w:t>表</w:t>
      </w:r>
      <w:bookmarkEnd w:id="849"/>
    </w:p>
    <w:tbl>
      <w:tblPr>
        <w:tblStyle w:val="51"/>
        <w:tblW w:w="893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2316"/>
        <w:gridCol w:w="2613"/>
        <w:gridCol w:w="2592"/>
      </w:tblGrid>
      <w:tr w14:paraId="0F6BFB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8" w:hRule="atLeast"/>
          <w:jc w:val="center"/>
        </w:trPr>
        <w:tc>
          <w:tcPr>
            <w:tcW w:w="1417" w:type="dxa"/>
            <w:vAlign w:val="center"/>
          </w:tcPr>
          <w:p w14:paraId="37908577">
            <w:pPr>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2316" w:type="dxa"/>
            <w:vAlign w:val="center"/>
          </w:tcPr>
          <w:p w14:paraId="1AAEA8F5">
            <w:pPr>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2613" w:type="dxa"/>
            <w:vAlign w:val="center"/>
          </w:tcPr>
          <w:p w14:paraId="1B284FC2">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业主单位名称</w:t>
            </w:r>
          </w:p>
        </w:tc>
        <w:tc>
          <w:tcPr>
            <w:tcW w:w="2592" w:type="dxa"/>
            <w:vAlign w:val="center"/>
          </w:tcPr>
          <w:p w14:paraId="61CD0694">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服务年限</w:t>
            </w:r>
          </w:p>
        </w:tc>
      </w:tr>
      <w:tr w14:paraId="6DD22C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8" w:hRule="atLeast"/>
          <w:jc w:val="center"/>
        </w:trPr>
        <w:tc>
          <w:tcPr>
            <w:tcW w:w="1417" w:type="dxa"/>
            <w:vAlign w:val="center"/>
          </w:tcPr>
          <w:p w14:paraId="331C60AF">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316" w:type="dxa"/>
            <w:vAlign w:val="center"/>
          </w:tcPr>
          <w:p w14:paraId="10566823">
            <w:pPr>
              <w:jc w:val="center"/>
              <w:rPr>
                <w:rFonts w:hint="eastAsia" w:ascii="宋体" w:hAnsi="宋体" w:eastAsia="宋体" w:cs="宋体"/>
                <w:color w:val="auto"/>
                <w:highlight w:val="none"/>
              </w:rPr>
            </w:pPr>
          </w:p>
        </w:tc>
        <w:tc>
          <w:tcPr>
            <w:tcW w:w="2613" w:type="dxa"/>
            <w:vAlign w:val="center"/>
          </w:tcPr>
          <w:p w14:paraId="22735A6F">
            <w:pPr>
              <w:jc w:val="center"/>
              <w:rPr>
                <w:rFonts w:hint="eastAsia" w:ascii="宋体" w:hAnsi="宋体" w:eastAsia="宋体" w:cs="宋体"/>
                <w:color w:val="auto"/>
                <w:highlight w:val="none"/>
              </w:rPr>
            </w:pPr>
          </w:p>
        </w:tc>
        <w:tc>
          <w:tcPr>
            <w:tcW w:w="2592" w:type="dxa"/>
            <w:vAlign w:val="center"/>
          </w:tcPr>
          <w:p w14:paraId="20680412">
            <w:pPr>
              <w:jc w:val="center"/>
              <w:rPr>
                <w:rFonts w:hint="eastAsia" w:ascii="宋体" w:hAnsi="宋体" w:eastAsia="宋体" w:cs="宋体"/>
                <w:color w:val="auto"/>
                <w:highlight w:val="none"/>
              </w:rPr>
            </w:pPr>
          </w:p>
        </w:tc>
      </w:tr>
      <w:tr w14:paraId="6C6C7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8" w:hRule="atLeast"/>
          <w:jc w:val="center"/>
        </w:trPr>
        <w:tc>
          <w:tcPr>
            <w:tcW w:w="1417" w:type="dxa"/>
            <w:vAlign w:val="center"/>
          </w:tcPr>
          <w:p w14:paraId="4A4738F1">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316" w:type="dxa"/>
            <w:vAlign w:val="center"/>
          </w:tcPr>
          <w:p w14:paraId="00926805">
            <w:pPr>
              <w:jc w:val="center"/>
              <w:rPr>
                <w:rFonts w:hint="eastAsia" w:ascii="宋体" w:hAnsi="宋体" w:eastAsia="宋体" w:cs="宋体"/>
                <w:color w:val="auto"/>
                <w:highlight w:val="none"/>
              </w:rPr>
            </w:pPr>
          </w:p>
        </w:tc>
        <w:tc>
          <w:tcPr>
            <w:tcW w:w="2613" w:type="dxa"/>
            <w:vAlign w:val="center"/>
          </w:tcPr>
          <w:p w14:paraId="25D93692">
            <w:pPr>
              <w:jc w:val="center"/>
              <w:rPr>
                <w:rFonts w:hint="eastAsia" w:ascii="宋体" w:hAnsi="宋体" w:eastAsia="宋体" w:cs="宋体"/>
                <w:color w:val="auto"/>
                <w:highlight w:val="none"/>
              </w:rPr>
            </w:pPr>
          </w:p>
        </w:tc>
        <w:tc>
          <w:tcPr>
            <w:tcW w:w="2592" w:type="dxa"/>
            <w:vAlign w:val="center"/>
          </w:tcPr>
          <w:p w14:paraId="6DB09129">
            <w:pPr>
              <w:jc w:val="center"/>
              <w:rPr>
                <w:rFonts w:hint="eastAsia" w:ascii="宋体" w:hAnsi="宋体" w:eastAsia="宋体" w:cs="宋体"/>
                <w:color w:val="auto"/>
                <w:highlight w:val="none"/>
              </w:rPr>
            </w:pPr>
          </w:p>
        </w:tc>
      </w:tr>
      <w:tr w14:paraId="06632D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0" w:hRule="atLeast"/>
          <w:jc w:val="center"/>
        </w:trPr>
        <w:tc>
          <w:tcPr>
            <w:tcW w:w="1417" w:type="dxa"/>
            <w:vAlign w:val="center"/>
          </w:tcPr>
          <w:p w14:paraId="3E18EE5A">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2316" w:type="dxa"/>
            <w:vAlign w:val="center"/>
          </w:tcPr>
          <w:p w14:paraId="12915FC5">
            <w:pPr>
              <w:jc w:val="center"/>
              <w:rPr>
                <w:rFonts w:hint="eastAsia" w:ascii="宋体" w:hAnsi="宋体" w:eastAsia="宋体" w:cs="宋体"/>
                <w:color w:val="auto"/>
                <w:highlight w:val="none"/>
              </w:rPr>
            </w:pPr>
          </w:p>
        </w:tc>
        <w:tc>
          <w:tcPr>
            <w:tcW w:w="2613" w:type="dxa"/>
            <w:vAlign w:val="center"/>
          </w:tcPr>
          <w:p w14:paraId="77EE15BC">
            <w:pPr>
              <w:jc w:val="center"/>
              <w:rPr>
                <w:rFonts w:hint="eastAsia" w:ascii="宋体" w:hAnsi="宋体" w:eastAsia="宋体" w:cs="宋体"/>
                <w:color w:val="auto"/>
                <w:highlight w:val="none"/>
              </w:rPr>
            </w:pPr>
          </w:p>
        </w:tc>
        <w:tc>
          <w:tcPr>
            <w:tcW w:w="2592" w:type="dxa"/>
            <w:vAlign w:val="center"/>
          </w:tcPr>
          <w:p w14:paraId="41FECF9D">
            <w:pPr>
              <w:jc w:val="center"/>
              <w:rPr>
                <w:rFonts w:hint="eastAsia" w:ascii="宋体" w:hAnsi="宋体" w:eastAsia="宋体" w:cs="宋体"/>
                <w:color w:val="auto"/>
                <w:highlight w:val="none"/>
              </w:rPr>
            </w:pPr>
          </w:p>
        </w:tc>
      </w:tr>
    </w:tbl>
    <w:p w14:paraId="39571954">
      <w:pPr>
        <w:rPr>
          <w:rFonts w:hint="eastAsia" w:ascii="宋体" w:hAnsi="宋体" w:eastAsia="宋体" w:cs="宋体"/>
          <w:highlight w:val="none"/>
        </w:rPr>
      </w:pPr>
      <w:r>
        <w:rPr>
          <w:rFonts w:hint="eastAsia" w:ascii="宋体" w:hAnsi="宋体" w:eastAsia="宋体" w:cs="宋体"/>
          <w:color w:val="auto"/>
          <w:highlight w:val="none"/>
          <w:lang w:val="en-US" w:eastAsia="zh-CN"/>
        </w:rPr>
        <w:t>注：本表后须附有效证明材料复印件或扫描件。</w:t>
      </w:r>
    </w:p>
    <w:p w14:paraId="7B4505F1">
      <w:pPr>
        <w:rPr>
          <w:rFonts w:hint="eastAsia" w:ascii="宋体" w:hAnsi="宋体" w:eastAsia="宋体" w:cs="宋体"/>
          <w:highlight w:val="none"/>
        </w:rPr>
        <w:sectPr>
          <w:footerReference r:id="rId21"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5B05AD9">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259A3330">
      <w:pPr>
        <w:spacing w:line="400" w:lineRule="exact"/>
        <w:rPr>
          <w:rFonts w:hint="eastAsia" w:ascii="宋体" w:hAnsi="宋体" w:eastAsia="宋体" w:cs="宋体"/>
          <w:color w:val="auto"/>
          <w:highlight w:val="none"/>
        </w:rPr>
      </w:pPr>
    </w:p>
    <w:p w14:paraId="2236B291">
      <w:pPr>
        <w:spacing w:line="400" w:lineRule="exact"/>
        <w:rPr>
          <w:rFonts w:hint="eastAsia" w:ascii="宋体" w:hAnsi="宋体" w:eastAsia="宋体" w:cs="宋体"/>
          <w:color w:val="auto"/>
          <w:highlight w:val="none"/>
        </w:rPr>
      </w:pPr>
    </w:p>
    <w:p w14:paraId="45D66C4B">
      <w:pPr>
        <w:spacing w:line="400" w:lineRule="exact"/>
        <w:rPr>
          <w:rFonts w:hint="eastAsia" w:ascii="宋体" w:hAnsi="宋体" w:eastAsia="宋体" w:cs="宋体"/>
          <w:color w:val="auto"/>
          <w:highlight w:val="none"/>
        </w:rPr>
      </w:pPr>
    </w:p>
    <w:p w14:paraId="2027418B">
      <w:pPr>
        <w:jc w:val="center"/>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lang w:val="en-US" w:eastAsia="zh-CN"/>
        </w:rPr>
        <w:t>南通轨道资源开发有限公司文创产品生产制作年度供应商库项目（2026—2028年）</w:t>
      </w:r>
    </w:p>
    <w:p w14:paraId="202BEFC3">
      <w:pPr>
        <w:jc w:val="center"/>
        <w:rPr>
          <w:rFonts w:hint="eastAsia" w:ascii="宋体" w:hAnsi="宋体" w:eastAsia="宋体" w:cs="宋体"/>
          <w:b/>
          <w:color w:val="auto"/>
          <w:sz w:val="36"/>
          <w:szCs w:val="36"/>
          <w:highlight w:val="none"/>
        </w:rPr>
      </w:pPr>
    </w:p>
    <w:p w14:paraId="6B0E7C14">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（技术</w:t>
      </w:r>
      <w:r>
        <w:rPr>
          <w:rFonts w:hint="eastAsia" w:ascii="宋体" w:hAnsi="宋体" w:eastAsia="宋体" w:cs="宋体"/>
          <w:b/>
          <w:color w:val="auto"/>
          <w:sz w:val="36"/>
          <w:szCs w:val="36"/>
          <w:highlight w:val="none"/>
          <w:lang w:eastAsia="zh-CN"/>
        </w:rPr>
        <w:t>参选文件</w:t>
      </w:r>
      <w:r>
        <w:rPr>
          <w:rFonts w:hint="eastAsia" w:ascii="宋体" w:hAnsi="宋体" w:eastAsia="宋体" w:cs="宋体"/>
          <w:b/>
          <w:color w:val="auto"/>
          <w:sz w:val="36"/>
          <w:szCs w:val="36"/>
          <w:highlight w:val="none"/>
        </w:rPr>
        <w:t>）</w:t>
      </w:r>
    </w:p>
    <w:p w14:paraId="47F523DE">
      <w:pPr>
        <w:spacing w:line="800" w:lineRule="exact"/>
        <w:rPr>
          <w:rFonts w:hint="eastAsia" w:ascii="宋体" w:hAnsi="宋体" w:eastAsia="宋体" w:cs="宋体"/>
          <w:color w:val="auto"/>
          <w:sz w:val="32"/>
          <w:highlight w:val="none"/>
        </w:rPr>
      </w:pPr>
    </w:p>
    <w:p w14:paraId="46107456">
      <w:pPr>
        <w:spacing w:line="800" w:lineRule="exact"/>
        <w:rPr>
          <w:rFonts w:hint="eastAsia" w:ascii="宋体" w:hAnsi="宋体" w:eastAsia="宋体" w:cs="宋体"/>
          <w:color w:val="auto"/>
          <w:sz w:val="32"/>
          <w:highlight w:val="none"/>
        </w:rPr>
      </w:pPr>
    </w:p>
    <w:p w14:paraId="50F539DA">
      <w:pPr>
        <w:spacing w:line="800" w:lineRule="exact"/>
        <w:rPr>
          <w:rFonts w:hint="eastAsia" w:ascii="宋体" w:hAnsi="宋体" w:eastAsia="宋体" w:cs="宋体"/>
          <w:color w:val="auto"/>
          <w:sz w:val="32"/>
          <w:highlight w:val="none"/>
        </w:rPr>
      </w:pPr>
    </w:p>
    <w:p w14:paraId="5889FE21">
      <w:pPr>
        <w:spacing w:line="800" w:lineRule="exact"/>
        <w:rPr>
          <w:rFonts w:hint="eastAsia" w:ascii="宋体" w:hAnsi="宋体" w:eastAsia="宋体" w:cs="宋体"/>
          <w:color w:val="auto"/>
          <w:sz w:val="32"/>
          <w:highlight w:val="none"/>
        </w:rPr>
      </w:pPr>
    </w:p>
    <w:p w14:paraId="7EAA4E13">
      <w:pPr>
        <w:spacing w:line="800" w:lineRule="exact"/>
        <w:rPr>
          <w:rFonts w:hint="eastAsia" w:ascii="宋体" w:hAnsi="宋体" w:eastAsia="宋体" w:cs="宋体"/>
          <w:color w:val="auto"/>
          <w:sz w:val="32"/>
          <w:highlight w:val="none"/>
        </w:rPr>
      </w:pPr>
    </w:p>
    <w:p w14:paraId="1E22F113">
      <w:pPr>
        <w:spacing w:line="800" w:lineRule="exact"/>
        <w:rPr>
          <w:rFonts w:hint="eastAsia" w:ascii="宋体" w:hAnsi="宋体" w:eastAsia="宋体" w:cs="宋体"/>
          <w:color w:val="auto"/>
          <w:sz w:val="32"/>
          <w:highlight w:val="none"/>
        </w:rPr>
      </w:pPr>
    </w:p>
    <w:p w14:paraId="083AF984">
      <w:pPr>
        <w:spacing w:line="800" w:lineRule="exact"/>
        <w:ind w:firstLine="1897" w:firstLineChars="675"/>
        <w:rPr>
          <w:rFonts w:hint="eastAsia" w:ascii="宋体" w:hAnsi="宋体" w:eastAsia="宋体" w:cs="宋体"/>
          <w:b/>
          <w:color w:val="auto"/>
          <w:sz w:val="28"/>
          <w:szCs w:val="28"/>
          <w:highlight w:val="none"/>
        </w:rPr>
      </w:pPr>
    </w:p>
    <w:p w14:paraId="2B584CF6">
      <w:pPr>
        <w:spacing w:line="800" w:lineRule="exact"/>
        <w:ind w:firstLine="1897" w:firstLineChars="675"/>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lang w:val="en-US" w:eastAsia="zh-CN"/>
        </w:rPr>
        <w:t>参</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选</w:t>
      </w:r>
      <w:r>
        <w:rPr>
          <w:rFonts w:hint="eastAsia" w:ascii="宋体" w:hAnsi="宋体" w:eastAsia="宋体" w:cs="宋体"/>
          <w:b/>
          <w:color w:val="auto"/>
          <w:sz w:val="28"/>
          <w:szCs w:val="28"/>
          <w:highlight w:val="none"/>
        </w:rPr>
        <w:t xml:space="preserve"> 人: </w:t>
      </w:r>
      <w:r>
        <w:rPr>
          <w:rFonts w:hint="eastAsia" w:ascii="宋体" w:hAnsi="宋体" w:eastAsia="宋体" w:cs="宋体"/>
          <w:b/>
          <w:color w:val="auto"/>
          <w:sz w:val="28"/>
          <w:szCs w:val="28"/>
          <w:highlight w:val="none"/>
          <w:u w:val="single"/>
        </w:rPr>
        <w:t xml:space="preserve">      （全称）（盖章）    </w:t>
      </w:r>
    </w:p>
    <w:p w14:paraId="32EAD88F">
      <w:pPr>
        <w:spacing w:line="800" w:lineRule="exact"/>
        <w:ind w:firstLine="1897" w:firstLineChars="675"/>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法定代表人：</w:t>
      </w:r>
      <w:r>
        <w:rPr>
          <w:rFonts w:hint="eastAsia" w:ascii="宋体" w:hAnsi="宋体" w:eastAsia="宋体" w:cs="宋体"/>
          <w:b/>
          <w:color w:val="auto"/>
          <w:sz w:val="28"/>
          <w:szCs w:val="28"/>
          <w:highlight w:val="none"/>
          <w:u w:val="single"/>
        </w:rPr>
        <w:t xml:space="preserve">      （签字或盖章）    </w:t>
      </w:r>
    </w:p>
    <w:p w14:paraId="0F148DE8">
      <w:pPr>
        <w:spacing w:line="800" w:lineRule="exact"/>
        <w:ind w:firstLine="1897" w:firstLineChars="675"/>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时    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月</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日</w:t>
      </w:r>
    </w:p>
    <w:p w14:paraId="46417DEA">
      <w:pPr>
        <w:rPr>
          <w:rFonts w:hint="eastAsia" w:ascii="宋体" w:hAnsi="宋体" w:eastAsia="宋体" w:cs="宋体"/>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9" w:charSpace="0"/>
        </w:sectPr>
      </w:pPr>
    </w:p>
    <w:p w14:paraId="3DA56DC1">
      <w:pPr>
        <w:rPr>
          <w:rFonts w:hint="eastAsia" w:ascii="宋体" w:hAnsi="宋体" w:eastAsia="宋体" w:cs="宋体"/>
          <w:b/>
          <w:bCs/>
          <w:color w:val="auto"/>
          <w:highlight w:val="none"/>
        </w:rPr>
      </w:pPr>
      <w:r>
        <w:rPr>
          <w:rFonts w:hint="eastAsia" w:ascii="宋体" w:hAnsi="宋体" w:eastAsia="宋体" w:cs="宋体"/>
          <w:color w:val="auto"/>
          <w:highlight w:val="none"/>
        </w:rPr>
        <w:t>技术</w:t>
      </w:r>
      <w:r>
        <w:rPr>
          <w:rFonts w:hint="eastAsia" w:ascii="宋体" w:hAnsi="宋体" w:eastAsia="宋体" w:cs="宋体"/>
          <w:color w:val="auto"/>
          <w:highlight w:val="none"/>
          <w:lang w:eastAsia="zh-CN"/>
        </w:rPr>
        <w:t>参选文件</w:t>
      </w:r>
      <w:r>
        <w:rPr>
          <w:rFonts w:hint="eastAsia" w:ascii="宋体" w:hAnsi="宋体" w:eastAsia="宋体" w:cs="宋体"/>
          <w:color w:val="auto"/>
          <w:highlight w:val="none"/>
        </w:rPr>
        <w:t>无规定排版格式，由</w:t>
      </w:r>
      <w:r>
        <w:rPr>
          <w:rFonts w:hint="eastAsia" w:ascii="宋体" w:hAnsi="宋体" w:eastAsia="宋体" w:cs="宋体"/>
          <w:color w:val="auto"/>
          <w:highlight w:val="none"/>
          <w:lang w:eastAsia="zh-CN"/>
        </w:rPr>
        <w:t>参选人</w:t>
      </w:r>
      <w:r>
        <w:rPr>
          <w:rFonts w:hint="eastAsia" w:ascii="宋体" w:hAnsi="宋体" w:eastAsia="宋体" w:cs="宋体"/>
          <w:color w:val="auto"/>
          <w:highlight w:val="none"/>
        </w:rPr>
        <w:t>自拟，但相关制作要求按</w:t>
      </w:r>
      <w:r>
        <w:rPr>
          <w:rFonts w:hint="eastAsia" w:ascii="宋体" w:hAnsi="宋体" w:eastAsia="宋体" w:cs="宋体"/>
          <w:color w:val="auto"/>
          <w:highlight w:val="none"/>
          <w:lang w:eastAsia="zh-CN"/>
        </w:rPr>
        <w:t>比选文件</w:t>
      </w:r>
      <w:r>
        <w:rPr>
          <w:rFonts w:hint="eastAsia" w:ascii="宋体" w:hAnsi="宋体" w:eastAsia="宋体" w:cs="宋体"/>
          <w:color w:val="auto"/>
          <w:highlight w:val="none"/>
        </w:rPr>
        <w:t>具体条款执行。</w:t>
      </w:r>
      <w:r>
        <w:rPr>
          <w:rFonts w:hint="eastAsia" w:ascii="宋体" w:hAnsi="宋体" w:eastAsia="宋体" w:cs="宋体"/>
          <w:b/>
          <w:bCs/>
          <w:color w:val="auto"/>
          <w:highlight w:val="none"/>
        </w:rPr>
        <w:t>技术参选文件总页码（不包括封面、封底、目录）须控制在100页（含）内，双面打印。若不按此要求编制，评标委员会可在技术部分酌情扣分。</w:t>
      </w:r>
    </w:p>
    <w:p w14:paraId="6D532089">
      <w:pPr>
        <w:rPr>
          <w:rFonts w:hint="eastAsia" w:ascii="宋体" w:hAnsi="宋体" w:eastAsia="宋体" w:cs="宋体"/>
          <w:highlight w:val="none"/>
          <w:lang w:val="en-US" w:eastAsia="zh-CN"/>
        </w:rPr>
      </w:pPr>
    </w:p>
    <w:sectPr>
      <w:footerReference r:id="rId22" w:type="default"/>
      <w:pgSz w:w="11906" w:h="16838"/>
      <w:pgMar w:top="1440" w:right="1800" w:bottom="1440" w:left="1800" w:header="624" w:footer="737"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宋体-18030">
    <w:altName w:val="宋体"/>
    <w:panose1 w:val="00000000000000000000"/>
    <w:charset w:val="86"/>
    <w:family w:val="modern"/>
    <w:pitch w:val="default"/>
    <w:sig w:usb0="00000000" w:usb1="00000000" w:usb2="000A005E" w:usb3="00000000" w:csb0="00040001" w:csb1="00000000"/>
  </w:font>
  <w:font w:name="讣篮 绊雕">
    <w:altName w:val="宋体"/>
    <w:panose1 w:val="00000000000000000000"/>
    <w:charset w:val="86"/>
    <w:family w:val="roman"/>
    <w:pitch w:val="default"/>
    <w:sig w:usb0="00000000" w:usb1="00000000" w:usb2="00000000" w:usb3="00000000" w:csb0="00040001" w:csb1="00000000"/>
  </w:font>
  <w:font w:name="Optima">
    <w:altName w:val="Yu Gothic UI"/>
    <w:panose1 w:val="020B0502050508020304"/>
    <w:charset w:val="00"/>
    <w:family w:val="swiss"/>
    <w:pitch w:val="default"/>
    <w:sig w:usb0="00000000"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S Gothic">
    <w:panose1 w:val="020B0609070205080204"/>
    <w:charset w:val="80"/>
    <w:family w:val="modern"/>
    <w:pitch w:val="default"/>
    <w:sig w:usb0="E00002FF" w:usb1="6AC7FDFB" w:usb2="08000012" w:usb3="00000000" w:csb0="4002009F" w:csb1="DFD70000"/>
  </w:font>
  <w:font w:name="华文细黑">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文新字海-粗楷">
    <w:altName w:val="宋体"/>
    <w:panose1 w:val="00000000000000000000"/>
    <w:charset w:val="88"/>
    <w:family w:val="modern"/>
    <w:pitch w:val="default"/>
    <w:sig w:usb0="00000000" w:usb1="00000000" w:usb2="00000010" w:usb3="00000000" w:csb0="00100000" w:csb1="00000000"/>
  </w:font>
  <w:font w:name="TT54AB0ED3tCID-WinCharSetFFFF-H">
    <w:altName w:val="宋体"/>
    <w:panose1 w:val="00000000000000000000"/>
    <w:charset w:val="86"/>
    <w:family w:val="auto"/>
    <w:pitch w:val="default"/>
    <w:sig w:usb0="00000000" w:usb1="00000000" w:usb2="00000010" w:usb3="00000000" w:csb0="00040000" w:csb1="00000000"/>
  </w:font>
  <w:font w:name="GE Inspira">
    <w:altName w:val="Trebuchet MS"/>
    <w:panose1 w:val="00000000000000000000"/>
    <w:charset w:val="00"/>
    <w:family w:val="swiss"/>
    <w:pitch w:val="default"/>
    <w:sig w:usb0="00000000" w:usb1="00000000" w:usb2="00000000" w:usb3="00000000" w:csb0="00000093" w:csb1="00000000"/>
  </w:font>
  <w:font w:name="Trebuchet MS">
    <w:panose1 w:val="020B0603020202020204"/>
    <w:charset w:val="00"/>
    <w:family w:val="auto"/>
    <w:pitch w:val="default"/>
    <w:sig w:usb0="00000687" w:usb1="00000000" w:usb2="00000000" w:usb3="00000000" w:csb0="2000009F" w:csb1="00000000"/>
  </w:font>
  <w:font w:name="Times New Roman Bold">
    <w:altName w:val="Times New Roman"/>
    <w:panose1 w:val="02020803070505020304"/>
    <w:charset w:val="00"/>
    <w:family w:val="roman"/>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70074">
    <w:pPr>
      <w:pStyle w:val="30"/>
      <w:ind w:firstLine="36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2EB67">
    <w:pPr>
      <w:pStyle w:val="30"/>
      <w:ind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5CBAC">
                          <w:pPr>
                            <w:pStyle w:val="3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E45CBAC">
                    <w:pPr>
                      <w:pStyle w:val="3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89F53">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18690">
    <w:pPr>
      <w:pStyle w:val="30"/>
      <w:ind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FED74">
    <w:pPr>
      <w:pStyle w:val="30"/>
      <w:ind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3F63B">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F0B12">
    <w:pPr>
      <w:pStyle w:val="3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DA04A3">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5DA04A3">
                    <w:pPr>
                      <w:pStyle w:val="3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EB76E">
    <w:pPr>
      <w:pStyle w:val="3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DCF3C">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BDDCF3C">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5C814">
    <w:pPr>
      <w:pStyle w:val="30"/>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76F7E">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976F7E">
                    <w:pPr>
                      <w:pStyle w:val="3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D0B58">
    <w:pPr>
      <w:pStyle w:val="30"/>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9385A8">
                          <w:pPr>
                            <w:pStyle w:val="30"/>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09385A8">
                    <w:pPr>
                      <w:pStyle w:val="3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36EDB">
    <w:pPr>
      <w:pStyle w:val="32"/>
      <w:pBdr>
        <w:bottom w:val="none" w:color="auto" w:sz="0" w:space="1"/>
      </w:pBdr>
      <w:spacing w:line="240" w:lineRule="auto"/>
      <w:jc w:val="left"/>
      <w:rPr>
        <w:rFonts w:hint="eastAsia"/>
        <w:sz w:val="16"/>
        <w:szCs w:val="16"/>
      </w:rPr>
    </w:pPr>
  </w:p>
  <w:p w14:paraId="65C59555">
    <w:pPr>
      <w:pStyle w:val="32"/>
      <w:pBdr>
        <w:bottom w:val="none" w:color="auto" w:sz="0" w:space="1"/>
      </w:pBdr>
      <w:spacing w:line="240" w:lineRule="auto"/>
      <w:jc w:val="left"/>
      <w:rPr>
        <w:rFonts w:hint="eastAsia" w:eastAsia="宋体"/>
        <w:sz w:val="16"/>
        <w:szCs w:val="16"/>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90792">
    <w:pPr>
      <w:pStyle w:val="32"/>
      <w:pBdr>
        <w:bottom w:val="single" w:color="auto" w:sz="4" w:space="1"/>
      </w:pBdr>
    </w:pPr>
    <w:r>
      <w:rPr>
        <w:rFonts w:hint="eastAsia" w:ascii="Times New Roman" w:hAnsi="Times New Roman" w:cs="Times New Roman"/>
        <w:sz w:val="16"/>
        <w:szCs w:val="16"/>
        <w:lang w:val="en-US" w:eastAsia="zh-CN"/>
      </w:rPr>
      <w:t>南通轨道资源开发有限公司资产评估机构供应商库项目（2024—2026年）</w:t>
    </w:r>
    <w:r>
      <w:rPr>
        <w:rFonts w:hint="eastAsia"/>
        <w:sz w:val="16"/>
        <w:szCs w:val="16"/>
        <w:lang w:eastAsia="zh-CN"/>
      </w:rPr>
      <w:t>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1C7E2">
    <w:pPr>
      <w:pStyle w:val="32"/>
      <w:pBdr>
        <w:bottom w:val="single" w:color="auto" w:sz="4" w:space="1"/>
      </w:pBdr>
      <w:spacing w:line="240" w:lineRule="auto"/>
      <w:jc w:val="left"/>
      <w:rPr>
        <w:rFonts w:hint="eastAsia"/>
        <w:sz w:val="16"/>
        <w:szCs w:val="16"/>
      </w:rPr>
    </w:pPr>
  </w:p>
  <w:p w14:paraId="05966278">
    <w:pPr>
      <w:pStyle w:val="32"/>
      <w:pBdr>
        <w:bottom w:val="single" w:color="auto" w:sz="4" w:space="1"/>
      </w:pBdr>
      <w:spacing w:line="240" w:lineRule="auto"/>
      <w:jc w:val="left"/>
      <w:rPr>
        <w:rFonts w:hint="eastAsia" w:eastAsia="宋体"/>
        <w:sz w:val="16"/>
        <w:szCs w:val="16"/>
        <w:lang w:eastAsia="zh-CN"/>
      </w:rPr>
    </w:pPr>
    <w:r>
      <w:rPr>
        <w:rFonts w:hint="eastAsia" w:ascii="Times New Roman" w:hAnsi="Times New Roman" w:cs="Times New Roman"/>
        <w:sz w:val="16"/>
        <w:szCs w:val="16"/>
        <w:lang w:val="en-US" w:eastAsia="zh-CN"/>
      </w:rPr>
      <w:t>南通轨道资源开发有限公司资产评估机构供应商库项目（2024—2026年）</w:t>
    </w:r>
    <w:r>
      <w:rPr>
        <w:rFonts w:hint="eastAsia"/>
        <w:sz w:val="16"/>
        <w:szCs w:val="16"/>
        <w:lang w:eastAsia="zh-CN"/>
      </w:rPr>
      <w:t>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B261D">
    <w:pPr>
      <w:pStyle w:val="32"/>
      <w:pBdr>
        <w:bottom w:val="none" w:color="auto" w:sz="0" w:space="1"/>
      </w:pBdr>
      <w:spacing w:line="240" w:lineRule="auto"/>
      <w:jc w:val="left"/>
      <w:rPr>
        <w:rFonts w:hint="eastAsia" w:eastAsia="宋体"/>
        <w:sz w:val="16"/>
        <w:szCs w:val="16"/>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40DAA">
    <w:pPr>
      <w:pStyle w:val="32"/>
      <w:pBdr>
        <w:bottom w:val="none" w:color="auto" w:sz="0" w:space="1"/>
      </w:pBdr>
      <w:spacing w:line="240" w:lineRule="auto"/>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EF90E">
    <w:pPr>
      <w:pStyle w:val="3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73398">
    <w:pPr>
      <w:pStyle w:val="32"/>
      <w:pBdr>
        <w:bottom w:val="none" w:color="auto" w:sz="0" w:space="1"/>
      </w:pBdr>
      <w:spacing w:line="240" w:lineRule="auto"/>
      <w:jc w:val="left"/>
      <w:rPr>
        <w:rFonts w:hint="default" w:ascii="Times New Roman" w:hAnsi="Times New Roman" w:eastAsia="宋体" w:cs="Times New Roman"/>
        <w:sz w:val="21"/>
        <w:szCs w:val="21"/>
        <w:lang w:val="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0D45F">
    <w:pPr>
      <w:pStyle w:val="32"/>
      <w:pBdr>
        <w:bottom w:val="none" w:color="auto" w:sz="0" w:space="1"/>
      </w:pBdr>
      <w:rPr>
        <w:rFonts w:hint="default" w:ascii="Times New Roman" w:hAnsi="Times New Roman" w:cs="Times New Roman"/>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pStyle w:val="227"/>
      <w:lvlText w:val="%1"/>
      <w:lvlJc w:val="left"/>
      <w:pPr>
        <w:tabs>
          <w:tab w:val="left" w:pos="1152"/>
        </w:tabs>
        <w:ind w:left="1152" w:hanging="1152"/>
      </w:pPr>
      <w:rPr>
        <w:rFonts w:hint="default" w:ascii="Arial" w:hAnsi="Arial"/>
        <w:b/>
        <w:i w:val="0"/>
        <w:sz w:val="24"/>
      </w:rPr>
    </w:lvl>
    <w:lvl w:ilvl="1" w:tentative="0">
      <w:start w:val="1"/>
      <w:numFmt w:val="decimal"/>
      <w:lvlText w:val="%1.%2"/>
      <w:lvlJc w:val="left"/>
      <w:pPr>
        <w:tabs>
          <w:tab w:val="left" w:pos="1152"/>
        </w:tabs>
        <w:ind w:left="1152" w:hanging="1152"/>
      </w:pPr>
      <w:rPr>
        <w:rFonts w:hint="default" w:ascii="Arial" w:hAnsi="Arial"/>
        <w:b w:val="0"/>
        <w:i w:val="0"/>
        <w:sz w:val="24"/>
      </w:rPr>
    </w:lvl>
    <w:lvl w:ilvl="2" w:tentative="0">
      <w:start w:val="1"/>
      <w:numFmt w:val="decimal"/>
      <w:lvlText w:val="%1.%2.%3"/>
      <w:lvlJc w:val="left"/>
      <w:pPr>
        <w:tabs>
          <w:tab w:val="left" w:pos="1152"/>
        </w:tabs>
        <w:ind w:left="1152" w:hanging="1152"/>
      </w:pPr>
      <w:rPr>
        <w:rFonts w:hint="default" w:ascii="Arial" w:hAnsi="Arial"/>
        <w:b w:val="0"/>
        <w:i w:val="0"/>
        <w:sz w:val="24"/>
      </w:rPr>
    </w:lvl>
    <w:lvl w:ilvl="3" w:tentative="0">
      <w:start w:val="1"/>
      <w:numFmt w:val="lowerLetter"/>
      <w:lvlText w:val="%4)"/>
      <w:lvlJc w:val="left"/>
      <w:pPr>
        <w:tabs>
          <w:tab w:val="left" w:pos="2160"/>
        </w:tabs>
        <w:ind w:left="2160" w:hanging="1008"/>
      </w:pPr>
      <w:rPr>
        <w:rFonts w:hint="default" w:ascii="Arial" w:hAnsi="Arial"/>
        <w:b w:val="0"/>
        <w:i w:val="0"/>
        <w:sz w:val="24"/>
      </w:rPr>
    </w:lvl>
    <w:lvl w:ilvl="4" w:tentative="0">
      <w:start w:val="1"/>
      <w:numFmt w:val="decimal"/>
      <w:lvlText w:val="%1.%2.%3.%4.%5"/>
      <w:lvlJc w:val="left"/>
      <w:pPr>
        <w:tabs>
          <w:tab w:val="left" w:pos="1152"/>
        </w:tabs>
        <w:ind w:left="1152" w:hanging="1152"/>
      </w:pPr>
      <w:rPr>
        <w:rFonts w:hint="default" w:ascii="Arial" w:hAnsi="Arial"/>
        <w:b w:val="0"/>
        <w:i w:val="0"/>
        <w:sz w:val="24"/>
      </w:rPr>
    </w:lvl>
    <w:lvl w:ilvl="5" w:tentative="0">
      <w:start w:val="1"/>
      <w:numFmt w:val="decimal"/>
      <w:lvlText w:val="%6)"/>
      <w:lvlJc w:val="left"/>
      <w:pPr>
        <w:tabs>
          <w:tab w:val="left" w:pos="1728"/>
        </w:tabs>
        <w:ind w:left="1728" w:hanging="576"/>
      </w:pPr>
      <w:rPr>
        <w:rFonts w:hint="default" w:ascii="Arial" w:hAnsi="Arial"/>
        <w:b w:val="0"/>
        <w:i w:val="0"/>
        <w:sz w:val="24"/>
      </w:rPr>
    </w:lvl>
    <w:lvl w:ilvl="6" w:tentative="0">
      <w:start w:val="1"/>
      <w:numFmt w:val="lowerLetter"/>
      <w:lvlText w:val="%7)"/>
      <w:lvlJc w:val="left"/>
      <w:pPr>
        <w:tabs>
          <w:tab w:val="left" w:pos="2304"/>
        </w:tabs>
        <w:ind w:left="2304" w:hanging="576"/>
      </w:pPr>
      <w:rPr>
        <w:rFonts w:hint="default" w:ascii="Arial" w:hAnsi="Arial"/>
        <w:b w:val="0"/>
        <w:i w:val="0"/>
        <w:sz w:val="24"/>
      </w:rPr>
    </w:lvl>
    <w:lvl w:ilvl="7" w:tentative="0">
      <w:start w:val="1"/>
      <w:numFmt w:val="lowerRoman"/>
      <w:lvlText w:val="%8)"/>
      <w:lvlJc w:val="left"/>
      <w:pPr>
        <w:tabs>
          <w:tab w:val="left" w:pos="2880"/>
        </w:tabs>
        <w:ind w:left="2880" w:hanging="576"/>
      </w:pPr>
      <w:rPr>
        <w:rFonts w:hint="default" w:ascii="Arial" w:hAnsi="Arial"/>
        <w:b w:val="0"/>
        <w:i w:val="0"/>
        <w:sz w:val="24"/>
      </w:rPr>
    </w:lvl>
    <w:lvl w:ilvl="8" w:tentative="0">
      <w:start w:val="1"/>
      <w:numFmt w:val="decimal"/>
      <w:lvlText w:val="%7.%8.%9."/>
      <w:lvlJc w:val="left"/>
      <w:pPr>
        <w:tabs>
          <w:tab w:val="left" w:pos="0"/>
        </w:tabs>
        <w:ind w:left="6372" w:hanging="708"/>
      </w:pPr>
      <w:rPr>
        <w:rFonts w:hint="eastAsia"/>
      </w:rPr>
    </w:lvl>
  </w:abstractNum>
  <w:abstractNum w:abstractNumId="1">
    <w:nsid w:val="00000006"/>
    <w:multiLevelType w:val="multilevel"/>
    <w:tmpl w:val="00000006"/>
    <w:lvl w:ilvl="0" w:tentative="0">
      <w:start w:val="1"/>
      <w:numFmt w:val="decimal"/>
      <w:suff w:val="nothing"/>
      <w:lvlText w:val="%1."/>
      <w:lvlJc w:val="left"/>
      <w:pPr>
        <w:ind w:left="180" w:firstLine="0"/>
      </w:pPr>
      <w:rPr>
        <w:rFonts w:hint="eastAsia" w:ascii="宋体" w:hAnsi="宋体" w:eastAsia="宋体"/>
        <w:b w:val="0"/>
        <w:i w:val="0"/>
        <w:caps w:val="0"/>
        <w:strike w:val="0"/>
        <w:dstrike w:val="0"/>
        <w:color w:val="000000"/>
        <w:spacing w:val="0"/>
        <w:position w:val="0"/>
        <w:sz w:val="24"/>
        <w:szCs w:val="24"/>
        <w:vertAlign w:val="baseline"/>
      </w:rPr>
    </w:lvl>
    <w:lvl w:ilvl="1" w:tentative="0">
      <w:start w:val="1"/>
      <w:numFmt w:val="decimal"/>
      <w:pStyle w:val="381"/>
      <w:suff w:val="nothing"/>
      <w:lvlText w:val="%1.%2"/>
      <w:lvlJc w:val="left"/>
      <w:pPr>
        <w:ind w:left="4736" w:hanging="3836"/>
      </w:pPr>
      <w:rPr>
        <w:rFonts w:hint="eastAsia" w:cs="Times New Roman"/>
        <w:b w:val="0"/>
        <w:bCs w:val="0"/>
        <w:i w:val="0"/>
        <w:iCs w:val="0"/>
        <w:caps w:val="0"/>
        <w:smallCaps w:val="0"/>
        <w:strike w:val="0"/>
        <w:dstrike w:val="0"/>
        <w:color w:val="000000"/>
        <w:spacing w:val="0"/>
        <w:position w:val="0"/>
        <w:sz w:val="24"/>
        <w:szCs w:val="24"/>
        <w:u w:val="none"/>
        <w:vertAlign w:val="baseline"/>
      </w:rPr>
    </w:lvl>
    <w:lvl w:ilvl="2" w:tentative="0">
      <w:start w:val="1"/>
      <w:numFmt w:val="decimal"/>
      <w:suff w:val="nothing"/>
      <w:lvlText w:val="%3）"/>
      <w:lvlJc w:val="left"/>
      <w:pPr>
        <w:ind w:left="890" w:hanging="170"/>
      </w:pPr>
      <w:rPr>
        <w:b w:val="0"/>
        <w:i w:val="0"/>
        <w:strike w:val="0"/>
        <w:color w:val="000000"/>
      </w:rPr>
    </w:lvl>
    <w:lvl w:ilvl="3" w:tentative="0">
      <w:start w:val="1"/>
      <w:numFmt w:val="decimal"/>
      <w:suff w:val="nothing"/>
      <w:lvlText w:val="%1.%2.%3.%4"/>
      <w:lvlJc w:val="left"/>
      <w:pPr>
        <w:ind w:left="284" w:hanging="227"/>
      </w:pPr>
      <w:rPr>
        <w:rFonts w:hint="eastAsia"/>
        <w:b w:val="0"/>
        <w:i w:val="0"/>
      </w:rPr>
    </w:lvl>
    <w:lvl w:ilvl="4" w:tentative="0">
      <w:start w:val="1"/>
      <w:numFmt w:val="decimal"/>
      <w:suff w:val="nothing"/>
      <w:lvlText w:val="%1.%2.%3.%4.%5"/>
      <w:lvlJc w:val="left"/>
      <w:pPr>
        <w:ind w:left="397" w:hanging="340"/>
      </w:pPr>
      <w:rPr>
        <w:rFonts w:hint="eastAsia" w:ascii="宋体" w:eastAsia="宋体"/>
        <w:b w:val="0"/>
        <w:i w:val="0"/>
        <w:caps w:val="0"/>
        <w:strike w:val="0"/>
        <w:dstrike w:val="0"/>
        <w:snapToGrid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2">
    <w:nsid w:val="007B2E7B"/>
    <w:multiLevelType w:val="multilevel"/>
    <w:tmpl w:val="007B2E7B"/>
    <w:lvl w:ilvl="0" w:tentative="0">
      <w:start w:val="1"/>
      <w:numFmt w:val="chineseCountingThousand"/>
      <w:pStyle w:val="321"/>
      <w:suff w:val="space"/>
      <w:lvlText w:val="第%1章"/>
      <w:lvlJc w:val="left"/>
      <w:pPr>
        <w:ind w:left="2880" w:firstLine="0"/>
      </w:pPr>
      <w:rPr>
        <w:rFonts w:hint="eastAsia" w:ascii="黑体" w:hAnsi="Times New Roman" w:eastAsia="黑体" w:cs="Times New Roman"/>
        <w:b/>
        <w:bCs w:val="0"/>
        <w:i w:val="0"/>
        <w:iCs w:val="0"/>
        <w:caps w:val="0"/>
        <w:strike w:val="0"/>
        <w:dstrike w:val="0"/>
        <w:color w:val="000000"/>
        <w:spacing w:val="0"/>
        <w:position w:val="0"/>
        <w:sz w:val="44"/>
        <w:szCs w:val="44"/>
        <w:u w:val="none"/>
        <w:vertAlign w:val="baseline"/>
        <w:lang w:val="en-US"/>
      </w:rPr>
    </w:lvl>
    <w:lvl w:ilvl="1" w:tentative="0">
      <w:start w:val="1"/>
      <w:numFmt w:val="decimal"/>
      <w:isLgl/>
      <w:lvlText w:val="%1.%2 "/>
      <w:lvlJc w:val="left"/>
      <w:pPr>
        <w:tabs>
          <w:tab w:val="left" w:pos="-720"/>
        </w:tabs>
        <w:ind w:left="0" w:firstLine="0"/>
      </w:pPr>
      <w:rPr>
        <w:rFonts w:hint="default" w:ascii="Arial" w:hAnsi="Arial" w:eastAsia="黑体"/>
        <w:b w:val="0"/>
        <w:i w:val="0"/>
        <w:iCs w:val="0"/>
        <w:caps w:val="0"/>
        <w:strike w:val="0"/>
        <w:dstrike w:val="0"/>
        <w:color w:val="auto"/>
        <w:spacing w:val="0"/>
        <w:position w:val="0"/>
        <w:sz w:val="32"/>
        <w:szCs w:val="32"/>
        <w:u w:val="none"/>
        <w:vertAlign w:val="baseline"/>
      </w:rPr>
    </w:lvl>
    <w:lvl w:ilvl="2" w:tentative="0">
      <w:start w:val="1"/>
      <w:numFmt w:val="decimal"/>
      <w:isLgl/>
      <w:lvlText w:val="%1.%2.%3 "/>
      <w:lvlJc w:val="left"/>
      <w:pPr>
        <w:tabs>
          <w:tab w:val="left" w:pos="180"/>
        </w:tabs>
        <w:ind w:left="180" w:firstLine="0"/>
      </w:pPr>
      <w:rPr>
        <w:rFonts w:hint="eastAsia" w:ascii="Times New Roman" w:hAnsi="Times New Roman" w:cs="Times New Roman"/>
        <w:b w:val="0"/>
        <w:bCs w:val="0"/>
        <w:i w:val="0"/>
        <w:iCs w:val="0"/>
        <w:caps w:val="0"/>
        <w:smallCaps w:val="0"/>
        <w:strike w:val="0"/>
        <w:dstrike w:val="0"/>
        <w:color w:val="000000"/>
        <w:spacing w:val="0"/>
        <w:position w:val="0"/>
        <w:u w:val="none"/>
        <w:vertAlign w:val="baseline"/>
      </w:rPr>
    </w:lvl>
    <w:lvl w:ilvl="3" w:tentative="0">
      <w:start w:val="1"/>
      <w:numFmt w:val="decimal"/>
      <w:isLgl/>
      <w:lvlText w:val="%1.%2.%3.%4 "/>
      <w:lvlJc w:val="left"/>
      <w:pPr>
        <w:tabs>
          <w:tab w:val="left" w:pos="0"/>
        </w:tabs>
        <w:ind w:left="0" w:firstLine="0"/>
      </w:pPr>
      <w:rPr>
        <w:rFonts w:hint="eastAsia" w:ascii="Times New Roman" w:hAnsi="Times New Roman" w:cs="Times New Roman"/>
        <w:b w:val="0"/>
        <w:bCs w:val="0"/>
        <w:i w:val="0"/>
        <w:iCs w:val="0"/>
        <w:caps w:val="0"/>
        <w:smallCaps w:val="0"/>
        <w:strike w:val="0"/>
        <w:dstrike w:val="0"/>
        <w:color w:val="000000"/>
        <w:spacing w:val="0"/>
        <w:position w:val="0"/>
        <w:u w:val="none"/>
        <w:vertAlign w:val="baseline"/>
      </w:rPr>
    </w:lvl>
    <w:lvl w:ilvl="4" w:tentative="0">
      <w:start w:val="1"/>
      <w:numFmt w:val="decimal"/>
      <w:suff w:val="space"/>
      <w:lvlText w:val="(%5) "/>
      <w:lvlJc w:val="left"/>
      <w:pPr>
        <w:ind w:left="778" w:firstLine="482"/>
      </w:pPr>
      <w:rPr>
        <w:rFonts w:hint="default" w:ascii="Arial" w:hAnsi="Arial" w:eastAsia="宋体"/>
        <w:b w:val="0"/>
        <w:i w:val="0"/>
        <w:color w:val="auto"/>
        <w:sz w:val="24"/>
        <w:szCs w:val="24"/>
        <w:lang w:val="en-US"/>
      </w:rPr>
    </w:lvl>
    <w:lvl w:ilvl="5" w:tentative="0">
      <w:start w:val="1"/>
      <w:numFmt w:val="none"/>
      <w:lvlText w:val=""/>
      <w:lvlJc w:val="left"/>
      <w:pPr>
        <w:tabs>
          <w:tab w:val="left" w:pos="-740"/>
        </w:tabs>
        <w:ind w:left="-740" w:firstLine="0"/>
      </w:pPr>
      <w:rPr>
        <w:rFonts w:hint="eastAsia" w:ascii="宋体" w:eastAsia="宋体"/>
        <w:b w:val="0"/>
        <w:i w:val="0"/>
        <w:sz w:val="24"/>
        <w:szCs w:val="24"/>
      </w:rPr>
    </w:lvl>
    <w:lvl w:ilvl="6" w:tentative="0">
      <w:start w:val="1"/>
      <w:numFmt w:val="none"/>
      <w:lvlRestart w:val="0"/>
      <w:lvlText w:val=""/>
      <w:lvlJc w:val="left"/>
      <w:pPr>
        <w:tabs>
          <w:tab w:val="left" w:pos="556"/>
        </w:tabs>
        <w:ind w:left="556" w:hanging="1296"/>
      </w:pPr>
      <w:rPr>
        <w:rFonts w:hint="eastAsia"/>
      </w:rPr>
    </w:lvl>
    <w:lvl w:ilvl="7" w:tentative="0">
      <w:start w:val="1"/>
      <w:numFmt w:val="none"/>
      <w:lvlText w:val=""/>
      <w:lvlJc w:val="left"/>
      <w:pPr>
        <w:tabs>
          <w:tab w:val="left" w:pos="700"/>
        </w:tabs>
        <w:ind w:left="700" w:hanging="1440"/>
      </w:pPr>
      <w:rPr>
        <w:rFonts w:hint="eastAsia"/>
      </w:rPr>
    </w:lvl>
    <w:lvl w:ilvl="8" w:tentative="0">
      <w:start w:val="1"/>
      <w:numFmt w:val="none"/>
      <w:lvlText w:val=""/>
      <w:lvlJc w:val="left"/>
      <w:pPr>
        <w:tabs>
          <w:tab w:val="left" w:pos="844"/>
        </w:tabs>
        <w:ind w:left="844" w:hanging="1584"/>
      </w:pPr>
      <w:rPr>
        <w:rFonts w:hint="eastAsia"/>
      </w:rPr>
    </w:lvl>
  </w:abstractNum>
  <w:abstractNum w:abstractNumId="3">
    <w:nsid w:val="03D115D9"/>
    <w:multiLevelType w:val="multilevel"/>
    <w:tmpl w:val="03D115D9"/>
    <w:lvl w:ilvl="0" w:tentative="0">
      <w:start w:val="1"/>
      <w:numFmt w:val="decimal"/>
      <w:pStyle w:val="230"/>
      <w:lvlText w:val="%1）"/>
      <w:lvlJc w:val="left"/>
      <w:pPr>
        <w:tabs>
          <w:tab w:val="left" w:pos="840"/>
        </w:tabs>
        <w:ind w:left="840" w:hanging="420"/>
      </w:pPr>
      <w:rPr>
        <w:rFonts w:hint="eastAsia"/>
      </w:rPr>
    </w:lvl>
    <w:lvl w:ilvl="1" w:tentative="0">
      <w:start w:val="1"/>
      <w:numFmt w:val="decimal"/>
      <w:lvlText w:val="%2）"/>
      <w:lvlJc w:val="left"/>
      <w:pPr>
        <w:ind w:left="780" w:hanging="420"/>
      </w:pPr>
      <w:rPr>
        <w:rFonts w:hint="default"/>
      </w:r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abstractNum w:abstractNumId="4">
    <w:nsid w:val="08D92A32"/>
    <w:multiLevelType w:val="multilevel"/>
    <w:tmpl w:val="08D92A32"/>
    <w:lvl w:ilvl="0" w:tentative="0">
      <w:start w:val="1"/>
      <w:numFmt w:val="bullet"/>
      <w:pStyle w:val="21"/>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5">
    <w:nsid w:val="0D411B09"/>
    <w:multiLevelType w:val="multilevel"/>
    <w:tmpl w:val="0D411B09"/>
    <w:lvl w:ilvl="0" w:tentative="0">
      <w:start w:val="1"/>
      <w:numFmt w:val="decimal"/>
      <w:pStyle w:val="389"/>
      <w:lvlText w:val="%1."/>
      <w:lvlJc w:val="left"/>
      <w:pPr>
        <w:ind w:left="425" w:hanging="425"/>
      </w:pPr>
    </w:lvl>
    <w:lvl w:ilvl="1" w:tentative="0">
      <w:start w:val="1"/>
      <w:numFmt w:val="decimal"/>
      <w:pStyle w:val="387"/>
      <w:lvlText w:val="%1.%2."/>
      <w:lvlJc w:val="left"/>
      <w:pPr>
        <w:ind w:left="567" w:hanging="567"/>
      </w:pPr>
      <w:rPr>
        <w:i/>
      </w:rPr>
    </w:lvl>
    <w:lvl w:ilvl="2" w:tentative="0">
      <w:start w:val="1"/>
      <w:numFmt w:val="decimal"/>
      <w:pStyle w:val="388"/>
      <w:lvlText w:val="%1.%2.%3."/>
      <w:lvlJc w:val="left"/>
      <w:pPr>
        <w:ind w:left="709" w:hanging="709"/>
      </w:pPr>
      <w:rPr>
        <w:b w:val="0"/>
        <w:i/>
      </w:rPr>
    </w:lvl>
    <w:lvl w:ilvl="3" w:tentative="0">
      <w:start w:val="1"/>
      <w:numFmt w:val="decimal"/>
      <w:pStyle w:val="390"/>
      <w:lvlText w:val="%1.%2.%3.%4."/>
      <w:lvlJc w:val="left"/>
      <w:pPr>
        <w:ind w:left="851" w:hanging="851"/>
      </w:pPr>
      <w:rPr>
        <w:i/>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20F51F0B"/>
    <w:multiLevelType w:val="multilevel"/>
    <w:tmpl w:val="20F51F0B"/>
    <w:lvl w:ilvl="0" w:tentative="0">
      <w:start w:val="1"/>
      <w:numFmt w:val="bullet"/>
      <w:lvlText w:val=""/>
      <w:lvlJc w:val="left"/>
      <w:pPr>
        <w:ind w:left="840" w:hanging="420"/>
      </w:pPr>
      <w:rPr>
        <w:rFonts w:hint="default" w:ascii="Wingdings" w:hAnsi="Wingdings"/>
      </w:rPr>
    </w:lvl>
    <w:lvl w:ilvl="1" w:tentative="0">
      <w:start w:val="1"/>
      <w:numFmt w:val="bullet"/>
      <w:pStyle w:val="236"/>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7">
    <w:nsid w:val="25210CBB"/>
    <w:multiLevelType w:val="multilevel"/>
    <w:tmpl w:val="25210CBB"/>
    <w:lvl w:ilvl="0" w:tentative="0">
      <w:start w:val="1"/>
      <w:numFmt w:val="decimal"/>
      <w:lvlText w:val="%1"/>
      <w:lvlJc w:val="left"/>
      <w:pPr>
        <w:tabs>
          <w:tab w:val="left" w:pos="915"/>
        </w:tabs>
        <w:ind w:left="915" w:hanging="915"/>
      </w:pPr>
      <w:rPr>
        <w:rFonts w:hint="default"/>
      </w:rPr>
    </w:lvl>
    <w:lvl w:ilvl="1" w:tentative="0">
      <w:start w:val="2"/>
      <w:numFmt w:val="decimal"/>
      <w:pStyle w:val="291"/>
      <w:lvlText w:val="%1.%2"/>
      <w:lvlJc w:val="left"/>
      <w:pPr>
        <w:tabs>
          <w:tab w:val="left" w:pos="930"/>
        </w:tabs>
        <w:ind w:left="930" w:hanging="915"/>
      </w:pPr>
      <w:rPr>
        <w:rFonts w:hint="default"/>
      </w:rPr>
    </w:lvl>
    <w:lvl w:ilvl="2" w:tentative="0">
      <w:start w:val="1"/>
      <w:numFmt w:val="decimal"/>
      <w:lvlText w:val="%1.%2.%3"/>
      <w:lvlJc w:val="left"/>
      <w:pPr>
        <w:tabs>
          <w:tab w:val="left" w:pos="915"/>
        </w:tabs>
        <w:ind w:left="915" w:hanging="915"/>
      </w:pPr>
      <w:rPr>
        <w:rFonts w:hint="default"/>
      </w:rPr>
    </w:lvl>
    <w:lvl w:ilvl="3" w:tentative="0">
      <w:start w:val="1"/>
      <w:numFmt w:val="decimal"/>
      <w:lvlText w:val="%1.%2.%3.%4"/>
      <w:lvlJc w:val="left"/>
      <w:pPr>
        <w:tabs>
          <w:tab w:val="left" w:pos="915"/>
        </w:tabs>
        <w:ind w:left="915" w:hanging="915"/>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27BA3BD4"/>
    <w:multiLevelType w:val="multilevel"/>
    <w:tmpl w:val="27BA3BD4"/>
    <w:lvl w:ilvl="0" w:tentative="0">
      <w:start w:val="1"/>
      <w:numFmt w:val="lowerLetter"/>
      <w:lvlText w:val="%1."/>
      <w:lvlJc w:val="left"/>
      <w:pPr>
        <w:tabs>
          <w:tab w:val="left" w:pos="737"/>
        </w:tabs>
        <w:ind w:left="737" w:hanging="397"/>
      </w:pPr>
      <w:rPr>
        <w:rFonts w:hint="default" w:ascii="Times New Roman" w:hAnsi="Times New Roman"/>
        <w:b w:val="0"/>
        <w:i w:val="0"/>
        <w:sz w:val="21"/>
      </w:rPr>
    </w:lvl>
    <w:lvl w:ilvl="1" w:tentative="0">
      <w:start w:val="1"/>
      <w:numFmt w:val="decimal"/>
      <w:pStyle w:val="265"/>
      <w:lvlText w:val="%2)"/>
      <w:lvlJc w:val="left"/>
      <w:pPr>
        <w:tabs>
          <w:tab w:val="left" w:pos="737"/>
        </w:tabs>
        <w:ind w:left="737" w:hanging="397"/>
      </w:pPr>
      <w:rPr>
        <w:rFonts w:hint="default" w:ascii="Times New Roman" w:hAnsi="Times New Roman"/>
        <w:b w:val="0"/>
        <w:i w:val="0"/>
        <w:spacing w:val="0"/>
        <w:w w:val="100"/>
        <w:position w:val="0"/>
        <w:sz w:val="21"/>
      </w:rPr>
    </w:lvl>
    <w:lvl w:ilvl="2" w:tentative="0">
      <w:start w:val="1"/>
      <w:numFmt w:val="lowerLetter"/>
      <w:lvlText w:val="%3."/>
      <w:lvlJc w:val="left"/>
      <w:pPr>
        <w:tabs>
          <w:tab w:val="left" w:pos="737"/>
        </w:tabs>
        <w:ind w:left="737" w:hanging="397"/>
      </w:pPr>
      <w:rPr>
        <w:rFonts w:hint="default" w:ascii="Times New Roman" w:hAnsi="Times New Roman"/>
        <w:b w:val="0"/>
        <w:i w:val="0"/>
        <w:sz w:val="21"/>
      </w:rPr>
    </w:lvl>
    <w:lvl w:ilvl="3" w:tentative="0">
      <w:start w:val="1"/>
      <w:numFmt w:val="lowerLetter"/>
      <w:lvlText w:val="%4."/>
      <w:lvlJc w:val="left"/>
      <w:pPr>
        <w:tabs>
          <w:tab w:val="left" w:pos="1191"/>
        </w:tabs>
        <w:ind w:left="1191" w:hanging="397"/>
      </w:pPr>
      <w:rPr>
        <w:rFonts w:hint="default" w:ascii="Times New Roman" w:hAnsi="Times New Roman"/>
        <w:b w:val="0"/>
        <w:i w:val="0"/>
        <w:sz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B42331B"/>
    <w:multiLevelType w:val="multilevel"/>
    <w:tmpl w:val="2B42331B"/>
    <w:lvl w:ilvl="0" w:tentative="0">
      <w:start w:val="1"/>
      <w:numFmt w:val="decimal"/>
      <w:pStyle w:val="360"/>
      <w:suff w:val="space"/>
      <w:lvlText w:val="%1"/>
      <w:lvlJc w:val="left"/>
      <w:pPr>
        <w:ind w:left="0" w:firstLine="0"/>
      </w:pPr>
      <w:rPr>
        <w:rFonts w:hint="eastAsia"/>
        <w:b/>
        <w:i w:val="0"/>
        <w:sz w:val="28"/>
      </w:rPr>
    </w:lvl>
    <w:lvl w:ilvl="1" w:tentative="0">
      <w:start w:val="1"/>
      <w:numFmt w:val="decimal"/>
      <w:suff w:val="space"/>
      <w:lvlText w:val="%1.%2"/>
      <w:lvlJc w:val="left"/>
      <w:pPr>
        <w:ind w:left="0" w:firstLine="0"/>
      </w:pPr>
      <w:rPr>
        <w:rFonts w:hint="eastAsia"/>
        <w:b/>
        <w:i w:val="0"/>
        <w:sz w:val="28"/>
      </w:rPr>
    </w:lvl>
    <w:lvl w:ilvl="2" w:tentative="0">
      <w:start w:val="1"/>
      <w:numFmt w:val="decimal"/>
      <w:isLgl/>
      <w:suff w:val="space"/>
      <w:lvlText w:val="%1.%2.%3"/>
      <w:lvlJc w:val="left"/>
      <w:pPr>
        <w:ind w:left="0" w:firstLine="0"/>
      </w:pPr>
      <w:rPr>
        <w:rFonts w:hint="eastAsia"/>
        <w:b/>
        <w:i w:val="0"/>
        <w:sz w:val="28"/>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abstractNum w:abstractNumId="10">
    <w:nsid w:val="308354B8"/>
    <w:multiLevelType w:val="multilevel"/>
    <w:tmpl w:val="308354B8"/>
    <w:lvl w:ilvl="0" w:tentative="0">
      <w:start w:val="1"/>
      <w:numFmt w:val="bullet"/>
      <w:pStyle w:val="356"/>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decimal"/>
      <w:lvlText w:val="（%3）"/>
      <w:lvlJc w:val="left"/>
      <w:pPr>
        <w:tabs>
          <w:tab w:val="left" w:pos="1560"/>
        </w:tabs>
        <w:ind w:left="1560" w:hanging="72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31B11168"/>
    <w:multiLevelType w:val="multilevel"/>
    <w:tmpl w:val="31B11168"/>
    <w:lvl w:ilvl="0" w:tentative="0">
      <w:start w:val="1"/>
      <w:numFmt w:val="bullet"/>
      <w:pStyle w:val="364"/>
      <w:lvlText w:val=""/>
      <w:lvlJc w:val="left"/>
      <w:pPr>
        <w:tabs>
          <w:tab w:val="left" w:pos="360"/>
        </w:tabs>
        <w:ind w:left="360" w:hanging="360"/>
      </w:pPr>
      <w:rPr>
        <w:rFonts w:hint="default" w:ascii="Wingdings" w:hAnsi="Wingdings"/>
      </w:rPr>
    </w:lvl>
    <w:lvl w:ilvl="1" w:tentative="0">
      <w:start w:val="1"/>
      <w:numFmt w:val="decimal"/>
      <w:lvlText w:val="%1.%2"/>
      <w:lvlJc w:val="left"/>
      <w:pPr>
        <w:tabs>
          <w:tab w:val="left" w:pos="480"/>
        </w:tabs>
        <w:ind w:left="480" w:hanging="48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1.%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2">
    <w:nsid w:val="407A3A4A"/>
    <w:multiLevelType w:val="multilevel"/>
    <w:tmpl w:val="407A3A4A"/>
    <w:lvl w:ilvl="0" w:tentative="0">
      <w:start w:val="1"/>
      <w:numFmt w:val="bullet"/>
      <w:pStyle w:val="297"/>
      <w:lvlText w:val=""/>
      <w:lvlJc w:val="left"/>
      <w:pPr>
        <w:tabs>
          <w:tab w:val="left" w:pos="840"/>
        </w:tabs>
        <w:ind w:left="840" w:hanging="420"/>
      </w:pPr>
      <w:rPr>
        <w:rFonts w:hint="default" w:ascii="Wingdings" w:hAnsi="Wingdings"/>
      </w:rPr>
    </w:lvl>
    <w:lvl w:ilvl="1" w:tentative="0">
      <w:start w:val="1"/>
      <w:numFmt w:val="decimal"/>
      <w:lvlText w:val="（%2）"/>
      <w:lvlJc w:val="left"/>
      <w:pPr>
        <w:tabs>
          <w:tab w:val="left" w:pos="1140"/>
        </w:tabs>
        <w:ind w:left="1140" w:hanging="720"/>
      </w:pPr>
      <w:rPr>
        <w:rFonts w:hint="eastAsia" w:cs="Times New Roman"/>
      </w:rPr>
    </w:lvl>
    <w:lvl w:ilvl="2" w:tentative="0">
      <w:start w:val="1"/>
      <w:numFmt w:val="decimal"/>
      <w:lvlText w:val="%3）"/>
      <w:lvlJc w:val="left"/>
      <w:pPr>
        <w:tabs>
          <w:tab w:val="left" w:pos="1200"/>
        </w:tabs>
        <w:ind w:left="1200" w:hanging="360"/>
      </w:pPr>
      <w:rPr>
        <w:rFonts w:hint="eastAsia" w:cs="Times New Roman"/>
        <w:b w:val="0"/>
      </w:rPr>
    </w:lvl>
    <w:lvl w:ilvl="3" w:tentative="0">
      <w:start w:val="1"/>
      <w:numFmt w:val="decimal"/>
      <w:lvlText w:val="%4)"/>
      <w:lvlJc w:val="left"/>
      <w:pPr>
        <w:tabs>
          <w:tab w:val="left" w:pos="1620"/>
        </w:tabs>
        <w:ind w:left="1620" w:hanging="360"/>
      </w:pPr>
      <w:rPr>
        <w:rFonts w:hint="eastAsia" w:cs="Times New Roman"/>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4253257D"/>
    <w:multiLevelType w:val="multilevel"/>
    <w:tmpl w:val="4253257D"/>
    <w:lvl w:ilvl="0" w:tentative="0">
      <w:start w:val="0"/>
      <w:numFmt w:val="bullet"/>
      <w:lvlText w:val="◎"/>
      <w:lvlJc w:val="left"/>
      <w:pPr>
        <w:tabs>
          <w:tab w:val="left" w:pos="1241"/>
        </w:tabs>
        <w:ind w:left="1241" w:hanging="360"/>
      </w:pPr>
      <w:rPr>
        <w:rFonts w:hint="eastAsia" w:ascii="宋体" w:hAnsi="宋体" w:eastAsia="宋体" w:cs="Times New Roman"/>
      </w:rPr>
    </w:lvl>
    <w:lvl w:ilvl="1" w:tentative="0">
      <w:start w:val="1"/>
      <w:numFmt w:val="bullet"/>
      <w:pStyle w:val="240"/>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4">
    <w:nsid w:val="4D0E5D1C"/>
    <w:multiLevelType w:val="multilevel"/>
    <w:tmpl w:val="4D0E5D1C"/>
    <w:lvl w:ilvl="0" w:tentative="0">
      <w:start w:val="1"/>
      <w:numFmt w:val="decimal"/>
      <w:pStyle w:val="362"/>
      <w:suff w:val="space"/>
      <w:lvlText w:val="%1"/>
      <w:lvlJc w:val="left"/>
      <w:pPr>
        <w:ind w:left="0" w:firstLine="0"/>
      </w:pPr>
      <w:rPr>
        <w:rFonts w:hint="eastAsia"/>
      </w:rPr>
    </w:lvl>
    <w:lvl w:ilvl="1" w:tentative="0">
      <w:start w:val="1"/>
      <w:numFmt w:val="decimal"/>
      <w:lvlText w:val="%1.%2"/>
      <w:lvlJc w:val="left"/>
      <w:pPr>
        <w:tabs>
          <w:tab w:val="left" w:pos="1145"/>
        </w:tabs>
        <w:ind w:left="992" w:hanging="567"/>
      </w:pPr>
      <w:rPr>
        <w:rFonts w:hint="eastAsia"/>
      </w:rPr>
    </w:lvl>
    <w:lvl w:ilvl="2" w:tentative="0">
      <w:start w:val="1"/>
      <w:numFmt w:val="decimal"/>
      <w:lvlText w:val="%1.%2.%3"/>
      <w:lvlJc w:val="left"/>
      <w:pPr>
        <w:tabs>
          <w:tab w:val="left" w:pos="2291"/>
        </w:tabs>
        <w:ind w:left="1418" w:hanging="567"/>
      </w:pPr>
      <w:rPr>
        <w:rFonts w:hint="eastAsia"/>
      </w:rPr>
    </w:lvl>
    <w:lvl w:ilvl="3" w:tentative="0">
      <w:start w:val="1"/>
      <w:numFmt w:val="decimal"/>
      <w:lvlText w:val="%1.%2.%3.%4"/>
      <w:lvlJc w:val="left"/>
      <w:pPr>
        <w:tabs>
          <w:tab w:val="left" w:pos="3076"/>
        </w:tabs>
        <w:ind w:left="1984" w:hanging="708"/>
      </w:pPr>
      <w:rPr>
        <w:rFonts w:hint="eastAsia"/>
      </w:rPr>
    </w:lvl>
    <w:lvl w:ilvl="4" w:tentative="0">
      <w:start w:val="1"/>
      <w:numFmt w:val="decimal"/>
      <w:lvlText w:val="%1.%2.%3.%4.%5"/>
      <w:lvlJc w:val="left"/>
      <w:pPr>
        <w:tabs>
          <w:tab w:val="left" w:pos="3861"/>
        </w:tabs>
        <w:ind w:left="2551" w:hanging="850"/>
      </w:pPr>
      <w:rPr>
        <w:rFonts w:hint="eastAsia"/>
      </w:rPr>
    </w:lvl>
    <w:lvl w:ilvl="5" w:tentative="0">
      <w:start w:val="1"/>
      <w:numFmt w:val="decimal"/>
      <w:lvlText w:val="%1.%2.%3.%4.%5.%6"/>
      <w:lvlJc w:val="left"/>
      <w:pPr>
        <w:tabs>
          <w:tab w:val="left" w:pos="4646"/>
        </w:tabs>
        <w:ind w:left="3260" w:hanging="1134"/>
      </w:pPr>
      <w:rPr>
        <w:rFonts w:hint="eastAsia"/>
      </w:rPr>
    </w:lvl>
    <w:lvl w:ilvl="6" w:tentative="0">
      <w:start w:val="1"/>
      <w:numFmt w:val="decimal"/>
      <w:lvlText w:val="%1.%2.%3.%4.%5.%6.%7"/>
      <w:lvlJc w:val="left"/>
      <w:pPr>
        <w:tabs>
          <w:tab w:val="left" w:pos="5431"/>
        </w:tabs>
        <w:ind w:left="3827" w:hanging="1276"/>
      </w:pPr>
      <w:rPr>
        <w:rFonts w:hint="eastAsia"/>
      </w:rPr>
    </w:lvl>
    <w:lvl w:ilvl="7" w:tentative="0">
      <w:start w:val="1"/>
      <w:numFmt w:val="decimal"/>
      <w:lvlText w:val="%1.%2.%3.%4.%5.%6.%7.%8"/>
      <w:lvlJc w:val="left"/>
      <w:pPr>
        <w:tabs>
          <w:tab w:val="left" w:pos="6216"/>
        </w:tabs>
        <w:ind w:left="4394" w:hanging="1418"/>
      </w:pPr>
      <w:rPr>
        <w:rFonts w:hint="eastAsia"/>
      </w:rPr>
    </w:lvl>
    <w:lvl w:ilvl="8" w:tentative="0">
      <w:start w:val="1"/>
      <w:numFmt w:val="decimal"/>
      <w:lvlText w:val="%1.%2.%3.%4.%5.%6.%7.%8.%9"/>
      <w:lvlJc w:val="left"/>
      <w:pPr>
        <w:tabs>
          <w:tab w:val="left" w:pos="7362"/>
        </w:tabs>
        <w:ind w:left="5102" w:hanging="1700"/>
      </w:pPr>
      <w:rPr>
        <w:rFonts w:hint="eastAsia"/>
      </w:rPr>
    </w:lvl>
  </w:abstractNum>
  <w:abstractNum w:abstractNumId="15">
    <w:nsid w:val="53FE00A1"/>
    <w:multiLevelType w:val="multilevel"/>
    <w:tmpl w:val="53FE00A1"/>
    <w:lvl w:ilvl="0" w:tentative="0">
      <w:start w:val="1"/>
      <w:numFmt w:val="lowerLetter"/>
      <w:lvlText w:val="(%1)"/>
      <w:lvlJc w:val="left"/>
      <w:pPr>
        <w:tabs>
          <w:tab w:val="left" w:pos="1985"/>
        </w:tabs>
        <w:ind w:left="1985" w:hanging="681"/>
      </w:pPr>
      <w:rPr>
        <w:rFonts w:hint="eastAsia"/>
        <w:b w:val="0"/>
        <w:i w:val="0"/>
      </w:rPr>
    </w:lvl>
    <w:lvl w:ilvl="1" w:tentative="0">
      <w:start w:val="1"/>
      <w:numFmt w:val="lowerRoman"/>
      <w:pStyle w:val="332"/>
      <w:lvlText w:val="%2.)"/>
      <w:lvlJc w:val="left"/>
      <w:pPr>
        <w:tabs>
          <w:tab w:val="left" w:pos="4044"/>
        </w:tabs>
        <w:ind w:left="4044" w:hanging="454"/>
      </w:pPr>
      <w:rPr>
        <w:rFonts w:hint="default" w:ascii="Times New Roman" w:hAnsi="Times New Roman"/>
        <w:b w:val="0"/>
        <w:i w:val="0"/>
        <w:sz w:val="22"/>
      </w:rPr>
    </w:lvl>
    <w:lvl w:ilvl="2" w:tentative="0">
      <w:start w:val="0"/>
      <w:numFmt w:val="bullet"/>
      <w:lvlText w:val="-"/>
      <w:lvlJc w:val="left"/>
      <w:pPr>
        <w:tabs>
          <w:tab w:val="left" w:pos="4790"/>
        </w:tabs>
        <w:ind w:left="4790" w:hanging="720"/>
      </w:pPr>
      <w:rPr>
        <w:rFonts w:hint="eastAsia" w:ascii="PMingLiU" w:hAnsi="PMingLiU" w:eastAsia="PMingLiU" w:cs="Times New Roman"/>
      </w:rPr>
    </w:lvl>
    <w:lvl w:ilvl="3" w:tentative="0">
      <w:start w:val="1"/>
      <w:numFmt w:val="decimal"/>
      <w:lvlText w:val="%4."/>
      <w:lvlJc w:val="left"/>
      <w:pPr>
        <w:tabs>
          <w:tab w:val="left" w:pos="5030"/>
        </w:tabs>
        <w:ind w:left="5030" w:hanging="480"/>
      </w:pPr>
    </w:lvl>
    <w:lvl w:ilvl="4" w:tentative="0">
      <w:start w:val="1"/>
      <w:numFmt w:val="ideographTraditional"/>
      <w:lvlText w:val="%5、"/>
      <w:lvlJc w:val="left"/>
      <w:pPr>
        <w:tabs>
          <w:tab w:val="left" w:pos="5510"/>
        </w:tabs>
        <w:ind w:left="5510" w:hanging="480"/>
      </w:pPr>
    </w:lvl>
    <w:lvl w:ilvl="5" w:tentative="0">
      <w:start w:val="1"/>
      <w:numFmt w:val="lowerRoman"/>
      <w:lvlText w:val="%6."/>
      <w:lvlJc w:val="right"/>
      <w:pPr>
        <w:tabs>
          <w:tab w:val="left" w:pos="5990"/>
        </w:tabs>
        <w:ind w:left="5990" w:hanging="480"/>
      </w:pPr>
    </w:lvl>
    <w:lvl w:ilvl="6" w:tentative="0">
      <w:start w:val="1"/>
      <w:numFmt w:val="decimal"/>
      <w:lvlText w:val="%7."/>
      <w:lvlJc w:val="left"/>
      <w:pPr>
        <w:tabs>
          <w:tab w:val="left" w:pos="6470"/>
        </w:tabs>
        <w:ind w:left="6470" w:hanging="480"/>
      </w:pPr>
    </w:lvl>
    <w:lvl w:ilvl="7" w:tentative="0">
      <w:start w:val="1"/>
      <w:numFmt w:val="ideographTraditional"/>
      <w:lvlText w:val="%8、"/>
      <w:lvlJc w:val="left"/>
      <w:pPr>
        <w:tabs>
          <w:tab w:val="left" w:pos="6950"/>
        </w:tabs>
        <w:ind w:left="6950" w:hanging="480"/>
      </w:pPr>
    </w:lvl>
    <w:lvl w:ilvl="8" w:tentative="0">
      <w:start w:val="1"/>
      <w:numFmt w:val="lowerRoman"/>
      <w:lvlText w:val="%9."/>
      <w:lvlJc w:val="right"/>
      <w:pPr>
        <w:tabs>
          <w:tab w:val="left" w:pos="7430"/>
        </w:tabs>
        <w:ind w:left="7430" w:hanging="480"/>
      </w:pPr>
    </w:lvl>
  </w:abstractNum>
  <w:abstractNum w:abstractNumId="16">
    <w:nsid w:val="6E8E1DB8"/>
    <w:multiLevelType w:val="multilevel"/>
    <w:tmpl w:val="6E8E1DB8"/>
    <w:lvl w:ilvl="0" w:tentative="0">
      <w:start w:val="1"/>
      <w:numFmt w:val="bullet"/>
      <w:lvlText w:val=""/>
      <w:lvlJc w:val="left"/>
      <w:pPr>
        <w:ind w:left="840" w:hanging="420"/>
      </w:pPr>
      <w:rPr>
        <w:rFonts w:hint="default" w:ascii="Wingdings" w:hAnsi="Wingdings"/>
      </w:rPr>
    </w:lvl>
    <w:lvl w:ilvl="1" w:tentative="0">
      <w:start w:val="1"/>
      <w:numFmt w:val="bullet"/>
      <w:pStyle w:val="205"/>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7">
    <w:nsid w:val="72200912"/>
    <w:multiLevelType w:val="multilevel"/>
    <w:tmpl w:val="72200912"/>
    <w:lvl w:ilvl="0" w:tentative="0">
      <w:start w:val="1"/>
      <w:numFmt w:val="lowerRoman"/>
      <w:pStyle w:val="329"/>
      <w:lvlText w:val="(%1)"/>
      <w:lvlJc w:val="left"/>
      <w:pPr>
        <w:tabs>
          <w:tab w:val="left" w:pos="2722"/>
        </w:tabs>
        <w:ind w:left="2722" w:hanging="567"/>
      </w:pPr>
      <w:rPr>
        <w:rFonts w:hint="eastAsia" w:ascii="Times New Roman" w:hAnsi="Times New Roman" w:cs="Times New Roman"/>
        <w:b w:val="0"/>
        <w:bCs w:val="0"/>
        <w:i w:val="0"/>
        <w:iCs w:val="0"/>
        <w:caps w:val="0"/>
        <w:smallCaps w:val="0"/>
        <w:strike w:val="0"/>
        <w:dstrike w:val="0"/>
        <w:snapToGrid w:val="0"/>
        <w:color w:val="000000"/>
        <w:spacing w:val="0"/>
        <w:kern w:val="0"/>
        <w:position w:val="0"/>
        <w:u w:val="none"/>
        <w:vertAlign w:val="baseline"/>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18">
    <w:nsid w:val="7BD03B22"/>
    <w:multiLevelType w:val="multilevel"/>
    <w:tmpl w:val="7BD03B22"/>
    <w:lvl w:ilvl="0" w:tentative="0">
      <w:start w:val="1"/>
      <w:numFmt w:val="lowerLetter"/>
      <w:pStyle w:val="261"/>
      <w:lvlText w:val="%1."/>
      <w:lvlJc w:val="left"/>
      <w:pPr>
        <w:tabs>
          <w:tab w:val="left" w:pos="1620"/>
        </w:tabs>
        <w:ind w:left="1620" w:hanging="360"/>
      </w:pPr>
      <w:rPr>
        <w:rFonts w:hint="default"/>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lowerRoman"/>
      <w:lvlText w:val="%3."/>
      <w:lvlJc w:val="right"/>
      <w:pPr>
        <w:tabs>
          <w:tab w:val="left" w:pos="2520"/>
        </w:tabs>
        <w:ind w:left="2520" w:hanging="420"/>
      </w:pPr>
    </w:lvl>
    <w:lvl w:ilvl="3" w:tentative="0">
      <w:start w:val="1"/>
      <w:numFmt w:val="decimal"/>
      <w:lvlText w:val="%4."/>
      <w:lvlJc w:val="left"/>
      <w:pPr>
        <w:tabs>
          <w:tab w:val="left" w:pos="2940"/>
        </w:tabs>
        <w:ind w:left="2940" w:hanging="420"/>
      </w:pPr>
    </w:lvl>
    <w:lvl w:ilvl="4" w:tentative="0">
      <w:start w:val="1"/>
      <w:numFmt w:val="lowerLetter"/>
      <w:lvlText w:val="%5)"/>
      <w:lvlJc w:val="left"/>
      <w:pPr>
        <w:tabs>
          <w:tab w:val="left" w:pos="3360"/>
        </w:tabs>
        <w:ind w:left="3360" w:hanging="420"/>
      </w:pPr>
    </w:lvl>
    <w:lvl w:ilvl="5" w:tentative="0">
      <w:start w:val="1"/>
      <w:numFmt w:val="lowerRoman"/>
      <w:lvlText w:val="%6."/>
      <w:lvlJc w:val="right"/>
      <w:pPr>
        <w:tabs>
          <w:tab w:val="left" w:pos="3780"/>
        </w:tabs>
        <w:ind w:left="3780" w:hanging="420"/>
      </w:pPr>
    </w:lvl>
    <w:lvl w:ilvl="6" w:tentative="0">
      <w:start w:val="1"/>
      <w:numFmt w:val="decimal"/>
      <w:lvlText w:val="%7."/>
      <w:lvlJc w:val="left"/>
      <w:pPr>
        <w:tabs>
          <w:tab w:val="left" w:pos="4200"/>
        </w:tabs>
        <w:ind w:left="4200" w:hanging="420"/>
      </w:pPr>
    </w:lvl>
    <w:lvl w:ilvl="7" w:tentative="0">
      <w:start w:val="1"/>
      <w:numFmt w:val="lowerLetter"/>
      <w:lvlText w:val="%8)"/>
      <w:lvlJc w:val="left"/>
      <w:pPr>
        <w:tabs>
          <w:tab w:val="left" w:pos="4620"/>
        </w:tabs>
        <w:ind w:left="4620" w:hanging="420"/>
      </w:pPr>
    </w:lvl>
    <w:lvl w:ilvl="8" w:tentative="0">
      <w:start w:val="1"/>
      <w:numFmt w:val="lowerRoman"/>
      <w:lvlText w:val="%9."/>
      <w:lvlJc w:val="right"/>
      <w:pPr>
        <w:tabs>
          <w:tab w:val="left" w:pos="5040"/>
        </w:tabs>
        <w:ind w:left="5040" w:hanging="420"/>
      </w:pPr>
    </w:lvl>
  </w:abstractNum>
  <w:abstractNum w:abstractNumId="19">
    <w:nsid w:val="7CAE77F6"/>
    <w:multiLevelType w:val="multilevel"/>
    <w:tmpl w:val="7CAE77F6"/>
    <w:lvl w:ilvl="0" w:tentative="0">
      <w:start w:val="11"/>
      <w:numFmt w:val="decimal"/>
      <w:lvlText w:val="%1."/>
      <w:lvlJc w:val="left"/>
      <w:pPr>
        <w:tabs>
          <w:tab w:val="left" w:pos="-142"/>
        </w:tabs>
        <w:ind w:left="-142" w:hanging="425"/>
      </w:pPr>
      <w:rPr>
        <w:rFonts w:hint="eastAsia"/>
      </w:rPr>
    </w:lvl>
    <w:lvl w:ilvl="1" w:tentative="0">
      <w:start w:val="1"/>
      <w:numFmt w:val="decimal"/>
      <w:lvlText w:val="%1.%2."/>
      <w:lvlJc w:val="left"/>
      <w:pPr>
        <w:tabs>
          <w:tab w:val="left" w:pos="720"/>
        </w:tabs>
        <w:ind w:left="283" w:hanging="283"/>
      </w:pPr>
      <w:rPr>
        <w:rFonts w:hint="eastAsia"/>
      </w:rPr>
    </w:lvl>
    <w:lvl w:ilvl="2" w:tentative="0">
      <w:start w:val="1"/>
      <w:numFmt w:val="decimal"/>
      <w:pStyle w:val="325"/>
      <w:lvlText w:val="%1.%2.%3."/>
      <w:lvlJc w:val="left"/>
      <w:pPr>
        <w:tabs>
          <w:tab w:val="left" w:pos="737"/>
        </w:tabs>
        <w:ind w:left="142" w:hanging="142"/>
      </w:pPr>
      <w:rPr>
        <w:rFonts w:hint="eastAsia"/>
      </w:rPr>
    </w:lvl>
    <w:lvl w:ilvl="3" w:tentative="0">
      <w:start w:val="1"/>
      <w:numFmt w:val="decimal"/>
      <w:lvlText w:val="%1.%2.%3.%4."/>
      <w:lvlJc w:val="left"/>
      <w:pPr>
        <w:tabs>
          <w:tab w:val="left" w:pos="1250"/>
        </w:tabs>
        <w:ind w:left="284" w:hanging="114"/>
      </w:pPr>
      <w:rPr>
        <w:rFonts w:hint="eastAsia"/>
      </w:rPr>
    </w:lvl>
    <w:lvl w:ilvl="4" w:tentative="0">
      <w:start w:val="1"/>
      <w:numFmt w:val="decimal"/>
      <w:lvlText w:val="%1.%2.%3.%4.%5."/>
      <w:lvlJc w:val="left"/>
      <w:pPr>
        <w:tabs>
          <w:tab w:val="left" w:pos="1364"/>
        </w:tabs>
        <w:ind w:left="425" w:hanging="141"/>
      </w:pPr>
      <w:rPr>
        <w:rFonts w:hint="eastAsia"/>
      </w:rPr>
    </w:lvl>
    <w:lvl w:ilvl="5" w:tentative="0">
      <w:start w:val="1"/>
      <w:numFmt w:val="decimal"/>
      <w:lvlText w:val="%1.%2.%3.%4.%5.%6."/>
      <w:lvlJc w:val="left"/>
      <w:pPr>
        <w:tabs>
          <w:tab w:val="left" w:pos="567"/>
        </w:tabs>
        <w:ind w:left="567" w:hanging="1134"/>
      </w:pPr>
      <w:rPr>
        <w:rFonts w:hint="eastAsia"/>
      </w:rPr>
    </w:lvl>
    <w:lvl w:ilvl="6" w:tentative="0">
      <w:start w:val="1"/>
      <w:numFmt w:val="decimal"/>
      <w:lvlText w:val="%1.%2.%3.%4.%5.%6.%7."/>
      <w:lvlJc w:val="left"/>
      <w:pPr>
        <w:tabs>
          <w:tab w:val="left" w:pos="709"/>
        </w:tabs>
        <w:ind w:left="709" w:hanging="1276"/>
      </w:pPr>
      <w:rPr>
        <w:rFonts w:hint="eastAsia"/>
      </w:rPr>
    </w:lvl>
    <w:lvl w:ilvl="7" w:tentative="0">
      <w:start w:val="1"/>
      <w:numFmt w:val="decimal"/>
      <w:lvlText w:val="%1.%2.%3.%4.%5.%6.%7.%8."/>
      <w:lvlJc w:val="left"/>
      <w:pPr>
        <w:tabs>
          <w:tab w:val="left" w:pos="851"/>
        </w:tabs>
        <w:ind w:left="851" w:hanging="1418"/>
      </w:pPr>
      <w:rPr>
        <w:rFonts w:hint="eastAsia"/>
      </w:rPr>
    </w:lvl>
    <w:lvl w:ilvl="8" w:tentative="0">
      <w:start w:val="1"/>
      <w:numFmt w:val="decimal"/>
      <w:lvlText w:val="%1.%2.%3.%4.%5.%6.%7.%8.%9."/>
      <w:lvlJc w:val="left"/>
      <w:pPr>
        <w:tabs>
          <w:tab w:val="left" w:pos="992"/>
        </w:tabs>
        <w:ind w:left="992" w:hanging="1559"/>
      </w:pPr>
      <w:rPr>
        <w:rFonts w:hint="eastAsia"/>
      </w:rPr>
    </w:lvl>
  </w:abstractNum>
  <w:abstractNum w:abstractNumId="20">
    <w:nsid w:val="7D1C6BA7"/>
    <w:multiLevelType w:val="multilevel"/>
    <w:tmpl w:val="7D1C6BA7"/>
    <w:lvl w:ilvl="0" w:tentative="0">
      <w:start w:val="1"/>
      <w:numFmt w:val="decimal"/>
      <w:pStyle w:val="370"/>
      <w:lvlText w:val="%1 "/>
      <w:lvlJc w:val="left"/>
      <w:pPr>
        <w:tabs>
          <w:tab w:val="left" w:pos="425"/>
        </w:tabs>
        <w:ind w:left="425" w:hanging="425"/>
      </w:pPr>
      <w:rPr>
        <w:rFonts w:hint="eastAsia" w:cs="Times New Roman"/>
        <w:b w:val="0"/>
        <w:i w:val="0"/>
        <w:iCs w:val="0"/>
        <w:caps w:val="0"/>
        <w:smallCaps w:val="0"/>
        <w:strike w:val="0"/>
        <w:dstrike w:val="0"/>
        <w:color w:val="000000"/>
        <w:spacing w:val="0"/>
        <w:position w:val="0"/>
        <w:u w:val="none"/>
        <w:vertAlign w:val="baseline"/>
      </w:rPr>
    </w:lvl>
    <w:lvl w:ilvl="1" w:tentative="0">
      <w:start w:val="1"/>
      <w:numFmt w:val="decimal"/>
      <w:pStyle w:val="342"/>
      <w:lvlText w:val="%1.%2 "/>
      <w:lvlJc w:val="left"/>
      <w:pPr>
        <w:tabs>
          <w:tab w:val="left" w:pos="567"/>
        </w:tabs>
        <w:ind w:left="567" w:hanging="567"/>
      </w:pPr>
      <w:rPr>
        <w:rFonts w:hint="eastAsia" w:cs="Times New Roman"/>
        <w:b w:val="0"/>
        <w:i w:val="0"/>
        <w:iCs w:val="0"/>
        <w:caps w:val="0"/>
        <w:smallCaps w:val="0"/>
        <w:strike w:val="0"/>
        <w:dstrike w:val="0"/>
        <w:color w:val="000000"/>
        <w:spacing w:val="0"/>
        <w:position w:val="0"/>
        <w:u w:val="none"/>
        <w:vertAlign w:val="baseline"/>
      </w:rPr>
    </w:lvl>
    <w:lvl w:ilvl="2" w:tentative="0">
      <w:start w:val="1"/>
      <w:numFmt w:val="decimal"/>
      <w:pStyle w:val="371"/>
      <w:lvlText w:val="%1.%2.%3 "/>
      <w:lvlJc w:val="left"/>
      <w:pPr>
        <w:tabs>
          <w:tab w:val="left" w:pos="1418"/>
        </w:tabs>
        <w:ind w:left="1418" w:hanging="567"/>
      </w:pPr>
      <w:rPr>
        <w:rFonts w:hint="eastAsia"/>
      </w:rPr>
    </w:lvl>
    <w:lvl w:ilvl="3" w:tentative="0">
      <w:start w:val="1"/>
      <w:numFmt w:val="decimal"/>
      <w:pStyle w:val="372"/>
      <w:lvlText w:val="%1.%2.%3.%4 "/>
      <w:lvlJc w:val="left"/>
      <w:pPr>
        <w:tabs>
          <w:tab w:val="left" w:pos="1984"/>
        </w:tabs>
        <w:ind w:left="1984" w:hanging="708"/>
      </w:pPr>
      <w:rPr>
        <w:rFonts w:hint="eastAsia"/>
      </w:rPr>
    </w:lvl>
    <w:lvl w:ilvl="4" w:tentative="0">
      <w:start w:val="1"/>
      <w:numFmt w:val="decimal"/>
      <w:pStyle w:val="373"/>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1">
    <w:nsid w:val="7DB853C7"/>
    <w:multiLevelType w:val="multilevel"/>
    <w:tmpl w:val="7DB853C7"/>
    <w:lvl w:ilvl="0" w:tentative="0">
      <w:start w:val="1"/>
      <w:numFmt w:val="decimal"/>
      <w:pStyle w:val="151"/>
      <w:suff w:val="space"/>
      <w:lvlText w:val="%1."/>
      <w:lvlJc w:val="left"/>
      <w:pPr>
        <w:ind w:left="0" w:firstLine="0"/>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4"/>
  </w:num>
  <w:num w:numId="2">
    <w:abstractNumId w:val="21"/>
  </w:num>
  <w:num w:numId="3">
    <w:abstractNumId w:val="16"/>
  </w:num>
  <w:num w:numId="4">
    <w:abstractNumId w:val="0"/>
  </w:num>
  <w:num w:numId="5">
    <w:abstractNumId w:val="3"/>
  </w:num>
  <w:num w:numId="6">
    <w:abstractNumId w:val="6"/>
  </w:num>
  <w:num w:numId="7">
    <w:abstractNumId w:val="13"/>
  </w:num>
  <w:num w:numId="8">
    <w:abstractNumId w:val="18"/>
  </w:num>
  <w:num w:numId="9">
    <w:abstractNumId w:val="8"/>
  </w:num>
  <w:num w:numId="10">
    <w:abstractNumId w:val="7"/>
  </w:num>
  <w:num w:numId="11">
    <w:abstractNumId w:val="12"/>
  </w:num>
  <w:num w:numId="12">
    <w:abstractNumId w:val="2"/>
  </w:num>
  <w:num w:numId="13">
    <w:abstractNumId w:val="19"/>
  </w:num>
  <w:num w:numId="14">
    <w:abstractNumId w:val="17"/>
  </w:num>
  <w:num w:numId="15">
    <w:abstractNumId w:val="15"/>
  </w:num>
  <w:num w:numId="16">
    <w:abstractNumId w:val="20"/>
  </w:num>
  <w:num w:numId="17">
    <w:abstractNumId w:val="10"/>
  </w:num>
  <w:num w:numId="18">
    <w:abstractNumId w:val="9"/>
  </w:num>
  <w:num w:numId="19">
    <w:abstractNumId w:val="14"/>
  </w:num>
  <w:num w:numId="20">
    <w:abstractNumId w:val="11"/>
  </w:num>
  <w:num w:numId="21">
    <w:abstractNumId w:val="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hideSpellingErrors/>
  <w:documentProtection w:enforcement="0"/>
  <w:defaultTabStop w:val="0"/>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yYTNlZGQxYmM4NjY4ZWE0MjY4MWE4MjE0NjlhZmUifQ=="/>
    <w:docVar w:name="KSO_WPS_MARK_KEY" w:val="c8099957-3417-46d6-af04-a9f5b11b118f"/>
  </w:docVars>
  <w:rsids>
    <w:rsidRoot w:val="00000000"/>
    <w:rsid w:val="000B7669"/>
    <w:rsid w:val="00227180"/>
    <w:rsid w:val="002B2257"/>
    <w:rsid w:val="003C275D"/>
    <w:rsid w:val="00935676"/>
    <w:rsid w:val="00AB35C0"/>
    <w:rsid w:val="01064C9A"/>
    <w:rsid w:val="01186AC5"/>
    <w:rsid w:val="01192C1F"/>
    <w:rsid w:val="01BA3B84"/>
    <w:rsid w:val="021A09FD"/>
    <w:rsid w:val="02251150"/>
    <w:rsid w:val="02393D42"/>
    <w:rsid w:val="024B744F"/>
    <w:rsid w:val="02DD5D0B"/>
    <w:rsid w:val="02DD6033"/>
    <w:rsid w:val="03061456"/>
    <w:rsid w:val="031F2043"/>
    <w:rsid w:val="03234FCD"/>
    <w:rsid w:val="033A5A90"/>
    <w:rsid w:val="03A639DC"/>
    <w:rsid w:val="040C25C7"/>
    <w:rsid w:val="04237C86"/>
    <w:rsid w:val="04603095"/>
    <w:rsid w:val="04A3117E"/>
    <w:rsid w:val="04B421F2"/>
    <w:rsid w:val="04D01847"/>
    <w:rsid w:val="050530E8"/>
    <w:rsid w:val="052A4982"/>
    <w:rsid w:val="052F1520"/>
    <w:rsid w:val="053F15AB"/>
    <w:rsid w:val="056D7096"/>
    <w:rsid w:val="0577446C"/>
    <w:rsid w:val="05936E80"/>
    <w:rsid w:val="059B55E5"/>
    <w:rsid w:val="059B6785"/>
    <w:rsid w:val="05BC7A74"/>
    <w:rsid w:val="061D0ABC"/>
    <w:rsid w:val="064249C6"/>
    <w:rsid w:val="06577152"/>
    <w:rsid w:val="06AB431A"/>
    <w:rsid w:val="06AD67EA"/>
    <w:rsid w:val="06E635A4"/>
    <w:rsid w:val="0702516C"/>
    <w:rsid w:val="07245E7A"/>
    <w:rsid w:val="072D11D3"/>
    <w:rsid w:val="07342561"/>
    <w:rsid w:val="0776186C"/>
    <w:rsid w:val="07AA3587"/>
    <w:rsid w:val="07CE7264"/>
    <w:rsid w:val="088A0AD5"/>
    <w:rsid w:val="08997E93"/>
    <w:rsid w:val="08BD088C"/>
    <w:rsid w:val="08C45177"/>
    <w:rsid w:val="08EB220C"/>
    <w:rsid w:val="08FE085E"/>
    <w:rsid w:val="09376339"/>
    <w:rsid w:val="09473CE2"/>
    <w:rsid w:val="096D58B6"/>
    <w:rsid w:val="09761125"/>
    <w:rsid w:val="097D1872"/>
    <w:rsid w:val="099C2AD0"/>
    <w:rsid w:val="09A6526C"/>
    <w:rsid w:val="09F91840"/>
    <w:rsid w:val="0A022A3E"/>
    <w:rsid w:val="0A1026E6"/>
    <w:rsid w:val="0A110938"/>
    <w:rsid w:val="0A2C39C3"/>
    <w:rsid w:val="0A500B73"/>
    <w:rsid w:val="0A6B086D"/>
    <w:rsid w:val="0AC51F3F"/>
    <w:rsid w:val="0AE84415"/>
    <w:rsid w:val="0B001D62"/>
    <w:rsid w:val="0B0C6B63"/>
    <w:rsid w:val="0BE61950"/>
    <w:rsid w:val="0C076ACB"/>
    <w:rsid w:val="0C0B13B7"/>
    <w:rsid w:val="0C160487"/>
    <w:rsid w:val="0C161A76"/>
    <w:rsid w:val="0C47235C"/>
    <w:rsid w:val="0D0C188A"/>
    <w:rsid w:val="0D4C1A56"/>
    <w:rsid w:val="0D4E55C8"/>
    <w:rsid w:val="0D6375DA"/>
    <w:rsid w:val="0D7B0E47"/>
    <w:rsid w:val="0D9F44AC"/>
    <w:rsid w:val="0E305316"/>
    <w:rsid w:val="0E50690B"/>
    <w:rsid w:val="0F301F18"/>
    <w:rsid w:val="0FE268D2"/>
    <w:rsid w:val="107C2883"/>
    <w:rsid w:val="1081220E"/>
    <w:rsid w:val="10A10CDF"/>
    <w:rsid w:val="11036B00"/>
    <w:rsid w:val="11233511"/>
    <w:rsid w:val="115A77AB"/>
    <w:rsid w:val="118714DF"/>
    <w:rsid w:val="118B5F3C"/>
    <w:rsid w:val="11BC1F4C"/>
    <w:rsid w:val="122431D2"/>
    <w:rsid w:val="12E36BE9"/>
    <w:rsid w:val="130102D7"/>
    <w:rsid w:val="133149E8"/>
    <w:rsid w:val="133631BD"/>
    <w:rsid w:val="13441D7E"/>
    <w:rsid w:val="1376180B"/>
    <w:rsid w:val="138D2581"/>
    <w:rsid w:val="13B50586"/>
    <w:rsid w:val="140E7C96"/>
    <w:rsid w:val="150300F3"/>
    <w:rsid w:val="15115235"/>
    <w:rsid w:val="151F5A1F"/>
    <w:rsid w:val="155D6B9C"/>
    <w:rsid w:val="15907718"/>
    <w:rsid w:val="15A30567"/>
    <w:rsid w:val="15B45981"/>
    <w:rsid w:val="160144A3"/>
    <w:rsid w:val="164819A1"/>
    <w:rsid w:val="16831C06"/>
    <w:rsid w:val="169721C5"/>
    <w:rsid w:val="169F7602"/>
    <w:rsid w:val="16B16B25"/>
    <w:rsid w:val="16C438DD"/>
    <w:rsid w:val="16CF7BB0"/>
    <w:rsid w:val="16F70EB5"/>
    <w:rsid w:val="171B54CB"/>
    <w:rsid w:val="174165D4"/>
    <w:rsid w:val="177B3894"/>
    <w:rsid w:val="17AF79E2"/>
    <w:rsid w:val="17D411F6"/>
    <w:rsid w:val="1820443C"/>
    <w:rsid w:val="183234CF"/>
    <w:rsid w:val="1864558B"/>
    <w:rsid w:val="193D63F7"/>
    <w:rsid w:val="195720DF"/>
    <w:rsid w:val="197B401F"/>
    <w:rsid w:val="19C169C5"/>
    <w:rsid w:val="1A5B79AD"/>
    <w:rsid w:val="1A8D433D"/>
    <w:rsid w:val="1AA475E6"/>
    <w:rsid w:val="1AE02DD8"/>
    <w:rsid w:val="1B0A61F6"/>
    <w:rsid w:val="1B5F214E"/>
    <w:rsid w:val="1B8A4175"/>
    <w:rsid w:val="1B8A679C"/>
    <w:rsid w:val="1B982E35"/>
    <w:rsid w:val="1C3368AE"/>
    <w:rsid w:val="1C9B5D51"/>
    <w:rsid w:val="1CED1AC3"/>
    <w:rsid w:val="1D7C34EE"/>
    <w:rsid w:val="1D857909"/>
    <w:rsid w:val="1D8A4831"/>
    <w:rsid w:val="1D8F5720"/>
    <w:rsid w:val="1D9B6B56"/>
    <w:rsid w:val="1DA525D4"/>
    <w:rsid w:val="1DA8115B"/>
    <w:rsid w:val="1DC84D43"/>
    <w:rsid w:val="1DD526A6"/>
    <w:rsid w:val="1E026D8E"/>
    <w:rsid w:val="1E0A5A07"/>
    <w:rsid w:val="1E370E0A"/>
    <w:rsid w:val="1E9A51BB"/>
    <w:rsid w:val="1EA91422"/>
    <w:rsid w:val="1EAA389B"/>
    <w:rsid w:val="1EAC1948"/>
    <w:rsid w:val="1ED56282"/>
    <w:rsid w:val="1F6B2989"/>
    <w:rsid w:val="1F745E46"/>
    <w:rsid w:val="1FAE4963"/>
    <w:rsid w:val="1FCD6FEB"/>
    <w:rsid w:val="1FF97A4C"/>
    <w:rsid w:val="204748C7"/>
    <w:rsid w:val="205A2A84"/>
    <w:rsid w:val="20783067"/>
    <w:rsid w:val="20800594"/>
    <w:rsid w:val="20B120D5"/>
    <w:rsid w:val="20F91017"/>
    <w:rsid w:val="21182154"/>
    <w:rsid w:val="211F1734"/>
    <w:rsid w:val="213A031C"/>
    <w:rsid w:val="21750BB9"/>
    <w:rsid w:val="219B78EA"/>
    <w:rsid w:val="21E12E8E"/>
    <w:rsid w:val="21FF3314"/>
    <w:rsid w:val="22205764"/>
    <w:rsid w:val="225C1762"/>
    <w:rsid w:val="228224F0"/>
    <w:rsid w:val="22A9658B"/>
    <w:rsid w:val="22DC043E"/>
    <w:rsid w:val="22F866E1"/>
    <w:rsid w:val="23C33523"/>
    <w:rsid w:val="23EB16FF"/>
    <w:rsid w:val="23F3440D"/>
    <w:rsid w:val="244B45EE"/>
    <w:rsid w:val="24596D0B"/>
    <w:rsid w:val="24832ECD"/>
    <w:rsid w:val="24AF1021"/>
    <w:rsid w:val="25372975"/>
    <w:rsid w:val="25675458"/>
    <w:rsid w:val="256C6F12"/>
    <w:rsid w:val="25A0096A"/>
    <w:rsid w:val="25A67497"/>
    <w:rsid w:val="262D48F3"/>
    <w:rsid w:val="26767C10"/>
    <w:rsid w:val="26962499"/>
    <w:rsid w:val="26997893"/>
    <w:rsid w:val="269C55D5"/>
    <w:rsid w:val="26E156F0"/>
    <w:rsid w:val="26FE1DEC"/>
    <w:rsid w:val="274C6FFB"/>
    <w:rsid w:val="27547C5E"/>
    <w:rsid w:val="277A5916"/>
    <w:rsid w:val="277B06F9"/>
    <w:rsid w:val="27966331"/>
    <w:rsid w:val="27DC212D"/>
    <w:rsid w:val="27F51DBA"/>
    <w:rsid w:val="28171968"/>
    <w:rsid w:val="28B5451B"/>
    <w:rsid w:val="28D252DE"/>
    <w:rsid w:val="28E15521"/>
    <w:rsid w:val="28F159FD"/>
    <w:rsid w:val="28FD67FF"/>
    <w:rsid w:val="29196AA0"/>
    <w:rsid w:val="297E088B"/>
    <w:rsid w:val="29B72649"/>
    <w:rsid w:val="29C16F63"/>
    <w:rsid w:val="29CF3FEA"/>
    <w:rsid w:val="29E74DB9"/>
    <w:rsid w:val="2A0B4F4C"/>
    <w:rsid w:val="2A2C44B8"/>
    <w:rsid w:val="2AFA775C"/>
    <w:rsid w:val="2B33794E"/>
    <w:rsid w:val="2B5D17D7"/>
    <w:rsid w:val="2BD01E07"/>
    <w:rsid w:val="2C167039"/>
    <w:rsid w:val="2C5F0F59"/>
    <w:rsid w:val="2C653539"/>
    <w:rsid w:val="2C99686D"/>
    <w:rsid w:val="2CA42E0E"/>
    <w:rsid w:val="2CA70830"/>
    <w:rsid w:val="2CC6515A"/>
    <w:rsid w:val="2CDC1669"/>
    <w:rsid w:val="2D5E027B"/>
    <w:rsid w:val="2D611067"/>
    <w:rsid w:val="2D7921CC"/>
    <w:rsid w:val="2D8A6187"/>
    <w:rsid w:val="2DBF011F"/>
    <w:rsid w:val="2E075A2A"/>
    <w:rsid w:val="2E343AA7"/>
    <w:rsid w:val="2E3D4C24"/>
    <w:rsid w:val="2E6013B9"/>
    <w:rsid w:val="2EBE3C6B"/>
    <w:rsid w:val="2EC67693"/>
    <w:rsid w:val="2ED973C6"/>
    <w:rsid w:val="2EDF0755"/>
    <w:rsid w:val="2F012479"/>
    <w:rsid w:val="2F1400FF"/>
    <w:rsid w:val="2F2F348A"/>
    <w:rsid w:val="2F2F5238"/>
    <w:rsid w:val="2F37233F"/>
    <w:rsid w:val="2F566C69"/>
    <w:rsid w:val="2F693637"/>
    <w:rsid w:val="2FCC3201"/>
    <w:rsid w:val="301C6366"/>
    <w:rsid w:val="30702317"/>
    <w:rsid w:val="30730E37"/>
    <w:rsid w:val="307750E9"/>
    <w:rsid w:val="30907F59"/>
    <w:rsid w:val="30E92D4B"/>
    <w:rsid w:val="30EE1FA4"/>
    <w:rsid w:val="311A3CC6"/>
    <w:rsid w:val="313C3C3D"/>
    <w:rsid w:val="31457A4F"/>
    <w:rsid w:val="316C1756"/>
    <w:rsid w:val="31850E90"/>
    <w:rsid w:val="31BF03CC"/>
    <w:rsid w:val="321B1110"/>
    <w:rsid w:val="323B0398"/>
    <w:rsid w:val="32786EF6"/>
    <w:rsid w:val="331652F7"/>
    <w:rsid w:val="3358616F"/>
    <w:rsid w:val="33FF2A58"/>
    <w:rsid w:val="3437693D"/>
    <w:rsid w:val="34497927"/>
    <w:rsid w:val="34756D62"/>
    <w:rsid w:val="34817669"/>
    <w:rsid w:val="34C957E7"/>
    <w:rsid w:val="34F33640"/>
    <w:rsid w:val="35007227"/>
    <w:rsid w:val="355B1CD2"/>
    <w:rsid w:val="358B1508"/>
    <w:rsid w:val="35AE3525"/>
    <w:rsid w:val="35AF4C3D"/>
    <w:rsid w:val="35C24BC6"/>
    <w:rsid w:val="35E623C9"/>
    <w:rsid w:val="35EA1EB9"/>
    <w:rsid w:val="361866B3"/>
    <w:rsid w:val="3622050B"/>
    <w:rsid w:val="3665597E"/>
    <w:rsid w:val="36681030"/>
    <w:rsid w:val="369D6F2B"/>
    <w:rsid w:val="36E7289C"/>
    <w:rsid w:val="36F63D37"/>
    <w:rsid w:val="37135440"/>
    <w:rsid w:val="3818066F"/>
    <w:rsid w:val="38350B0D"/>
    <w:rsid w:val="386540D4"/>
    <w:rsid w:val="387E2A90"/>
    <w:rsid w:val="38D429AD"/>
    <w:rsid w:val="3905525C"/>
    <w:rsid w:val="39061936"/>
    <w:rsid w:val="393670ED"/>
    <w:rsid w:val="394A21F0"/>
    <w:rsid w:val="396E5577"/>
    <w:rsid w:val="397228F1"/>
    <w:rsid w:val="39B32F0A"/>
    <w:rsid w:val="3A242018"/>
    <w:rsid w:val="3A3F02FA"/>
    <w:rsid w:val="3A4F33FC"/>
    <w:rsid w:val="3A552DB8"/>
    <w:rsid w:val="3A5E4C24"/>
    <w:rsid w:val="3AAD7959"/>
    <w:rsid w:val="3AB504FA"/>
    <w:rsid w:val="3ACD1DA9"/>
    <w:rsid w:val="3AD273C0"/>
    <w:rsid w:val="3AE535C6"/>
    <w:rsid w:val="3AEC73B1"/>
    <w:rsid w:val="3AF15A98"/>
    <w:rsid w:val="3B084B8F"/>
    <w:rsid w:val="3B653D90"/>
    <w:rsid w:val="3B660234"/>
    <w:rsid w:val="3B9052B1"/>
    <w:rsid w:val="3B9478E7"/>
    <w:rsid w:val="3B97662E"/>
    <w:rsid w:val="3BB32DE6"/>
    <w:rsid w:val="3BFB3DD6"/>
    <w:rsid w:val="3C153E14"/>
    <w:rsid w:val="3C2105FF"/>
    <w:rsid w:val="3C2B7C68"/>
    <w:rsid w:val="3C412DBC"/>
    <w:rsid w:val="3CBB45AF"/>
    <w:rsid w:val="3CCF5F1D"/>
    <w:rsid w:val="3CEB33F8"/>
    <w:rsid w:val="3CF036BF"/>
    <w:rsid w:val="3D0F2205"/>
    <w:rsid w:val="3D673DEF"/>
    <w:rsid w:val="3D8A61EC"/>
    <w:rsid w:val="3D8C1249"/>
    <w:rsid w:val="3DA91EB2"/>
    <w:rsid w:val="3DD5527F"/>
    <w:rsid w:val="3DDD67A7"/>
    <w:rsid w:val="3DE72402"/>
    <w:rsid w:val="3DFD4754"/>
    <w:rsid w:val="3E2241BA"/>
    <w:rsid w:val="3E4541EF"/>
    <w:rsid w:val="3E4740D5"/>
    <w:rsid w:val="3EA451FF"/>
    <w:rsid w:val="3EAD617A"/>
    <w:rsid w:val="3EE1484F"/>
    <w:rsid w:val="3EF57317"/>
    <w:rsid w:val="3F281D9D"/>
    <w:rsid w:val="3F4A1C1A"/>
    <w:rsid w:val="3FA07A8C"/>
    <w:rsid w:val="3FCB3229"/>
    <w:rsid w:val="3FDD11CC"/>
    <w:rsid w:val="3FEE3345"/>
    <w:rsid w:val="3FFB2F15"/>
    <w:rsid w:val="40067FBD"/>
    <w:rsid w:val="40097711"/>
    <w:rsid w:val="400A4094"/>
    <w:rsid w:val="40E863B2"/>
    <w:rsid w:val="40FC085C"/>
    <w:rsid w:val="416A65A4"/>
    <w:rsid w:val="417D6A2A"/>
    <w:rsid w:val="41B079AE"/>
    <w:rsid w:val="41B65345"/>
    <w:rsid w:val="41C51A2C"/>
    <w:rsid w:val="41D91D63"/>
    <w:rsid w:val="41FD7F7B"/>
    <w:rsid w:val="42530DE6"/>
    <w:rsid w:val="43106CD7"/>
    <w:rsid w:val="43106EBC"/>
    <w:rsid w:val="43AE0137"/>
    <w:rsid w:val="43B363C9"/>
    <w:rsid w:val="447A1390"/>
    <w:rsid w:val="44F600FE"/>
    <w:rsid w:val="45195461"/>
    <w:rsid w:val="451B541A"/>
    <w:rsid w:val="453B44DF"/>
    <w:rsid w:val="4568104C"/>
    <w:rsid w:val="45C51FFB"/>
    <w:rsid w:val="45E5302F"/>
    <w:rsid w:val="46104D4D"/>
    <w:rsid w:val="46121D29"/>
    <w:rsid w:val="461D5993"/>
    <w:rsid w:val="461E7104"/>
    <w:rsid w:val="462A4554"/>
    <w:rsid w:val="46401681"/>
    <w:rsid w:val="4646138E"/>
    <w:rsid w:val="46465AA3"/>
    <w:rsid w:val="46862ED8"/>
    <w:rsid w:val="46BE36AC"/>
    <w:rsid w:val="46E33E4D"/>
    <w:rsid w:val="46EA4CBA"/>
    <w:rsid w:val="4707234B"/>
    <w:rsid w:val="47851D6E"/>
    <w:rsid w:val="478869F4"/>
    <w:rsid w:val="479E7FE4"/>
    <w:rsid w:val="47E0136E"/>
    <w:rsid w:val="481413B8"/>
    <w:rsid w:val="482E20D9"/>
    <w:rsid w:val="48397A7B"/>
    <w:rsid w:val="48496F13"/>
    <w:rsid w:val="485B78C5"/>
    <w:rsid w:val="49555444"/>
    <w:rsid w:val="49860FCD"/>
    <w:rsid w:val="498D2E30"/>
    <w:rsid w:val="49A91966"/>
    <w:rsid w:val="49C425C9"/>
    <w:rsid w:val="49D123EE"/>
    <w:rsid w:val="4A05653F"/>
    <w:rsid w:val="4A370FED"/>
    <w:rsid w:val="4A507913"/>
    <w:rsid w:val="4A6C34C4"/>
    <w:rsid w:val="4A884FC8"/>
    <w:rsid w:val="4AAC109B"/>
    <w:rsid w:val="4AAD305D"/>
    <w:rsid w:val="4AE662A3"/>
    <w:rsid w:val="4B045373"/>
    <w:rsid w:val="4B2B0EAC"/>
    <w:rsid w:val="4B5C2027"/>
    <w:rsid w:val="4B5E27BB"/>
    <w:rsid w:val="4B813CEC"/>
    <w:rsid w:val="4CA70CA4"/>
    <w:rsid w:val="4CD9638C"/>
    <w:rsid w:val="4D0F3254"/>
    <w:rsid w:val="4D6B792C"/>
    <w:rsid w:val="4D6E6008"/>
    <w:rsid w:val="4DCE5735"/>
    <w:rsid w:val="4DF844BD"/>
    <w:rsid w:val="4E143B1F"/>
    <w:rsid w:val="4E203070"/>
    <w:rsid w:val="4E2849A1"/>
    <w:rsid w:val="4E6C1FEA"/>
    <w:rsid w:val="4EDF13E6"/>
    <w:rsid w:val="4EEB1BBB"/>
    <w:rsid w:val="4F204746"/>
    <w:rsid w:val="4F3B04CE"/>
    <w:rsid w:val="4F7E63E8"/>
    <w:rsid w:val="4FF77255"/>
    <w:rsid w:val="5003773A"/>
    <w:rsid w:val="50265D8C"/>
    <w:rsid w:val="502A47C8"/>
    <w:rsid w:val="502A762A"/>
    <w:rsid w:val="504F7091"/>
    <w:rsid w:val="50715B98"/>
    <w:rsid w:val="508F56DF"/>
    <w:rsid w:val="512A32DA"/>
    <w:rsid w:val="520814F4"/>
    <w:rsid w:val="52214A5D"/>
    <w:rsid w:val="523313CB"/>
    <w:rsid w:val="523F3135"/>
    <w:rsid w:val="525B7E1D"/>
    <w:rsid w:val="52612D59"/>
    <w:rsid w:val="52943481"/>
    <w:rsid w:val="52A631B4"/>
    <w:rsid w:val="52C239CB"/>
    <w:rsid w:val="52D675F5"/>
    <w:rsid w:val="52DE64AA"/>
    <w:rsid w:val="533026AA"/>
    <w:rsid w:val="53964FD7"/>
    <w:rsid w:val="53E21FCA"/>
    <w:rsid w:val="53F43D78"/>
    <w:rsid w:val="54240834"/>
    <w:rsid w:val="5429409D"/>
    <w:rsid w:val="54342609"/>
    <w:rsid w:val="548B7B21"/>
    <w:rsid w:val="54AB47E4"/>
    <w:rsid w:val="54AF522D"/>
    <w:rsid w:val="552D196B"/>
    <w:rsid w:val="556E458F"/>
    <w:rsid w:val="55AB702A"/>
    <w:rsid w:val="55C94D0E"/>
    <w:rsid w:val="55EB785C"/>
    <w:rsid w:val="560501C8"/>
    <w:rsid w:val="560A386B"/>
    <w:rsid w:val="561F49A3"/>
    <w:rsid w:val="563034C0"/>
    <w:rsid w:val="56A63783"/>
    <w:rsid w:val="56A836AE"/>
    <w:rsid w:val="5718391A"/>
    <w:rsid w:val="572D17AE"/>
    <w:rsid w:val="57961A49"/>
    <w:rsid w:val="57A8352A"/>
    <w:rsid w:val="57B95737"/>
    <w:rsid w:val="57C83143"/>
    <w:rsid w:val="57D66BD7"/>
    <w:rsid w:val="57ED32D0"/>
    <w:rsid w:val="57EE53E1"/>
    <w:rsid w:val="57FD73D2"/>
    <w:rsid w:val="5847689F"/>
    <w:rsid w:val="585D02BE"/>
    <w:rsid w:val="5874384C"/>
    <w:rsid w:val="58792CBD"/>
    <w:rsid w:val="58931AE5"/>
    <w:rsid w:val="589E6045"/>
    <w:rsid w:val="59554FEC"/>
    <w:rsid w:val="5979517E"/>
    <w:rsid w:val="598D4786"/>
    <w:rsid w:val="59C363FA"/>
    <w:rsid w:val="59D93E6F"/>
    <w:rsid w:val="59E0732E"/>
    <w:rsid w:val="5A3E3CD2"/>
    <w:rsid w:val="5A4B385C"/>
    <w:rsid w:val="5A844C23"/>
    <w:rsid w:val="5A930319"/>
    <w:rsid w:val="5A9B2D02"/>
    <w:rsid w:val="5AA314BD"/>
    <w:rsid w:val="5AAD190B"/>
    <w:rsid w:val="5AE10796"/>
    <w:rsid w:val="5B1E7D8B"/>
    <w:rsid w:val="5B370547"/>
    <w:rsid w:val="5B6A2FD1"/>
    <w:rsid w:val="5BA67D81"/>
    <w:rsid w:val="5C0E66C6"/>
    <w:rsid w:val="5C65329A"/>
    <w:rsid w:val="5CB36BF9"/>
    <w:rsid w:val="5CC94B0C"/>
    <w:rsid w:val="5CF4149E"/>
    <w:rsid w:val="5D133146"/>
    <w:rsid w:val="5D68143B"/>
    <w:rsid w:val="5D694F7E"/>
    <w:rsid w:val="5DDA487A"/>
    <w:rsid w:val="5DF347DE"/>
    <w:rsid w:val="5E1E46D8"/>
    <w:rsid w:val="5E624BF7"/>
    <w:rsid w:val="5EAC0389"/>
    <w:rsid w:val="5EF145FA"/>
    <w:rsid w:val="5F124FD1"/>
    <w:rsid w:val="5F1D549F"/>
    <w:rsid w:val="5F304531"/>
    <w:rsid w:val="5FB00B8B"/>
    <w:rsid w:val="5FC907CD"/>
    <w:rsid w:val="5FCA2FF5"/>
    <w:rsid w:val="5FE50020"/>
    <w:rsid w:val="6022378D"/>
    <w:rsid w:val="606F065C"/>
    <w:rsid w:val="6073768C"/>
    <w:rsid w:val="608809FC"/>
    <w:rsid w:val="60BB42CE"/>
    <w:rsid w:val="60D1764E"/>
    <w:rsid w:val="60DC6F0C"/>
    <w:rsid w:val="611475B8"/>
    <w:rsid w:val="6126423F"/>
    <w:rsid w:val="61643456"/>
    <w:rsid w:val="61AC3CD1"/>
    <w:rsid w:val="62071415"/>
    <w:rsid w:val="620A72BB"/>
    <w:rsid w:val="620F3A24"/>
    <w:rsid w:val="62135BE6"/>
    <w:rsid w:val="621D2C31"/>
    <w:rsid w:val="624562DE"/>
    <w:rsid w:val="625F7819"/>
    <w:rsid w:val="626764BC"/>
    <w:rsid w:val="62AB17BF"/>
    <w:rsid w:val="62E0001C"/>
    <w:rsid w:val="63034D2C"/>
    <w:rsid w:val="63354200"/>
    <w:rsid w:val="636A2F3F"/>
    <w:rsid w:val="63716EC6"/>
    <w:rsid w:val="637565D4"/>
    <w:rsid w:val="639D7CBB"/>
    <w:rsid w:val="641E0C1C"/>
    <w:rsid w:val="642F4B9E"/>
    <w:rsid w:val="646F5944"/>
    <w:rsid w:val="647D2A9C"/>
    <w:rsid w:val="648D52AE"/>
    <w:rsid w:val="64921A25"/>
    <w:rsid w:val="6518584B"/>
    <w:rsid w:val="657111AB"/>
    <w:rsid w:val="657F242A"/>
    <w:rsid w:val="65DA3DB4"/>
    <w:rsid w:val="65E96726"/>
    <w:rsid w:val="664B39FF"/>
    <w:rsid w:val="669E3D80"/>
    <w:rsid w:val="66C13CC1"/>
    <w:rsid w:val="670A5668"/>
    <w:rsid w:val="671958AB"/>
    <w:rsid w:val="672D43B3"/>
    <w:rsid w:val="674566A0"/>
    <w:rsid w:val="67D0065F"/>
    <w:rsid w:val="680828C4"/>
    <w:rsid w:val="681A3FD0"/>
    <w:rsid w:val="68350126"/>
    <w:rsid w:val="6841330B"/>
    <w:rsid w:val="68643C83"/>
    <w:rsid w:val="68B8243A"/>
    <w:rsid w:val="68DC2A51"/>
    <w:rsid w:val="69197DE4"/>
    <w:rsid w:val="693E5EAC"/>
    <w:rsid w:val="694A1AEF"/>
    <w:rsid w:val="69CB5582"/>
    <w:rsid w:val="69CC4E56"/>
    <w:rsid w:val="6A271505"/>
    <w:rsid w:val="6A3C4B9D"/>
    <w:rsid w:val="6A5A4B58"/>
    <w:rsid w:val="6A6E0F4A"/>
    <w:rsid w:val="6AD3534A"/>
    <w:rsid w:val="6AD52D98"/>
    <w:rsid w:val="6AED777A"/>
    <w:rsid w:val="6B201C11"/>
    <w:rsid w:val="6B3A4BC5"/>
    <w:rsid w:val="6B533758"/>
    <w:rsid w:val="6B607DA5"/>
    <w:rsid w:val="6B737754"/>
    <w:rsid w:val="6BCA7CD8"/>
    <w:rsid w:val="6BE64B4B"/>
    <w:rsid w:val="6BF227B5"/>
    <w:rsid w:val="6C4E3E24"/>
    <w:rsid w:val="6C5125EA"/>
    <w:rsid w:val="6C5D623A"/>
    <w:rsid w:val="6C9A79BE"/>
    <w:rsid w:val="6CB30C91"/>
    <w:rsid w:val="6D657A9C"/>
    <w:rsid w:val="6DCA4B91"/>
    <w:rsid w:val="6E153432"/>
    <w:rsid w:val="6E190414"/>
    <w:rsid w:val="6E6F530F"/>
    <w:rsid w:val="6EAC5256"/>
    <w:rsid w:val="6ED94644"/>
    <w:rsid w:val="6EEC714B"/>
    <w:rsid w:val="6F1C062E"/>
    <w:rsid w:val="6F273C0D"/>
    <w:rsid w:val="6F651FD5"/>
    <w:rsid w:val="6F7915DC"/>
    <w:rsid w:val="6F93167F"/>
    <w:rsid w:val="6FD35191"/>
    <w:rsid w:val="705F3F87"/>
    <w:rsid w:val="70711478"/>
    <w:rsid w:val="70763D6E"/>
    <w:rsid w:val="70FD1404"/>
    <w:rsid w:val="7141437C"/>
    <w:rsid w:val="71431EA2"/>
    <w:rsid w:val="71ED1E0E"/>
    <w:rsid w:val="720F0A10"/>
    <w:rsid w:val="721970A7"/>
    <w:rsid w:val="7231619E"/>
    <w:rsid w:val="725325B9"/>
    <w:rsid w:val="72CC4796"/>
    <w:rsid w:val="73216213"/>
    <w:rsid w:val="73662A49"/>
    <w:rsid w:val="73860085"/>
    <w:rsid w:val="73920EBF"/>
    <w:rsid w:val="73A16CD7"/>
    <w:rsid w:val="73BB6668"/>
    <w:rsid w:val="7416564C"/>
    <w:rsid w:val="74732A9E"/>
    <w:rsid w:val="7480340D"/>
    <w:rsid w:val="748A7DE8"/>
    <w:rsid w:val="74E43583"/>
    <w:rsid w:val="74FC2F36"/>
    <w:rsid w:val="75047B9A"/>
    <w:rsid w:val="750B33B4"/>
    <w:rsid w:val="75252417"/>
    <w:rsid w:val="754206C3"/>
    <w:rsid w:val="754E4160"/>
    <w:rsid w:val="758E7F20"/>
    <w:rsid w:val="75EC630F"/>
    <w:rsid w:val="764741E2"/>
    <w:rsid w:val="765A0671"/>
    <w:rsid w:val="769D3E02"/>
    <w:rsid w:val="76EB0007"/>
    <w:rsid w:val="76F361FD"/>
    <w:rsid w:val="771B11CB"/>
    <w:rsid w:val="77287154"/>
    <w:rsid w:val="77336515"/>
    <w:rsid w:val="77FE0632"/>
    <w:rsid w:val="78283BA0"/>
    <w:rsid w:val="786F0E55"/>
    <w:rsid w:val="7879089F"/>
    <w:rsid w:val="787B4E10"/>
    <w:rsid w:val="78CD0CE6"/>
    <w:rsid w:val="78FF0DA4"/>
    <w:rsid w:val="790D1C26"/>
    <w:rsid w:val="790E2D96"/>
    <w:rsid w:val="79304478"/>
    <w:rsid w:val="79406591"/>
    <w:rsid w:val="79606D4E"/>
    <w:rsid w:val="796B468C"/>
    <w:rsid w:val="79764DDF"/>
    <w:rsid w:val="79825532"/>
    <w:rsid w:val="798D212E"/>
    <w:rsid w:val="79FC7EA9"/>
    <w:rsid w:val="7A0A4093"/>
    <w:rsid w:val="7A141457"/>
    <w:rsid w:val="7A1C5986"/>
    <w:rsid w:val="7A36248D"/>
    <w:rsid w:val="7A88301C"/>
    <w:rsid w:val="7A9D5775"/>
    <w:rsid w:val="7AB931D5"/>
    <w:rsid w:val="7AD30A7C"/>
    <w:rsid w:val="7B21541F"/>
    <w:rsid w:val="7B2441E3"/>
    <w:rsid w:val="7BC65408"/>
    <w:rsid w:val="7BC9569A"/>
    <w:rsid w:val="7C0A708B"/>
    <w:rsid w:val="7C1B7D45"/>
    <w:rsid w:val="7C217BE1"/>
    <w:rsid w:val="7C393ECA"/>
    <w:rsid w:val="7C482A62"/>
    <w:rsid w:val="7C4B60AF"/>
    <w:rsid w:val="7C506143"/>
    <w:rsid w:val="7C5E1D17"/>
    <w:rsid w:val="7C744A76"/>
    <w:rsid w:val="7DBD4D8A"/>
    <w:rsid w:val="7DDA2B39"/>
    <w:rsid w:val="7DEE6983"/>
    <w:rsid w:val="7E41524D"/>
    <w:rsid w:val="7E5D7D7C"/>
    <w:rsid w:val="7E65482D"/>
    <w:rsid w:val="7E6A1DB7"/>
    <w:rsid w:val="7EBF7FD5"/>
    <w:rsid w:val="7ECF1219"/>
    <w:rsid w:val="7ED76543"/>
    <w:rsid w:val="7F336060"/>
    <w:rsid w:val="7F3E694D"/>
    <w:rsid w:val="7F4A4F6D"/>
    <w:rsid w:val="7F5563EB"/>
    <w:rsid w:val="7F557FEB"/>
    <w:rsid w:val="7F587460"/>
    <w:rsid w:val="7F885889"/>
    <w:rsid w:val="7FC2309D"/>
    <w:rsid w:val="7FE4078B"/>
    <w:rsid w:val="7FFC21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qFormat="1" w:unhideWhenUsed="0" w:uiPriority="0" w:semiHidden="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35" w:semiHidden="0" w:name="caption"/>
    <w:lsdException w:qFormat="1" w:unhideWhenUsed="0" w:uiPriority="0" w:semiHidden="0" w:name="table of figures"/>
    <w:lsdException w:uiPriority="0" w:name="envelope address"/>
    <w:lsdException w:qFormat="1" w:uiPriority="0"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qFormat="1" w:unhideWhenUsed="0" w:uiPriority="0" w:name="toa heading"/>
    <w:lsdException w:qFormat="1" w:unhideWhenUsed="0" w:uiPriority="0" w:semiHidden="0" w:name="List"/>
    <w:lsdException w:unhideWhenUsed="0" w:uiPriority="0" w:semiHidden="0" w:name="List Bullet"/>
    <w:lsdException w:uiPriority="0" w:name="List Number"/>
    <w:lsdException w:uiPriority="0" w:name="List 2"/>
    <w:lsdException w:qFormat="1" w:unhideWhenUsed="0" w:uiPriority="0" w:semiHidden="0" w:name="List 3"/>
    <w:lsdException w:uiPriority="0" w:name="List 4"/>
    <w:lsdException w:uiPriority="0" w:name="List 5"/>
    <w:lsdException w:qFormat="1" w:unhideWhenUsed="0" w:uiPriority="0" w:semiHidden="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nhideWhenUsed="0" w:uiPriority="0" w:semiHidden="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eastAsia="宋体" w:asciiTheme="minorHAnsi" w:hAnsiTheme="minorHAnsi" w:cstheme="minorBidi"/>
      <w:kern w:val="2"/>
      <w:sz w:val="21"/>
      <w:szCs w:val="21"/>
      <w:lang w:val="en-US" w:eastAsia="zh-CN" w:bidi="ar-SA"/>
    </w:rPr>
  </w:style>
  <w:style w:type="paragraph" w:styleId="3">
    <w:name w:val="heading 1"/>
    <w:basedOn w:val="1"/>
    <w:next w:val="1"/>
    <w:link w:val="123"/>
    <w:qFormat/>
    <w:uiPriority w:val="0"/>
    <w:pPr>
      <w:keepNext/>
      <w:keepLines/>
      <w:spacing w:before="340" w:after="330" w:line="578" w:lineRule="auto"/>
      <w:jc w:val="center"/>
      <w:outlineLvl w:val="0"/>
    </w:pPr>
    <w:rPr>
      <w:b/>
      <w:bCs/>
      <w:kern w:val="44"/>
      <w:sz w:val="30"/>
      <w:szCs w:val="44"/>
    </w:rPr>
  </w:style>
  <w:style w:type="paragraph" w:styleId="2">
    <w:name w:val="heading 2"/>
    <w:basedOn w:val="1"/>
    <w:next w:val="1"/>
    <w:link w:val="394"/>
    <w:unhideWhenUsed/>
    <w:qFormat/>
    <w:uiPriority w:val="0"/>
    <w:pPr>
      <w:keepNext/>
      <w:keepLines/>
      <w:outlineLvl w:val="1"/>
    </w:pPr>
    <w:rPr>
      <w:rFonts w:asciiTheme="majorHAnsi" w:hAnsiTheme="majorHAnsi" w:cstheme="majorBidi"/>
      <w:sz w:val="28"/>
      <w:szCs w:val="32"/>
    </w:rPr>
  </w:style>
  <w:style w:type="paragraph" w:styleId="4">
    <w:name w:val="heading 3"/>
    <w:basedOn w:val="1"/>
    <w:next w:val="5"/>
    <w:link w:val="89"/>
    <w:unhideWhenUsed/>
    <w:qFormat/>
    <w:uiPriority w:val="0"/>
    <w:pPr>
      <w:keepNext/>
      <w:keepLines/>
      <w:spacing w:line="560" w:lineRule="exact"/>
      <w:outlineLvl w:val="2"/>
    </w:pPr>
    <w:rPr>
      <w:rFonts w:ascii="仿宋" w:hAnsi="仿宋" w:cs="Times New Roman"/>
      <w:b/>
      <w:bCs/>
      <w:sz w:val="24"/>
      <w:szCs w:val="32"/>
    </w:rPr>
  </w:style>
  <w:style w:type="paragraph" w:styleId="6">
    <w:name w:val="heading 4"/>
    <w:basedOn w:val="1"/>
    <w:next w:val="1"/>
    <w:link w:val="14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29"/>
    <w:unhideWhenUsed/>
    <w:qFormat/>
    <w:uiPriority w:val="0"/>
    <w:pPr>
      <w:outlineLvl w:val="4"/>
    </w:pPr>
    <w:rPr>
      <w:rFonts w:ascii="Microsoft JhengHei" w:hAnsi="Microsoft JhengHei" w:eastAsia="Microsoft JhengHei" w:cs="Microsoft JhengHei"/>
      <w:b/>
      <w:bCs/>
    </w:rPr>
  </w:style>
  <w:style w:type="paragraph" w:styleId="8">
    <w:name w:val="heading 6"/>
    <w:basedOn w:val="1"/>
    <w:next w:val="1"/>
    <w:link w:val="82"/>
    <w:qFormat/>
    <w:uiPriority w:val="0"/>
    <w:pPr>
      <w:keepNext/>
      <w:keepLines/>
      <w:adjustRightInd w:val="0"/>
      <w:spacing w:before="240" w:after="64" w:line="320" w:lineRule="atLeast"/>
      <w:jc w:val="both"/>
      <w:textAlignment w:val="baseline"/>
      <w:outlineLvl w:val="5"/>
    </w:pPr>
    <w:rPr>
      <w:rFonts w:ascii="Calibri Light" w:hAnsi="Calibri Light" w:cs="Times New Roman"/>
      <w:b/>
      <w:bCs/>
      <w:kern w:val="0"/>
      <w:sz w:val="24"/>
      <w:szCs w:val="24"/>
    </w:rPr>
  </w:style>
  <w:style w:type="paragraph" w:styleId="9">
    <w:name w:val="heading 7"/>
    <w:basedOn w:val="1"/>
    <w:next w:val="1"/>
    <w:link w:val="83"/>
    <w:qFormat/>
    <w:uiPriority w:val="0"/>
    <w:pPr>
      <w:keepNext/>
      <w:keepLines/>
      <w:adjustRightInd w:val="0"/>
      <w:spacing w:before="240" w:after="64" w:line="320" w:lineRule="atLeast"/>
      <w:jc w:val="both"/>
      <w:textAlignment w:val="baseline"/>
      <w:outlineLvl w:val="6"/>
    </w:pPr>
    <w:rPr>
      <w:rFonts w:ascii="Calibri" w:hAnsi="Calibri" w:cs="Times New Roman"/>
      <w:b/>
      <w:bCs/>
      <w:kern w:val="0"/>
      <w:sz w:val="24"/>
      <w:szCs w:val="24"/>
    </w:rPr>
  </w:style>
  <w:style w:type="paragraph" w:styleId="10">
    <w:name w:val="heading 8"/>
    <w:basedOn w:val="1"/>
    <w:next w:val="1"/>
    <w:link w:val="84"/>
    <w:qFormat/>
    <w:uiPriority w:val="0"/>
    <w:pPr>
      <w:keepNext/>
      <w:keepLines/>
      <w:adjustRightInd w:val="0"/>
      <w:spacing w:before="240" w:after="64" w:line="320" w:lineRule="atLeast"/>
      <w:jc w:val="both"/>
      <w:textAlignment w:val="baseline"/>
      <w:outlineLvl w:val="7"/>
    </w:pPr>
    <w:rPr>
      <w:rFonts w:ascii="Calibri Light" w:hAnsi="Calibri Light" w:cs="Times New Roman"/>
      <w:kern w:val="0"/>
      <w:sz w:val="24"/>
      <w:szCs w:val="24"/>
    </w:rPr>
  </w:style>
  <w:style w:type="paragraph" w:styleId="11">
    <w:name w:val="heading 9"/>
    <w:basedOn w:val="1"/>
    <w:next w:val="1"/>
    <w:link w:val="85"/>
    <w:qFormat/>
    <w:uiPriority w:val="0"/>
    <w:pPr>
      <w:keepNext/>
      <w:keepLines/>
      <w:adjustRightInd w:val="0"/>
      <w:spacing w:before="240" w:after="64" w:line="320" w:lineRule="atLeast"/>
      <w:jc w:val="both"/>
      <w:textAlignment w:val="baseline"/>
      <w:outlineLvl w:val="8"/>
    </w:pPr>
    <w:rPr>
      <w:rFonts w:ascii="Calibri Light" w:hAnsi="Calibri Light" w:cs="Times New Roman"/>
      <w:kern w:val="0"/>
    </w:rPr>
  </w:style>
  <w:style w:type="character" w:default="1" w:styleId="55">
    <w:name w:val="Default Paragraph Font"/>
    <w:unhideWhenUsed/>
    <w:qFormat/>
    <w:uiPriority w:val="1"/>
  </w:style>
  <w:style w:type="table" w:default="1" w:styleId="51">
    <w:name w:val="Normal Table"/>
    <w:unhideWhenUsed/>
    <w:qFormat/>
    <w:uiPriority w:val="99"/>
    <w:tblPr>
      <w:tblCellMar>
        <w:top w:w="0" w:type="dxa"/>
        <w:left w:w="108" w:type="dxa"/>
        <w:bottom w:w="0" w:type="dxa"/>
        <w:right w:w="108" w:type="dxa"/>
      </w:tblCellMar>
    </w:tblPr>
  </w:style>
  <w:style w:type="paragraph" w:styleId="5">
    <w:name w:val="Body Text"/>
    <w:basedOn w:val="1"/>
    <w:next w:val="1"/>
    <w:link w:val="270"/>
    <w:unhideWhenUsed/>
    <w:qFormat/>
    <w:uiPriority w:val="0"/>
    <w:pPr>
      <w:widowControl/>
      <w:spacing w:after="120"/>
    </w:pPr>
    <w:rPr>
      <w:rFonts w:ascii="Times New Roman" w:hAnsi="Times New Roman"/>
      <w:szCs w:val="20"/>
    </w:rPr>
  </w:style>
  <w:style w:type="paragraph" w:styleId="12">
    <w:name w:val="List 3"/>
    <w:basedOn w:val="1"/>
    <w:qFormat/>
    <w:uiPriority w:val="0"/>
    <w:pPr>
      <w:ind w:left="1260" w:hanging="420"/>
    </w:pPr>
    <w:rPr>
      <w:rFonts w:ascii="Times New Roman" w:hAnsi="Times New Roman" w:cs="Times New Roman"/>
      <w:szCs w:val="20"/>
    </w:rPr>
  </w:style>
  <w:style w:type="paragraph" w:styleId="13">
    <w:name w:val="toc 7"/>
    <w:basedOn w:val="1"/>
    <w:next w:val="1"/>
    <w:qFormat/>
    <w:uiPriority w:val="39"/>
    <w:pPr>
      <w:ind w:left="2520" w:leftChars="1200"/>
    </w:pPr>
    <w:rPr>
      <w:rFonts w:ascii="Times New Roman" w:hAnsi="Times New Roman" w:cs="Times New Roman"/>
      <w:szCs w:val="20"/>
    </w:rPr>
  </w:style>
  <w:style w:type="paragraph" w:styleId="14">
    <w:name w:val="Normal Indent"/>
    <w:basedOn w:val="1"/>
    <w:next w:val="1"/>
    <w:link w:val="164"/>
    <w:autoRedefine/>
    <w:qFormat/>
    <w:uiPriority w:val="99"/>
    <w:pPr>
      <w:ind w:firstLine="420"/>
    </w:pPr>
  </w:style>
  <w:style w:type="paragraph" w:styleId="15">
    <w:name w:val="caption"/>
    <w:basedOn w:val="1"/>
    <w:next w:val="1"/>
    <w:qFormat/>
    <w:uiPriority w:val="35"/>
    <w:pPr>
      <w:widowControl/>
      <w:spacing w:beforeLines="50" w:after="120"/>
      <w:ind w:firstLine="200" w:firstLineChars="200"/>
    </w:pPr>
    <w:rPr>
      <w:rFonts w:ascii="Cambria" w:hAnsi="Cambria" w:cs="Times New Roman"/>
      <w:b/>
      <w:bCs/>
      <w:caps/>
      <w:kern w:val="0"/>
      <w:sz w:val="16"/>
      <w:szCs w:val="18"/>
      <w:lang w:eastAsia="en-US" w:bidi="en-US"/>
    </w:rPr>
  </w:style>
  <w:style w:type="paragraph" w:styleId="16">
    <w:name w:val="Document Map"/>
    <w:basedOn w:val="1"/>
    <w:link w:val="169"/>
    <w:qFormat/>
    <w:uiPriority w:val="0"/>
    <w:pPr>
      <w:adjustRightInd w:val="0"/>
      <w:spacing w:line="312" w:lineRule="atLeast"/>
      <w:jc w:val="both"/>
      <w:textAlignment w:val="baseline"/>
    </w:pPr>
    <w:rPr>
      <w:rFonts w:ascii="宋体" w:hAnsi="Times New Roman" w:cs="Times New Roman"/>
      <w:kern w:val="0"/>
      <w:sz w:val="18"/>
      <w:szCs w:val="18"/>
    </w:rPr>
  </w:style>
  <w:style w:type="paragraph" w:styleId="17">
    <w:name w:val="toa heading"/>
    <w:basedOn w:val="1"/>
    <w:next w:val="1"/>
    <w:semiHidden/>
    <w:qFormat/>
    <w:uiPriority w:val="0"/>
    <w:pPr>
      <w:jc w:val="center"/>
    </w:pPr>
    <w:rPr>
      <w:rFonts w:ascii="Arial" w:hAnsi="Arial" w:eastAsia="黑体"/>
      <w:sz w:val="36"/>
    </w:rPr>
  </w:style>
  <w:style w:type="paragraph" w:styleId="18">
    <w:name w:val="annotation text"/>
    <w:basedOn w:val="1"/>
    <w:link w:val="67"/>
    <w:autoRedefine/>
    <w:qFormat/>
    <w:uiPriority w:val="0"/>
  </w:style>
  <w:style w:type="paragraph" w:styleId="19">
    <w:name w:val="Body Text 3"/>
    <w:basedOn w:val="1"/>
    <w:qFormat/>
    <w:uiPriority w:val="0"/>
    <w:pPr>
      <w:spacing w:line="460" w:lineRule="exact"/>
    </w:pPr>
    <w:rPr>
      <w:rFonts w:ascii="黑体" w:hAnsi="Times New Roman" w:eastAsia="黑体" w:cs="Times New Roman"/>
      <w:sz w:val="24"/>
      <w:szCs w:val="24"/>
    </w:rPr>
  </w:style>
  <w:style w:type="paragraph" w:styleId="20">
    <w:name w:val="Body Text Indent"/>
    <w:basedOn w:val="1"/>
    <w:link w:val="302"/>
    <w:qFormat/>
    <w:uiPriority w:val="0"/>
    <w:pPr>
      <w:spacing w:after="120"/>
      <w:ind w:left="420"/>
    </w:pPr>
    <w:rPr>
      <w:rFonts w:ascii="Times New Roman" w:hAnsi="Times New Roman" w:cs="Times New Roman"/>
      <w:szCs w:val="20"/>
    </w:rPr>
  </w:style>
  <w:style w:type="paragraph" w:styleId="21">
    <w:name w:val="List Bullet 2"/>
    <w:basedOn w:val="1"/>
    <w:link w:val="200"/>
    <w:qFormat/>
    <w:uiPriority w:val="0"/>
    <w:pPr>
      <w:widowControl/>
      <w:numPr>
        <w:ilvl w:val="0"/>
        <w:numId w:val="1"/>
      </w:numPr>
      <w:tabs>
        <w:tab w:val="left" w:pos="780"/>
      </w:tabs>
      <w:ind w:firstLine="200" w:firstLineChars="200"/>
      <w:jc w:val="both"/>
    </w:pPr>
    <w:rPr>
      <w:rFonts w:ascii="Times New Roman" w:hAnsi="Times New Roman" w:cs="Times New Roman"/>
      <w:kern w:val="0"/>
      <w:sz w:val="24"/>
      <w:szCs w:val="24"/>
    </w:rPr>
  </w:style>
  <w:style w:type="paragraph" w:styleId="22">
    <w:name w:val="toc 5"/>
    <w:basedOn w:val="1"/>
    <w:next w:val="1"/>
    <w:autoRedefine/>
    <w:qFormat/>
    <w:uiPriority w:val="39"/>
    <w:pPr>
      <w:ind w:left="960" w:firstLine="200" w:firstLineChars="200"/>
    </w:pPr>
    <w:rPr>
      <w:rFonts w:ascii="Calibri" w:hAnsi="Calibri" w:cs="Times New Roman"/>
      <w:sz w:val="18"/>
      <w:szCs w:val="18"/>
    </w:rPr>
  </w:style>
  <w:style w:type="paragraph" w:styleId="23">
    <w:name w:val="toc 3"/>
    <w:basedOn w:val="1"/>
    <w:next w:val="1"/>
    <w:qFormat/>
    <w:uiPriority w:val="39"/>
    <w:pPr>
      <w:ind w:left="840" w:leftChars="400"/>
    </w:pPr>
  </w:style>
  <w:style w:type="paragraph" w:styleId="24">
    <w:name w:val="Plain Text"/>
    <w:basedOn w:val="1"/>
    <w:link w:val="106"/>
    <w:autoRedefine/>
    <w:qFormat/>
    <w:uiPriority w:val="99"/>
    <w:rPr>
      <w:rFonts w:ascii="宋体" w:hAnsi="Courier New" w:cs="Courier New"/>
    </w:rPr>
  </w:style>
  <w:style w:type="paragraph" w:styleId="25">
    <w:name w:val="toc 8"/>
    <w:basedOn w:val="1"/>
    <w:next w:val="1"/>
    <w:qFormat/>
    <w:uiPriority w:val="39"/>
    <w:pPr>
      <w:ind w:left="1680" w:firstLine="200" w:firstLineChars="200"/>
    </w:pPr>
    <w:rPr>
      <w:rFonts w:ascii="Calibri" w:hAnsi="Calibri" w:cs="Times New Roman"/>
      <w:sz w:val="18"/>
      <w:szCs w:val="18"/>
    </w:rPr>
  </w:style>
  <w:style w:type="paragraph" w:styleId="26">
    <w:name w:val="index 3"/>
    <w:basedOn w:val="1"/>
    <w:next w:val="1"/>
    <w:autoRedefine/>
    <w:qFormat/>
    <w:uiPriority w:val="0"/>
    <w:pPr>
      <w:spacing w:line="240" w:lineRule="auto"/>
      <w:ind w:left="400" w:leftChars="400" w:firstLine="200" w:firstLineChars="200"/>
      <w:jc w:val="both"/>
    </w:pPr>
    <w:rPr>
      <w:rFonts w:ascii="Times New Roman" w:hAnsi="Times New Roman" w:cs="Times New Roman"/>
      <w:sz w:val="24"/>
      <w:szCs w:val="24"/>
    </w:rPr>
  </w:style>
  <w:style w:type="paragraph" w:styleId="27">
    <w:name w:val="Date"/>
    <w:basedOn w:val="1"/>
    <w:next w:val="1"/>
    <w:link w:val="188"/>
    <w:autoRedefine/>
    <w:qFormat/>
    <w:uiPriority w:val="99"/>
    <w:pPr>
      <w:widowControl/>
      <w:spacing w:beforeLines="50" w:after="120"/>
      <w:ind w:left="100" w:leftChars="2500" w:firstLine="200" w:firstLineChars="200"/>
    </w:pPr>
    <w:rPr>
      <w:rFonts w:ascii="宋体" w:hAnsi="Courier New" w:cs="Courier New"/>
      <w:b/>
      <w:bCs/>
      <w:kern w:val="0"/>
      <w:sz w:val="28"/>
      <w:lang w:eastAsia="en-US" w:bidi="en-US"/>
    </w:rPr>
  </w:style>
  <w:style w:type="paragraph" w:styleId="28">
    <w:name w:val="Body Text Indent 2"/>
    <w:basedOn w:val="1"/>
    <w:link w:val="182"/>
    <w:autoRedefine/>
    <w:qFormat/>
    <w:uiPriority w:val="0"/>
    <w:pPr>
      <w:tabs>
        <w:tab w:val="left" w:pos="480"/>
      </w:tabs>
      <w:spacing w:after="120" w:line="480" w:lineRule="auto"/>
      <w:ind w:left="420" w:leftChars="200" w:firstLine="200" w:firstLineChars="200"/>
      <w:jc w:val="both"/>
    </w:pPr>
    <w:rPr>
      <w:rFonts w:ascii="Times New Roman" w:hAnsi="Times New Roman" w:cs="Times New Roman"/>
      <w:sz w:val="24"/>
      <w:szCs w:val="24"/>
    </w:rPr>
  </w:style>
  <w:style w:type="paragraph" w:styleId="29">
    <w:name w:val="Balloon Text"/>
    <w:basedOn w:val="1"/>
    <w:link w:val="69"/>
    <w:qFormat/>
    <w:uiPriority w:val="0"/>
    <w:pPr>
      <w:spacing w:line="240" w:lineRule="auto"/>
    </w:pPr>
    <w:rPr>
      <w:sz w:val="18"/>
      <w:szCs w:val="18"/>
    </w:rPr>
  </w:style>
  <w:style w:type="paragraph" w:styleId="30">
    <w:name w:val="footer"/>
    <w:basedOn w:val="1"/>
    <w:link w:val="145"/>
    <w:qFormat/>
    <w:uiPriority w:val="99"/>
    <w:pPr>
      <w:tabs>
        <w:tab w:val="center" w:pos="4153"/>
        <w:tab w:val="right" w:pos="8306"/>
      </w:tabs>
      <w:snapToGrid w:val="0"/>
    </w:pPr>
    <w:rPr>
      <w:sz w:val="18"/>
      <w:szCs w:val="18"/>
    </w:rPr>
  </w:style>
  <w:style w:type="paragraph" w:styleId="31">
    <w:name w:val="envelope return"/>
    <w:basedOn w:val="1"/>
    <w:unhideWhenUsed/>
    <w:qFormat/>
    <w:uiPriority w:val="0"/>
    <w:pPr>
      <w:snapToGrid w:val="0"/>
    </w:pPr>
    <w:rPr>
      <w:rFonts w:ascii="Arial" w:hAnsi="Arial" w:cs="Arial"/>
    </w:rPr>
  </w:style>
  <w:style w:type="paragraph" w:styleId="32">
    <w:name w:val="header"/>
    <w:basedOn w:val="1"/>
    <w:link w:val="11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33">
    <w:name w:val="toc 1"/>
    <w:basedOn w:val="1"/>
    <w:next w:val="1"/>
    <w:autoRedefine/>
    <w:qFormat/>
    <w:uiPriority w:val="39"/>
    <w:pPr>
      <w:tabs>
        <w:tab w:val="right" w:leader="dot" w:pos="8296"/>
      </w:tabs>
      <w:jc w:val="center"/>
    </w:pPr>
    <w:rPr>
      <w:rFonts w:ascii="黑体" w:hAnsi="黑体" w:eastAsia="黑体"/>
      <w:sz w:val="28"/>
      <w:szCs w:val="28"/>
    </w:rPr>
  </w:style>
  <w:style w:type="paragraph" w:styleId="34">
    <w:name w:val="toc 4"/>
    <w:basedOn w:val="1"/>
    <w:next w:val="1"/>
    <w:qFormat/>
    <w:uiPriority w:val="39"/>
    <w:pPr>
      <w:ind w:left="720" w:firstLine="200" w:firstLineChars="200"/>
    </w:pPr>
    <w:rPr>
      <w:rFonts w:ascii="Calibri" w:hAnsi="Calibri" w:cs="Times New Roman"/>
      <w:sz w:val="18"/>
      <w:szCs w:val="18"/>
    </w:rPr>
  </w:style>
  <w:style w:type="paragraph" w:styleId="35">
    <w:name w:val="Subtitle"/>
    <w:basedOn w:val="1"/>
    <w:next w:val="1"/>
    <w:link w:val="110"/>
    <w:autoRedefine/>
    <w:qFormat/>
    <w:uiPriority w:val="0"/>
    <w:pPr>
      <w:widowControl/>
      <w:spacing w:beforeLines="50" w:after="120"/>
      <w:ind w:firstLine="200" w:firstLineChars="200"/>
    </w:pPr>
    <w:rPr>
      <w:rFonts w:ascii="Cambria" w:hAnsi="Cambria" w:cs="Times New Roman"/>
      <w:i/>
      <w:iCs/>
      <w:smallCaps/>
      <w:spacing w:val="10"/>
      <w:kern w:val="0"/>
      <w:sz w:val="28"/>
      <w:szCs w:val="28"/>
      <w:lang w:eastAsia="en-US" w:bidi="en-US"/>
    </w:rPr>
  </w:style>
  <w:style w:type="paragraph" w:styleId="36">
    <w:name w:val="List Number 5"/>
    <w:basedOn w:val="1"/>
    <w:link w:val="139"/>
    <w:autoRedefine/>
    <w:qFormat/>
    <w:uiPriority w:val="0"/>
    <w:pPr>
      <w:widowControl/>
      <w:autoSpaceDE w:val="0"/>
      <w:autoSpaceDN w:val="0"/>
      <w:adjustRightInd w:val="0"/>
      <w:ind w:firstLine="200" w:firstLineChars="200"/>
      <w:jc w:val="both"/>
    </w:pPr>
    <w:rPr>
      <w:rFonts w:ascii="Times New Roman" w:hAnsi="Times New Roman" w:cs="Times New Roman"/>
      <w:kern w:val="0"/>
      <w:sz w:val="24"/>
      <w:szCs w:val="24"/>
    </w:rPr>
  </w:style>
  <w:style w:type="paragraph" w:styleId="37">
    <w:name w:val="List"/>
    <w:basedOn w:val="1"/>
    <w:autoRedefine/>
    <w:qFormat/>
    <w:uiPriority w:val="0"/>
    <w:pPr>
      <w:ind w:left="420" w:hanging="420" w:firstLineChars="200"/>
      <w:jc w:val="both"/>
    </w:pPr>
    <w:rPr>
      <w:rFonts w:ascii="Times New Roman" w:hAnsi="Times New Roman" w:eastAsia="仿宋_GB2312" w:cs="Times New Roman"/>
      <w:sz w:val="24"/>
      <w:szCs w:val="20"/>
    </w:rPr>
  </w:style>
  <w:style w:type="paragraph" w:styleId="38">
    <w:name w:val="footnote text"/>
    <w:basedOn w:val="1"/>
    <w:link w:val="138"/>
    <w:autoRedefine/>
    <w:qFormat/>
    <w:uiPriority w:val="0"/>
    <w:pPr>
      <w:snapToGrid w:val="0"/>
      <w:spacing w:line="240" w:lineRule="auto"/>
      <w:ind w:firstLine="200" w:firstLineChars="200"/>
    </w:pPr>
    <w:rPr>
      <w:rFonts w:ascii="Times New Roman" w:hAnsi="Times New Roman" w:eastAsia="DFKai-SB" w:cs="Times New Roman"/>
      <w:sz w:val="20"/>
      <w:szCs w:val="20"/>
      <w:lang w:eastAsia="zh-TW"/>
    </w:rPr>
  </w:style>
  <w:style w:type="paragraph" w:styleId="39">
    <w:name w:val="toc 6"/>
    <w:basedOn w:val="1"/>
    <w:next w:val="1"/>
    <w:autoRedefine/>
    <w:qFormat/>
    <w:uiPriority w:val="39"/>
    <w:pPr>
      <w:ind w:left="1200" w:firstLine="200" w:firstLineChars="200"/>
    </w:pPr>
    <w:rPr>
      <w:rFonts w:ascii="Calibri" w:hAnsi="Calibri" w:cs="Times New Roman"/>
      <w:sz w:val="18"/>
      <w:szCs w:val="18"/>
    </w:rPr>
  </w:style>
  <w:style w:type="paragraph" w:styleId="40">
    <w:name w:val="Body Text Indent 3"/>
    <w:basedOn w:val="1"/>
    <w:link w:val="152"/>
    <w:autoRedefine/>
    <w:qFormat/>
    <w:uiPriority w:val="0"/>
    <w:pPr>
      <w:widowControl/>
      <w:spacing w:beforeLines="50" w:after="120"/>
      <w:ind w:left="420" w:leftChars="200" w:firstLine="200" w:firstLineChars="200"/>
    </w:pPr>
    <w:rPr>
      <w:rFonts w:ascii="Cambria" w:hAnsi="Cambria" w:cs="Times New Roman"/>
      <w:kern w:val="0"/>
      <w:sz w:val="16"/>
      <w:szCs w:val="16"/>
      <w:lang w:eastAsia="en-US" w:bidi="en-US"/>
    </w:rPr>
  </w:style>
  <w:style w:type="paragraph" w:styleId="41">
    <w:name w:val="table of figures"/>
    <w:basedOn w:val="3"/>
    <w:next w:val="1"/>
    <w:autoRedefine/>
    <w:qFormat/>
    <w:uiPriority w:val="0"/>
    <w:pPr>
      <w:keepLines w:val="0"/>
      <w:widowControl/>
      <w:tabs>
        <w:tab w:val="left" w:pos="1008"/>
      </w:tabs>
      <w:spacing w:before="60" w:after="60" w:line="360" w:lineRule="auto"/>
      <w:ind w:left="600" w:leftChars="400" w:hanging="200" w:hangingChars="200"/>
      <w:jc w:val="left"/>
    </w:pPr>
    <w:rPr>
      <w:rFonts w:ascii="黑体" w:hAnsi="黑体" w:cs="Times New Roman"/>
      <w:bCs w:val="0"/>
      <w:kern w:val="28"/>
      <w:sz w:val="24"/>
      <w:szCs w:val="28"/>
      <w:lang w:eastAsia="zh-TW"/>
    </w:rPr>
  </w:style>
  <w:style w:type="paragraph" w:styleId="42">
    <w:name w:val="toc 2"/>
    <w:basedOn w:val="1"/>
    <w:next w:val="1"/>
    <w:qFormat/>
    <w:uiPriority w:val="39"/>
    <w:pPr>
      <w:ind w:left="420" w:leftChars="200"/>
    </w:pPr>
  </w:style>
  <w:style w:type="paragraph" w:styleId="43">
    <w:name w:val="toc 9"/>
    <w:basedOn w:val="1"/>
    <w:next w:val="1"/>
    <w:qFormat/>
    <w:uiPriority w:val="39"/>
    <w:pPr>
      <w:ind w:left="1920" w:firstLine="200" w:firstLineChars="200"/>
    </w:pPr>
    <w:rPr>
      <w:rFonts w:ascii="Calibri" w:hAnsi="Calibri" w:cs="Times New Roman"/>
      <w:sz w:val="18"/>
      <w:szCs w:val="18"/>
    </w:rPr>
  </w:style>
  <w:style w:type="paragraph" w:styleId="44">
    <w:name w:val="Body Text 2"/>
    <w:basedOn w:val="1"/>
    <w:link w:val="183"/>
    <w:autoRedefine/>
    <w:qFormat/>
    <w:uiPriority w:val="0"/>
    <w:rPr>
      <w:rFonts w:ascii="仿宋_GB2312" w:hAnsi="宋体" w:eastAsia="仿宋_GB2312" w:cs="宋体-18030"/>
      <w:color w:val="000000"/>
      <w:sz w:val="24"/>
      <w:szCs w:val="20"/>
    </w:rPr>
  </w:style>
  <w:style w:type="paragraph" w:styleId="45">
    <w:name w:val="Normal (Web)"/>
    <w:basedOn w:val="1"/>
    <w:qFormat/>
    <w:uiPriority w:val="0"/>
    <w:pPr>
      <w:spacing w:beforeAutospacing="1" w:afterAutospacing="1"/>
    </w:pPr>
    <w:rPr>
      <w:rFonts w:cs="Times New Roman"/>
      <w:kern w:val="0"/>
      <w:sz w:val="24"/>
    </w:rPr>
  </w:style>
  <w:style w:type="paragraph" w:styleId="46">
    <w:name w:val="index 1"/>
    <w:basedOn w:val="1"/>
    <w:next w:val="1"/>
    <w:autoRedefine/>
    <w:qFormat/>
    <w:uiPriority w:val="0"/>
    <w:pPr>
      <w:spacing w:line="240" w:lineRule="auto"/>
      <w:ind w:left="113" w:right="113" w:firstLine="200" w:firstLineChars="200"/>
      <w:jc w:val="center"/>
    </w:pPr>
    <w:rPr>
      <w:rFonts w:ascii="Times New Roman" w:hAnsi="Times New Roman" w:cs="Times New Roman"/>
      <w:color w:val="000000"/>
      <w:sz w:val="24"/>
      <w:szCs w:val="24"/>
    </w:rPr>
  </w:style>
  <w:style w:type="paragraph" w:styleId="47">
    <w:name w:val="Title"/>
    <w:basedOn w:val="1"/>
    <w:link w:val="173"/>
    <w:qFormat/>
    <w:uiPriority w:val="0"/>
    <w:pPr>
      <w:widowControl/>
      <w:autoSpaceDE w:val="0"/>
      <w:autoSpaceDN w:val="0"/>
      <w:adjustRightInd w:val="0"/>
      <w:ind w:firstLine="200" w:firstLineChars="200"/>
      <w:jc w:val="center"/>
      <w:outlineLvl w:val="0"/>
    </w:pPr>
    <w:rPr>
      <w:rFonts w:ascii="Arial" w:hAnsi="Arial" w:cs="Times New Roman"/>
      <w:b/>
      <w:bCs/>
      <w:kern w:val="0"/>
      <w:sz w:val="36"/>
      <w:szCs w:val="32"/>
    </w:rPr>
  </w:style>
  <w:style w:type="paragraph" w:styleId="48">
    <w:name w:val="annotation subject"/>
    <w:basedOn w:val="18"/>
    <w:next w:val="18"/>
    <w:link w:val="68"/>
    <w:autoRedefine/>
    <w:qFormat/>
    <w:uiPriority w:val="0"/>
    <w:rPr>
      <w:b/>
      <w:bCs/>
    </w:rPr>
  </w:style>
  <w:style w:type="paragraph" w:styleId="49">
    <w:name w:val="Body Text First Indent"/>
    <w:basedOn w:val="5"/>
    <w:link w:val="92"/>
    <w:autoRedefine/>
    <w:qFormat/>
    <w:uiPriority w:val="0"/>
    <w:pPr>
      <w:widowControl w:val="0"/>
      <w:spacing w:line="240" w:lineRule="auto"/>
      <w:ind w:firstLine="420" w:firstLineChars="100"/>
      <w:jc w:val="both"/>
    </w:pPr>
    <w:rPr>
      <w:rFonts w:cs="Times New Roman"/>
      <w:sz w:val="24"/>
      <w:szCs w:val="24"/>
    </w:rPr>
  </w:style>
  <w:style w:type="paragraph" w:styleId="50">
    <w:name w:val="Body Text First Indent 2"/>
    <w:basedOn w:val="20"/>
    <w:link w:val="121"/>
    <w:qFormat/>
    <w:uiPriority w:val="0"/>
    <w:pPr>
      <w:ind w:left="200" w:leftChars="200" w:firstLine="420" w:firstLineChars="200"/>
      <w:jc w:val="both"/>
    </w:pPr>
    <w:rPr>
      <w:szCs w:val="24"/>
    </w:rPr>
  </w:style>
  <w:style w:type="table" w:styleId="52">
    <w:name w:val="Table Grid"/>
    <w:basedOn w:val="5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53">
    <w:name w:val="Table Theme"/>
    <w:basedOn w:val="51"/>
    <w:qFormat/>
    <w:uiPriority w:val="0"/>
    <w:pPr>
      <w:widowControl w:val="0"/>
      <w:spacing w:line="360" w:lineRule="auto"/>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54">
    <w:name w:val="Table Elegant"/>
    <w:basedOn w:val="51"/>
    <w:autoRedefine/>
    <w:qFormat/>
    <w:uiPriority w:val="0"/>
    <w:pPr>
      <w:widowControl w:val="0"/>
      <w:spacing w:line="360" w:lineRule="auto"/>
      <w:ind w:firstLine="20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56">
    <w:name w:val="Strong"/>
    <w:autoRedefine/>
    <w:qFormat/>
    <w:uiPriority w:val="0"/>
    <w:rPr>
      <w:b/>
      <w:bCs/>
    </w:rPr>
  </w:style>
  <w:style w:type="character" w:styleId="57">
    <w:name w:val="page number"/>
    <w:basedOn w:val="55"/>
    <w:autoRedefine/>
    <w:qFormat/>
    <w:uiPriority w:val="0"/>
  </w:style>
  <w:style w:type="character" w:styleId="58">
    <w:name w:val="FollowedHyperlink"/>
    <w:qFormat/>
    <w:uiPriority w:val="0"/>
    <w:rPr>
      <w:rFonts w:ascii="宋体" w:hAnsi="宋体" w:eastAsia="宋体"/>
      <w:b/>
      <w:bCs/>
      <w:caps/>
      <w:smallCaps/>
      <w:color w:val="800080"/>
      <w:sz w:val="21"/>
      <w:szCs w:val="21"/>
      <w:u w:val="single"/>
      <w:lang w:val="en-US" w:eastAsia="zh-CN" w:bidi="en-US"/>
    </w:rPr>
  </w:style>
  <w:style w:type="character" w:styleId="59">
    <w:name w:val="Emphasis"/>
    <w:autoRedefine/>
    <w:qFormat/>
    <w:uiPriority w:val="20"/>
    <w:rPr>
      <w:b/>
      <w:bCs/>
      <w:i/>
      <w:iCs/>
      <w:spacing w:val="10"/>
    </w:rPr>
  </w:style>
  <w:style w:type="character" w:styleId="60">
    <w:name w:val="Hyperlink"/>
    <w:unhideWhenUsed/>
    <w:qFormat/>
    <w:uiPriority w:val="99"/>
    <w:rPr>
      <w:color w:val="0563C1"/>
      <w:u w:val="single"/>
    </w:rPr>
  </w:style>
  <w:style w:type="character" w:styleId="61">
    <w:name w:val="annotation reference"/>
    <w:basedOn w:val="55"/>
    <w:autoRedefine/>
    <w:qFormat/>
    <w:uiPriority w:val="0"/>
    <w:rPr>
      <w:sz w:val="21"/>
      <w:szCs w:val="21"/>
    </w:rPr>
  </w:style>
  <w:style w:type="character" w:styleId="62">
    <w:name w:val="footnote reference"/>
    <w:qFormat/>
    <w:uiPriority w:val="0"/>
    <w:rPr>
      <w:rFonts w:ascii="宋体" w:hAnsi="宋体" w:eastAsia="宋体"/>
      <w:b/>
      <w:bCs/>
      <w:caps/>
      <w:smallCaps/>
      <w:sz w:val="21"/>
      <w:szCs w:val="21"/>
      <w:vertAlign w:val="superscript"/>
      <w:lang w:val="en-US" w:eastAsia="zh-CN" w:bidi="en-US"/>
    </w:rPr>
  </w:style>
  <w:style w:type="paragraph" w:customStyle="1" w:styleId="63">
    <w:name w:val="Default"/>
    <w:autoRedefine/>
    <w:qFormat/>
    <w:uiPriority w:val="0"/>
    <w:pPr>
      <w:widowControl w:val="0"/>
      <w:autoSpaceDE w:val="0"/>
      <w:autoSpaceDN w:val="0"/>
      <w:adjustRightInd w:val="0"/>
    </w:pPr>
    <w:rPr>
      <w:rFonts w:ascii="宋体" w:hAnsi="宋体" w:eastAsia="讣篮 绊雕" w:cs="宋体"/>
      <w:color w:val="000000"/>
      <w:sz w:val="24"/>
      <w:szCs w:val="24"/>
      <w:lang w:val="en-US" w:eastAsia="zh-CN" w:bidi="ar-SA"/>
    </w:rPr>
  </w:style>
  <w:style w:type="paragraph" w:customStyle="1" w:styleId="64">
    <w:name w:val="Section #"/>
    <w:next w:val="1"/>
    <w:autoRedefine/>
    <w:qFormat/>
    <w:uiPriority w:val="0"/>
    <w:pPr>
      <w:tabs>
        <w:tab w:val="left" w:pos="2636"/>
        <w:tab w:val="left" w:pos="3090"/>
      </w:tabs>
      <w:overflowPunct w:val="0"/>
      <w:autoSpaceDE w:val="0"/>
      <w:autoSpaceDN w:val="0"/>
      <w:adjustRightInd w:val="0"/>
      <w:spacing w:after="113" w:line="340" w:lineRule="atLeast"/>
      <w:jc w:val="center"/>
      <w:textAlignment w:val="baseline"/>
    </w:pPr>
    <w:rPr>
      <w:rFonts w:ascii="Optima" w:hAnsi="Optima" w:eastAsia="宋体" w:cs="Times New Roman"/>
      <w:b/>
      <w:sz w:val="30"/>
      <w:szCs w:val="22"/>
      <w:lang w:val="en-US" w:eastAsia="zh-CN" w:bidi="ar-SA"/>
    </w:rPr>
  </w:style>
  <w:style w:type="character" w:customStyle="1" w:styleId="65">
    <w:name w:val="样式 仿宋"/>
    <w:basedOn w:val="55"/>
    <w:qFormat/>
    <w:uiPriority w:val="0"/>
    <w:rPr>
      <w:rFonts w:ascii="仿宋" w:hAnsi="仿宋" w:eastAsia="仿宋"/>
      <w:kern w:val="1"/>
    </w:rPr>
  </w:style>
  <w:style w:type="paragraph" w:customStyle="1" w:styleId="66">
    <w:name w:val="样式 标题 3 + (中文) 黑体 小四 非加粗 段前: 7.8 磅 段后: 0 磅 行距: 固定值 20 磅"/>
    <w:basedOn w:val="4"/>
    <w:qFormat/>
    <w:uiPriority w:val="0"/>
    <w:pPr>
      <w:spacing w:line="400" w:lineRule="exact"/>
    </w:pPr>
    <w:rPr>
      <w:rFonts w:eastAsia="黑体" w:cs="宋体"/>
      <w:b w:val="0"/>
      <w:bCs w:val="0"/>
      <w:szCs w:val="20"/>
    </w:rPr>
  </w:style>
  <w:style w:type="character" w:customStyle="1" w:styleId="67">
    <w:name w:val="批注文字 Char"/>
    <w:basedOn w:val="55"/>
    <w:link w:val="18"/>
    <w:qFormat/>
    <w:uiPriority w:val="0"/>
    <w:rPr>
      <w:rFonts w:asciiTheme="minorHAnsi" w:hAnsiTheme="minorHAnsi" w:cstheme="minorBidi"/>
      <w:kern w:val="2"/>
      <w:sz w:val="21"/>
      <w:szCs w:val="21"/>
    </w:rPr>
  </w:style>
  <w:style w:type="character" w:customStyle="1" w:styleId="68">
    <w:name w:val="批注主题 Char"/>
    <w:basedOn w:val="67"/>
    <w:link w:val="48"/>
    <w:qFormat/>
    <w:uiPriority w:val="0"/>
    <w:rPr>
      <w:rFonts w:asciiTheme="minorHAnsi" w:hAnsiTheme="minorHAnsi" w:cstheme="minorBidi"/>
      <w:b/>
      <w:bCs/>
      <w:kern w:val="2"/>
      <w:sz w:val="21"/>
      <w:szCs w:val="21"/>
    </w:rPr>
  </w:style>
  <w:style w:type="character" w:customStyle="1" w:styleId="69">
    <w:name w:val="批注框文本 Char"/>
    <w:basedOn w:val="55"/>
    <w:link w:val="29"/>
    <w:qFormat/>
    <w:uiPriority w:val="0"/>
    <w:rPr>
      <w:rFonts w:asciiTheme="minorHAnsi" w:hAnsiTheme="minorHAnsi" w:cstheme="minorBidi"/>
      <w:kern w:val="2"/>
      <w:sz w:val="18"/>
      <w:szCs w:val="18"/>
    </w:rPr>
  </w:style>
  <w:style w:type="paragraph" w:customStyle="1" w:styleId="70">
    <w:name w:val="表格文字"/>
    <w:autoRedefine/>
    <w:qFormat/>
    <w:uiPriority w:val="0"/>
    <w:pPr>
      <w:adjustRightInd w:val="0"/>
      <w:snapToGrid w:val="0"/>
      <w:spacing w:line="400" w:lineRule="exact"/>
    </w:pPr>
    <w:rPr>
      <w:rFonts w:ascii="宋体" w:hAnsi="宋体" w:eastAsia="宋体" w:cs="宋体"/>
      <w:kern w:val="2"/>
      <w:sz w:val="21"/>
      <w:szCs w:val="21"/>
      <w:lang w:val="en-US" w:eastAsia="zh-CN" w:bidi="ar-SA"/>
    </w:rPr>
  </w:style>
  <w:style w:type="character" w:customStyle="1" w:styleId="71">
    <w:name w:val="标题 2 字符"/>
    <w:autoRedefine/>
    <w:qFormat/>
    <w:uiPriority w:val="0"/>
    <w:rPr>
      <w:rFonts w:eastAsia="宋体" w:asciiTheme="majorHAnsi" w:hAnsiTheme="majorHAnsi" w:cstheme="majorBidi"/>
      <w:b/>
      <w:bCs/>
      <w:sz w:val="28"/>
      <w:szCs w:val="32"/>
    </w:rPr>
  </w:style>
  <w:style w:type="paragraph" w:customStyle="1" w:styleId="72">
    <w:name w:val="List Paragraph"/>
    <w:basedOn w:val="1"/>
    <w:link w:val="391"/>
    <w:qFormat/>
    <w:uiPriority w:val="0"/>
    <w:pPr>
      <w:ind w:left="240" w:firstLine="420"/>
    </w:pPr>
  </w:style>
  <w:style w:type="paragraph" w:customStyle="1" w:styleId="73">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4">
    <w:name w:val="Hyperlink.0"/>
    <w:basedOn w:val="75"/>
    <w:autoRedefine/>
    <w:qFormat/>
    <w:uiPriority w:val="0"/>
    <w:rPr>
      <w:rFonts w:ascii="仿宋" w:hAnsi="仿宋" w:eastAsia="仿宋" w:cs="仿宋"/>
      <w:sz w:val="32"/>
      <w:szCs w:val="32"/>
      <w:lang w:val="zh-TW" w:eastAsia="zh-TW"/>
    </w:rPr>
  </w:style>
  <w:style w:type="character" w:customStyle="1" w:styleId="75">
    <w:name w:val="无"/>
    <w:qFormat/>
    <w:uiPriority w:val="0"/>
  </w:style>
  <w:style w:type="paragraph" w:customStyle="1" w:styleId="76">
    <w:name w:val="_Style 2"/>
    <w:basedOn w:val="1"/>
    <w:qFormat/>
    <w:uiPriority w:val="0"/>
    <w:pPr>
      <w:ind w:firstLine="420" w:firstLineChars="200"/>
    </w:pPr>
    <w:rPr>
      <w:rFonts w:ascii="Calibri" w:hAnsi="Calibri" w:cs="Times New Roman"/>
    </w:rPr>
  </w:style>
  <w:style w:type="table" w:customStyle="1" w:styleId="77">
    <w:name w:val="TableGrid"/>
    <w:qFormat/>
    <w:uiPriority w:val="0"/>
    <w:tblPr>
      <w:tblCellMar>
        <w:top w:w="0" w:type="dxa"/>
        <w:left w:w="0" w:type="dxa"/>
        <w:bottom w:w="0" w:type="dxa"/>
        <w:right w:w="0" w:type="dxa"/>
      </w:tblCellMar>
    </w:tblPr>
  </w:style>
  <w:style w:type="table" w:customStyle="1" w:styleId="78">
    <w:name w:val="无格式表格 21"/>
    <w:basedOn w:val="51"/>
    <w:autoRedefine/>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79">
    <w:name w:val="TOC 标题2"/>
    <w:basedOn w:val="3"/>
    <w:next w:val="1"/>
    <w:unhideWhenUsed/>
    <w:qFormat/>
    <w:uiPriority w:val="39"/>
    <w:pPr>
      <w:widowControl/>
      <w:spacing w:before="480" w:line="276" w:lineRule="auto"/>
      <w:outlineLvl w:val="9"/>
    </w:pPr>
    <w:rPr>
      <w:rFonts w:ascii="Cambria" w:hAnsi="Cambria"/>
      <w:color w:val="365F91"/>
      <w:kern w:val="0"/>
      <w:sz w:val="28"/>
      <w:szCs w:val="28"/>
    </w:rPr>
  </w:style>
  <w:style w:type="paragraph" w:customStyle="1" w:styleId="80">
    <w:name w:val="Blockquote"/>
    <w:basedOn w:val="1"/>
    <w:autoRedefine/>
    <w:qFormat/>
    <w:uiPriority w:val="0"/>
    <w:pPr>
      <w:autoSpaceDE w:val="0"/>
      <w:autoSpaceDN w:val="0"/>
      <w:spacing w:before="100" w:after="100"/>
      <w:ind w:left="360" w:right="360"/>
    </w:pPr>
    <w:rPr>
      <w:kern w:val="0"/>
      <w:sz w:val="24"/>
    </w:rPr>
  </w:style>
  <w:style w:type="paragraph" w:customStyle="1" w:styleId="81">
    <w:name w:val="Table Paragraph"/>
    <w:basedOn w:val="1"/>
    <w:qFormat/>
    <w:uiPriority w:val="1"/>
    <w:pPr>
      <w:autoSpaceDE w:val="0"/>
      <w:autoSpaceDN w:val="0"/>
      <w:spacing w:line="240" w:lineRule="auto"/>
    </w:pPr>
    <w:rPr>
      <w:rFonts w:ascii="宋体" w:hAnsi="宋体" w:cs="宋体"/>
      <w:sz w:val="22"/>
      <w:lang w:val="zh-CN" w:bidi="zh-CN"/>
    </w:rPr>
  </w:style>
  <w:style w:type="character" w:customStyle="1" w:styleId="82">
    <w:name w:val="标题 6 Char"/>
    <w:basedOn w:val="55"/>
    <w:link w:val="8"/>
    <w:autoRedefine/>
    <w:qFormat/>
    <w:uiPriority w:val="0"/>
    <w:rPr>
      <w:rFonts w:ascii="Calibri Light" w:hAnsi="Calibri Light"/>
      <w:b/>
      <w:bCs/>
      <w:sz w:val="24"/>
      <w:szCs w:val="24"/>
    </w:rPr>
  </w:style>
  <w:style w:type="character" w:customStyle="1" w:styleId="83">
    <w:name w:val="标题 7 Char"/>
    <w:basedOn w:val="55"/>
    <w:link w:val="9"/>
    <w:qFormat/>
    <w:uiPriority w:val="0"/>
    <w:rPr>
      <w:rFonts w:ascii="Calibri" w:hAnsi="Calibri"/>
      <w:b/>
      <w:bCs/>
      <w:sz w:val="24"/>
      <w:szCs w:val="24"/>
    </w:rPr>
  </w:style>
  <w:style w:type="character" w:customStyle="1" w:styleId="84">
    <w:name w:val="标题 8 Char"/>
    <w:basedOn w:val="55"/>
    <w:link w:val="10"/>
    <w:qFormat/>
    <w:uiPriority w:val="0"/>
    <w:rPr>
      <w:rFonts w:ascii="Calibri Light" w:hAnsi="Calibri Light"/>
      <w:sz w:val="24"/>
      <w:szCs w:val="24"/>
    </w:rPr>
  </w:style>
  <w:style w:type="character" w:customStyle="1" w:styleId="85">
    <w:name w:val="标题 9 Char"/>
    <w:basedOn w:val="55"/>
    <w:link w:val="11"/>
    <w:autoRedefine/>
    <w:qFormat/>
    <w:uiPriority w:val="0"/>
    <w:rPr>
      <w:rFonts w:ascii="Calibri Light" w:hAnsi="Calibri Light"/>
      <w:sz w:val="21"/>
      <w:szCs w:val="21"/>
    </w:rPr>
  </w:style>
  <w:style w:type="character" w:customStyle="1" w:styleId="86">
    <w:name w:val="标题 3 Char Char"/>
    <w:qFormat/>
    <w:uiPriority w:val="0"/>
    <w:rPr>
      <w:rFonts w:eastAsia="宋体"/>
      <w:b/>
      <w:bCs/>
      <w:sz w:val="28"/>
      <w:szCs w:val="32"/>
      <w:lang w:val="en-US" w:eastAsia="zh-CN" w:bidi="ar-SA"/>
    </w:rPr>
  </w:style>
  <w:style w:type="character" w:customStyle="1" w:styleId="87">
    <w:name w:val="文本正文 Char"/>
    <w:link w:val="88"/>
    <w:autoRedefine/>
    <w:qFormat/>
    <w:uiPriority w:val="0"/>
    <w:rPr>
      <w:szCs w:val="24"/>
    </w:rPr>
  </w:style>
  <w:style w:type="paragraph" w:customStyle="1" w:styleId="88">
    <w:name w:val="文本正文"/>
    <w:basedOn w:val="1"/>
    <w:link w:val="87"/>
    <w:autoRedefine/>
    <w:qFormat/>
    <w:uiPriority w:val="0"/>
    <w:pPr>
      <w:spacing w:line="240" w:lineRule="auto"/>
      <w:ind w:firstLine="420" w:firstLineChars="200"/>
      <w:jc w:val="both"/>
    </w:pPr>
    <w:rPr>
      <w:rFonts w:ascii="Times New Roman" w:hAnsi="Times New Roman" w:cs="Times New Roman"/>
      <w:kern w:val="0"/>
      <w:sz w:val="20"/>
      <w:szCs w:val="24"/>
    </w:rPr>
  </w:style>
  <w:style w:type="character" w:customStyle="1" w:styleId="89">
    <w:name w:val="标题 3 Char"/>
    <w:link w:val="4"/>
    <w:autoRedefine/>
    <w:qFormat/>
    <w:uiPriority w:val="0"/>
    <w:rPr>
      <w:rFonts w:ascii="仿宋" w:hAnsi="仿宋"/>
      <w:b/>
      <w:bCs/>
      <w:kern w:val="2"/>
      <w:sz w:val="24"/>
      <w:szCs w:val="32"/>
    </w:rPr>
  </w:style>
  <w:style w:type="character" w:customStyle="1" w:styleId="90">
    <w:name w:val="ZK_正文缩进 Char"/>
    <w:link w:val="91"/>
    <w:qFormat/>
    <w:uiPriority w:val="0"/>
    <w:rPr>
      <w:kern w:val="2"/>
      <w:sz w:val="24"/>
    </w:rPr>
  </w:style>
  <w:style w:type="paragraph" w:customStyle="1" w:styleId="91">
    <w:name w:val="ZK_正文缩进"/>
    <w:basedOn w:val="1"/>
    <w:link w:val="90"/>
    <w:autoRedefine/>
    <w:qFormat/>
    <w:uiPriority w:val="0"/>
    <w:pPr>
      <w:spacing w:line="300" w:lineRule="auto"/>
      <w:ind w:firstLine="200" w:firstLineChars="200"/>
      <w:jc w:val="both"/>
    </w:pPr>
    <w:rPr>
      <w:rFonts w:ascii="Times New Roman" w:hAnsi="Times New Roman" w:cs="Times New Roman"/>
      <w:sz w:val="24"/>
      <w:szCs w:val="20"/>
    </w:rPr>
  </w:style>
  <w:style w:type="character" w:customStyle="1" w:styleId="92">
    <w:name w:val="正文首行缩进 Char"/>
    <w:link w:val="49"/>
    <w:qFormat/>
    <w:uiPriority w:val="0"/>
    <w:rPr>
      <w:kern w:val="2"/>
      <w:sz w:val="24"/>
      <w:szCs w:val="24"/>
    </w:rPr>
  </w:style>
  <w:style w:type="character" w:customStyle="1" w:styleId="93">
    <w:name w:val="样式 首行缩进:  2 字符 Char1"/>
    <w:link w:val="94"/>
    <w:qFormat/>
    <w:uiPriority w:val="0"/>
    <w:rPr>
      <w:rFonts w:ascii="Calibri" w:hAnsi="Calibri"/>
      <w:kern w:val="28"/>
      <w:sz w:val="28"/>
    </w:rPr>
  </w:style>
  <w:style w:type="paragraph" w:customStyle="1" w:styleId="94">
    <w:name w:val="样式 首行缩进:  2 字符"/>
    <w:basedOn w:val="1"/>
    <w:link w:val="93"/>
    <w:qFormat/>
    <w:uiPriority w:val="0"/>
    <w:pPr>
      <w:spacing w:line="480" w:lineRule="exact"/>
      <w:ind w:firstLine="560" w:firstLineChars="200"/>
      <w:jc w:val="both"/>
    </w:pPr>
    <w:rPr>
      <w:rFonts w:ascii="Calibri" w:hAnsi="Calibri" w:cs="Times New Roman"/>
      <w:kern w:val="28"/>
      <w:sz w:val="28"/>
      <w:szCs w:val="20"/>
    </w:rPr>
  </w:style>
  <w:style w:type="character" w:customStyle="1" w:styleId="95">
    <w:name w:val="图形题注 Char"/>
    <w:link w:val="96"/>
    <w:autoRedefine/>
    <w:qFormat/>
    <w:uiPriority w:val="0"/>
    <w:rPr>
      <w:rFonts w:ascii="仿宋" w:hAnsi="仿宋" w:eastAsia="仿宋"/>
      <w:kern w:val="2"/>
      <w:sz w:val="24"/>
      <w:szCs w:val="21"/>
    </w:rPr>
  </w:style>
  <w:style w:type="paragraph" w:customStyle="1" w:styleId="96">
    <w:name w:val="图形题注"/>
    <w:basedOn w:val="1"/>
    <w:link w:val="95"/>
    <w:autoRedefine/>
    <w:qFormat/>
    <w:uiPriority w:val="0"/>
    <w:pPr>
      <w:tabs>
        <w:tab w:val="left" w:pos="480"/>
      </w:tabs>
      <w:spacing w:before="120" w:after="240" w:line="240" w:lineRule="auto"/>
      <w:ind w:firstLine="200" w:firstLineChars="200"/>
      <w:jc w:val="center"/>
    </w:pPr>
    <w:rPr>
      <w:rFonts w:ascii="仿宋" w:hAnsi="仿宋" w:eastAsia="仿宋" w:cs="Times New Roman"/>
      <w:sz w:val="24"/>
    </w:rPr>
  </w:style>
  <w:style w:type="character" w:customStyle="1" w:styleId="97">
    <w:name w:val="正文表格 Char"/>
    <w:link w:val="98"/>
    <w:autoRedefine/>
    <w:qFormat/>
    <w:uiPriority w:val="0"/>
    <w:rPr>
      <w:sz w:val="24"/>
      <w:szCs w:val="24"/>
    </w:rPr>
  </w:style>
  <w:style w:type="paragraph" w:customStyle="1" w:styleId="98">
    <w:name w:val="正文表格"/>
    <w:basedOn w:val="1"/>
    <w:link w:val="97"/>
    <w:autoRedefine/>
    <w:qFormat/>
    <w:uiPriority w:val="0"/>
    <w:pPr>
      <w:ind w:right="29" w:rightChars="12" w:firstLine="200" w:firstLineChars="200"/>
      <w:jc w:val="center"/>
    </w:pPr>
    <w:rPr>
      <w:rFonts w:ascii="Times New Roman" w:hAnsi="Times New Roman" w:cs="Times New Roman"/>
      <w:kern w:val="0"/>
      <w:sz w:val="24"/>
      <w:szCs w:val="24"/>
    </w:rPr>
  </w:style>
  <w:style w:type="character" w:customStyle="1" w:styleId="99">
    <w:name w:val="响应文本 Char"/>
    <w:link w:val="100"/>
    <w:autoRedefine/>
    <w:qFormat/>
    <w:uiPriority w:val="0"/>
    <w:rPr>
      <w:rFonts w:ascii="仿宋" w:hAnsi="仿宋" w:eastAsia="仿宋"/>
      <w:kern w:val="2"/>
      <w:sz w:val="24"/>
      <w:szCs w:val="24"/>
      <w:lang w:val="zh-CN"/>
    </w:rPr>
  </w:style>
  <w:style w:type="paragraph" w:customStyle="1" w:styleId="100">
    <w:name w:val="响应文本"/>
    <w:basedOn w:val="1"/>
    <w:link w:val="99"/>
    <w:qFormat/>
    <w:uiPriority w:val="0"/>
    <w:pPr>
      <w:tabs>
        <w:tab w:val="left" w:pos="993"/>
      </w:tabs>
      <w:autoSpaceDE w:val="0"/>
      <w:autoSpaceDN w:val="0"/>
      <w:adjustRightInd w:val="0"/>
      <w:ind w:left="424" w:leftChars="202" w:firstLine="646" w:firstLineChars="269"/>
      <w:jc w:val="both"/>
      <w:textAlignment w:val="baseline"/>
    </w:pPr>
    <w:rPr>
      <w:rFonts w:ascii="仿宋" w:hAnsi="仿宋" w:eastAsia="仿宋" w:cs="Times New Roman"/>
      <w:sz w:val="24"/>
      <w:szCs w:val="24"/>
      <w:lang w:val="zh-CN"/>
    </w:rPr>
  </w:style>
  <w:style w:type="character" w:customStyle="1" w:styleId="101">
    <w:name w:val="樣式 標題 3 + (中文) MS Gothic 10.5 點 Char Char Char Char Char Char Char Char"/>
    <w:link w:val="102"/>
    <w:qFormat/>
    <w:uiPriority w:val="0"/>
    <w:rPr>
      <w:rFonts w:hAnsi="PMingLiU" w:eastAsia="MS Gothic"/>
      <w:bCs/>
      <w:snapToGrid w:val="0"/>
      <w:kern w:val="2"/>
      <w:sz w:val="24"/>
      <w:szCs w:val="24"/>
      <w:lang w:val="en-AU" w:eastAsia="zh-TW"/>
    </w:rPr>
  </w:style>
  <w:style w:type="paragraph" w:customStyle="1" w:styleId="102">
    <w:name w:val="樣式 標題 3 + (中文) MS Gothic 10.5 點 Char Char Char Char Char Char Char"/>
    <w:basedOn w:val="4"/>
    <w:link w:val="101"/>
    <w:qFormat/>
    <w:uiPriority w:val="0"/>
    <w:pPr>
      <w:keepLines w:val="0"/>
      <w:tabs>
        <w:tab w:val="left" w:pos="1260"/>
      </w:tabs>
      <w:spacing w:line="240" w:lineRule="auto"/>
      <w:ind w:left="1260" w:hanging="420"/>
      <w:jc w:val="both"/>
    </w:pPr>
    <w:rPr>
      <w:rFonts w:ascii="Times New Roman" w:hAnsi="PMingLiU" w:eastAsia="MS Gothic"/>
      <w:b w:val="0"/>
      <w:snapToGrid w:val="0"/>
      <w:szCs w:val="24"/>
      <w:lang w:val="en-AU" w:eastAsia="zh-TW"/>
    </w:rPr>
  </w:style>
  <w:style w:type="character" w:customStyle="1" w:styleId="103">
    <w:name w:val="批注文字 Char1"/>
    <w:autoRedefine/>
    <w:qFormat/>
    <w:uiPriority w:val="0"/>
    <w:rPr>
      <w:sz w:val="21"/>
      <w:szCs w:val="22"/>
    </w:rPr>
  </w:style>
  <w:style w:type="character" w:customStyle="1" w:styleId="104">
    <w:name w:val="标题 3 Char Char Char Char Char Char Char Char Char Char Char Char Char Char Char Char Char Char Char Char Char Char Char Char Char Char Char Char Char Char Char Char Char Char Char Char Char Char Char Char Char Char Char Char Char Char Char Char Char Cha"/>
    <w:autoRedefine/>
    <w:qFormat/>
    <w:uiPriority w:val="0"/>
    <w:rPr>
      <w:rFonts w:ascii="宋体" w:hAnsi="宋体" w:eastAsia="黑体"/>
      <w:b/>
      <w:bCs/>
      <w:caps/>
      <w:smallCaps/>
      <w:kern w:val="2"/>
      <w:sz w:val="21"/>
      <w:szCs w:val="21"/>
      <w:lang w:val="en-US" w:eastAsia="zh-CN" w:bidi="ar-SA"/>
    </w:rPr>
  </w:style>
  <w:style w:type="character" w:customStyle="1" w:styleId="105">
    <w:name w:val="标题 4 Char Char Char Char Char Char Char Char Char Char Char Char Char Char Char Char Char Char Char Char Char Char Char Char Char Char Char Char Char Char Char Char Char Char Char Char Char Char Char Char Char Char Char Char Char Char Char Char Char Cha"/>
    <w:autoRedefine/>
    <w:qFormat/>
    <w:uiPriority w:val="0"/>
    <w:rPr>
      <w:rFonts w:ascii="Arial" w:hAnsi="Arial" w:eastAsia="黑体"/>
      <w:b/>
      <w:caps/>
      <w:smallCaps/>
      <w:kern w:val="2"/>
      <w:sz w:val="21"/>
      <w:szCs w:val="28"/>
      <w:lang w:val="en-US" w:eastAsia="zh-CN" w:bidi="ar-SA"/>
    </w:rPr>
  </w:style>
  <w:style w:type="character" w:customStyle="1" w:styleId="106">
    <w:name w:val="纯文本 Char"/>
    <w:link w:val="24"/>
    <w:autoRedefine/>
    <w:qFormat/>
    <w:uiPriority w:val="99"/>
    <w:rPr>
      <w:rFonts w:ascii="宋体" w:hAnsi="Courier New" w:cs="Courier New"/>
      <w:kern w:val="2"/>
      <w:sz w:val="21"/>
      <w:szCs w:val="21"/>
    </w:rPr>
  </w:style>
  <w:style w:type="character" w:customStyle="1" w:styleId="107">
    <w:name w:val="标题4C1 Char"/>
    <w:link w:val="108"/>
    <w:autoRedefine/>
    <w:qFormat/>
    <w:uiPriority w:val="0"/>
    <w:rPr>
      <w:rFonts w:ascii="宋体" w:hAnsi="宋体"/>
      <w:bCs/>
      <w:kern w:val="2"/>
      <w:sz w:val="24"/>
      <w:szCs w:val="24"/>
    </w:rPr>
  </w:style>
  <w:style w:type="paragraph" w:customStyle="1" w:styleId="108">
    <w:name w:val="标题4C1"/>
    <w:link w:val="107"/>
    <w:qFormat/>
    <w:uiPriority w:val="0"/>
    <w:pPr>
      <w:widowControl w:val="0"/>
      <w:adjustRightInd w:val="0"/>
      <w:snapToGrid w:val="0"/>
      <w:spacing w:after="200" w:line="360" w:lineRule="auto"/>
      <w:ind w:left="420" w:leftChars="200" w:right="420" w:rightChars="200" w:firstLine="240" w:firstLineChars="100"/>
      <w:jc w:val="both"/>
      <w:outlineLvl w:val="3"/>
    </w:pPr>
    <w:rPr>
      <w:rFonts w:ascii="宋体" w:hAnsi="宋体" w:eastAsia="宋体" w:cs="Times New Roman"/>
      <w:bCs/>
      <w:kern w:val="2"/>
      <w:sz w:val="24"/>
      <w:szCs w:val="24"/>
      <w:lang w:val="en-US" w:eastAsia="zh-CN" w:bidi="ar-SA"/>
    </w:rPr>
  </w:style>
  <w:style w:type="character" w:customStyle="1" w:styleId="109">
    <w:name w:val="编号标题2 Char Char Char Char Char Char Char Char Char Char Ch"/>
    <w:autoRedefine/>
    <w:qFormat/>
    <w:uiPriority w:val="0"/>
    <w:rPr>
      <w:rFonts w:ascii="Arial" w:hAnsi="Arial" w:eastAsia="黑体"/>
      <w:b/>
      <w:caps/>
      <w:smallCaps/>
      <w:kern w:val="2"/>
      <w:sz w:val="21"/>
      <w:szCs w:val="32"/>
      <w:lang w:val="en-US" w:eastAsia="zh-CN" w:bidi="ar-SA"/>
    </w:rPr>
  </w:style>
  <w:style w:type="character" w:customStyle="1" w:styleId="110">
    <w:name w:val="副标题 Char"/>
    <w:link w:val="35"/>
    <w:qFormat/>
    <w:uiPriority w:val="0"/>
    <w:rPr>
      <w:rFonts w:ascii="Cambria" w:hAnsi="Cambria"/>
      <w:i/>
      <w:iCs/>
      <w:smallCaps/>
      <w:spacing w:val="10"/>
      <w:sz w:val="28"/>
      <w:szCs w:val="28"/>
      <w:lang w:eastAsia="en-US" w:bidi="en-US"/>
    </w:rPr>
  </w:style>
  <w:style w:type="character" w:customStyle="1" w:styleId="111">
    <w:name w:val="罗慧（二级标题） Char Char"/>
    <w:link w:val="112"/>
    <w:qFormat/>
    <w:uiPriority w:val="0"/>
    <w:rPr>
      <w:rFonts w:ascii="Cambria" w:hAnsi="Cambria"/>
      <w:b/>
      <w:sz w:val="28"/>
      <w:szCs w:val="22"/>
    </w:rPr>
  </w:style>
  <w:style w:type="paragraph" w:customStyle="1" w:styleId="112">
    <w:name w:val="罗慧（二级标题）"/>
    <w:link w:val="111"/>
    <w:autoRedefine/>
    <w:qFormat/>
    <w:uiPriority w:val="0"/>
    <w:pPr>
      <w:widowControl w:val="0"/>
      <w:spacing w:after="200" w:line="520" w:lineRule="exact"/>
      <w:jc w:val="both"/>
      <w:outlineLvl w:val="3"/>
    </w:pPr>
    <w:rPr>
      <w:rFonts w:ascii="Cambria" w:hAnsi="Cambria" w:eastAsia="宋体" w:cs="Times New Roman"/>
      <w:b/>
      <w:sz w:val="28"/>
      <w:szCs w:val="22"/>
      <w:lang w:val="en-US" w:eastAsia="zh-CN" w:bidi="ar-SA"/>
    </w:rPr>
  </w:style>
  <w:style w:type="character" w:customStyle="1" w:styleId="113">
    <w:name w:val="无间隔 Char"/>
    <w:link w:val="114"/>
    <w:autoRedefine/>
    <w:qFormat/>
    <w:uiPriority w:val="1"/>
    <w:rPr>
      <w:rFonts w:ascii="Cambria" w:hAnsi="Cambria"/>
      <w:sz w:val="24"/>
      <w:szCs w:val="22"/>
      <w:lang w:eastAsia="en-US" w:bidi="en-US"/>
    </w:rPr>
  </w:style>
  <w:style w:type="paragraph" w:customStyle="1" w:styleId="114">
    <w:name w:val="No Spacing"/>
    <w:basedOn w:val="1"/>
    <w:link w:val="113"/>
    <w:qFormat/>
    <w:uiPriority w:val="1"/>
    <w:pPr>
      <w:widowControl/>
      <w:spacing w:beforeLines="50" w:line="240" w:lineRule="auto"/>
      <w:ind w:firstLine="200" w:firstLineChars="200"/>
    </w:pPr>
    <w:rPr>
      <w:rFonts w:ascii="Cambria" w:hAnsi="Cambria" w:cs="Times New Roman"/>
      <w:kern w:val="0"/>
      <w:sz w:val="24"/>
      <w:szCs w:val="22"/>
      <w:lang w:eastAsia="en-US" w:bidi="en-US"/>
    </w:rPr>
  </w:style>
  <w:style w:type="character" w:customStyle="1" w:styleId="115">
    <w:name w:val="引用 Char"/>
    <w:link w:val="116"/>
    <w:qFormat/>
    <w:uiPriority w:val="29"/>
    <w:rPr>
      <w:rFonts w:ascii="Cambria" w:hAnsi="Cambria"/>
      <w:i/>
      <w:iCs/>
      <w:sz w:val="24"/>
      <w:szCs w:val="22"/>
      <w:lang w:eastAsia="en-US" w:bidi="en-US"/>
    </w:rPr>
  </w:style>
  <w:style w:type="paragraph" w:customStyle="1" w:styleId="116">
    <w:name w:val="Quote"/>
    <w:basedOn w:val="1"/>
    <w:next w:val="1"/>
    <w:link w:val="115"/>
    <w:qFormat/>
    <w:uiPriority w:val="29"/>
    <w:pPr>
      <w:widowControl/>
      <w:spacing w:beforeLines="50" w:after="120"/>
      <w:ind w:firstLine="200" w:firstLineChars="200"/>
    </w:pPr>
    <w:rPr>
      <w:rFonts w:ascii="Cambria" w:hAnsi="Cambria" w:cs="Times New Roman"/>
      <w:i/>
      <w:iCs/>
      <w:kern w:val="0"/>
      <w:sz w:val="24"/>
      <w:szCs w:val="22"/>
      <w:lang w:eastAsia="en-US" w:bidi="en-US"/>
    </w:rPr>
  </w:style>
  <w:style w:type="character" w:customStyle="1" w:styleId="117">
    <w:name w:val="不明显参考1"/>
    <w:autoRedefine/>
    <w:qFormat/>
    <w:uiPriority w:val="31"/>
    <w:rPr>
      <w:rFonts w:ascii="宋体" w:hAnsi="宋体" w:eastAsia="宋体"/>
      <w:b/>
      <w:bCs/>
      <w:caps/>
      <w:sz w:val="21"/>
      <w:szCs w:val="21"/>
      <w:lang w:val="en-US" w:eastAsia="zh-CN" w:bidi="en-US"/>
    </w:rPr>
  </w:style>
  <w:style w:type="character" w:customStyle="1" w:styleId="118">
    <w:name w:val="PIM 7 Char Char"/>
    <w:qFormat/>
    <w:uiPriority w:val="0"/>
    <w:rPr>
      <w:rFonts w:ascii="Times New Roman" w:hAnsi="Times New Roman" w:eastAsia="宋体" w:cs="Times New Roman"/>
      <w:b/>
      <w:bCs/>
      <w:caps/>
      <w:smallCaps/>
      <w:sz w:val="24"/>
      <w:szCs w:val="24"/>
      <w:lang w:val="en-US" w:eastAsia="zh-CN" w:bidi="en-US"/>
    </w:rPr>
  </w:style>
  <w:style w:type="character" w:customStyle="1" w:styleId="119">
    <w:name w:val="页眉 Char"/>
    <w:link w:val="32"/>
    <w:autoRedefine/>
    <w:qFormat/>
    <w:uiPriority w:val="99"/>
    <w:rPr>
      <w:rFonts w:asciiTheme="minorHAnsi" w:hAnsiTheme="minorHAnsi" w:cstheme="minorBidi"/>
      <w:kern w:val="2"/>
      <w:sz w:val="18"/>
      <w:szCs w:val="21"/>
    </w:rPr>
  </w:style>
  <w:style w:type="character" w:customStyle="1" w:styleId="120">
    <w:name w:val="书籍标题1"/>
    <w:autoRedefine/>
    <w:qFormat/>
    <w:uiPriority w:val="33"/>
    <w:rPr>
      <w:rFonts w:ascii="宋体" w:hAnsi="宋体" w:eastAsia="宋体"/>
      <w:b/>
      <w:bCs/>
      <w:i/>
      <w:iCs/>
      <w:caps/>
      <w:spacing w:val="5"/>
      <w:sz w:val="21"/>
      <w:szCs w:val="21"/>
      <w:lang w:val="en-US" w:eastAsia="zh-CN" w:bidi="en-US"/>
    </w:rPr>
  </w:style>
  <w:style w:type="character" w:customStyle="1" w:styleId="121">
    <w:name w:val="正文首行缩进 2 Char"/>
    <w:link w:val="50"/>
    <w:autoRedefine/>
    <w:qFormat/>
    <w:uiPriority w:val="0"/>
    <w:rPr>
      <w:kern w:val="2"/>
      <w:sz w:val="21"/>
      <w:szCs w:val="24"/>
    </w:rPr>
  </w:style>
  <w:style w:type="character" w:customStyle="1" w:styleId="122">
    <w:name w:val="Char Char3"/>
    <w:autoRedefine/>
    <w:qFormat/>
    <w:locked/>
    <w:uiPriority w:val="0"/>
    <w:rPr>
      <w:rFonts w:ascii="宋体" w:hAnsi="宋体" w:eastAsia="宋体"/>
      <w:b/>
      <w:bCs/>
      <w:caps/>
      <w:smallCaps/>
      <w:kern w:val="2"/>
      <w:sz w:val="18"/>
      <w:szCs w:val="18"/>
      <w:lang w:val="en-US" w:eastAsia="zh-CN" w:bidi="ar-SA"/>
    </w:rPr>
  </w:style>
  <w:style w:type="character" w:customStyle="1" w:styleId="123">
    <w:name w:val="标题 1 Char"/>
    <w:link w:val="3"/>
    <w:qFormat/>
    <w:uiPriority w:val="0"/>
    <w:rPr>
      <w:rFonts w:asciiTheme="minorHAnsi" w:hAnsiTheme="minorHAnsi" w:cstheme="minorBidi"/>
      <w:b/>
      <w:bCs/>
      <w:kern w:val="44"/>
      <w:sz w:val="30"/>
      <w:szCs w:val="44"/>
    </w:rPr>
  </w:style>
  <w:style w:type="character" w:customStyle="1" w:styleId="124">
    <w:name w:val="Char Char15"/>
    <w:autoRedefine/>
    <w:qFormat/>
    <w:uiPriority w:val="0"/>
    <w:rPr>
      <w:rFonts w:ascii="Arial" w:hAnsi="Arial" w:eastAsia="黑体" w:cs="Times New Roman"/>
      <w:b/>
      <w:bCs/>
      <w:caps/>
      <w:smallCaps/>
      <w:sz w:val="24"/>
      <w:szCs w:val="24"/>
      <w:lang w:val="en-US" w:eastAsia="zh-CN" w:bidi="en-US"/>
    </w:rPr>
  </w:style>
  <w:style w:type="character" w:customStyle="1" w:styleId="125">
    <w:name w:val="投标正文 Char"/>
    <w:link w:val="126"/>
    <w:qFormat/>
    <w:locked/>
    <w:uiPriority w:val="0"/>
    <w:rPr>
      <w:sz w:val="22"/>
    </w:rPr>
  </w:style>
  <w:style w:type="paragraph" w:customStyle="1" w:styleId="126">
    <w:name w:val="投标正文"/>
    <w:basedOn w:val="1"/>
    <w:link w:val="125"/>
    <w:autoRedefine/>
    <w:qFormat/>
    <w:uiPriority w:val="0"/>
    <w:pPr>
      <w:ind w:firstLine="200" w:firstLineChars="200"/>
      <w:jc w:val="both"/>
    </w:pPr>
    <w:rPr>
      <w:rFonts w:ascii="Times New Roman" w:hAnsi="Times New Roman" w:cs="Times New Roman"/>
      <w:kern w:val="0"/>
      <w:sz w:val="22"/>
      <w:szCs w:val="20"/>
    </w:rPr>
  </w:style>
  <w:style w:type="character" w:customStyle="1" w:styleId="127">
    <w:name w:val="Char Char14"/>
    <w:qFormat/>
    <w:uiPriority w:val="0"/>
    <w:rPr>
      <w:rFonts w:ascii="Times New Roman" w:hAnsi="Times New Roman" w:eastAsia="宋体" w:cs="Times New Roman"/>
      <w:b/>
      <w:bCs/>
      <w:caps/>
      <w:smallCaps/>
      <w:sz w:val="21"/>
      <w:szCs w:val="24"/>
      <w:lang w:val="en-US" w:eastAsia="zh-CN" w:bidi="en-US"/>
    </w:rPr>
  </w:style>
  <w:style w:type="character" w:customStyle="1" w:styleId="128">
    <w:name w:val="Char Char13"/>
    <w:qFormat/>
    <w:uiPriority w:val="0"/>
    <w:rPr>
      <w:rFonts w:ascii="Times New Roman" w:hAnsi="Times New Roman" w:eastAsia="宋体" w:cs="Times New Roman"/>
      <w:b/>
      <w:bCs/>
      <w:caps/>
      <w:smallCaps/>
      <w:sz w:val="21"/>
      <w:szCs w:val="24"/>
      <w:lang w:val="en-US" w:eastAsia="zh-CN" w:bidi="en-US"/>
    </w:rPr>
  </w:style>
  <w:style w:type="character" w:customStyle="1" w:styleId="129">
    <w:name w:val="标题 5 Char"/>
    <w:link w:val="7"/>
    <w:qFormat/>
    <w:uiPriority w:val="0"/>
    <w:rPr>
      <w:rFonts w:ascii="Microsoft JhengHei" w:hAnsi="Microsoft JhengHei" w:eastAsia="Microsoft JhengHei" w:cs="Microsoft JhengHei"/>
      <w:b/>
      <w:bCs/>
      <w:kern w:val="2"/>
      <w:sz w:val="21"/>
      <w:szCs w:val="21"/>
    </w:rPr>
  </w:style>
  <w:style w:type="character" w:customStyle="1" w:styleId="130">
    <w:name w:val="Char Char Char"/>
    <w:qFormat/>
    <w:uiPriority w:val="0"/>
    <w:rPr>
      <w:rFonts w:ascii="宋体" w:hAnsi="宋体" w:eastAsia="宋体"/>
      <w:b/>
      <w:bCs/>
      <w:caps/>
      <w:smallCaps/>
      <w:kern w:val="2"/>
      <w:sz w:val="24"/>
      <w:szCs w:val="24"/>
      <w:lang w:val="en-US" w:eastAsia="zh-CN" w:bidi="ar-SA"/>
    </w:rPr>
  </w:style>
  <w:style w:type="character" w:customStyle="1" w:styleId="131">
    <w:name w:val="正文缩进 Char"/>
    <w:autoRedefine/>
    <w:qFormat/>
    <w:uiPriority w:val="0"/>
    <w:rPr>
      <w:rFonts w:eastAsia="宋体"/>
      <w:sz w:val="21"/>
      <w:lang w:val="en-US" w:eastAsia="zh-CN" w:bidi="ar-SA"/>
    </w:rPr>
  </w:style>
  <w:style w:type="character" w:customStyle="1" w:styleId="132">
    <w:name w:val="Heading 3 Char1 Char"/>
    <w:qFormat/>
    <w:uiPriority w:val="0"/>
    <w:rPr>
      <w:rFonts w:ascii="Arial" w:hAnsi="Arial" w:eastAsia="宋体"/>
      <w:b/>
      <w:bCs/>
      <w:caps/>
      <w:smallCaps/>
      <w:color w:val="000000"/>
      <w:kern w:val="2"/>
      <w:sz w:val="24"/>
      <w:szCs w:val="24"/>
      <w:lang w:val="en-US" w:eastAsia="zh-CN" w:bidi="ar-SA"/>
    </w:rPr>
  </w:style>
  <w:style w:type="character" w:customStyle="1" w:styleId="133">
    <w:name w:val="样式 样式 首行缩进:  2 字符 段前: 4.65 磅 + 首行缩进:  2 字符 Char"/>
    <w:link w:val="134"/>
    <w:autoRedefine/>
    <w:qFormat/>
    <w:uiPriority w:val="0"/>
    <w:rPr>
      <w:kern w:val="2"/>
      <w:sz w:val="24"/>
    </w:rPr>
  </w:style>
  <w:style w:type="paragraph" w:customStyle="1" w:styleId="134">
    <w:name w:val="样式 样式 首行缩进:  2 字符 段前: 4.65 磅 + 首行缩进:  2 字符"/>
    <w:basedOn w:val="1"/>
    <w:link w:val="133"/>
    <w:autoRedefine/>
    <w:qFormat/>
    <w:uiPriority w:val="0"/>
    <w:pPr>
      <w:topLinePunct/>
      <w:spacing w:before="93"/>
      <w:ind w:firstLine="480" w:firstLineChars="200"/>
      <w:jc w:val="both"/>
    </w:pPr>
    <w:rPr>
      <w:rFonts w:ascii="Times New Roman" w:hAnsi="Times New Roman" w:cs="Times New Roman"/>
      <w:sz w:val="24"/>
      <w:szCs w:val="20"/>
    </w:rPr>
  </w:style>
  <w:style w:type="character" w:customStyle="1" w:styleId="135">
    <w:name w:val="樣式 標題 3 + (中文) MS Gothic 10.5 點 Char Char Char Char Char Char Char Char Char Char Char Char Char Char Char Char Char Char Char Char Char Char"/>
    <w:autoRedefine/>
    <w:qFormat/>
    <w:uiPriority w:val="0"/>
    <w:rPr>
      <w:rFonts w:ascii="宋体" w:hAnsi="PMingLiU" w:eastAsia="MS Gothic"/>
      <w:b/>
      <w:bCs/>
      <w:caps/>
      <w:smallCaps/>
      <w:snapToGrid w:val="0"/>
      <w:kern w:val="2"/>
      <w:sz w:val="24"/>
      <w:szCs w:val="24"/>
      <w:lang w:val="en-AU" w:eastAsia="zh-TW" w:bidi="ar-SA"/>
    </w:rPr>
  </w:style>
  <w:style w:type="character" w:customStyle="1" w:styleId="136">
    <w:name w:val="正文文本缩进 Char"/>
    <w:autoRedefine/>
    <w:qFormat/>
    <w:uiPriority w:val="0"/>
    <w:rPr>
      <w:rFonts w:ascii="Times New Roman" w:hAnsi="Times New Roman" w:eastAsia="宋体" w:cs="Times New Roman"/>
      <w:sz w:val="24"/>
      <w:szCs w:val="24"/>
    </w:rPr>
  </w:style>
  <w:style w:type="character" w:customStyle="1" w:styleId="137">
    <w:name w:val="表文 Char Char"/>
    <w:autoRedefine/>
    <w:qFormat/>
    <w:uiPriority w:val="0"/>
    <w:rPr>
      <w:rFonts w:ascii="华文细黑" w:hAnsi="华文细黑" w:eastAsia="华文细黑"/>
      <w:b/>
      <w:bCs/>
      <w:caps/>
      <w:smallCaps/>
      <w:sz w:val="24"/>
      <w:szCs w:val="24"/>
      <w:lang w:val="en-US" w:eastAsia="zh-CN" w:bidi="ar-SA"/>
    </w:rPr>
  </w:style>
  <w:style w:type="character" w:customStyle="1" w:styleId="138">
    <w:name w:val="脚注文本 Char"/>
    <w:link w:val="38"/>
    <w:qFormat/>
    <w:uiPriority w:val="0"/>
    <w:rPr>
      <w:rFonts w:eastAsia="DFKai-SB"/>
      <w:kern w:val="2"/>
      <w:lang w:eastAsia="zh-TW"/>
    </w:rPr>
  </w:style>
  <w:style w:type="character" w:customStyle="1" w:styleId="139">
    <w:name w:val="列表编号 5 Char"/>
    <w:link w:val="36"/>
    <w:autoRedefine/>
    <w:qFormat/>
    <w:uiPriority w:val="0"/>
    <w:rPr>
      <w:sz w:val="24"/>
      <w:szCs w:val="24"/>
    </w:rPr>
  </w:style>
  <w:style w:type="character" w:customStyle="1" w:styleId="140">
    <w:name w:val="说明书 正文 Char"/>
    <w:link w:val="141"/>
    <w:qFormat/>
    <w:uiPriority w:val="0"/>
    <w:rPr>
      <w:rFonts w:ascii="宋体" w:hAnsi="宋体" w:cs="宋体"/>
      <w:kern w:val="2"/>
      <w:sz w:val="24"/>
    </w:rPr>
  </w:style>
  <w:style w:type="paragraph" w:customStyle="1" w:styleId="141">
    <w:name w:val="说明书 正文"/>
    <w:basedOn w:val="1"/>
    <w:link w:val="140"/>
    <w:autoRedefine/>
    <w:qFormat/>
    <w:uiPriority w:val="0"/>
    <w:pPr>
      <w:adjustRightInd w:val="0"/>
      <w:snapToGrid w:val="0"/>
      <w:spacing w:line="460" w:lineRule="exact"/>
      <w:ind w:firstLine="200" w:firstLineChars="200"/>
    </w:pPr>
    <w:rPr>
      <w:rFonts w:ascii="宋体" w:hAnsi="宋体" w:cs="宋体"/>
      <w:sz w:val="24"/>
      <w:szCs w:val="20"/>
    </w:rPr>
  </w:style>
  <w:style w:type="character" w:customStyle="1" w:styleId="142">
    <w:name w:val="1111 Char"/>
    <w:link w:val="143"/>
    <w:autoRedefine/>
    <w:qFormat/>
    <w:uiPriority w:val="0"/>
    <w:rPr>
      <w:rFonts w:ascii="楷体_GB2312" w:hAnsi="宋体" w:eastAsia="楷体_GB2312"/>
      <w:b/>
      <w:bCs/>
      <w:color w:val="0000FF"/>
      <w:kern w:val="2"/>
      <w:sz w:val="24"/>
      <w:szCs w:val="21"/>
    </w:rPr>
  </w:style>
  <w:style w:type="paragraph" w:customStyle="1" w:styleId="143">
    <w:name w:val="1111"/>
    <w:basedOn w:val="1"/>
    <w:link w:val="142"/>
    <w:autoRedefine/>
    <w:qFormat/>
    <w:uiPriority w:val="0"/>
    <w:pPr>
      <w:ind w:firstLine="422" w:firstLineChars="200"/>
      <w:jc w:val="both"/>
    </w:pPr>
    <w:rPr>
      <w:rFonts w:ascii="楷体_GB2312" w:hAnsi="宋体" w:eastAsia="楷体_GB2312" w:cs="Times New Roman"/>
      <w:b/>
      <w:bCs/>
      <w:color w:val="0000FF"/>
      <w:sz w:val="24"/>
    </w:rPr>
  </w:style>
  <w:style w:type="character" w:customStyle="1" w:styleId="144">
    <w:name w:val="Char Char1"/>
    <w:autoRedefine/>
    <w:qFormat/>
    <w:uiPriority w:val="0"/>
    <w:rPr>
      <w:rFonts w:ascii="宋体" w:hAnsi="宋体" w:eastAsia="宋体"/>
      <w:b/>
      <w:sz w:val="32"/>
      <w:lang w:bidi="ar-SA"/>
    </w:rPr>
  </w:style>
  <w:style w:type="character" w:customStyle="1" w:styleId="145">
    <w:name w:val="页脚 Char"/>
    <w:link w:val="30"/>
    <w:autoRedefine/>
    <w:qFormat/>
    <w:uiPriority w:val="99"/>
    <w:rPr>
      <w:rFonts w:asciiTheme="minorHAnsi" w:hAnsiTheme="minorHAnsi" w:cstheme="minorBidi"/>
      <w:kern w:val="2"/>
      <w:sz w:val="18"/>
      <w:szCs w:val="18"/>
    </w:rPr>
  </w:style>
  <w:style w:type="character" w:customStyle="1" w:styleId="146">
    <w:name w:val="表名 Char"/>
    <w:link w:val="147"/>
    <w:autoRedefine/>
    <w:qFormat/>
    <w:uiPriority w:val="0"/>
    <w:rPr>
      <w:rFonts w:ascii="Calibri" w:hAnsi="Calibri"/>
      <w:kern w:val="2"/>
      <w:sz w:val="24"/>
      <w:szCs w:val="22"/>
    </w:rPr>
  </w:style>
  <w:style w:type="paragraph" w:customStyle="1" w:styleId="147">
    <w:name w:val="表名"/>
    <w:basedOn w:val="1"/>
    <w:next w:val="148"/>
    <w:link w:val="146"/>
    <w:qFormat/>
    <w:uiPriority w:val="0"/>
    <w:pPr>
      <w:spacing w:before="120" w:after="120" w:line="240" w:lineRule="auto"/>
      <w:ind w:firstLine="200" w:firstLineChars="200"/>
      <w:jc w:val="center"/>
    </w:pPr>
    <w:rPr>
      <w:rFonts w:ascii="Calibri" w:hAnsi="Calibri" w:cs="Times New Roman"/>
      <w:sz w:val="24"/>
      <w:szCs w:val="22"/>
    </w:rPr>
  </w:style>
  <w:style w:type="paragraph" w:customStyle="1" w:styleId="148">
    <w:name w:val="表"/>
    <w:basedOn w:val="1"/>
    <w:next w:val="1"/>
    <w:link w:val="190"/>
    <w:autoRedefine/>
    <w:qFormat/>
    <w:uiPriority w:val="0"/>
    <w:pPr>
      <w:widowControl/>
      <w:spacing w:line="240" w:lineRule="auto"/>
      <w:ind w:firstLine="200" w:firstLineChars="200"/>
      <w:jc w:val="center"/>
    </w:pPr>
    <w:rPr>
      <w:rFonts w:ascii="Times New Roman" w:hAnsi="Times New Roman" w:cs="Times New Roman"/>
      <w:kern w:val="0"/>
      <w:sz w:val="24"/>
    </w:rPr>
  </w:style>
  <w:style w:type="character" w:customStyle="1" w:styleId="149">
    <w:name w:val="标题 4 Char"/>
    <w:link w:val="6"/>
    <w:autoRedefine/>
    <w:qFormat/>
    <w:uiPriority w:val="0"/>
    <w:rPr>
      <w:rFonts w:asciiTheme="majorHAnsi" w:hAnsiTheme="majorHAnsi" w:eastAsiaTheme="majorEastAsia" w:cstheme="majorBidi"/>
      <w:b/>
      <w:bCs/>
      <w:kern w:val="2"/>
      <w:sz w:val="28"/>
      <w:szCs w:val="28"/>
    </w:rPr>
  </w:style>
  <w:style w:type="character" w:customStyle="1" w:styleId="150">
    <w:name w:val="样式 标题 + 小三 Char"/>
    <w:link w:val="151"/>
    <w:autoRedefine/>
    <w:qFormat/>
    <w:uiPriority w:val="0"/>
    <w:rPr>
      <w:rFonts w:ascii="宋体" w:hAnsi="宋体"/>
      <w:b/>
      <w:bCs/>
      <w:sz w:val="28"/>
    </w:rPr>
  </w:style>
  <w:style w:type="paragraph" w:customStyle="1" w:styleId="151">
    <w:name w:val="样式 标题 + 小三"/>
    <w:basedOn w:val="47"/>
    <w:next w:val="2"/>
    <w:link w:val="150"/>
    <w:autoRedefine/>
    <w:qFormat/>
    <w:uiPriority w:val="0"/>
    <w:pPr>
      <w:widowControl w:val="0"/>
      <w:numPr>
        <w:ilvl w:val="0"/>
        <w:numId w:val="2"/>
      </w:numPr>
      <w:tabs>
        <w:tab w:val="left" w:pos="360"/>
      </w:tabs>
      <w:autoSpaceDE/>
      <w:autoSpaceDN/>
      <w:ind w:right="42"/>
    </w:pPr>
    <w:rPr>
      <w:rFonts w:ascii="宋体" w:hAnsi="宋体"/>
      <w:sz w:val="28"/>
      <w:szCs w:val="20"/>
    </w:rPr>
  </w:style>
  <w:style w:type="character" w:customStyle="1" w:styleId="152">
    <w:name w:val="正文文本缩进 3 Char"/>
    <w:link w:val="40"/>
    <w:autoRedefine/>
    <w:qFormat/>
    <w:uiPriority w:val="0"/>
    <w:rPr>
      <w:rFonts w:ascii="Cambria" w:hAnsi="Cambria"/>
      <w:sz w:val="16"/>
      <w:szCs w:val="16"/>
      <w:lang w:eastAsia="en-US" w:bidi="en-US"/>
    </w:rPr>
  </w:style>
  <w:style w:type="character" w:customStyle="1" w:styleId="153">
    <w:name w:val="正文缩进   技术 Char"/>
    <w:link w:val="154"/>
    <w:qFormat/>
    <w:uiPriority w:val="0"/>
    <w:rPr>
      <w:rFonts w:ascii="Cambria" w:hAnsi="Cambria"/>
      <w:sz w:val="24"/>
      <w:szCs w:val="21"/>
      <w:lang w:eastAsia="en-US" w:bidi="en-US"/>
    </w:rPr>
  </w:style>
  <w:style w:type="paragraph" w:customStyle="1" w:styleId="154">
    <w:name w:val="正文缩进   技术"/>
    <w:basedOn w:val="14"/>
    <w:link w:val="153"/>
    <w:autoRedefine/>
    <w:qFormat/>
    <w:uiPriority w:val="0"/>
    <w:pPr>
      <w:widowControl/>
      <w:spacing w:beforeLines="50" w:after="120" w:line="400" w:lineRule="exact"/>
      <w:ind w:firstLine="200" w:firstLineChars="200"/>
    </w:pPr>
    <w:rPr>
      <w:rFonts w:ascii="Cambria" w:hAnsi="Cambria" w:cs="Times New Roman"/>
      <w:kern w:val="0"/>
      <w:sz w:val="24"/>
      <w:lang w:eastAsia="en-US" w:bidi="en-US"/>
    </w:rPr>
  </w:style>
  <w:style w:type="character" w:customStyle="1" w:styleId="155">
    <w:name w:val="文字 Char"/>
    <w:link w:val="156"/>
    <w:autoRedefine/>
    <w:qFormat/>
    <w:uiPriority w:val="0"/>
    <w:rPr>
      <w:rFonts w:ascii="宋体" w:hAnsi="Cambria"/>
      <w:sz w:val="28"/>
      <w:lang w:eastAsia="en-US" w:bidi="en-US"/>
    </w:rPr>
  </w:style>
  <w:style w:type="paragraph" w:customStyle="1" w:styleId="156">
    <w:name w:val="文字"/>
    <w:basedOn w:val="1"/>
    <w:link w:val="155"/>
    <w:autoRedefine/>
    <w:qFormat/>
    <w:uiPriority w:val="0"/>
    <w:pPr>
      <w:widowControl/>
      <w:tabs>
        <w:tab w:val="left" w:pos="8520"/>
      </w:tabs>
      <w:spacing w:beforeLines="50" w:after="120" w:line="312" w:lineRule="auto"/>
      <w:ind w:right="-210" w:firstLine="556" w:firstLineChars="200"/>
    </w:pPr>
    <w:rPr>
      <w:rFonts w:ascii="宋体" w:hAnsi="Cambria" w:cs="Times New Roman"/>
      <w:kern w:val="0"/>
      <w:sz w:val="28"/>
      <w:szCs w:val="20"/>
      <w:lang w:eastAsia="en-US" w:bidi="en-US"/>
    </w:rPr>
  </w:style>
  <w:style w:type="character" w:customStyle="1" w:styleId="157">
    <w:name w:val="明显引用 Char"/>
    <w:link w:val="158"/>
    <w:autoRedefine/>
    <w:qFormat/>
    <w:uiPriority w:val="30"/>
    <w:rPr>
      <w:rFonts w:ascii="Cambria" w:hAnsi="Cambria"/>
      <w:i/>
      <w:iCs/>
      <w:sz w:val="24"/>
      <w:szCs w:val="22"/>
      <w:lang w:eastAsia="en-US" w:bidi="en-US"/>
    </w:rPr>
  </w:style>
  <w:style w:type="paragraph" w:customStyle="1" w:styleId="158">
    <w:name w:val="Intense Quote"/>
    <w:basedOn w:val="1"/>
    <w:next w:val="1"/>
    <w:link w:val="157"/>
    <w:qFormat/>
    <w:uiPriority w:val="30"/>
    <w:pPr>
      <w:widowControl/>
      <w:pBdr>
        <w:top w:val="single" w:color="auto" w:sz="4" w:space="10"/>
        <w:bottom w:val="single" w:color="auto" w:sz="4" w:space="10"/>
      </w:pBdr>
      <w:spacing w:beforeLines="50" w:after="240" w:line="300" w:lineRule="auto"/>
      <w:ind w:left="1152" w:right="1152" w:firstLine="200" w:firstLineChars="200"/>
      <w:jc w:val="both"/>
    </w:pPr>
    <w:rPr>
      <w:rFonts w:ascii="Cambria" w:hAnsi="Cambria" w:cs="Times New Roman"/>
      <w:i/>
      <w:iCs/>
      <w:kern w:val="0"/>
      <w:sz w:val="24"/>
      <w:szCs w:val="22"/>
      <w:lang w:eastAsia="en-US" w:bidi="en-US"/>
    </w:rPr>
  </w:style>
  <w:style w:type="character" w:customStyle="1" w:styleId="159">
    <w:name w:val="Heading 3 Char1 Char1"/>
    <w:qFormat/>
    <w:uiPriority w:val="0"/>
    <w:rPr>
      <w:rFonts w:ascii="Times New Roman" w:hAnsi="Times New Roman" w:eastAsia="宋体" w:cs="Times New Roman"/>
      <w:b/>
      <w:bCs/>
      <w:caps/>
      <w:smallCaps/>
      <w:sz w:val="24"/>
      <w:szCs w:val="32"/>
      <w:lang w:val="en-US" w:eastAsia="zh-CN" w:bidi="en-US"/>
    </w:rPr>
  </w:style>
  <w:style w:type="character" w:customStyle="1" w:styleId="160">
    <w:name w:val="表文 Char"/>
    <w:link w:val="161"/>
    <w:autoRedefine/>
    <w:qFormat/>
    <w:uiPriority w:val="0"/>
    <w:rPr>
      <w:rFonts w:ascii="宋体" w:hAnsi="宋体"/>
      <w:sz w:val="24"/>
      <w:szCs w:val="21"/>
    </w:rPr>
  </w:style>
  <w:style w:type="paragraph" w:customStyle="1" w:styleId="161">
    <w:name w:val="表文"/>
    <w:basedOn w:val="1"/>
    <w:next w:val="1"/>
    <w:link w:val="160"/>
    <w:qFormat/>
    <w:uiPriority w:val="0"/>
    <w:pPr>
      <w:spacing w:before="120" w:line="276" w:lineRule="auto"/>
      <w:ind w:firstLine="200" w:firstLineChars="200"/>
      <w:jc w:val="both"/>
    </w:pPr>
    <w:rPr>
      <w:rFonts w:ascii="宋体" w:hAnsi="宋体" w:cs="Times New Roman"/>
      <w:kern w:val="0"/>
      <w:sz w:val="24"/>
    </w:rPr>
  </w:style>
  <w:style w:type="character" w:customStyle="1" w:styleId="162">
    <w:name w:val="明显参考1"/>
    <w:autoRedefine/>
    <w:qFormat/>
    <w:uiPriority w:val="32"/>
    <w:rPr>
      <w:b/>
      <w:bCs/>
      <w:smallCaps/>
    </w:rPr>
  </w:style>
  <w:style w:type="character" w:customStyle="1" w:styleId="163">
    <w:name w:val="Char Char12"/>
    <w:qFormat/>
    <w:uiPriority w:val="0"/>
    <w:rPr>
      <w:rFonts w:ascii="Cambria" w:hAnsi="Cambria" w:eastAsia="宋体"/>
      <w:b/>
      <w:bCs/>
      <w:caps/>
      <w:smallCaps/>
      <w:kern w:val="2"/>
      <w:sz w:val="21"/>
      <w:szCs w:val="28"/>
      <w:lang w:val="en-US" w:eastAsia="zh-CN" w:bidi="en-US"/>
    </w:rPr>
  </w:style>
  <w:style w:type="character" w:customStyle="1" w:styleId="164">
    <w:name w:val="正文缩进 Char1"/>
    <w:link w:val="14"/>
    <w:qFormat/>
    <w:uiPriority w:val="0"/>
    <w:rPr>
      <w:rFonts w:asciiTheme="minorHAnsi" w:hAnsiTheme="minorHAnsi" w:cstheme="minorBidi"/>
      <w:kern w:val="2"/>
      <w:sz w:val="21"/>
      <w:szCs w:val="21"/>
    </w:rPr>
  </w:style>
  <w:style w:type="character" w:customStyle="1" w:styleId="165">
    <w:name w:val="4 dash Char"/>
    <w:autoRedefine/>
    <w:qFormat/>
    <w:uiPriority w:val="0"/>
    <w:rPr>
      <w:rFonts w:ascii="宋体" w:hAnsi="宋体" w:eastAsia="宋体"/>
      <w:b/>
      <w:bCs/>
      <w:caps/>
      <w:smallCaps/>
      <w:kern w:val="2"/>
      <w:sz w:val="21"/>
      <w:szCs w:val="28"/>
      <w:lang w:val="en-US" w:eastAsia="zh-CN" w:bidi="en-US"/>
    </w:rPr>
  </w:style>
  <w:style w:type="character" w:customStyle="1" w:styleId="166">
    <w:name w:val="PIM 9 Char Char"/>
    <w:qFormat/>
    <w:uiPriority w:val="0"/>
    <w:rPr>
      <w:rFonts w:ascii="Arial" w:hAnsi="Arial" w:eastAsia="PMingLiU" w:cs="Times New Roman"/>
      <w:b/>
      <w:bCs/>
      <w:caps/>
      <w:smallCaps/>
      <w:sz w:val="36"/>
      <w:szCs w:val="36"/>
      <w:lang w:val="en-US" w:eastAsia="zh-TW" w:bidi="en-US"/>
    </w:rPr>
  </w:style>
  <w:style w:type="character" w:customStyle="1" w:styleId="167">
    <w:name w:val="Style 樣式 標題 3 + (中文) MS Gothic 10.5 點 + (Latin) Times New Roman (A... Char Char Char Char"/>
    <w:qFormat/>
    <w:uiPriority w:val="0"/>
    <w:rPr>
      <w:rFonts w:ascii="宋体" w:hAnsi="PMingLiU" w:eastAsia="PMingLiU"/>
      <w:b/>
      <w:bCs/>
      <w:caps/>
      <w:smallCaps/>
      <w:snapToGrid w:val="0"/>
      <w:kern w:val="2"/>
      <w:sz w:val="24"/>
      <w:szCs w:val="24"/>
      <w:lang w:val="en-AU" w:eastAsia="zh-TW" w:bidi="ar-SA"/>
    </w:rPr>
  </w:style>
  <w:style w:type="character" w:customStyle="1" w:styleId="168">
    <w:name w:val="樣式 標題 3 + (中文) MS Gothic 10.5 點 Char Char Char Char Char Char Char Char Char Char Char Char Char Char Char Char Char Char Char Char Char Char Char Char Char"/>
    <w:qFormat/>
    <w:uiPriority w:val="0"/>
    <w:rPr>
      <w:rFonts w:ascii="宋体" w:hAnsi="PMingLiU" w:eastAsia="MS Gothic"/>
      <w:b/>
      <w:bCs/>
      <w:caps/>
      <w:smallCaps/>
      <w:snapToGrid w:val="0"/>
      <w:kern w:val="2"/>
      <w:sz w:val="24"/>
      <w:szCs w:val="24"/>
      <w:lang w:val="en-AU" w:eastAsia="zh-TW" w:bidi="ar-SA"/>
    </w:rPr>
  </w:style>
  <w:style w:type="character" w:customStyle="1" w:styleId="169">
    <w:name w:val="文档结构图 Char"/>
    <w:link w:val="16"/>
    <w:qFormat/>
    <w:uiPriority w:val="0"/>
    <w:rPr>
      <w:rFonts w:ascii="宋体"/>
      <w:sz w:val="18"/>
      <w:szCs w:val="18"/>
    </w:rPr>
  </w:style>
  <w:style w:type="character" w:customStyle="1" w:styleId="170">
    <w:name w:val="樣式 標題 3 + (中文) MS Gothic 10.5 點 Char Char Char Char Char Char Char Char Char Char Char Char Char Char Char Char Char Char Char Char Char Char Char"/>
    <w:autoRedefine/>
    <w:qFormat/>
    <w:uiPriority w:val="0"/>
    <w:rPr>
      <w:rFonts w:ascii="宋体" w:hAnsi="PMingLiU" w:eastAsia="MS Gothic"/>
      <w:b/>
      <w:bCs/>
      <w:caps/>
      <w:smallCaps/>
      <w:snapToGrid w:val="0"/>
      <w:kern w:val="2"/>
      <w:sz w:val="24"/>
      <w:szCs w:val="24"/>
      <w:lang w:val="en-AU" w:eastAsia="zh-TW" w:bidi="ar-SA"/>
    </w:rPr>
  </w:style>
  <w:style w:type="character" w:customStyle="1" w:styleId="171">
    <w:name w:val="正文文本 Char"/>
    <w:autoRedefine/>
    <w:qFormat/>
    <w:uiPriority w:val="0"/>
    <w:rPr>
      <w:rFonts w:ascii="Times New Roman" w:hAnsi="Times New Roman" w:eastAsia="宋体" w:cs="Times New Roman"/>
      <w:kern w:val="2"/>
      <w:sz w:val="24"/>
      <w:szCs w:val="24"/>
    </w:rPr>
  </w:style>
  <w:style w:type="character" w:customStyle="1" w:styleId="172">
    <w:name w:val="樣式 標題 3 + (拉丁) 新細明體 字元"/>
    <w:qFormat/>
    <w:uiPriority w:val="0"/>
  </w:style>
  <w:style w:type="character" w:customStyle="1" w:styleId="173">
    <w:name w:val="标题 Char"/>
    <w:link w:val="47"/>
    <w:qFormat/>
    <w:uiPriority w:val="0"/>
    <w:rPr>
      <w:rFonts w:ascii="Arial" w:hAnsi="Arial"/>
      <w:b/>
      <w:bCs/>
      <w:sz w:val="36"/>
      <w:szCs w:val="32"/>
    </w:rPr>
  </w:style>
  <w:style w:type="character" w:customStyle="1" w:styleId="174">
    <w:name w:val="Style 樣式 標題 3 + (中文) MS Gothic 10.5 點 + (Latin) Times New Roman (A... Char"/>
    <w:link w:val="175"/>
    <w:qFormat/>
    <w:uiPriority w:val="0"/>
    <w:rPr>
      <w:rFonts w:hAnsi="PMingLiU" w:eastAsia="PMingLiU"/>
      <w:bCs/>
      <w:snapToGrid w:val="0"/>
      <w:kern w:val="2"/>
      <w:sz w:val="24"/>
      <w:szCs w:val="24"/>
      <w:lang w:val="en-AU" w:eastAsia="zh-TW"/>
    </w:rPr>
  </w:style>
  <w:style w:type="paragraph" w:customStyle="1" w:styleId="175">
    <w:name w:val="Style 樣式 標題 3 + (中文) MS Gothic 10.5 點 + (Latin) Times New Roman (A..."/>
    <w:basedOn w:val="1"/>
    <w:link w:val="174"/>
    <w:qFormat/>
    <w:uiPriority w:val="0"/>
    <w:pPr>
      <w:keepNext/>
      <w:tabs>
        <w:tab w:val="left" w:pos="2160"/>
      </w:tabs>
      <w:spacing w:line="240" w:lineRule="auto"/>
      <w:ind w:left="2160" w:hanging="720" w:firstLineChars="200"/>
      <w:jc w:val="both"/>
      <w:outlineLvl w:val="2"/>
    </w:pPr>
    <w:rPr>
      <w:rFonts w:ascii="Times New Roman" w:hAnsi="PMingLiU" w:eastAsia="PMingLiU" w:cs="Times New Roman"/>
      <w:bCs/>
      <w:snapToGrid w:val="0"/>
      <w:sz w:val="24"/>
      <w:szCs w:val="24"/>
      <w:lang w:val="en-AU" w:eastAsia="zh-TW"/>
    </w:rPr>
  </w:style>
  <w:style w:type="character" w:customStyle="1" w:styleId="176">
    <w:name w:val="段内列表（加粗无缩进） Char"/>
    <w:link w:val="177"/>
    <w:qFormat/>
    <w:uiPriority w:val="0"/>
    <w:rPr>
      <w:rFonts w:ascii="宋体" w:hAnsi="宋体"/>
      <w:bCs/>
      <w:sz w:val="24"/>
      <w:szCs w:val="21"/>
    </w:rPr>
  </w:style>
  <w:style w:type="paragraph" w:customStyle="1" w:styleId="177">
    <w:name w:val="段内列表（加粗无缩进）"/>
    <w:basedOn w:val="1"/>
    <w:link w:val="176"/>
    <w:qFormat/>
    <w:uiPriority w:val="0"/>
    <w:pPr>
      <w:widowControl/>
      <w:tabs>
        <w:tab w:val="left" w:pos="1418"/>
      </w:tabs>
      <w:autoSpaceDE w:val="0"/>
      <w:autoSpaceDN w:val="0"/>
      <w:adjustRightInd w:val="0"/>
      <w:spacing w:before="100" w:beforeAutospacing="1" w:after="100" w:afterAutospacing="1"/>
      <w:ind w:right="238" w:firstLine="200" w:firstLineChars="200"/>
      <w:jc w:val="center"/>
    </w:pPr>
    <w:rPr>
      <w:rFonts w:ascii="宋体" w:hAnsi="宋体" w:cs="Times New Roman"/>
      <w:bCs/>
      <w:kern w:val="0"/>
      <w:sz w:val="24"/>
    </w:rPr>
  </w:style>
  <w:style w:type="character" w:customStyle="1" w:styleId="178">
    <w:name w:val="标题 7 Char Char"/>
    <w:autoRedefine/>
    <w:qFormat/>
    <w:uiPriority w:val="0"/>
    <w:rPr>
      <w:rFonts w:eastAsia="宋体"/>
      <w:b/>
      <w:bCs/>
      <w:sz w:val="24"/>
      <w:szCs w:val="24"/>
      <w:lang w:val="en-US" w:eastAsia="zh-CN" w:bidi="ar-SA"/>
    </w:rPr>
  </w:style>
  <w:style w:type="character" w:customStyle="1" w:styleId="179">
    <w:name w:val="图名 Char"/>
    <w:link w:val="180"/>
    <w:autoRedefine/>
    <w:qFormat/>
    <w:uiPriority w:val="0"/>
    <w:rPr>
      <w:sz w:val="21"/>
      <w:szCs w:val="22"/>
    </w:rPr>
  </w:style>
  <w:style w:type="paragraph" w:customStyle="1" w:styleId="180">
    <w:name w:val="图名"/>
    <w:basedOn w:val="20"/>
    <w:link w:val="179"/>
    <w:autoRedefine/>
    <w:qFormat/>
    <w:uiPriority w:val="0"/>
    <w:pPr>
      <w:adjustRightInd w:val="0"/>
      <w:spacing w:after="0" w:line="312" w:lineRule="atLeast"/>
      <w:ind w:left="0"/>
      <w:jc w:val="both"/>
      <w:textAlignment w:val="baseline"/>
    </w:pPr>
    <w:rPr>
      <w:kern w:val="0"/>
      <w:szCs w:val="22"/>
    </w:rPr>
  </w:style>
  <w:style w:type="character" w:customStyle="1" w:styleId="181">
    <w:name w:val="列表项目符号 2 Char Char"/>
    <w:qFormat/>
    <w:uiPriority w:val="0"/>
    <w:rPr>
      <w:rFonts w:eastAsia="宋体"/>
      <w:sz w:val="24"/>
      <w:szCs w:val="24"/>
      <w:lang w:val="en-US" w:eastAsia="zh-CN" w:bidi="ar-SA"/>
    </w:rPr>
  </w:style>
  <w:style w:type="character" w:customStyle="1" w:styleId="182">
    <w:name w:val="正文文本缩进 2 Char"/>
    <w:link w:val="28"/>
    <w:autoRedefine/>
    <w:qFormat/>
    <w:uiPriority w:val="0"/>
    <w:rPr>
      <w:kern w:val="2"/>
      <w:sz w:val="24"/>
      <w:szCs w:val="24"/>
    </w:rPr>
  </w:style>
  <w:style w:type="character" w:customStyle="1" w:styleId="183">
    <w:name w:val="正文文本 2 Char"/>
    <w:link w:val="44"/>
    <w:qFormat/>
    <w:uiPriority w:val="0"/>
    <w:rPr>
      <w:rFonts w:ascii="仿宋_GB2312" w:hAnsi="宋体" w:eastAsia="仿宋_GB2312" w:cs="宋体-18030"/>
      <w:color w:val="000000"/>
      <w:kern w:val="2"/>
      <w:sz w:val="24"/>
    </w:rPr>
  </w:style>
  <w:style w:type="character" w:customStyle="1" w:styleId="184">
    <w:name w:val="居中 Char"/>
    <w:link w:val="185"/>
    <w:autoRedefine/>
    <w:qFormat/>
    <w:uiPriority w:val="0"/>
    <w:rPr>
      <w:rFonts w:ascii="Arial" w:hAnsi="Arial" w:eastAsia="华文细黑"/>
      <w:kern w:val="2"/>
      <w:sz w:val="28"/>
      <w:szCs w:val="28"/>
    </w:rPr>
  </w:style>
  <w:style w:type="paragraph" w:customStyle="1" w:styleId="185">
    <w:name w:val="居中"/>
    <w:basedOn w:val="1"/>
    <w:next w:val="1"/>
    <w:link w:val="184"/>
    <w:autoRedefine/>
    <w:qFormat/>
    <w:uiPriority w:val="0"/>
    <w:pPr>
      <w:spacing w:line="240" w:lineRule="auto"/>
      <w:ind w:firstLine="200" w:firstLineChars="200"/>
      <w:jc w:val="center"/>
    </w:pPr>
    <w:rPr>
      <w:rFonts w:ascii="Arial" w:hAnsi="Arial" w:eastAsia="华文细黑" w:cs="Times New Roman"/>
      <w:sz w:val="28"/>
      <w:szCs w:val="28"/>
    </w:rPr>
  </w:style>
  <w:style w:type="character" w:customStyle="1" w:styleId="186">
    <w:name w:val="正文缩进 Char2"/>
    <w:qFormat/>
    <w:uiPriority w:val="0"/>
    <w:rPr>
      <w:kern w:val="2"/>
      <w:sz w:val="21"/>
    </w:rPr>
  </w:style>
  <w:style w:type="character" w:customStyle="1" w:styleId="187">
    <w:name w:val="标题 5 Char1"/>
    <w:qFormat/>
    <w:uiPriority w:val="0"/>
    <w:rPr>
      <w:rFonts w:ascii="Arial" w:hAnsi="Arial" w:eastAsia="黑体"/>
      <w:bCs/>
      <w:kern w:val="2"/>
      <w:sz w:val="24"/>
      <w:szCs w:val="24"/>
    </w:rPr>
  </w:style>
  <w:style w:type="character" w:customStyle="1" w:styleId="188">
    <w:name w:val="日期 Char"/>
    <w:link w:val="27"/>
    <w:qFormat/>
    <w:uiPriority w:val="99"/>
    <w:rPr>
      <w:rFonts w:ascii="宋体" w:hAnsi="Courier New" w:cs="Courier New"/>
      <w:b/>
      <w:bCs/>
      <w:sz w:val="28"/>
      <w:szCs w:val="21"/>
      <w:lang w:eastAsia="en-US" w:bidi="en-US"/>
    </w:rPr>
  </w:style>
  <w:style w:type="character" w:customStyle="1" w:styleId="189">
    <w:name w:val="编号标题2 Char Char Char"/>
    <w:qFormat/>
    <w:uiPriority w:val="0"/>
    <w:rPr>
      <w:rFonts w:ascii="Arial" w:hAnsi="Arial" w:eastAsia="黑体"/>
      <w:b/>
      <w:caps/>
      <w:smallCaps/>
      <w:kern w:val="2"/>
      <w:sz w:val="21"/>
      <w:szCs w:val="32"/>
      <w:lang w:val="en-US" w:eastAsia="zh-CN" w:bidi="ar-SA"/>
    </w:rPr>
  </w:style>
  <w:style w:type="character" w:customStyle="1" w:styleId="190">
    <w:name w:val="表 Char"/>
    <w:link w:val="148"/>
    <w:autoRedefine/>
    <w:qFormat/>
    <w:uiPriority w:val="0"/>
    <w:rPr>
      <w:sz w:val="24"/>
      <w:szCs w:val="21"/>
    </w:rPr>
  </w:style>
  <w:style w:type="character" w:customStyle="1" w:styleId="191">
    <w:name w:val="罗（五级） Char Char"/>
    <w:link w:val="192"/>
    <w:qFormat/>
    <w:uiPriority w:val="0"/>
    <w:rPr>
      <w:rFonts w:ascii="Cambria" w:hAnsi="Cambria"/>
      <w:kern w:val="2"/>
      <w:sz w:val="28"/>
      <w:szCs w:val="22"/>
    </w:rPr>
  </w:style>
  <w:style w:type="paragraph" w:customStyle="1" w:styleId="192">
    <w:name w:val="罗（五级）"/>
    <w:link w:val="191"/>
    <w:qFormat/>
    <w:uiPriority w:val="0"/>
    <w:pPr>
      <w:spacing w:after="200" w:line="520" w:lineRule="exact"/>
      <w:ind w:left="200" w:hanging="200" w:hangingChars="200"/>
      <w:jc w:val="both"/>
    </w:pPr>
    <w:rPr>
      <w:rFonts w:ascii="Cambria" w:hAnsi="Cambria" w:eastAsia="宋体" w:cs="Times New Roman"/>
      <w:kern w:val="2"/>
      <w:sz w:val="28"/>
      <w:szCs w:val="22"/>
      <w:lang w:val="en-US" w:eastAsia="zh-CN" w:bidi="ar-SA"/>
    </w:rPr>
  </w:style>
  <w:style w:type="character" w:customStyle="1" w:styleId="193">
    <w:name w:val="罗慧（三级标题） Char"/>
    <w:link w:val="194"/>
    <w:autoRedefine/>
    <w:qFormat/>
    <w:uiPriority w:val="0"/>
    <w:rPr>
      <w:rFonts w:ascii="Cambria" w:hAnsi="Cambria"/>
      <w:b/>
      <w:bCs/>
      <w:sz w:val="21"/>
      <w:szCs w:val="21"/>
      <w:lang w:val="zh-CN"/>
    </w:rPr>
  </w:style>
  <w:style w:type="paragraph" w:customStyle="1" w:styleId="194">
    <w:name w:val="罗慧（三级标题）"/>
    <w:basedOn w:val="112"/>
    <w:link w:val="193"/>
    <w:autoRedefine/>
    <w:qFormat/>
    <w:uiPriority w:val="0"/>
    <w:pPr>
      <w:ind w:left="562" w:hanging="562"/>
    </w:pPr>
    <w:rPr>
      <w:bCs/>
      <w:sz w:val="21"/>
      <w:szCs w:val="21"/>
      <w:lang w:val="zh-CN"/>
    </w:rPr>
  </w:style>
  <w:style w:type="character" w:customStyle="1" w:styleId="195">
    <w:name w:val="不明显强调1"/>
    <w:autoRedefine/>
    <w:qFormat/>
    <w:uiPriority w:val="19"/>
    <w:rPr>
      <w:i/>
      <w:iCs/>
    </w:rPr>
  </w:style>
  <w:style w:type="character" w:customStyle="1" w:styleId="196">
    <w:name w:val="明显强调1"/>
    <w:qFormat/>
    <w:uiPriority w:val="21"/>
    <w:rPr>
      <w:b/>
      <w:bCs/>
      <w:i/>
      <w:iCs/>
    </w:rPr>
  </w:style>
  <w:style w:type="character" w:customStyle="1" w:styleId="197">
    <w:name w:val="Char Char8"/>
    <w:autoRedefine/>
    <w:semiHidden/>
    <w:qFormat/>
    <w:uiPriority w:val="0"/>
    <w:rPr>
      <w:rFonts w:ascii="宋体" w:hAnsi="宋体" w:eastAsia="宋体"/>
      <w:b/>
      <w:bCs/>
      <w:caps/>
      <w:smallCaps/>
      <w:kern w:val="2"/>
      <w:sz w:val="21"/>
      <w:szCs w:val="24"/>
      <w:lang w:val="en-US" w:eastAsia="zh-CN" w:bidi="en-US"/>
    </w:rPr>
  </w:style>
  <w:style w:type="character" w:customStyle="1" w:styleId="198">
    <w:name w:val="1 级标题 Char"/>
    <w:autoRedefine/>
    <w:qFormat/>
    <w:uiPriority w:val="0"/>
    <w:rPr>
      <w:rFonts w:ascii="Times New Roman" w:hAnsi="Times New Roman" w:eastAsia="宋体"/>
      <w:b/>
      <w:bCs/>
      <w:caps/>
      <w:smallCaps/>
      <w:kern w:val="44"/>
      <w:sz w:val="24"/>
      <w:szCs w:val="44"/>
      <w:lang w:val="en-US" w:eastAsia="zh-CN" w:bidi="en-US"/>
    </w:rPr>
  </w:style>
  <w:style w:type="character" w:customStyle="1" w:styleId="199">
    <w:name w:val="Head 1 字元 Char Char Char"/>
    <w:autoRedefine/>
    <w:qFormat/>
    <w:uiPriority w:val="0"/>
    <w:rPr>
      <w:rFonts w:ascii="Arial" w:hAnsi="Arial" w:eastAsia="PMingLiU"/>
      <w:bCs/>
      <w:caps/>
      <w:smallCaps/>
      <w:kern w:val="28"/>
      <w:sz w:val="28"/>
      <w:szCs w:val="28"/>
      <w:lang w:val="en-US" w:eastAsia="zh-TW" w:bidi="ar-SA"/>
    </w:rPr>
  </w:style>
  <w:style w:type="character" w:customStyle="1" w:styleId="200">
    <w:name w:val="列表项目符号 2 Char"/>
    <w:link w:val="21"/>
    <w:qFormat/>
    <w:uiPriority w:val="0"/>
    <w:rPr>
      <w:sz w:val="24"/>
      <w:szCs w:val="24"/>
    </w:rPr>
  </w:style>
  <w:style w:type="paragraph" w:customStyle="1" w:styleId="201">
    <w:name w:val="CM15"/>
    <w:basedOn w:val="63"/>
    <w:next w:val="63"/>
    <w:autoRedefine/>
    <w:qFormat/>
    <w:uiPriority w:val="0"/>
    <w:pPr>
      <w:spacing w:line="273" w:lineRule="atLeast"/>
    </w:pPr>
    <w:rPr>
      <w:rFonts w:ascii="黑体" w:hAnsi="Times New Roman" w:eastAsia="黑体" w:cs="黑体"/>
      <w:color w:val="auto"/>
    </w:rPr>
  </w:style>
  <w:style w:type="paragraph" w:customStyle="1" w:styleId="202">
    <w:name w:val="招标文件1"/>
    <w:basedOn w:val="1"/>
    <w:qFormat/>
    <w:uiPriority w:val="0"/>
    <w:pPr>
      <w:tabs>
        <w:tab w:val="left" w:pos="420"/>
      </w:tabs>
      <w:spacing w:before="120" w:after="120" w:line="480" w:lineRule="exact"/>
      <w:ind w:left="1418" w:firstLine="200" w:firstLineChars="200"/>
      <w:outlineLvl w:val="1"/>
    </w:pPr>
    <w:rPr>
      <w:rFonts w:ascii="宋体" w:hAnsi="Times New Roman" w:cs="Times New Roman"/>
      <w:b/>
      <w:spacing w:val="10"/>
      <w:w w:val="95"/>
      <w:kern w:val="0"/>
      <w:sz w:val="28"/>
      <w:szCs w:val="24"/>
    </w:rPr>
  </w:style>
  <w:style w:type="character" w:customStyle="1" w:styleId="203">
    <w:name w:val="副标题 Char1"/>
    <w:basedOn w:val="55"/>
    <w:qFormat/>
    <w:uiPriority w:val="0"/>
    <w:rPr>
      <w:rFonts w:asciiTheme="majorHAnsi" w:hAnsiTheme="majorHAnsi" w:cstheme="majorBidi"/>
      <w:b/>
      <w:bCs/>
      <w:kern w:val="28"/>
      <w:sz w:val="32"/>
      <w:szCs w:val="32"/>
    </w:rPr>
  </w:style>
  <w:style w:type="paragraph" w:customStyle="1" w:styleId="204">
    <w:name w:val="Char Char3 Char Char Char Char"/>
    <w:basedOn w:val="1"/>
    <w:qFormat/>
    <w:uiPriority w:val="0"/>
    <w:pPr>
      <w:widowControl/>
      <w:spacing w:after="160" w:line="240" w:lineRule="exact"/>
      <w:ind w:firstLine="200" w:firstLineChars="200"/>
    </w:pPr>
    <w:rPr>
      <w:rFonts w:ascii="Verdana" w:hAnsi="Verdana" w:cs="Times New Roman"/>
      <w:kern w:val="0"/>
      <w:sz w:val="20"/>
      <w:szCs w:val="20"/>
      <w:lang w:eastAsia="en-US"/>
    </w:rPr>
  </w:style>
  <w:style w:type="paragraph" w:customStyle="1" w:styleId="205">
    <w:name w:val="样式1"/>
    <w:basedOn w:val="6"/>
    <w:qFormat/>
    <w:uiPriority w:val="0"/>
    <w:pPr>
      <w:keepNext w:val="0"/>
      <w:keepLines w:val="0"/>
      <w:widowControl/>
      <w:numPr>
        <w:ilvl w:val="1"/>
        <w:numId w:val="3"/>
      </w:numPr>
      <w:tabs>
        <w:tab w:val="left" w:pos="2340"/>
      </w:tabs>
      <w:spacing w:beforeLines="50" w:after="100" w:line="420" w:lineRule="exact"/>
      <w:ind w:left="2340"/>
      <w:outlineLvl w:val="4"/>
    </w:pPr>
    <w:rPr>
      <w:rFonts w:ascii="Times New Roman" w:hAnsi="Times New Roman" w:eastAsia="宋体" w:cs="Times New Roman"/>
      <w:b w:val="0"/>
      <w:bCs w:val="0"/>
      <w:spacing w:val="5"/>
      <w:kern w:val="0"/>
      <w:sz w:val="21"/>
      <w:szCs w:val="20"/>
      <w:lang w:eastAsia="en-US" w:bidi="en-US"/>
    </w:rPr>
  </w:style>
  <w:style w:type="paragraph" w:customStyle="1" w:styleId="206">
    <w:name w:val="列表框 Char Char"/>
    <w:basedOn w:val="36"/>
    <w:next w:val="1"/>
    <w:qFormat/>
    <w:uiPriority w:val="0"/>
  </w:style>
  <w:style w:type="paragraph" w:customStyle="1" w:styleId="207">
    <w:name w:val="正文样式"/>
    <w:autoRedefine/>
    <w:qFormat/>
    <w:uiPriority w:val="0"/>
    <w:pPr>
      <w:widowControl w:val="0"/>
      <w:spacing w:line="360" w:lineRule="auto"/>
      <w:ind w:firstLine="482"/>
      <w:jc w:val="both"/>
    </w:pPr>
    <w:rPr>
      <w:rFonts w:ascii="宋体" w:hAnsi="Times New Roman" w:eastAsia="宋体" w:cs="宋体"/>
      <w:kern w:val="2"/>
      <w:sz w:val="24"/>
      <w:lang w:val="en-US" w:eastAsia="zh-CN" w:bidi="ar-SA"/>
    </w:rPr>
  </w:style>
  <w:style w:type="paragraph" w:customStyle="1" w:styleId="208">
    <w:name w:val="表格2"/>
    <w:basedOn w:val="209"/>
    <w:autoRedefine/>
    <w:qFormat/>
    <w:uiPriority w:val="0"/>
  </w:style>
  <w:style w:type="paragraph" w:customStyle="1" w:styleId="209">
    <w:name w:val="表格1"/>
    <w:basedOn w:val="1"/>
    <w:autoRedefine/>
    <w:qFormat/>
    <w:uiPriority w:val="0"/>
    <w:pPr>
      <w:snapToGrid w:val="0"/>
      <w:spacing w:before="120" w:line="240" w:lineRule="auto"/>
      <w:ind w:firstLine="200" w:firstLineChars="200"/>
      <w:jc w:val="center"/>
    </w:pPr>
    <w:rPr>
      <w:rFonts w:ascii="Times New Roman" w:hAnsi="Times New Roman" w:eastAsia="DFKai-SB" w:cs="Times New Roman"/>
      <w:sz w:val="24"/>
      <w:szCs w:val="20"/>
      <w:lang w:eastAsia="zh-TW"/>
    </w:rPr>
  </w:style>
  <w:style w:type="paragraph" w:customStyle="1" w:styleId="210">
    <w:name w:val="CM7"/>
    <w:basedOn w:val="63"/>
    <w:next w:val="63"/>
    <w:qFormat/>
    <w:uiPriority w:val="0"/>
    <w:pPr>
      <w:spacing w:line="273" w:lineRule="atLeast"/>
    </w:pPr>
    <w:rPr>
      <w:rFonts w:ascii="黑体" w:hAnsi="Times New Roman" w:eastAsia="黑体" w:cs="黑体"/>
      <w:color w:val="auto"/>
    </w:rPr>
  </w:style>
  <w:style w:type="paragraph" w:customStyle="1" w:styleId="211">
    <w:name w:val="xl35"/>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line="240" w:lineRule="auto"/>
      <w:ind w:firstLine="200" w:firstLineChars="200"/>
      <w:jc w:val="center"/>
      <w:textAlignment w:val="center"/>
    </w:pPr>
    <w:rPr>
      <w:rFonts w:hint="eastAsia" w:ascii="楷体_GB2312" w:hAnsi="宋体" w:eastAsia="楷体_GB2312" w:cs="Times New Roman"/>
      <w:kern w:val="0"/>
      <w:sz w:val="24"/>
      <w:szCs w:val="24"/>
    </w:rPr>
  </w:style>
  <w:style w:type="paragraph" w:customStyle="1" w:styleId="212">
    <w:name w:val="样式2"/>
    <w:basedOn w:val="1"/>
    <w:qFormat/>
    <w:uiPriority w:val="0"/>
    <w:pPr>
      <w:widowControl/>
      <w:ind w:firstLine="200" w:firstLineChars="200"/>
      <w:jc w:val="both"/>
    </w:pPr>
    <w:rPr>
      <w:rFonts w:ascii="Times New Roman" w:hAnsi="Times New Roman" w:cs="Times New Roman"/>
      <w:kern w:val="0"/>
      <w:sz w:val="24"/>
      <w:szCs w:val="24"/>
    </w:rPr>
  </w:style>
  <w:style w:type="paragraph" w:customStyle="1" w:styleId="213">
    <w:name w:val="CM12"/>
    <w:basedOn w:val="63"/>
    <w:next w:val="63"/>
    <w:qFormat/>
    <w:uiPriority w:val="0"/>
    <w:rPr>
      <w:rFonts w:ascii="黑体" w:hAnsi="Times New Roman" w:eastAsia="黑体" w:cs="黑体"/>
      <w:color w:val="auto"/>
    </w:rPr>
  </w:style>
  <w:style w:type="paragraph" w:customStyle="1" w:styleId="214">
    <w:name w:val="标题 5H5第四层条bdashdsdd5 sub-bulletsb4th order hd4th or..."/>
    <w:basedOn w:val="7"/>
    <w:autoRedefine/>
    <w:qFormat/>
    <w:uiPriority w:val="0"/>
    <w:pPr>
      <w:keepNext/>
      <w:keepLines/>
      <w:tabs>
        <w:tab w:val="left" w:pos="480"/>
        <w:tab w:val="left" w:pos="1008"/>
      </w:tabs>
      <w:spacing w:before="80" w:after="40" w:line="240" w:lineRule="auto"/>
      <w:ind w:left="1008" w:hanging="1008" w:firstLineChars="200"/>
      <w:contextualSpacing/>
    </w:pPr>
    <w:rPr>
      <w:rFonts w:ascii="Arial" w:hAnsi="Arial" w:eastAsia="黑体" w:cs="宋体"/>
      <w:b w:val="0"/>
      <w:bCs w:val="0"/>
      <w:sz w:val="24"/>
      <w:szCs w:val="20"/>
    </w:rPr>
  </w:style>
  <w:style w:type="paragraph" w:customStyle="1" w:styleId="215">
    <w:name w:val="_Style 1"/>
    <w:autoRedefine/>
    <w:qFormat/>
    <w:uiPriority w:val="1"/>
    <w:rPr>
      <w:rFonts w:ascii="Calibri" w:hAnsi="Calibri" w:eastAsia="宋体" w:cs="Times New Roman"/>
      <w:sz w:val="22"/>
      <w:szCs w:val="22"/>
      <w:lang w:val="en-US" w:eastAsia="zh-CN" w:bidi="ar-SA"/>
    </w:rPr>
  </w:style>
  <w:style w:type="paragraph" w:customStyle="1" w:styleId="216">
    <w:name w:val="Style Heading 33 bullet2B HeadbIRMS 3bulletbullets + Justifi..."/>
    <w:basedOn w:val="1"/>
    <w:qFormat/>
    <w:uiPriority w:val="0"/>
    <w:pPr>
      <w:tabs>
        <w:tab w:val="left" w:pos="0"/>
      </w:tabs>
      <w:spacing w:line="240" w:lineRule="auto"/>
      <w:ind w:firstLine="200" w:firstLineChars="200"/>
    </w:pPr>
    <w:rPr>
      <w:rFonts w:ascii="Times New Roman" w:hAnsi="Times New Roman" w:eastAsia="PMingLiU" w:cs="Times New Roman"/>
      <w:sz w:val="24"/>
      <w:szCs w:val="24"/>
      <w:lang w:eastAsia="zh-TW"/>
    </w:rPr>
  </w:style>
  <w:style w:type="paragraph" w:customStyle="1" w:styleId="217">
    <w:name w:val="样式 标题 3h3Heading 3 - oldH3l3CTTitle3MapH313rd levelsec..."/>
    <w:basedOn w:val="4"/>
    <w:autoRedefine/>
    <w:qFormat/>
    <w:uiPriority w:val="0"/>
    <w:pPr>
      <w:widowControl/>
      <w:spacing w:before="240" w:after="120" w:line="413" w:lineRule="auto"/>
      <w:ind w:left="426"/>
    </w:pPr>
    <w:rPr>
      <w:rFonts w:ascii="宋体" w:hAnsi="Times New Roman" w:cs="宋体"/>
      <w:kern w:val="0"/>
      <w:sz w:val="28"/>
      <w:szCs w:val="20"/>
    </w:rPr>
  </w:style>
  <w:style w:type="paragraph" w:customStyle="1" w:styleId="218">
    <w:name w:val="樣式 標題 3 + (拉丁) 新細明體"/>
    <w:basedOn w:val="4"/>
    <w:autoRedefine/>
    <w:qFormat/>
    <w:uiPriority w:val="0"/>
    <w:pPr>
      <w:keepNext w:val="0"/>
      <w:keepLines w:val="0"/>
      <w:tabs>
        <w:tab w:val="left" w:pos="-915"/>
        <w:tab w:val="left" w:pos="1200"/>
      </w:tabs>
      <w:spacing w:line="360" w:lineRule="auto"/>
      <w:jc w:val="both"/>
    </w:pPr>
    <w:rPr>
      <w:rFonts w:ascii="PMingLiU" w:hAnsi="PMingLiU"/>
      <w:b w:val="0"/>
      <w:bCs w:val="0"/>
      <w:color w:val="000000"/>
      <w:szCs w:val="24"/>
    </w:rPr>
  </w:style>
  <w:style w:type="paragraph" w:customStyle="1" w:styleId="219">
    <w:name w:val="样式 标题 4标题 5 Char Char标题 1)第四层条第五层H5dsddRoman listh5PIM..."/>
    <w:basedOn w:val="6"/>
    <w:autoRedefine/>
    <w:qFormat/>
    <w:uiPriority w:val="0"/>
    <w:pPr>
      <w:widowControl/>
      <w:suppressAutoHyphens/>
      <w:spacing w:before="0" w:after="0" w:line="300" w:lineRule="auto"/>
      <w:ind w:right="170"/>
      <w:jc w:val="both"/>
    </w:pPr>
    <w:rPr>
      <w:rFonts w:ascii="Times New Roman" w:hAnsi="Times New Roman" w:eastAsia="宋体" w:cs="宋体"/>
      <w:b w:val="0"/>
      <w:bCs w:val="0"/>
      <w:smallCaps/>
      <w:snapToGrid w:val="0"/>
      <w:kern w:val="0"/>
      <w:sz w:val="21"/>
      <w:szCs w:val="21"/>
      <w:lang w:val="en-GB"/>
    </w:rPr>
  </w:style>
  <w:style w:type="paragraph" w:customStyle="1" w:styleId="220">
    <w:name w:val="a"/>
    <w:basedOn w:val="1"/>
    <w:autoRedefine/>
    <w:qFormat/>
    <w:uiPriority w:val="0"/>
    <w:pPr>
      <w:widowControl/>
      <w:spacing w:before="100" w:beforeAutospacing="1" w:after="100" w:afterAutospacing="1" w:line="240" w:lineRule="auto"/>
      <w:ind w:firstLine="200" w:firstLineChars="200"/>
    </w:pPr>
    <w:rPr>
      <w:rFonts w:ascii="宋体" w:hAnsi="宋体" w:cs="宋体"/>
      <w:kern w:val="0"/>
      <w:sz w:val="24"/>
      <w:szCs w:val="24"/>
    </w:rPr>
  </w:style>
  <w:style w:type="paragraph" w:customStyle="1" w:styleId="221">
    <w:name w:val="blockjust"/>
    <w:autoRedefine/>
    <w:qFormat/>
    <w:uiPriority w:val="0"/>
    <w:pPr>
      <w:tabs>
        <w:tab w:val="left" w:pos="-720"/>
      </w:tabs>
      <w:suppressAutoHyphens/>
      <w:autoSpaceDE w:val="0"/>
      <w:autoSpaceDN w:val="0"/>
      <w:jc w:val="both"/>
    </w:pPr>
    <w:rPr>
      <w:rFonts w:ascii="Times New Roman" w:hAnsi="Times New Roman" w:eastAsia="PMingLiU" w:cs="Times New Roman"/>
      <w:spacing w:val="-3"/>
      <w:sz w:val="24"/>
      <w:szCs w:val="24"/>
      <w:lang w:val="en-US" w:eastAsia="zh-TW" w:bidi="ar-SA"/>
    </w:rPr>
  </w:style>
  <w:style w:type="paragraph" w:customStyle="1" w:styleId="222">
    <w:name w:val="Titre 2 lignes module"/>
    <w:basedOn w:val="1"/>
    <w:autoRedefine/>
    <w:qFormat/>
    <w:uiPriority w:val="0"/>
    <w:pPr>
      <w:widowControl/>
      <w:spacing w:beforeLines="50" w:after="120"/>
      <w:ind w:firstLine="200" w:firstLineChars="200"/>
      <w:jc w:val="center"/>
    </w:pPr>
    <w:rPr>
      <w:rFonts w:ascii="Arial" w:hAnsi="Arial" w:cs="Times New Roman"/>
      <w:b/>
      <w:kern w:val="0"/>
      <w:sz w:val="24"/>
      <w:szCs w:val="20"/>
      <w:lang w:eastAsia="fr-FR" w:bidi="en-US"/>
    </w:rPr>
  </w:style>
  <w:style w:type="paragraph" w:customStyle="1" w:styleId="223">
    <w:name w:val="表格"/>
    <w:basedOn w:val="1"/>
    <w:autoRedefine/>
    <w:qFormat/>
    <w:uiPriority w:val="0"/>
    <w:pPr>
      <w:spacing w:line="240" w:lineRule="auto"/>
      <w:ind w:firstLine="200" w:firstLineChars="200"/>
    </w:pPr>
    <w:rPr>
      <w:rFonts w:ascii="Times New Roman" w:hAnsi="Times New Roman" w:cs="Times New Roman"/>
      <w:sz w:val="24"/>
    </w:rPr>
  </w:style>
  <w:style w:type="paragraph" w:customStyle="1" w:styleId="224">
    <w:name w:val="图片"/>
    <w:qFormat/>
    <w:uiPriority w:val="0"/>
    <w:pPr>
      <w:tabs>
        <w:tab w:val="left" w:pos="500"/>
      </w:tabs>
      <w:jc w:val="center"/>
    </w:pPr>
    <w:rPr>
      <w:rFonts w:ascii="宋体" w:hAnsi="宋体" w:eastAsia="宋体" w:cs="Times New Roman"/>
      <w:sz w:val="21"/>
      <w:szCs w:val="21"/>
      <w:lang w:val="en-US" w:eastAsia="zh-CN" w:bidi="ar-SA"/>
    </w:rPr>
  </w:style>
  <w:style w:type="paragraph" w:customStyle="1" w:styleId="225">
    <w:name w:val="Style Body Text Indent 3 + Left  5.29 ch First line:  0.01 ch"/>
    <w:basedOn w:val="40"/>
    <w:autoRedefine/>
    <w:qFormat/>
    <w:uiPriority w:val="0"/>
    <w:pPr>
      <w:widowControl w:val="0"/>
      <w:spacing w:beforeLines="0"/>
      <w:jc w:val="both"/>
    </w:pPr>
    <w:rPr>
      <w:rFonts w:ascii="Times New Roman" w:hAnsi="Times New Roman"/>
      <w:kern w:val="2"/>
      <w:lang w:eastAsia="zh-CN" w:bidi="ar-SA"/>
    </w:rPr>
  </w:style>
  <w:style w:type="paragraph" w:customStyle="1" w:styleId="226">
    <w:name w:val="CM16"/>
    <w:basedOn w:val="63"/>
    <w:next w:val="63"/>
    <w:autoRedefine/>
    <w:qFormat/>
    <w:uiPriority w:val="0"/>
    <w:pPr>
      <w:spacing w:after="173"/>
    </w:pPr>
    <w:rPr>
      <w:rFonts w:ascii="黑体" w:hAnsi="Times New Roman" w:eastAsia="黑体" w:cs="黑体"/>
      <w:color w:val="auto"/>
    </w:rPr>
  </w:style>
  <w:style w:type="paragraph" w:customStyle="1" w:styleId="227">
    <w:name w:val="Style Heading 1 + Justified"/>
    <w:basedOn w:val="3"/>
    <w:qFormat/>
    <w:uiPriority w:val="0"/>
    <w:pPr>
      <w:keepLines w:val="0"/>
      <w:widowControl/>
      <w:numPr>
        <w:ilvl w:val="0"/>
        <w:numId w:val="4"/>
      </w:numPr>
      <w:spacing w:before="120" w:after="360" w:line="360" w:lineRule="auto"/>
      <w:jc w:val="both"/>
    </w:pPr>
    <w:rPr>
      <w:rFonts w:ascii="黑体" w:hAnsi="黑体" w:eastAsia="PMingLiU" w:cs="PMingLiU"/>
      <w:bCs w:val="0"/>
      <w:kern w:val="28"/>
      <w:sz w:val="24"/>
      <w:szCs w:val="28"/>
      <w:lang w:eastAsia="zh-TW"/>
    </w:rPr>
  </w:style>
  <w:style w:type="paragraph" w:customStyle="1" w:styleId="228">
    <w:name w:val="CM5"/>
    <w:basedOn w:val="63"/>
    <w:next w:val="63"/>
    <w:autoRedefine/>
    <w:qFormat/>
    <w:uiPriority w:val="0"/>
    <w:pPr>
      <w:spacing w:line="373" w:lineRule="atLeast"/>
    </w:pPr>
    <w:rPr>
      <w:rFonts w:ascii="黑体" w:hAnsi="Times New Roman" w:eastAsia="黑体" w:cs="黑体"/>
      <w:color w:val="auto"/>
    </w:rPr>
  </w:style>
  <w:style w:type="character" w:customStyle="1" w:styleId="229">
    <w:name w:val="引用 Char1"/>
    <w:basedOn w:val="55"/>
    <w:semiHidden/>
    <w:qFormat/>
    <w:uiPriority w:val="99"/>
    <w:rPr>
      <w:rFonts w:asciiTheme="minorHAnsi" w:hAnsiTheme="minorHAnsi" w:cstheme="minorBidi"/>
      <w:i/>
      <w:iCs/>
      <w:color w:val="000000" w:themeColor="text1"/>
      <w:kern w:val="2"/>
      <w:sz w:val="21"/>
      <w:szCs w:val="21"/>
      <w14:textFill>
        <w14:solidFill>
          <w14:schemeClr w14:val="tx1"/>
        </w14:solidFill>
      </w14:textFill>
    </w:rPr>
  </w:style>
  <w:style w:type="paragraph" w:customStyle="1" w:styleId="230">
    <w:name w:val="样式 Times New Roman 左  4.27 字符"/>
    <w:basedOn w:val="1"/>
    <w:autoRedefine/>
    <w:qFormat/>
    <w:uiPriority w:val="0"/>
    <w:pPr>
      <w:widowControl/>
      <w:numPr>
        <w:ilvl w:val="0"/>
        <w:numId w:val="5"/>
      </w:numPr>
      <w:tabs>
        <w:tab w:val="left" w:pos="480"/>
      </w:tabs>
      <w:spacing w:beforeLines="50" w:after="120"/>
      <w:ind w:firstLine="200" w:firstLineChars="200"/>
    </w:pPr>
    <w:rPr>
      <w:rFonts w:ascii="Cambria" w:hAnsi="Cambria" w:cs="宋体"/>
      <w:color w:val="000000"/>
      <w:kern w:val="0"/>
      <w:sz w:val="24"/>
      <w:szCs w:val="20"/>
      <w:lang w:eastAsia="en-US" w:bidi="en-US"/>
    </w:rPr>
  </w:style>
  <w:style w:type="paragraph" w:customStyle="1" w:styleId="231">
    <w:name w:val="Char Char Char Char1"/>
    <w:basedOn w:val="1"/>
    <w:qFormat/>
    <w:uiPriority w:val="0"/>
    <w:pPr>
      <w:spacing w:line="240" w:lineRule="auto"/>
      <w:ind w:firstLine="200" w:firstLineChars="200"/>
      <w:jc w:val="both"/>
    </w:pPr>
    <w:rPr>
      <w:rFonts w:ascii="Tahoma" w:hAnsi="Tahoma" w:cs="Times New Roman"/>
      <w:sz w:val="24"/>
      <w:szCs w:val="20"/>
    </w:rPr>
  </w:style>
  <w:style w:type="paragraph" w:customStyle="1" w:styleId="232">
    <w:name w:val="招标文件1.1"/>
    <w:autoRedefine/>
    <w:qFormat/>
    <w:uiPriority w:val="0"/>
    <w:pPr>
      <w:tabs>
        <w:tab w:val="left" w:pos="630"/>
      </w:tabs>
      <w:spacing w:before="120" w:after="120" w:line="480" w:lineRule="exact"/>
      <w:ind w:left="200"/>
      <w:outlineLvl w:val="2"/>
    </w:pPr>
    <w:rPr>
      <w:rFonts w:ascii="宋体" w:hAnsi="Times New Roman" w:eastAsia="宋体" w:cs="Times New Roman"/>
      <w:b/>
      <w:spacing w:val="10"/>
      <w:w w:val="95"/>
      <w:sz w:val="24"/>
      <w:lang w:val="en-US" w:eastAsia="zh-CN" w:bidi="ar-SA"/>
    </w:rPr>
  </w:style>
  <w:style w:type="paragraph" w:customStyle="1" w:styleId="233">
    <w:name w:val="CM11"/>
    <w:basedOn w:val="63"/>
    <w:next w:val="63"/>
    <w:autoRedefine/>
    <w:qFormat/>
    <w:uiPriority w:val="0"/>
    <w:pPr>
      <w:spacing w:line="433" w:lineRule="atLeast"/>
    </w:pPr>
    <w:rPr>
      <w:rFonts w:ascii="黑体" w:hAnsi="Times New Roman" w:eastAsia="黑体" w:cs="黑体"/>
      <w:color w:val="auto"/>
    </w:rPr>
  </w:style>
  <w:style w:type="paragraph" w:customStyle="1" w:styleId="234">
    <w:name w:val="应答文本"/>
    <w:basedOn w:val="1"/>
    <w:autoRedefine/>
    <w:qFormat/>
    <w:uiPriority w:val="0"/>
    <w:pPr>
      <w:adjustRightInd w:val="0"/>
      <w:spacing w:afterLines="50" w:line="320" w:lineRule="exact"/>
      <w:ind w:left="630" w:leftChars="300" w:firstLine="460" w:firstLineChars="200"/>
      <w:jc w:val="both"/>
    </w:pPr>
    <w:rPr>
      <w:rFonts w:ascii="宋体" w:hAnsi="Arial" w:eastAsia="楷体_GB2312" w:cs="Times New Roman"/>
      <w:snapToGrid w:val="0"/>
      <w:spacing w:val="10"/>
      <w:kern w:val="0"/>
      <w:sz w:val="24"/>
    </w:rPr>
  </w:style>
  <w:style w:type="character" w:customStyle="1" w:styleId="235">
    <w:name w:val="标题 Char1"/>
    <w:basedOn w:val="55"/>
    <w:qFormat/>
    <w:uiPriority w:val="0"/>
    <w:rPr>
      <w:rFonts w:asciiTheme="majorHAnsi" w:hAnsiTheme="majorHAnsi" w:cstheme="majorBidi"/>
      <w:b/>
      <w:bCs/>
      <w:kern w:val="2"/>
      <w:sz w:val="32"/>
      <w:szCs w:val="32"/>
    </w:rPr>
  </w:style>
  <w:style w:type="paragraph" w:customStyle="1" w:styleId="236">
    <w:name w:val="样式3"/>
    <w:basedOn w:val="1"/>
    <w:autoRedefine/>
    <w:qFormat/>
    <w:uiPriority w:val="0"/>
    <w:pPr>
      <w:widowControl/>
      <w:numPr>
        <w:ilvl w:val="1"/>
        <w:numId w:val="6"/>
      </w:numPr>
      <w:spacing w:beforeLines="50" w:after="100" w:line="420" w:lineRule="exact"/>
      <w:ind w:firstLine="200" w:firstLineChars="200"/>
    </w:pPr>
    <w:rPr>
      <w:rFonts w:ascii="Cambria" w:hAnsi="Cambria" w:cs="Times New Roman"/>
      <w:kern w:val="0"/>
      <w:sz w:val="24"/>
      <w:szCs w:val="22"/>
      <w:lang w:eastAsia="en-US" w:bidi="en-US"/>
    </w:rPr>
  </w:style>
  <w:style w:type="paragraph" w:customStyle="1" w:styleId="237">
    <w:name w:val="默认段落字体 Para Char"/>
    <w:basedOn w:val="1"/>
    <w:qFormat/>
    <w:uiPriority w:val="0"/>
    <w:pPr>
      <w:adjustRightInd w:val="0"/>
      <w:ind w:firstLine="200" w:firstLineChars="200"/>
      <w:jc w:val="both"/>
    </w:pPr>
    <w:rPr>
      <w:rFonts w:ascii="Times New Roman" w:hAnsi="Times New Roman" w:cs="Times New Roman"/>
      <w:kern w:val="0"/>
      <w:sz w:val="24"/>
      <w:szCs w:val="20"/>
    </w:rPr>
  </w:style>
  <w:style w:type="paragraph" w:customStyle="1" w:styleId="238">
    <w:name w:val="CM21"/>
    <w:basedOn w:val="63"/>
    <w:next w:val="63"/>
    <w:autoRedefine/>
    <w:qFormat/>
    <w:uiPriority w:val="0"/>
    <w:pPr>
      <w:spacing w:after="252"/>
    </w:pPr>
    <w:rPr>
      <w:rFonts w:ascii="黑体" w:hAnsi="Times New Roman" w:eastAsia="黑体" w:cs="黑体"/>
      <w:color w:val="auto"/>
    </w:rPr>
  </w:style>
  <w:style w:type="paragraph" w:customStyle="1" w:styleId="239">
    <w:name w:val="标书要求标题"/>
    <w:basedOn w:val="1"/>
    <w:autoRedefine/>
    <w:qFormat/>
    <w:uiPriority w:val="0"/>
    <w:pPr>
      <w:tabs>
        <w:tab w:val="left" w:pos="480"/>
      </w:tabs>
      <w:ind w:firstLine="420" w:firstLineChars="200"/>
      <w:jc w:val="both"/>
    </w:pPr>
    <w:rPr>
      <w:rFonts w:ascii="Times New Roman" w:hAnsi="Times New Roman" w:cs="Times New Roman"/>
      <w:b/>
      <w:sz w:val="24"/>
      <w:szCs w:val="24"/>
    </w:rPr>
  </w:style>
  <w:style w:type="paragraph" w:customStyle="1" w:styleId="240">
    <w:name w:val="样式 标题 2第*章Underrubrik1prop2Heading 2 HiddenHeading 2 CCBSh..."/>
    <w:basedOn w:val="2"/>
    <w:autoRedefine/>
    <w:qFormat/>
    <w:uiPriority w:val="0"/>
    <w:pPr>
      <w:widowControl/>
      <w:numPr>
        <w:ilvl w:val="1"/>
        <w:numId w:val="7"/>
      </w:numPr>
      <w:spacing w:before="260" w:after="260" w:line="413" w:lineRule="auto"/>
    </w:pPr>
    <w:rPr>
      <w:rFonts w:ascii="Arial" w:hAnsi="Arial" w:eastAsia="黑体" w:cs="宋体"/>
      <w:b/>
      <w:bCs/>
      <w:color w:val="000000"/>
      <w:kern w:val="0"/>
      <w:sz w:val="32"/>
      <w:szCs w:val="20"/>
    </w:rPr>
  </w:style>
  <w:style w:type="character" w:customStyle="1" w:styleId="241">
    <w:name w:val="文档结构图 Char1"/>
    <w:basedOn w:val="55"/>
    <w:qFormat/>
    <w:uiPriority w:val="0"/>
    <w:rPr>
      <w:rFonts w:ascii="宋体" w:hAnsiTheme="minorHAnsi" w:cstheme="minorBidi"/>
      <w:kern w:val="2"/>
      <w:sz w:val="18"/>
      <w:szCs w:val="18"/>
    </w:rPr>
  </w:style>
  <w:style w:type="paragraph" w:customStyle="1" w:styleId="242">
    <w:name w:val="CM23"/>
    <w:basedOn w:val="63"/>
    <w:next w:val="63"/>
    <w:autoRedefine/>
    <w:qFormat/>
    <w:uiPriority w:val="0"/>
    <w:pPr>
      <w:spacing w:after="353"/>
    </w:pPr>
    <w:rPr>
      <w:rFonts w:ascii="黑体" w:hAnsi="Times New Roman" w:eastAsia="黑体" w:cs="黑体"/>
      <w:color w:val="auto"/>
    </w:rPr>
  </w:style>
  <w:style w:type="paragraph" w:customStyle="1" w:styleId="243">
    <w:name w:val="CM13"/>
    <w:basedOn w:val="63"/>
    <w:next w:val="63"/>
    <w:autoRedefine/>
    <w:qFormat/>
    <w:uiPriority w:val="0"/>
    <w:pPr>
      <w:spacing w:line="373" w:lineRule="atLeast"/>
    </w:pPr>
    <w:rPr>
      <w:rFonts w:ascii="黑体" w:hAnsi="Times New Roman" w:eastAsia="黑体" w:cs="黑体"/>
      <w:color w:val="auto"/>
    </w:rPr>
  </w:style>
  <w:style w:type="paragraph" w:customStyle="1" w:styleId="244">
    <w:name w:val="表名称"/>
    <w:basedOn w:val="1"/>
    <w:next w:val="1"/>
    <w:autoRedefine/>
    <w:qFormat/>
    <w:uiPriority w:val="0"/>
    <w:pPr>
      <w:widowControl/>
      <w:tabs>
        <w:tab w:val="left" w:pos="2268"/>
        <w:tab w:val="center" w:pos="4536"/>
        <w:tab w:val="right" w:pos="6615"/>
        <w:tab w:val="center" w:pos="10773"/>
        <w:tab w:val="right" w:pos="18522"/>
      </w:tabs>
      <w:adjustRightInd w:val="0"/>
      <w:snapToGrid w:val="0"/>
      <w:spacing w:beforeLines="50" w:after="120" w:line="480" w:lineRule="exact"/>
      <w:ind w:right="48" w:rightChars="23" w:firstLine="200" w:firstLineChars="200"/>
      <w:jc w:val="center"/>
    </w:pPr>
    <w:rPr>
      <w:rFonts w:ascii="宋体" w:hAnsi="Cambria" w:cs="Times New Roman"/>
      <w:kern w:val="0"/>
      <w:sz w:val="24"/>
      <w:lang w:eastAsia="en-US" w:bidi="en-US"/>
    </w:rPr>
  </w:style>
  <w:style w:type="character" w:customStyle="1" w:styleId="245">
    <w:name w:val="正文文本缩进 2 Char1"/>
    <w:basedOn w:val="55"/>
    <w:qFormat/>
    <w:uiPriority w:val="0"/>
    <w:rPr>
      <w:rFonts w:asciiTheme="minorHAnsi" w:hAnsiTheme="minorHAnsi" w:cstheme="minorBidi"/>
      <w:kern w:val="2"/>
      <w:sz w:val="21"/>
      <w:szCs w:val="21"/>
    </w:rPr>
  </w:style>
  <w:style w:type="paragraph" w:customStyle="1" w:styleId="246">
    <w:name w:val="msolistparagraph"/>
    <w:basedOn w:val="1"/>
    <w:autoRedefine/>
    <w:qFormat/>
    <w:uiPriority w:val="0"/>
    <w:pPr>
      <w:adjustRightInd w:val="0"/>
      <w:ind w:firstLine="420" w:firstLineChars="200"/>
      <w:jc w:val="both"/>
      <w:textAlignment w:val="baseline"/>
    </w:pPr>
    <w:rPr>
      <w:rFonts w:ascii="Calibri" w:hAnsi="Calibri" w:cs="Times New Roman"/>
      <w:sz w:val="24"/>
      <w:szCs w:val="22"/>
    </w:rPr>
  </w:style>
  <w:style w:type="paragraph" w:customStyle="1" w:styleId="247">
    <w:name w:val="四号线第二级"/>
    <w:basedOn w:val="1"/>
    <w:autoRedefine/>
    <w:qFormat/>
    <w:uiPriority w:val="0"/>
    <w:pPr>
      <w:tabs>
        <w:tab w:val="left" w:pos="0"/>
      </w:tabs>
      <w:spacing w:line="240" w:lineRule="auto"/>
      <w:ind w:left="57" w:firstLine="200" w:firstLineChars="200"/>
      <w:jc w:val="both"/>
    </w:pPr>
    <w:rPr>
      <w:rFonts w:ascii="Times New Roman" w:hAnsi="Times New Roman" w:cs="Times New Roman"/>
      <w:sz w:val="24"/>
      <w:szCs w:val="24"/>
    </w:rPr>
  </w:style>
  <w:style w:type="paragraph" w:customStyle="1" w:styleId="248">
    <w:name w:val="表内容"/>
    <w:basedOn w:val="1"/>
    <w:autoRedefine/>
    <w:qFormat/>
    <w:uiPriority w:val="0"/>
    <w:pPr>
      <w:spacing w:line="280" w:lineRule="exact"/>
      <w:ind w:firstLine="200" w:firstLineChars="200"/>
      <w:jc w:val="center"/>
    </w:pPr>
    <w:rPr>
      <w:rFonts w:ascii="宋体" w:hAnsi="宋体" w:cs="Times New Roman"/>
      <w:snapToGrid w:val="0"/>
      <w:sz w:val="18"/>
      <w:szCs w:val="18"/>
    </w:rPr>
  </w:style>
  <w:style w:type="character" w:customStyle="1" w:styleId="249">
    <w:name w:val="正文文本缩进 3 Char1"/>
    <w:basedOn w:val="55"/>
    <w:qFormat/>
    <w:uiPriority w:val="0"/>
    <w:rPr>
      <w:rFonts w:asciiTheme="minorHAnsi" w:hAnsiTheme="minorHAnsi" w:cstheme="minorBidi"/>
      <w:kern w:val="2"/>
      <w:sz w:val="16"/>
      <w:szCs w:val="16"/>
    </w:rPr>
  </w:style>
  <w:style w:type="paragraph" w:customStyle="1" w:styleId="250">
    <w:name w:val="CM14"/>
    <w:basedOn w:val="63"/>
    <w:next w:val="63"/>
    <w:autoRedefine/>
    <w:qFormat/>
    <w:uiPriority w:val="0"/>
    <w:pPr>
      <w:spacing w:line="273" w:lineRule="atLeast"/>
    </w:pPr>
    <w:rPr>
      <w:rFonts w:ascii="黑体" w:hAnsi="Times New Roman" w:eastAsia="黑体" w:cs="黑体"/>
      <w:color w:val="auto"/>
    </w:rPr>
  </w:style>
  <w:style w:type="paragraph" w:customStyle="1" w:styleId="251">
    <w:name w:val="招标文件正文"/>
    <w:qFormat/>
    <w:uiPriority w:val="0"/>
    <w:pPr>
      <w:spacing w:before="120" w:after="120" w:line="300" w:lineRule="auto"/>
    </w:pPr>
    <w:rPr>
      <w:rFonts w:ascii="宋体" w:hAnsi="Times New Roman" w:eastAsia="宋体" w:cs="Times New Roman"/>
      <w:spacing w:val="10"/>
      <w:w w:val="95"/>
      <w:sz w:val="21"/>
      <w:lang w:val="en-US" w:eastAsia="zh-CN" w:bidi="ar-SA"/>
    </w:rPr>
  </w:style>
  <w:style w:type="paragraph" w:customStyle="1" w:styleId="252">
    <w:name w:val="Char1 Char Char Char Char Char Char"/>
    <w:basedOn w:val="1"/>
    <w:qFormat/>
    <w:uiPriority w:val="0"/>
    <w:pPr>
      <w:spacing w:line="240" w:lineRule="auto"/>
      <w:ind w:firstLine="200" w:firstLineChars="200"/>
      <w:jc w:val="both"/>
    </w:pPr>
    <w:rPr>
      <w:rFonts w:ascii="Tahoma" w:hAnsi="Tahoma" w:eastAsia="仿宋_GB2312" w:cs="Times New Roman"/>
      <w:b/>
      <w:sz w:val="24"/>
      <w:szCs w:val="20"/>
    </w:rPr>
  </w:style>
  <w:style w:type="paragraph" w:customStyle="1" w:styleId="253">
    <w:name w:val="Char Char Char Char Char Char Char1"/>
    <w:basedOn w:val="1"/>
    <w:autoRedefine/>
    <w:qFormat/>
    <w:uiPriority w:val="0"/>
    <w:pPr>
      <w:widowControl/>
      <w:spacing w:after="160" w:line="240" w:lineRule="exact"/>
      <w:ind w:firstLine="200" w:firstLineChars="200"/>
    </w:pPr>
    <w:rPr>
      <w:rFonts w:ascii="Verdana" w:hAnsi="Verdana" w:cs="Times New Roman"/>
      <w:kern w:val="0"/>
      <w:sz w:val="24"/>
      <w:szCs w:val="20"/>
      <w:lang w:eastAsia="en-US"/>
    </w:rPr>
  </w:style>
  <w:style w:type="paragraph" w:customStyle="1" w:styleId="254">
    <w:name w:val="图题"/>
    <w:basedOn w:val="20"/>
    <w:next w:val="1"/>
    <w:autoRedefine/>
    <w:qFormat/>
    <w:uiPriority w:val="0"/>
    <w:pPr>
      <w:spacing w:before="120" w:after="240" w:line="240" w:lineRule="auto"/>
      <w:ind w:left="0" w:firstLine="200" w:firstLineChars="200"/>
      <w:jc w:val="center"/>
    </w:pPr>
    <w:rPr>
      <w:rFonts w:ascii="宋体" w:hAnsi="宋体" w:cs="宋体"/>
      <w:color w:val="000000"/>
      <w:sz w:val="24"/>
      <w:szCs w:val="28"/>
    </w:rPr>
  </w:style>
  <w:style w:type="paragraph" w:customStyle="1" w:styleId="255">
    <w:name w:val="10"/>
    <w:basedOn w:val="1"/>
    <w:next w:val="24"/>
    <w:autoRedefine/>
    <w:qFormat/>
    <w:uiPriority w:val="0"/>
    <w:pPr>
      <w:widowControl/>
      <w:spacing w:beforeLines="50" w:after="120"/>
      <w:ind w:firstLine="200" w:firstLineChars="200"/>
    </w:pPr>
    <w:rPr>
      <w:rFonts w:ascii="宋体" w:hAnsi="Courier New" w:cs="Courier New"/>
      <w:kern w:val="0"/>
      <w:sz w:val="24"/>
      <w:lang w:eastAsia="en-US" w:bidi="en-US"/>
    </w:rPr>
  </w:style>
  <w:style w:type="paragraph" w:customStyle="1" w:styleId="256">
    <w:name w:val="图片标签 样式 五号 居中 段前: 6 磅 段后: 12 磅 行距: 单倍行距"/>
    <w:basedOn w:val="1"/>
    <w:qFormat/>
    <w:uiPriority w:val="0"/>
    <w:pPr>
      <w:tabs>
        <w:tab w:val="left" w:pos="480"/>
      </w:tabs>
      <w:spacing w:before="120" w:after="240" w:line="240" w:lineRule="auto"/>
      <w:ind w:firstLine="200" w:firstLineChars="200"/>
      <w:jc w:val="center"/>
    </w:pPr>
    <w:rPr>
      <w:rFonts w:ascii="Times New Roman" w:hAnsi="Times New Roman" w:cs="宋体"/>
      <w:sz w:val="24"/>
      <w:szCs w:val="20"/>
    </w:rPr>
  </w:style>
  <w:style w:type="paragraph" w:customStyle="1" w:styleId="257">
    <w:name w:val="CM22"/>
    <w:basedOn w:val="63"/>
    <w:next w:val="63"/>
    <w:qFormat/>
    <w:uiPriority w:val="0"/>
    <w:pPr>
      <w:spacing w:after="300"/>
    </w:pPr>
    <w:rPr>
      <w:rFonts w:ascii="黑体" w:hAnsi="Times New Roman" w:eastAsia="黑体" w:cs="黑体"/>
      <w:color w:val="auto"/>
    </w:rPr>
  </w:style>
  <w:style w:type="paragraph" w:customStyle="1" w:styleId="258">
    <w:name w:val="_Style 57"/>
    <w:basedOn w:val="1"/>
    <w:next w:val="1"/>
    <w:qFormat/>
    <w:uiPriority w:val="0"/>
    <w:pPr>
      <w:tabs>
        <w:tab w:val="left" w:pos="480"/>
      </w:tabs>
      <w:ind w:firstLine="200" w:firstLineChars="200"/>
      <w:jc w:val="both"/>
    </w:pPr>
    <w:rPr>
      <w:rFonts w:ascii="Times New Roman" w:hAnsi="Times New Roman" w:cs="Times New Roman"/>
      <w:sz w:val="24"/>
      <w:szCs w:val="24"/>
    </w:rPr>
  </w:style>
  <w:style w:type="paragraph" w:customStyle="1" w:styleId="259">
    <w:name w:val="修订1"/>
    <w:autoRedefine/>
    <w:qFormat/>
    <w:uiPriority w:val="0"/>
    <w:rPr>
      <w:rFonts w:ascii="Cambria" w:hAnsi="Cambria" w:eastAsia="宋体" w:cs="Times New Roman"/>
      <w:sz w:val="22"/>
      <w:szCs w:val="22"/>
      <w:lang w:val="en-US" w:eastAsia="en-US" w:bidi="en-US"/>
    </w:rPr>
  </w:style>
  <w:style w:type="paragraph" w:customStyle="1" w:styleId="260">
    <w:name w:val="图序、图名"/>
    <w:basedOn w:val="1"/>
    <w:next w:val="1"/>
    <w:autoRedefine/>
    <w:qFormat/>
    <w:uiPriority w:val="0"/>
    <w:pPr>
      <w:widowControl/>
      <w:spacing w:before="120" w:after="240" w:line="240" w:lineRule="auto"/>
      <w:ind w:firstLine="200" w:firstLineChars="200"/>
      <w:jc w:val="center"/>
    </w:pPr>
    <w:rPr>
      <w:rFonts w:ascii="宋体" w:hAnsi="宋体" w:cs="宋体"/>
      <w:color w:val="000000"/>
      <w:sz w:val="24"/>
    </w:rPr>
  </w:style>
  <w:style w:type="paragraph" w:customStyle="1" w:styleId="261">
    <w:name w:val="正文&gt;"/>
    <w:basedOn w:val="1"/>
    <w:autoRedefine/>
    <w:qFormat/>
    <w:uiPriority w:val="0"/>
    <w:pPr>
      <w:widowControl/>
      <w:numPr>
        <w:ilvl w:val="0"/>
        <w:numId w:val="8"/>
      </w:numPr>
      <w:tabs>
        <w:tab w:val="left" w:pos="630"/>
      </w:tabs>
      <w:spacing w:beforeLines="50" w:after="120" w:line="400" w:lineRule="exact"/>
      <w:ind w:firstLine="200" w:firstLineChars="200"/>
    </w:pPr>
    <w:rPr>
      <w:rFonts w:ascii="Arial" w:hAnsi="Arial" w:cs="宋体"/>
      <w:kern w:val="0"/>
      <w:sz w:val="24"/>
      <w:lang w:eastAsia="en-US" w:bidi="en-US"/>
    </w:rPr>
  </w:style>
  <w:style w:type="paragraph" w:customStyle="1" w:styleId="262">
    <w:name w:val="TOC 标题1"/>
    <w:basedOn w:val="3"/>
    <w:next w:val="1"/>
    <w:autoRedefine/>
    <w:qFormat/>
    <w:uiPriority w:val="39"/>
    <w:pPr>
      <w:widowControl/>
      <w:spacing w:before="480" w:after="0" w:line="276" w:lineRule="auto"/>
      <w:jc w:val="left"/>
      <w:outlineLvl w:val="9"/>
    </w:pPr>
    <w:rPr>
      <w:rFonts w:ascii="Calibri Light" w:hAnsi="Calibri Light" w:cs="Times New Roman"/>
      <w:color w:val="2E74B5"/>
      <w:kern w:val="0"/>
      <w:sz w:val="28"/>
      <w:szCs w:val="28"/>
    </w:rPr>
  </w:style>
  <w:style w:type="paragraph" w:customStyle="1" w:styleId="263">
    <w:name w:val="招标文件1.1.1"/>
    <w:autoRedefine/>
    <w:qFormat/>
    <w:uiPriority w:val="0"/>
    <w:pPr>
      <w:spacing w:before="120" w:after="120" w:line="480" w:lineRule="exact"/>
      <w:outlineLvl w:val="3"/>
    </w:pPr>
    <w:rPr>
      <w:rFonts w:ascii="宋体" w:hAnsi="Times New Roman" w:eastAsia="宋体" w:cs="Times New Roman"/>
      <w:b/>
      <w:spacing w:val="10"/>
      <w:w w:val="95"/>
      <w:sz w:val="21"/>
      <w:lang w:val="en-US" w:eastAsia="zh-CN" w:bidi="ar-SA"/>
    </w:rPr>
  </w:style>
  <w:style w:type="paragraph" w:customStyle="1" w:styleId="264">
    <w:name w:val="样式 标题 3第二层条第三层论文标题 21.1.1 标题 3列表编号33 bullet2head:3#Head..."/>
    <w:basedOn w:val="4"/>
    <w:autoRedefine/>
    <w:qFormat/>
    <w:uiPriority w:val="0"/>
    <w:pPr>
      <w:widowControl/>
      <w:suppressAutoHyphens/>
      <w:spacing w:before="260" w:beforeLines="50" w:line="300" w:lineRule="auto"/>
      <w:ind w:left="-2" w:leftChars="-2" w:hanging="4" w:hangingChars="2"/>
      <w:jc w:val="both"/>
    </w:pPr>
    <w:rPr>
      <w:rFonts w:ascii="Times New Roman" w:hAnsi="Times New Roman" w:cs="宋体"/>
      <w:b w:val="0"/>
      <w:bCs w:val="0"/>
      <w:smallCaps/>
      <w:sz w:val="21"/>
      <w:szCs w:val="21"/>
    </w:rPr>
  </w:style>
  <w:style w:type="paragraph" w:customStyle="1" w:styleId="265">
    <w:name w:val="默认段落字体 Para Char Char Char Char"/>
    <w:basedOn w:val="1"/>
    <w:autoRedefine/>
    <w:qFormat/>
    <w:uiPriority w:val="0"/>
    <w:pPr>
      <w:widowControl/>
      <w:numPr>
        <w:ilvl w:val="1"/>
        <w:numId w:val="9"/>
      </w:numPr>
      <w:tabs>
        <w:tab w:val="clear" w:pos="737"/>
      </w:tabs>
      <w:spacing w:beforeLines="50" w:after="120"/>
      <w:ind w:left="0" w:firstLine="200" w:firstLineChars="200"/>
    </w:pPr>
    <w:rPr>
      <w:rFonts w:ascii="Cambria" w:hAnsi="Cambria" w:cs="Times New Roman"/>
      <w:kern w:val="0"/>
      <w:sz w:val="24"/>
      <w:szCs w:val="22"/>
      <w:lang w:eastAsia="en-US" w:bidi="en-US"/>
    </w:rPr>
  </w:style>
  <w:style w:type="paragraph" w:customStyle="1" w:styleId="266">
    <w:name w:val="标书要求正文"/>
    <w:basedOn w:val="1"/>
    <w:next w:val="1"/>
    <w:autoRedefine/>
    <w:qFormat/>
    <w:uiPriority w:val="0"/>
    <w:pPr>
      <w:tabs>
        <w:tab w:val="left" w:pos="480"/>
      </w:tabs>
      <w:spacing w:line="240" w:lineRule="auto"/>
      <w:ind w:left="200" w:leftChars="200" w:firstLine="420" w:firstLineChars="200"/>
      <w:jc w:val="both"/>
    </w:pPr>
    <w:rPr>
      <w:rFonts w:ascii="宋体" w:hAnsi="宋体" w:cs="Times New Roman"/>
      <w:sz w:val="24"/>
    </w:rPr>
  </w:style>
  <w:style w:type="paragraph" w:customStyle="1" w:styleId="267">
    <w:name w:val="表栏名"/>
    <w:basedOn w:val="1"/>
    <w:next w:val="1"/>
    <w:autoRedefine/>
    <w:qFormat/>
    <w:uiPriority w:val="0"/>
    <w:pPr>
      <w:spacing w:line="240" w:lineRule="auto"/>
      <w:ind w:firstLine="200" w:firstLineChars="200"/>
      <w:jc w:val="center"/>
    </w:pPr>
    <w:rPr>
      <w:rFonts w:ascii="Times New Roman" w:hAnsi="Times New Roman" w:cs="Times New Roman"/>
      <w:b/>
      <w:sz w:val="24"/>
      <w:szCs w:val="24"/>
    </w:rPr>
  </w:style>
  <w:style w:type="paragraph" w:customStyle="1" w:styleId="268">
    <w:name w:val="封面"/>
    <w:basedOn w:val="1"/>
    <w:autoRedefine/>
    <w:qFormat/>
    <w:uiPriority w:val="0"/>
    <w:pPr>
      <w:adjustRightInd w:val="0"/>
      <w:spacing w:before="120" w:line="360" w:lineRule="atLeast"/>
      <w:ind w:right="147" w:firstLine="1" w:firstLineChars="200"/>
      <w:jc w:val="center"/>
      <w:textAlignment w:val="baseline"/>
    </w:pPr>
    <w:rPr>
      <w:rFonts w:ascii="Times New Roman" w:hAnsi="Times New Roman" w:eastAsia="文新字海-粗楷" w:cs="Times New Roman"/>
      <w:kern w:val="0"/>
      <w:sz w:val="28"/>
      <w:szCs w:val="20"/>
      <w:lang w:eastAsia="zh-TW"/>
    </w:rPr>
  </w:style>
  <w:style w:type="paragraph" w:customStyle="1" w:styleId="269">
    <w:name w:val="Tableau_norm2droite"/>
    <w:basedOn w:val="1"/>
    <w:autoRedefine/>
    <w:qFormat/>
    <w:uiPriority w:val="0"/>
    <w:pPr>
      <w:widowControl/>
      <w:spacing w:beforeLines="50" w:after="120"/>
      <w:ind w:firstLine="200" w:firstLineChars="200"/>
      <w:jc w:val="right"/>
    </w:pPr>
    <w:rPr>
      <w:rFonts w:ascii="Arial" w:hAnsi="Arial" w:cs="Times New Roman"/>
      <w:kern w:val="0"/>
      <w:sz w:val="24"/>
      <w:szCs w:val="20"/>
      <w:lang w:eastAsia="fr-FR" w:bidi="en-US"/>
    </w:rPr>
  </w:style>
  <w:style w:type="character" w:customStyle="1" w:styleId="270">
    <w:name w:val="正文文本 Char1"/>
    <w:basedOn w:val="55"/>
    <w:link w:val="5"/>
    <w:autoRedefine/>
    <w:semiHidden/>
    <w:qFormat/>
    <w:uiPriority w:val="0"/>
    <w:rPr>
      <w:rFonts w:cstheme="minorBidi"/>
      <w:kern w:val="2"/>
      <w:sz w:val="21"/>
    </w:rPr>
  </w:style>
  <w:style w:type="character" w:customStyle="1" w:styleId="271">
    <w:name w:val="正文首行缩进 Char1"/>
    <w:basedOn w:val="270"/>
    <w:autoRedefine/>
    <w:qFormat/>
    <w:uiPriority w:val="0"/>
    <w:rPr>
      <w:rFonts w:asciiTheme="minorHAnsi" w:hAnsiTheme="minorHAnsi" w:cstheme="minorBidi"/>
      <w:kern w:val="2"/>
      <w:sz w:val="21"/>
      <w:szCs w:val="21"/>
    </w:rPr>
  </w:style>
  <w:style w:type="paragraph" w:customStyle="1" w:styleId="272">
    <w:name w:val="CM2"/>
    <w:basedOn w:val="63"/>
    <w:next w:val="63"/>
    <w:autoRedefine/>
    <w:qFormat/>
    <w:uiPriority w:val="0"/>
    <w:rPr>
      <w:rFonts w:ascii="黑体" w:hAnsi="Times New Roman" w:eastAsia="黑体" w:cs="黑体"/>
      <w:color w:val="auto"/>
    </w:rPr>
  </w:style>
  <w:style w:type="paragraph" w:customStyle="1" w:styleId="273">
    <w:name w:val="加错缩进"/>
    <w:basedOn w:val="274"/>
    <w:autoRedefine/>
    <w:qFormat/>
    <w:uiPriority w:val="0"/>
    <w:pPr>
      <w:tabs>
        <w:tab w:val="left" w:pos="480"/>
      </w:tabs>
      <w:ind w:firstLine="567"/>
    </w:pPr>
  </w:style>
  <w:style w:type="paragraph" w:customStyle="1" w:styleId="274">
    <w:name w:val="正文序号加粗不缩进"/>
    <w:basedOn w:val="1"/>
    <w:autoRedefine/>
    <w:qFormat/>
    <w:uiPriority w:val="0"/>
    <w:pPr>
      <w:widowControl/>
      <w:ind w:firstLine="200" w:firstLineChars="200"/>
      <w:jc w:val="both"/>
    </w:pPr>
    <w:rPr>
      <w:rFonts w:ascii="Times New Roman" w:hAnsi="Times New Roman" w:cs="Times New Roman"/>
      <w:b/>
      <w:kern w:val="0"/>
      <w:sz w:val="24"/>
      <w:szCs w:val="24"/>
    </w:rPr>
  </w:style>
  <w:style w:type="paragraph" w:customStyle="1" w:styleId="275">
    <w:name w:val="图表小四中对齐"/>
    <w:basedOn w:val="1"/>
    <w:autoRedefine/>
    <w:qFormat/>
    <w:uiPriority w:val="0"/>
    <w:pPr>
      <w:adjustRightInd w:val="0"/>
      <w:spacing w:line="360" w:lineRule="exact"/>
      <w:ind w:firstLine="200" w:firstLineChars="200"/>
      <w:jc w:val="center"/>
      <w:textAlignment w:val="baseline"/>
    </w:pPr>
    <w:rPr>
      <w:rFonts w:ascii="Times New Roman" w:hAnsi="Times New Roman" w:cs="Times New Roman"/>
      <w:spacing w:val="-10"/>
      <w:sz w:val="24"/>
    </w:rPr>
  </w:style>
  <w:style w:type="paragraph" w:customStyle="1" w:styleId="276">
    <w:name w:val="20"/>
    <w:basedOn w:val="1"/>
    <w:next w:val="24"/>
    <w:autoRedefine/>
    <w:qFormat/>
    <w:uiPriority w:val="0"/>
    <w:pPr>
      <w:widowControl/>
      <w:spacing w:beforeLines="50" w:after="120"/>
      <w:ind w:firstLine="200" w:firstLineChars="200"/>
    </w:pPr>
    <w:rPr>
      <w:rFonts w:ascii="宋体" w:hAnsi="Courier New" w:cs="Courier New"/>
      <w:kern w:val="0"/>
      <w:sz w:val="24"/>
      <w:lang w:eastAsia="en-US" w:bidi="en-US"/>
    </w:rPr>
  </w:style>
  <w:style w:type="paragraph" w:customStyle="1" w:styleId="277">
    <w:name w:val="Char2"/>
    <w:basedOn w:val="1"/>
    <w:autoRedefine/>
    <w:qFormat/>
    <w:uiPriority w:val="0"/>
    <w:pPr>
      <w:widowControl/>
      <w:tabs>
        <w:tab w:val="left" w:pos="1418"/>
      </w:tabs>
      <w:autoSpaceDE w:val="0"/>
      <w:autoSpaceDN w:val="0"/>
      <w:adjustRightInd w:val="0"/>
      <w:spacing w:after="160" w:line="240" w:lineRule="exact"/>
      <w:ind w:firstLine="200" w:firstLineChars="200"/>
      <w:jc w:val="center"/>
    </w:pPr>
    <w:rPr>
      <w:rFonts w:ascii="Times New Roman" w:hAnsi="Times New Roman" w:cs="Times New Roman"/>
      <w:kern w:val="0"/>
      <w:sz w:val="24"/>
      <w:lang w:val="zh-CN" w:eastAsia="en-US"/>
    </w:rPr>
  </w:style>
  <w:style w:type="paragraph" w:customStyle="1" w:styleId="278">
    <w:name w:val="7"/>
    <w:basedOn w:val="1"/>
    <w:next w:val="24"/>
    <w:autoRedefine/>
    <w:qFormat/>
    <w:uiPriority w:val="0"/>
    <w:pPr>
      <w:widowControl/>
      <w:spacing w:beforeLines="50" w:after="120"/>
      <w:ind w:firstLine="200" w:firstLineChars="200"/>
    </w:pPr>
    <w:rPr>
      <w:rFonts w:ascii="宋体" w:hAnsi="Courier New" w:cs="Courier New"/>
      <w:kern w:val="0"/>
      <w:sz w:val="24"/>
      <w:lang w:eastAsia="en-US" w:bidi="en-US"/>
    </w:rPr>
  </w:style>
  <w:style w:type="paragraph" w:customStyle="1" w:styleId="279">
    <w:name w:val="Char"/>
    <w:basedOn w:val="1"/>
    <w:autoRedefine/>
    <w:qFormat/>
    <w:uiPriority w:val="0"/>
    <w:pPr>
      <w:tabs>
        <w:tab w:val="left" w:pos="432"/>
      </w:tabs>
      <w:spacing w:line="240" w:lineRule="auto"/>
      <w:ind w:left="432" w:hanging="432" w:firstLineChars="200"/>
      <w:jc w:val="both"/>
    </w:pPr>
    <w:rPr>
      <w:rFonts w:ascii="Times New Roman" w:hAnsi="Times New Roman" w:cs="Times New Roman"/>
      <w:sz w:val="24"/>
      <w:szCs w:val="24"/>
    </w:rPr>
  </w:style>
  <w:style w:type="paragraph" w:customStyle="1" w:styleId="280">
    <w:name w:val="四号线正文"/>
    <w:basedOn w:val="1"/>
    <w:autoRedefine/>
    <w:qFormat/>
    <w:uiPriority w:val="0"/>
    <w:pPr>
      <w:adjustRightInd w:val="0"/>
      <w:snapToGrid w:val="0"/>
      <w:spacing w:beforeLines="50"/>
      <w:ind w:firstLine="200" w:firstLineChars="200"/>
      <w:jc w:val="both"/>
    </w:pPr>
    <w:rPr>
      <w:rFonts w:ascii="宋体" w:hAnsi="Arial" w:cs="宋体"/>
      <w:sz w:val="24"/>
      <w:szCs w:val="24"/>
    </w:rPr>
  </w:style>
  <w:style w:type="paragraph" w:customStyle="1" w:styleId="281">
    <w:name w:val="Char6"/>
    <w:basedOn w:val="1"/>
    <w:autoRedefine/>
    <w:qFormat/>
    <w:uiPriority w:val="0"/>
    <w:pPr>
      <w:widowControl/>
      <w:tabs>
        <w:tab w:val="left" w:pos="1418"/>
      </w:tabs>
      <w:autoSpaceDE w:val="0"/>
      <w:autoSpaceDN w:val="0"/>
      <w:adjustRightInd w:val="0"/>
      <w:spacing w:after="160" w:line="240" w:lineRule="exact"/>
      <w:ind w:firstLine="200" w:firstLineChars="200"/>
      <w:jc w:val="center"/>
    </w:pPr>
    <w:rPr>
      <w:rFonts w:ascii="宋体" w:hAnsi="宋体" w:cs="TT54AB0ED3tCID-WinCharSetFFFF-H"/>
      <w:color w:val="000000"/>
      <w:kern w:val="0"/>
      <w:sz w:val="24"/>
      <w:lang w:val="zh-CN" w:eastAsia="en-US"/>
    </w:rPr>
  </w:style>
  <w:style w:type="paragraph" w:customStyle="1" w:styleId="282">
    <w:name w:val="纯文本1"/>
    <w:basedOn w:val="1"/>
    <w:autoRedefine/>
    <w:qFormat/>
    <w:uiPriority w:val="0"/>
    <w:pPr>
      <w:spacing w:line="240" w:lineRule="auto"/>
      <w:jc w:val="both"/>
    </w:pPr>
    <w:rPr>
      <w:rFonts w:ascii="宋体" w:hAnsi="Courier New" w:cs="Times New Roman"/>
      <w:szCs w:val="20"/>
    </w:rPr>
  </w:style>
  <w:style w:type="paragraph" w:customStyle="1" w:styleId="283">
    <w:name w:val="Char Char"/>
    <w:basedOn w:val="1"/>
    <w:autoRedefine/>
    <w:qFormat/>
    <w:uiPriority w:val="0"/>
    <w:pPr>
      <w:widowControl/>
      <w:spacing w:after="160" w:line="240" w:lineRule="exact"/>
      <w:ind w:firstLine="200" w:firstLineChars="200"/>
    </w:pPr>
    <w:rPr>
      <w:rFonts w:ascii="Tahoma" w:hAnsi="Tahoma" w:cs="Tahoma"/>
      <w:kern w:val="0"/>
      <w:sz w:val="20"/>
      <w:szCs w:val="20"/>
      <w:lang w:eastAsia="en-US"/>
    </w:rPr>
  </w:style>
  <w:style w:type="paragraph" w:customStyle="1" w:styleId="284">
    <w:name w:val="表格标签 样式 宋体 五号 居中 段前: 6 磅 段后: 6 磅 行距: 单倍行距"/>
    <w:basedOn w:val="1"/>
    <w:autoRedefine/>
    <w:qFormat/>
    <w:uiPriority w:val="0"/>
    <w:pPr>
      <w:tabs>
        <w:tab w:val="left" w:pos="480"/>
      </w:tabs>
      <w:spacing w:before="120" w:after="120" w:line="240" w:lineRule="auto"/>
      <w:ind w:firstLine="200" w:firstLineChars="200"/>
      <w:jc w:val="center"/>
    </w:pPr>
    <w:rPr>
      <w:rFonts w:ascii="Times New Roman" w:hAnsi="Times New Roman" w:cs="宋体"/>
      <w:sz w:val="24"/>
      <w:szCs w:val="20"/>
    </w:rPr>
  </w:style>
  <w:style w:type="paragraph" w:customStyle="1" w:styleId="285">
    <w:name w:val="样式 BodyText + GE Inspira 小四 首行缩进:  0.85 厘米 右侧:  0 厘米 段前: 6 磅"/>
    <w:basedOn w:val="1"/>
    <w:autoRedefine/>
    <w:qFormat/>
    <w:uiPriority w:val="0"/>
    <w:pPr>
      <w:widowControl/>
      <w:tabs>
        <w:tab w:val="left" w:pos="360"/>
        <w:tab w:val="left" w:pos="720"/>
        <w:tab w:val="left" w:pos="1080"/>
        <w:tab w:val="left" w:pos="1440"/>
      </w:tabs>
      <w:spacing w:before="120"/>
      <w:ind w:firstLine="480" w:firstLineChars="200"/>
      <w:jc w:val="both"/>
    </w:pPr>
    <w:rPr>
      <w:rFonts w:ascii="GE Inspira" w:hAnsi="GE Inspira" w:cs="宋体"/>
      <w:kern w:val="0"/>
      <w:sz w:val="24"/>
      <w:szCs w:val="20"/>
      <w:lang w:eastAsia="en-US"/>
    </w:rPr>
  </w:style>
  <w:style w:type="paragraph" w:customStyle="1" w:styleId="286">
    <w:name w:val="8"/>
    <w:basedOn w:val="1"/>
    <w:next w:val="24"/>
    <w:autoRedefine/>
    <w:qFormat/>
    <w:uiPriority w:val="0"/>
    <w:pPr>
      <w:widowControl/>
      <w:spacing w:beforeLines="50" w:after="120"/>
      <w:ind w:firstLine="200" w:firstLineChars="200"/>
    </w:pPr>
    <w:rPr>
      <w:rFonts w:ascii="宋体" w:hAnsi="Courier New" w:cs="Courier New"/>
      <w:kern w:val="0"/>
      <w:sz w:val="24"/>
      <w:lang w:eastAsia="en-US" w:bidi="en-US"/>
    </w:rPr>
  </w:style>
  <w:style w:type="character" w:customStyle="1" w:styleId="287">
    <w:name w:val="脚注文本 Char1"/>
    <w:basedOn w:val="55"/>
    <w:autoRedefine/>
    <w:qFormat/>
    <w:uiPriority w:val="0"/>
    <w:rPr>
      <w:rFonts w:asciiTheme="minorHAnsi" w:hAnsiTheme="minorHAnsi" w:cstheme="minorBidi"/>
      <w:kern w:val="2"/>
      <w:sz w:val="18"/>
      <w:szCs w:val="18"/>
    </w:rPr>
  </w:style>
  <w:style w:type="paragraph" w:customStyle="1" w:styleId="288">
    <w:name w:val="表格五号居中"/>
    <w:autoRedefine/>
    <w:qFormat/>
    <w:uiPriority w:val="0"/>
    <w:pPr>
      <w:widowControl w:val="0"/>
      <w:adjustRightInd w:val="0"/>
      <w:snapToGrid w:val="0"/>
      <w:spacing w:line="360" w:lineRule="exact"/>
      <w:ind w:left="-72" w:leftChars="-35" w:hanging="1"/>
      <w:jc w:val="center"/>
    </w:pPr>
    <w:rPr>
      <w:rFonts w:ascii="Times New Roman" w:hAnsi="Times New Roman" w:eastAsia="宋体" w:cs="Times New Roman"/>
      <w:kern w:val="2"/>
      <w:sz w:val="21"/>
      <w:szCs w:val="21"/>
      <w:lang w:val="en-US" w:eastAsia="zh-CN" w:bidi="ar-SA"/>
    </w:rPr>
  </w:style>
  <w:style w:type="paragraph" w:customStyle="1" w:styleId="289">
    <w:name w:val="应答条款 Char Char"/>
    <w:basedOn w:val="1"/>
    <w:next w:val="1"/>
    <w:autoRedefine/>
    <w:qFormat/>
    <w:uiPriority w:val="0"/>
    <w:pPr>
      <w:spacing w:afterLines="50" w:line="320" w:lineRule="exact"/>
      <w:ind w:firstLine="200" w:firstLineChars="200"/>
      <w:jc w:val="both"/>
    </w:pPr>
    <w:rPr>
      <w:rFonts w:ascii="Arial" w:hAnsi="Arial" w:cs="Arial"/>
      <w:snapToGrid w:val="0"/>
      <w:color w:val="0000FF"/>
      <w:kern w:val="0"/>
      <w:sz w:val="24"/>
      <w:lang w:val="en-GB"/>
    </w:rPr>
  </w:style>
  <w:style w:type="paragraph" w:customStyle="1" w:styleId="290">
    <w:name w:val="1）"/>
    <w:basedOn w:val="1"/>
    <w:autoRedefine/>
    <w:qFormat/>
    <w:uiPriority w:val="0"/>
    <w:pPr>
      <w:widowControl/>
      <w:tabs>
        <w:tab w:val="left" w:pos="0"/>
      </w:tabs>
      <w:ind w:firstLine="200" w:firstLineChars="200"/>
      <w:jc w:val="both"/>
    </w:pPr>
    <w:rPr>
      <w:rFonts w:ascii="Times New Roman" w:hAnsi="Times New Roman" w:cs="Times New Roman"/>
      <w:kern w:val="0"/>
      <w:sz w:val="24"/>
      <w:szCs w:val="24"/>
    </w:rPr>
  </w:style>
  <w:style w:type="paragraph" w:customStyle="1" w:styleId="291">
    <w:name w:val="Appendix Index"/>
    <w:basedOn w:val="1"/>
    <w:autoRedefine/>
    <w:qFormat/>
    <w:uiPriority w:val="0"/>
    <w:pPr>
      <w:numPr>
        <w:ilvl w:val="1"/>
        <w:numId w:val="10"/>
      </w:numPr>
      <w:spacing w:beforeLines="50" w:afterLines="50"/>
      <w:ind w:firstLine="200" w:firstLineChars="200"/>
      <w:jc w:val="both"/>
    </w:pPr>
    <w:rPr>
      <w:rFonts w:ascii="Times New Roman" w:hAnsi="Times New Roman" w:cs="Times New Roman"/>
      <w:snapToGrid w:val="0"/>
      <w:kern w:val="0"/>
      <w:sz w:val="24"/>
      <w:szCs w:val="24"/>
      <w:u w:val="single"/>
      <w:lang w:val="en-AU"/>
    </w:rPr>
  </w:style>
  <w:style w:type="paragraph" w:customStyle="1" w:styleId="292">
    <w:name w:val="CM24"/>
    <w:basedOn w:val="63"/>
    <w:next w:val="63"/>
    <w:autoRedefine/>
    <w:qFormat/>
    <w:uiPriority w:val="0"/>
    <w:pPr>
      <w:spacing w:after="468"/>
    </w:pPr>
    <w:rPr>
      <w:rFonts w:ascii="黑体" w:hAnsi="Times New Roman" w:eastAsia="黑体" w:cs="黑体"/>
      <w:color w:val="auto"/>
    </w:rPr>
  </w:style>
  <w:style w:type="paragraph" w:customStyle="1" w:styleId="293">
    <w:name w:val="Char Char Char Char Char Char1 Char Char"/>
    <w:basedOn w:val="1"/>
    <w:autoRedefine/>
    <w:qFormat/>
    <w:uiPriority w:val="0"/>
    <w:pPr>
      <w:spacing w:line="240" w:lineRule="auto"/>
      <w:ind w:firstLine="200" w:firstLineChars="200"/>
      <w:jc w:val="both"/>
    </w:pPr>
    <w:rPr>
      <w:rFonts w:ascii="仿宋_GB2312" w:hAnsi="Times New Roman" w:eastAsia="仿宋_GB2312" w:cs="Times New Roman"/>
      <w:b/>
      <w:sz w:val="32"/>
      <w:szCs w:val="32"/>
    </w:rPr>
  </w:style>
  <w:style w:type="paragraph" w:customStyle="1" w:styleId="294">
    <w:name w:val="列出段落1"/>
    <w:basedOn w:val="1"/>
    <w:autoRedefine/>
    <w:qFormat/>
    <w:uiPriority w:val="0"/>
    <w:pPr>
      <w:widowControl/>
      <w:spacing w:beforeLines="50" w:after="120"/>
      <w:ind w:firstLine="420" w:firstLineChars="200"/>
    </w:pPr>
    <w:rPr>
      <w:rFonts w:ascii="Calibri" w:hAnsi="Calibri" w:cs="Times New Roman"/>
      <w:kern w:val="0"/>
      <w:sz w:val="24"/>
      <w:szCs w:val="22"/>
      <w:lang w:eastAsia="en-US" w:bidi="en-US"/>
    </w:rPr>
  </w:style>
  <w:style w:type="paragraph" w:customStyle="1" w:styleId="295">
    <w:name w:val="样式 标题 + 左"/>
    <w:basedOn w:val="47"/>
    <w:autoRedefine/>
    <w:qFormat/>
    <w:uiPriority w:val="0"/>
    <w:pPr>
      <w:spacing w:before="360"/>
    </w:pPr>
    <w:rPr>
      <w:rFonts w:eastAsia="黑体" w:cs="宋体"/>
      <w:b w:val="0"/>
      <w:szCs w:val="20"/>
    </w:rPr>
  </w:style>
  <w:style w:type="paragraph" w:customStyle="1" w:styleId="296">
    <w:name w:val="样式0"/>
    <w:basedOn w:val="1"/>
    <w:autoRedefine/>
    <w:qFormat/>
    <w:uiPriority w:val="0"/>
    <w:pPr>
      <w:widowControl/>
      <w:tabs>
        <w:tab w:val="left" w:pos="987"/>
      </w:tabs>
      <w:spacing w:line="240" w:lineRule="auto"/>
      <w:ind w:left="987" w:hanging="420" w:firstLineChars="200"/>
    </w:pPr>
    <w:rPr>
      <w:rFonts w:ascii="Times New Roman" w:hAnsi="Times New Roman" w:cs="Times New Roman"/>
      <w:kern w:val="0"/>
      <w:sz w:val="22"/>
      <w:szCs w:val="24"/>
    </w:rPr>
  </w:style>
  <w:style w:type="paragraph" w:customStyle="1" w:styleId="297">
    <w:name w:val="文件标题5"/>
    <w:basedOn w:val="7"/>
    <w:next w:val="20"/>
    <w:autoRedefine/>
    <w:qFormat/>
    <w:uiPriority w:val="0"/>
    <w:pPr>
      <w:keepNext/>
      <w:keepLines/>
      <w:numPr>
        <w:ilvl w:val="0"/>
        <w:numId w:val="11"/>
      </w:numPr>
      <w:tabs>
        <w:tab w:val="left" w:pos="1260"/>
      </w:tabs>
      <w:adjustRightInd w:val="0"/>
      <w:spacing w:before="120" w:after="240" w:line="240" w:lineRule="auto"/>
      <w:ind w:left="400" w:leftChars="400" w:firstLine="0" w:firstLineChars="200"/>
      <w:jc w:val="both"/>
      <w:textAlignment w:val="baseline"/>
    </w:pPr>
    <w:rPr>
      <w:rFonts w:ascii="Times New Roman" w:hAnsi="Times New Roman" w:eastAsia="黑体" w:cs="Times New Roman"/>
      <w:szCs w:val="28"/>
    </w:rPr>
  </w:style>
  <w:style w:type="paragraph" w:customStyle="1" w:styleId="298">
    <w:name w:val="Body1"/>
    <w:basedOn w:val="3"/>
    <w:autoRedefine/>
    <w:qFormat/>
    <w:uiPriority w:val="0"/>
    <w:pPr>
      <w:keepLines w:val="0"/>
      <w:widowControl/>
      <w:tabs>
        <w:tab w:val="left" w:pos="1008"/>
      </w:tabs>
      <w:spacing w:before="120" w:after="240" w:line="360" w:lineRule="auto"/>
      <w:ind w:left="1008" w:hanging="1008"/>
      <w:jc w:val="left"/>
      <w:outlineLvl w:val="9"/>
    </w:pPr>
    <w:rPr>
      <w:rFonts w:ascii="黑体" w:hAnsi="黑体" w:eastAsia="PMingLiU" w:cs="Times New Roman"/>
      <w:b w:val="0"/>
      <w:bCs w:val="0"/>
      <w:caps/>
      <w:kern w:val="28"/>
      <w:sz w:val="28"/>
      <w:szCs w:val="28"/>
      <w:lang w:eastAsia="zh-TW"/>
    </w:rPr>
  </w:style>
  <w:style w:type="paragraph" w:customStyle="1" w:styleId="299">
    <w:name w:val="样式 标题 3h3Heading 3 - oldH3l3CTTitle3MapH313rd levelsec...2"/>
    <w:basedOn w:val="4"/>
    <w:autoRedefine/>
    <w:qFormat/>
    <w:uiPriority w:val="0"/>
    <w:pPr>
      <w:widowControl/>
      <w:spacing w:before="260" w:after="260" w:line="413" w:lineRule="auto"/>
      <w:ind w:left="426"/>
    </w:pPr>
    <w:rPr>
      <w:rFonts w:ascii="宋体" w:hAnsi="Times New Roman" w:cs="宋体"/>
      <w:kern w:val="0"/>
      <w:sz w:val="28"/>
      <w:szCs w:val="20"/>
    </w:rPr>
  </w:style>
  <w:style w:type="paragraph" w:customStyle="1" w:styleId="300">
    <w:name w:val="樣式 標題 3 + (中文) MS Gothic 10.5 點 Char Char Char Char Char Char Char Char Char Char Char Char Char Char Char Char Char Char Char Char Char Char Char Char"/>
    <w:basedOn w:val="4"/>
    <w:autoRedefine/>
    <w:qFormat/>
    <w:uiPriority w:val="0"/>
    <w:pPr>
      <w:keepLines w:val="0"/>
      <w:tabs>
        <w:tab w:val="left" w:pos="180"/>
      </w:tabs>
      <w:spacing w:line="240" w:lineRule="auto"/>
      <w:ind w:left="180"/>
      <w:jc w:val="both"/>
    </w:pPr>
    <w:rPr>
      <w:rFonts w:ascii="Times New Roman" w:hAnsi="PMingLiU" w:eastAsia="MS Gothic"/>
      <w:b w:val="0"/>
      <w:snapToGrid w:val="0"/>
      <w:szCs w:val="24"/>
      <w:lang w:val="en-AU" w:eastAsia="zh-TW"/>
    </w:rPr>
  </w:style>
  <w:style w:type="paragraph" w:customStyle="1" w:styleId="301">
    <w:name w:val="Char Char Char1 Char Char Char Char Char Char Char Char Char Char Char Char Char"/>
    <w:basedOn w:val="1"/>
    <w:autoRedefine/>
    <w:qFormat/>
    <w:uiPriority w:val="0"/>
    <w:pPr>
      <w:spacing w:line="240" w:lineRule="auto"/>
      <w:ind w:firstLine="200" w:firstLineChars="200"/>
      <w:jc w:val="both"/>
    </w:pPr>
    <w:rPr>
      <w:rFonts w:ascii="Tahoma" w:hAnsi="Tahoma" w:cs="Times New Roman"/>
      <w:sz w:val="24"/>
      <w:szCs w:val="20"/>
    </w:rPr>
  </w:style>
  <w:style w:type="character" w:customStyle="1" w:styleId="302">
    <w:name w:val="正文文本缩进 Char1"/>
    <w:basedOn w:val="55"/>
    <w:link w:val="20"/>
    <w:autoRedefine/>
    <w:qFormat/>
    <w:uiPriority w:val="0"/>
    <w:rPr>
      <w:kern w:val="2"/>
      <w:sz w:val="21"/>
    </w:rPr>
  </w:style>
  <w:style w:type="character" w:customStyle="1" w:styleId="303">
    <w:name w:val="正文首行缩进 2 Char1"/>
    <w:basedOn w:val="302"/>
    <w:autoRedefine/>
    <w:qFormat/>
    <w:uiPriority w:val="0"/>
    <w:rPr>
      <w:rFonts w:asciiTheme="minorHAnsi" w:hAnsiTheme="minorHAnsi" w:cstheme="minorBidi"/>
      <w:kern w:val="2"/>
      <w:sz w:val="21"/>
      <w:szCs w:val="21"/>
    </w:rPr>
  </w:style>
  <w:style w:type="paragraph" w:customStyle="1" w:styleId="304">
    <w:name w:val="正文  a)"/>
    <w:basedOn w:val="1"/>
    <w:autoRedefine/>
    <w:qFormat/>
    <w:uiPriority w:val="0"/>
    <w:pPr>
      <w:widowControl/>
      <w:spacing w:beforeLines="50" w:after="120"/>
      <w:ind w:left="840" w:leftChars="300" w:hanging="210" w:hangingChars="100"/>
    </w:pPr>
    <w:rPr>
      <w:rFonts w:ascii="Arial" w:hAnsi="Arial" w:cs="Arial"/>
      <w:kern w:val="0"/>
      <w:sz w:val="24"/>
      <w:lang w:eastAsia="en-US" w:bidi="en-US"/>
    </w:rPr>
  </w:style>
  <w:style w:type="paragraph" w:customStyle="1" w:styleId="305">
    <w:name w:val="CM3"/>
    <w:basedOn w:val="63"/>
    <w:next w:val="63"/>
    <w:autoRedefine/>
    <w:qFormat/>
    <w:uiPriority w:val="0"/>
    <w:rPr>
      <w:rFonts w:ascii="黑体" w:hAnsi="Times New Roman" w:eastAsia="黑体" w:cs="黑体"/>
      <w:color w:val="auto"/>
    </w:rPr>
  </w:style>
  <w:style w:type="paragraph" w:customStyle="1" w:styleId="306">
    <w:name w:val="Style Style Style Body Text + Justified + (Complex) Times New Roman..."/>
    <w:basedOn w:val="1"/>
    <w:autoRedefine/>
    <w:qFormat/>
    <w:uiPriority w:val="0"/>
    <w:pPr>
      <w:tabs>
        <w:tab w:val="left" w:pos="375"/>
      </w:tabs>
      <w:spacing w:line="240" w:lineRule="auto"/>
      <w:ind w:left="1095" w:firstLine="200" w:firstLineChars="200"/>
    </w:pPr>
    <w:rPr>
      <w:rFonts w:ascii="Times New Roman" w:hAnsi="Times New Roman" w:eastAsia="PMingLiU" w:cs="Times New Roman"/>
      <w:snapToGrid w:val="0"/>
      <w:kern w:val="0"/>
      <w:sz w:val="24"/>
      <w:szCs w:val="24"/>
      <w:lang w:val="en-AU" w:eastAsia="en-US"/>
    </w:rPr>
  </w:style>
  <w:style w:type="paragraph" w:customStyle="1" w:styleId="307">
    <w:name w:val="9"/>
    <w:basedOn w:val="1"/>
    <w:next w:val="24"/>
    <w:autoRedefine/>
    <w:qFormat/>
    <w:uiPriority w:val="0"/>
    <w:pPr>
      <w:widowControl/>
      <w:spacing w:beforeLines="50" w:after="120"/>
      <w:ind w:firstLine="200" w:firstLineChars="200"/>
    </w:pPr>
    <w:rPr>
      <w:rFonts w:ascii="宋体" w:hAnsi="Courier New" w:cs="Courier New"/>
      <w:kern w:val="0"/>
      <w:sz w:val="24"/>
      <w:lang w:eastAsia="en-US" w:bidi="en-US"/>
    </w:rPr>
  </w:style>
  <w:style w:type="paragraph" w:customStyle="1" w:styleId="308">
    <w:name w:val="标书样式"/>
    <w:basedOn w:val="1"/>
    <w:autoRedefine/>
    <w:qFormat/>
    <w:uiPriority w:val="0"/>
    <w:pPr>
      <w:ind w:firstLine="480" w:firstLineChars="200"/>
      <w:jc w:val="both"/>
    </w:pPr>
    <w:rPr>
      <w:rFonts w:ascii="Times New Roman" w:hAnsi="Times New Roman" w:eastAsia="仿宋_GB2312" w:cs="Times New Roman"/>
      <w:sz w:val="24"/>
      <w:szCs w:val="24"/>
    </w:rPr>
  </w:style>
  <w:style w:type="paragraph" w:customStyle="1" w:styleId="309">
    <w:name w:val="表文字-标题"/>
    <w:basedOn w:val="1"/>
    <w:next w:val="1"/>
    <w:autoRedefine/>
    <w:qFormat/>
    <w:uiPriority w:val="0"/>
    <w:pPr>
      <w:spacing w:line="240" w:lineRule="auto"/>
      <w:ind w:firstLine="200" w:firstLineChars="200"/>
      <w:jc w:val="center"/>
    </w:pPr>
    <w:rPr>
      <w:rFonts w:ascii="Times New Roman" w:hAnsi="Times New Roman" w:cs="Times New Roman"/>
      <w:b/>
      <w:sz w:val="24"/>
      <w:szCs w:val="24"/>
    </w:rPr>
  </w:style>
  <w:style w:type="character" w:customStyle="1" w:styleId="310">
    <w:name w:val="日期 Char1"/>
    <w:basedOn w:val="55"/>
    <w:autoRedefine/>
    <w:qFormat/>
    <w:uiPriority w:val="0"/>
    <w:rPr>
      <w:rFonts w:asciiTheme="minorHAnsi" w:hAnsiTheme="minorHAnsi" w:cstheme="minorBidi"/>
      <w:kern w:val="2"/>
      <w:sz w:val="21"/>
      <w:szCs w:val="21"/>
    </w:rPr>
  </w:style>
  <w:style w:type="paragraph" w:customStyle="1" w:styleId="311">
    <w:name w:val="Appendix Index level 2"/>
    <w:basedOn w:val="1"/>
    <w:autoRedefine/>
    <w:qFormat/>
    <w:uiPriority w:val="0"/>
    <w:pPr>
      <w:tabs>
        <w:tab w:val="left" w:pos="4560"/>
        <w:tab w:val="left" w:pos="7035"/>
        <w:tab w:val="left" w:pos="11379"/>
      </w:tabs>
      <w:spacing w:beforeLines="50"/>
      <w:ind w:left="6" w:leftChars="2" w:firstLine="200" w:firstLineChars="200"/>
    </w:pPr>
    <w:rPr>
      <w:rFonts w:ascii="宋体" w:hAnsi="宋体" w:cs="Times New Roman"/>
      <w:b/>
      <w:snapToGrid w:val="0"/>
      <w:color w:val="0000FF"/>
      <w:kern w:val="0"/>
      <w:sz w:val="24"/>
      <w:szCs w:val="24"/>
      <w:u w:val="single"/>
      <w:lang w:val="en-AU"/>
    </w:rPr>
  </w:style>
  <w:style w:type="character" w:customStyle="1" w:styleId="312">
    <w:name w:val="明显引用 Char1"/>
    <w:basedOn w:val="55"/>
    <w:autoRedefine/>
    <w:semiHidden/>
    <w:qFormat/>
    <w:uiPriority w:val="99"/>
    <w:rPr>
      <w:rFonts w:asciiTheme="minorHAnsi" w:hAnsiTheme="minorHAnsi" w:cstheme="minorBidi"/>
      <w:b/>
      <w:bCs/>
      <w:i/>
      <w:iCs/>
      <w:color w:val="5B9BD5" w:themeColor="accent1"/>
      <w:kern w:val="2"/>
      <w:sz w:val="21"/>
      <w:szCs w:val="21"/>
      <w14:textFill>
        <w14:solidFill>
          <w14:schemeClr w14:val="accent1"/>
        </w14:solidFill>
      </w14:textFill>
    </w:rPr>
  </w:style>
  <w:style w:type="paragraph" w:customStyle="1" w:styleId="313">
    <w:name w:val="Char Char Char Char Char Char Char"/>
    <w:basedOn w:val="1"/>
    <w:autoRedefine/>
    <w:qFormat/>
    <w:uiPriority w:val="0"/>
    <w:pPr>
      <w:widowControl/>
      <w:adjustRightInd w:val="0"/>
      <w:snapToGrid w:val="0"/>
      <w:ind w:firstLine="200" w:firstLineChars="200"/>
    </w:pPr>
    <w:rPr>
      <w:rFonts w:ascii="Tahoma" w:hAnsi="Tahoma" w:cs="Tahoma"/>
      <w:kern w:val="0"/>
      <w:sz w:val="20"/>
      <w:szCs w:val="20"/>
      <w:lang w:eastAsia="en-US"/>
    </w:rPr>
  </w:style>
  <w:style w:type="paragraph" w:customStyle="1" w:styleId="314">
    <w:name w:val="招标—正文"/>
    <w:autoRedefine/>
    <w:qFormat/>
    <w:uiPriority w:val="0"/>
    <w:pPr>
      <w:keepNext/>
      <w:spacing w:beforeLines="30" w:afterLines="30"/>
      <w:jc w:val="both"/>
    </w:pPr>
    <w:rPr>
      <w:rFonts w:ascii="Arial" w:hAnsi="Arial" w:eastAsia="宋体" w:cs="Times New Roman"/>
      <w:kern w:val="2"/>
      <w:sz w:val="21"/>
      <w:szCs w:val="21"/>
      <w:lang w:val="en-US" w:eastAsia="zh-CN" w:bidi="ar-SA"/>
    </w:rPr>
  </w:style>
  <w:style w:type="paragraph" w:customStyle="1" w:styleId="315">
    <w:name w:val="容量"/>
    <w:basedOn w:val="1"/>
    <w:autoRedefine/>
    <w:qFormat/>
    <w:uiPriority w:val="0"/>
    <w:pPr>
      <w:adjustRightInd w:val="0"/>
      <w:spacing w:line="312" w:lineRule="atLeast"/>
      <w:ind w:firstLine="200" w:firstLineChars="200"/>
      <w:jc w:val="both"/>
      <w:textAlignment w:val="baseline"/>
    </w:pPr>
    <w:rPr>
      <w:rFonts w:ascii="Times New Roman" w:hAnsi="Times New Roman" w:cs="Times New Roman"/>
      <w:kern w:val="0"/>
      <w:sz w:val="24"/>
      <w:szCs w:val="20"/>
    </w:rPr>
  </w:style>
  <w:style w:type="paragraph" w:customStyle="1" w:styleId="316">
    <w:name w:val="技术响应正文"/>
    <w:basedOn w:val="1"/>
    <w:autoRedefine/>
    <w:qFormat/>
    <w:uiPriority w:val="0"/>
    <w:pPr>
      <w:tabs>
        <w:tab w:val="left" w:pos="480"/>
      </w:tabs>
      <w:ind w:left="200" w:leftChars="200" w:firstLine="420" w:firstLineChars="200"/>
      <w:jc w:val="both"/>
    </w:pPr>
    <w:rPr>
      <w:rFonts w:ascii="宋体" w:hAnsi="宋体" w:cs="Times New Roman"/>
      <w:bCs/>
      <w:kern w:val="0"/>
      <w:sz w:val="24"/>
    </w:rPr>
  </w:style>
  <w:style w:type="paragraph" w:customStyle="1" w:styleId="317">
    <w:name w:val="Char1 Char Char Char"/>
    <w:basedOn w:val="1"/>
    <w:autoRedefine/>
    <w:qFormat/>
    <w:uiPriority w:val="0"/>
    <w:pPr>
      <w:spacing w:line="240" w:lineRule="auto"/>
      <w:ind w:firstLine="200" w:firstLineChars="200"/>
      <w:jc w:val="both"/>
    </w:pPr>
    <w:rPr>
      <w:rFonts w:ascii="Tahoma" w:hAnsi="Tahoma" w:cs="Times New Roman"/>
      <w:sz w:val="24"/>
      <w:szCs w:val="24"/>
    </w:rPr>
  </w:style>
  <w:style w:type="paragraph" w:customStyle="1" w:styleId="318">
    <w:name w:val="标题 02 5H5第四层条bdashdsdd5 sub-bulletsb4th order hd4th or..."/>
    <w:basedOn w:val="7"/>
    <w:autoRedefine/>
    <w:qFormat/>
    <w:uiPriority w:val="0"/>
    <w:pPr>
      <w:keepNext/>
      <w:keepLines/>
      <w:tabs>
        <w:tab w:val="left" w:pos="480"/>
        <w:tab w:val="left" w:pos="1008"/>
      </w:tabs>
      <w:spacing w:before="80" w:after="40" w:line="240" w:lineRule="auto"/>
      <w:ind w:left="1008" w:hanging="1008" w:firstLineChars="200"/>
      <w:contextualSpacing/>
    </w:pPr>
    <w:rPr>
      <w:rFonts w:ascii="Arial" w:hAnsi="Arial" w:eastAsia="黑体" w:cs="宋体"/>
      <w:b w:val="0"/>
      <w:bCs w:val="0"/>
      <w:sz w:val="24"/>
      <w:szCs w:val="20"/>
    </w:rPr>
  </w:style>
  <w:style w:type="paragraph" w:customStyle="1" w:styleId="319">
    <w:name w:val="默认段落字体 Char Char Char Char Char"/>
    <w:basedOn w:val="1"/>
    <w:autoRedefine/>
    <w:qFormat/>
    <w:uiPriority w:val="0"/>
    <w:pPr>
      <w:spacing w:line="240" w:lineRule="auto"/>
      <w:ind w:firstLine="200" w:firstLineChars="200"/>
      <w:jc w:val="both"/>
    </w:pPr>
    <w:rPr>
      <w:rFonts w:ascii="仿宋_GB2312" w:hAnsi="Times New Roman" w:eastAsia="仿宋_GB2312" w:cs="Times New Roman"/>
      <w:b/>
      <w:sz w:val="32"/>
      <w:szCs w:val="32"/>
    </w:rPr>
  </w:style>
  <w:style w:type="paragraph" w:customStyle="1" w:styleId="320">
    <w:name w:val="CM17"/>
    <w:basedOn w:val="1"/>
    <w:next w:val="1"/>
    <w:autoRedefine/>
    <w:qFormat/>
    <w:uiPriority w:val="0"/>
    <w:pPr>
      <w:autoSpaceDE w:val="0"/>
      <w:autoSpaceDN w:val="0"/>
      <w:adjustRightInd w:val="0"/>
      <w:spacing w:after="220" w:line="240" w:lineRule="auto"/>
      <w:ind w:firstLine="200" w:firstLineChars="200"/>
    </w:pPr>
    <w:rPr>
      <w:rFonts w:ascii="黑体" w:hAnsi="Times New Roman" w:eastAsia="黑体" w:cs="黑体"/>
      <w:kern w:val="0"/>
      <w:sz w:val="24"/>
      <w:szCs w:val="24"/>
    </w:rPr>
  </w:style>
  <w:style w:type="paragraph" w:customStyle="1" w:styleId="321">
    <w:name w:val="末级"/>
    <w:basedOn w:val="1"/>
    <w:autoRedefine/>
    <w:qFormat/>
    <w:uiPriority w:val="0"/>
    <w:pPr>
      <w:numPr>
        <w:ilvl w:val="0"/>
        <w:numId w:val="12"/>
      </w:numPr>
      <w:ind w:firstLine="200" w:firstLineChars="200"/>
      <w:jc w:val="both"/>
    </w:pPr>
    <w:rPr>
      <w:rFonts w:ascii="Times New Roman" w:hAnsi="Times New Roman" w:cs="Times New Roman"/>
      <w:sz w:val="24"/>
      <w:szCs w:val="24"/>
    </w:rPr>
  </w:style>
  <w:style w:type="paragraph" w:customStyle="1" w:styleId="322">
    <w:name w:val="22"/>
    <w:basedOn w:val="1"/>
    <w:next w:val="24"/>
    <w:autoRedefine/>
    <w:qFormat/>
    <w:uiPriority w:val="0"/>
    <w:pPr>
      <w:widowControl/>
      <w:spacing w:beforeLines="50" w:after="120"/>
      <w:ind w:firstLine="200" w:firstLineChars="200"/>
    </w:pPr>
    <w:rPr>
      <w:rFonts w:ascii="宋体" w:hAnsi="Courier New" w:cs="Courier New"/>
      <w:kern w:val="0"/>
      <w:sz w:val="24"/>
      <w:lang w:eastAsia="en-US" w:bidi="en-US"/>
    </w:rPr>
  </w:style>
  <w:style w:type="paragraph" w:customStyle="1" w:styleId="323">
    <w:name w:val="CM8"/>
    <w:basedOn w:val="63"/>
    <w:next w:val="63"/>
    <w:autoRedefine/>
    <w:qFormat/>
    <w:uiPriority w:val="0"/>
    <w:rPr>
      <w:rFonts w:ascii="黑体" w:hAnsi="Times New Roman" w:eastAsia="黑体" w:cs="黑体"/>
      <w:color w:val="auto"/>
    </w:rPr>
  </w:style>
  <w:style w:type="paragraph" w:customStyle="1" w:styleId="324">
    <w:name w:val="样式 红色"/>
    <w:autoRedefine/>
    <w:qFormat/>
    <w:uiPriority w:val="0"/>
    <w:pPr>
      <w:tabs>
        <w:tab w:val="left" w:pos="840"/>
        <w:tab w:val="left" w:pos="2820"/>
      </w:tabs>
      <w:ind w:left="840" w:hanging="420"/>
    </w:pPr>
    <w:rPr>
      <w:rFonts w:ascii="Times New Roman" w:hAnsi="Times New Roman" w:eastAsia="宋体" w:cs="Times New Roman"/>
      <w:sz w:val="24"/>
      <w:szCs w:val="24"/>
      <w:lang w:val="en-US" w:eastAsia="zh-CN" w:bidi="ar-SA"/>
    </w:rPr>
  </w:style>
  <w:style w:type="paragraph" w:customStyle="1" w:styleId="325">
    <w:name w:val="樣式 標題 3 + (中文) MS Gothic 10.5 點 Char Char"/>
    <w:basedOn w:val="4"/>
    <w:autoRedefine/>
    <w:qFormat/>
    <w:uiPriority w:val="0"/>
    <w:pPr>
      <w:keepLines w:val="0"/>
      <w:numPr>
        <w:ilvl w:val="2"/>
        <w:numId w:val="13"/>
      </w:numPr>
      <w:tabs>
        <w:tab w:val="left" w:pos="1787"/>
        <w:tab w:val="clear" w:pos="737"/>
      </w:tabs>
      <w:spacing w:line="240" w:lineRule="auto"/>
      <w:ind w:left="1787" w:hanging="480"/>
    </w:pPr>
    <w:rPr>
      <w:rFonts w:ascii="Times New Roman" w:hAnsi="PMingLiU" w:eastAsia="MS Gothic"/>
      <w:b w:val="0"/>
      <w:snapToGrid w:val="0"/>
      <w:szCs w:val="24"/>
      <w:lang w:val="en-AU" w:eastAsia="zh-TW"/>
    </w:rPr>
  </w:style>
  <w:style w:type="paragraph" w:customStyle="1" w:styleId="326">
    <w:name w:val="CM9"/>
    <w:basedOn w:val="63"/>
    <w:next w:val="63"/>
    <w:autoRedefine/>
    <w:qFormat/>
    <w:uiPriority w:val="0"/>
    <w:rPr>
      <w:rFonts w:ascii="黑体" w:hAnsi="Times New Roman" w:eastAsia="黑体" w:cs="黑体"/>
      <w:color w:val="auto"/>
    </w:rPr>
  </w:style>
  <w:style w:type="paragraph" w:customStyle="1" w:styleId="327">
    <w:name w:val="Char Char Char Char"/>
    <w:basedOn w:val="1"/>
    <w:autoRedefine/>
    <w:qFormat/>
    <w:uiPriority w:val="0"/>
    <w:pPr>
      <w:spacing w:line="240" w:lineRule="auto"/>
      <w:ind w:firstLine="200" w:firstLineChars="200"/>
      <w:jc w:val="both"/>
    </w:pPr>
    <w:rPr>
      <w:rFonts w:ascii="Tahoma" w:hAnsi="Tahoma" w:cs="Times New Roman"/>
      <w:sz w:val="24"/>
      <w:szCs w:val="20"/>
    </w:rPr>
  </w:style>
  <w:style w:type="paragraph" w:customStyle="1" w:styleId="328">
    <w:name w:val="Char1"/>
    <w:basedOn w:val="1"/>
    <w:autoRedefine/>
    <w:qFormat/>
    <w:uiPriority w:val="0"/>
    <w:pPr>
      <w:widowControl/>
      <w:spacing w:beforeLines="50" w:after="120"/>
      <w:ind w:firstLine="200" w:firstLineChars="200"/>
    </w:pPr>
    <w:rPr>
      <w:rFonts w:ascii="Tahoma" w:hAnsi="Tahoma" w:cs="仿宋_GB2312"/>
      <w:kern w:val="0"/>
      <w:sz w:val="24"/>
      <w:szCs w:val="20"/>
      <w:lang w:eastAsia="en-US" w:bidi="en-US"/>
    </w:rPr>
  </w:style>
  <w:style w:type="paragraph" w:customStyle="1" w:styleId="329">
    <w:name w:val="Style Body Text Indent 3 + Left  6.5 ch First line:  0 ch"/>
    <w:basedOn w:val="40"/>
    <w:autoRedefine/>
    <w:qFormat/>
    <w:uiPriority w:val="0"/>
    <w:pPr>
      <w:widowControl w:val="0"/>
      <w:numPr>
        <w:ilvl w:val="0"/>
        <w:numId w:val="14"/>
      </w:numPr>
      <w:tabs>
        <w:tab w:val="left" w:pos="-1843"/>
        <w:tab w:val="left" w:pos="-2"/>
        <w:tab w:val="left" w:pos="849"/>
      </w:tabs>
      <w:suppressAutoHyphens/>
      <w:spacing w:beforeLines="0" w:after="0" w:line="240" w:lineRule="auto"/>
      <w:ind w:left="0" w:leftChars="0" w:firstLine="0" w:firstLineChars="0"/>
    </w:pPr>
    <w:rPr>
      <w:rFonts w:ascii="Times New Roman" w:hAnsi="Times New Roman" w:eastAsia="PMingLiU" w:cs="PMingLiU"/>
      <w:snapToGrid w:val="0"/>
      <w:sz w:val="24"/>
      <w:szCs w:val="24"/>
      <w:lang w:val="en-GB" w:eastAsia="zh-TW" w:bidi="ar-SA"/>
    </w:rPr>
  </w:style>
  <w:style w:type="paragraph" w:customStyle="1" w:styleId="330">
    <w:name w:val="CM1"/>
    <w:basedOn w:val="63"/>
    <w:next w:val="63"/>
    <w:autoRedefine/>
    <w:qFormat/>
    <w:uiPriority w:val="0"/>
    <w:pPr>
      <w:spacing w:line="978" w:lineRule="atLeast"/>
    </w:pPr>
    <w:rPr>
      <w:rFonts w:ascii="黑体" w:hAnsi="Times New Roman" w:eastAsia="黑体" w:cs="黑体"/>
      <w:color w:val="auto"/>
    </w:rPr>
  </w:style>
  <w:style w:type="paragraph" w:customStyle="1" w:styleId="331">
    <w:name w:val="图表"/>
    <w:basedOn w:val="1"/>
    <w:autoRedefine/>
    <w:qFormat/>
    <w:uiPriority w:val="0"/>
    <w:pPr>
      <w:spacing w:line="360" w:lineRule="exact"/>
      <w:ind w:firstLine="200" w:firstLineChars="200"/>
    </w:pPr>
    <w:rPr>
      <w:rFonts w:ascii="Times New Roman" w:hAnsi="Times New Roman" w:cs="Times New Roman"/>
      <w:spacing w:val="-10"/>
      <w:sz w:val="24"/>
      <w:szCs w:val="28"/>
    </w:rPr>
  </w:style>
  <w:style w:type="paragraph" w:customStyle="1" w:styleId="332">
    <w:name w:val="Appendix Style2"/>
    <w:basedOn w:val="1"/>
    <w:autoRedefine/>
    <w:qFormat/>
    <w:uiPriority w:val="0"/>
    <w:pPr>
      <w:numPr>
        <w:ilvl w:val="1"/>
        <w:numId w:val="15"/>
      </w:numPr>
      <w:tabs>
        <w:tab w:val="clear" w:pos="4044"/>
      </w:tabs>
      <w:spacing w:line="240" w:lineRule="auto"/>
      <w:ind w:left="-90" w:firstLine="0" w:firstLineChars="200"/>
      <w:jc w:val="both"/>
    </w:pPr>
    <w:rPr>
      <w:rFonts w:ascii="Times New Roman Bold" w:hAnsi="Times New Roman Bold" w:cs="Times New Roman"/>
      <w:b/>
      <w:snapToGrid w:val="0"/>
      <w:kern w:val="0"/>
      <w:sz w:val="28"/>
      <w:szCs w:val="28"/>
      <w:lang w:val="en-AU"/>
    </w:rPr>
  </w:style>
  <w:style w:type="paragraph" w:customStyle="1" w:styleId="333">
    <w:name w:val="CM6"/>
    <w:basedOn w:val="63"/>
    <w:next w:val="63"/>
    <w:autoRedefine/>
    <w:qFormat/>
    <w:uiPriority w:val="0"/>
    <w:pPr>
      <w:spacing w:line="373" w:lineRule="atLeast"/>
    </w:pPr>
    <w:rPr>
      <w:rFonts w:ascii="黑体" w:hAnsi="Times New Roman" w:eastAsia="黑体" w:cs="黑体"/>
      <w:color w:val="auto"/>
    </w:rPr>
  </w:style>
  <w:style w:type="paragraph" w:customStyle="1" w:styleId="334">
    <w:name w:val="标题2"/>
    <w:basedOn w:val="1"/>
    <w:autoRedefine/>
    <w:qFormat/>
    <w:uiPriority w:val="0"/>
    <w:pPr>
      <w:spacing w:line="520" w:lineRule="exact"/>
      <w:ind w:firstLine="454" w:firstLineChars="200"/>
      <w:jc w:val="both"/>
    </w:pPr>
    <w:rPr>
      <w:rFonts w:ascii="Times New Roman" w:hAnsi="Times New Roman" w:eastAsia="黑体" w:cs="Times New Roman"/>
      <w:b/>
      <w:sz w:val="28"/>
      <w:szCs w:val="20"/>
    </w:rPr>
  </w:style>
  <w:style w:type="paragraph" w:customStyle="1" w:styleId="335">
    <w:name w:val="样式 标题 3h3Heading 3 - oldH3l3CTTitle3MapH313rd levelsec...1"/>
    <w:basedOn w:val="4"/>
    <w:autoRedefine/>
    <w:qFormat/>
    <w:uiPriority w:val="0"/>
    <w:pPr>
      <w:widowControl/>
      <w:spacing w:before="260" w:after="260" w:line="413" w:lineRule="auto"/>
      <w:ind w:left="426"/>
      <w:jc w:val="both"/>
    </w:pPr>
    <w:rPr>
      <w:rFonts w:ascii="宋体" w:hAnsi="Times New Roman" w:cs="宋体"/>
      <w:sz w:val="28"/>
      <w:szCs w:val="28"/>
    </w:rPr>
  </w:style>
  <w:style w:type="paragraph" w:customStyle="1" w:styleId="336">
    <w:name w:val="表序、表名"/>
    <w:basedOn w:val="1"/>
    <w:next w:val="1"/>
    <w:autoRedefine/>
    <w:qFormat/>
    <w:uiPriority w:val="0"/>
    <w:pPr>
      <w:spacing w:before="120" w:after="120" w:line="240" w:lineRule="auto"/>
      <w:ind w:firstLine="200" w:firstLineChars="200"/>
      <w:jc w:val="center"/>
    </w:pPr>
    <w:rPr>
      <w:rFonts w:ascii="Times New Roman" w:hAnsi="Times New Roman" w:cs="Times New Roman"/>
      <w:kern w:val="0"/>
      <w:sz w:val="22"/>
      <w:szCs w:val="24"/>
    </w:rPr>
  </w:style>
  <w:style w:type="paragraph" w:customStyle="1" w:styleId="337">
    <w:name w:val="CM20"/>
    <w:basedOn w:val="63"/>
    <w:next w:val="63"/>
    <w:autoRedefine/>
    <w:qFormat/>
    <w:uiPriority w:val="0"/>
    <w:pPr>
      <w:spacing w:after="55"/>
    </w:pPr>
    <w:rPr>
      <w:rFonts w:ascii="黑体" w:hAnsi="Times New Roman" w:eastAsia="黑体" w:cs="黑体"/>
      <w:color w:val="auto"/>
    </w:rPr>
  </w:style>
  <w:style w:type="paragraph" w:customStyle="1" w:styleId="338">
    <w:name w:val="CM19"/>
    <w:basedOn w:val="63"/>
    <w:next w:val="63"/>
    <w:autoRedefine/>
    <w:qFormat/>
    <w:uiPriority w:val="0"/>
    <w:pPr>
      <w:spacing w:after="105"/>
    </w:pPr>
    <w:rPr>
      <w:rFonts w:ascii="黑体" w:hAnsi="Times New Roman" w:eastAsia="黑体" w:cs="黑体"/>
      <w:color w:val="auto"/>
    </w:rPr>
  </w:style>
  <w:style w:type="paragraph" w:customStyle="1" w:styleId="339">
    <w:name w:val="样式 宋体 小四 首行缩进:  0.85 厘米 行距: 1.5 倍行距1"/>
    <w:basedOn w:val="1"/>
    <w:autoRedefine/>
    <w:qFormat/>
    <w:uiPriority w:val="0"/>
    <w:pPr>
      <w:ind w:firstLine="480" w:firstLineChars="200"/>
      <w:jc w:val="both"/>
    </w:pPr>
    <w:rPr>
      <w:rFonts w:ascii="宋体" w:hAnsi="宋体" w:cs="宋体"/>
      <w:sz w:val="24"/>
      <w:szCs w:val="20"/>
    </w:rPr>
  </w:style>
  <w:style w:type="paragraph" w:customStyle="1" w:styleId="340">
    <w:name w:val="附图居中"/>
    <w:basedOn w:val="1"/>
    <w:next w:val="1"/>
    <w:autoRedefine/>
    <w:qFormat/>
    <w:uiPriority w:val="0"/>
    <w:pPr>
      <w:spacing w:after="50"/>
      <w:ind w:firstLine="200" w:firstLineChars="200"/>
      <w:jc w:val="center"/>
    </w:pPr>
    <w:rPr>
      <w:rFonts w:ascii="宋体" w:hAnsi="宋体" w:cs="Times New Roman"/>
      <w:sz w:val="24"/>
      <w:szCs w:val="20"/>
    </w:rPr>
  </w:style>
  <w:style w:type="paragraph" w:customStyle="1" w:styleId="341">
    <w:name w:val="模块正文"/>
    <w:basedOn w:val="1"/>
    <w:autoRedefine/>
    <w:qFormat/>
    <w:uiPriority w:val="0"/>
    <w:pPr>
      <w:widowControl/>
      <w:overflowPunct w:val="0"/>
      <w:autoSpaceDE w:val="0"/>
      <w:autoSpaceDN w:val="0"/>
      <w:adjustRightInd w:val="0"/>
      <w:spacing w:line="240" w:lineRule="auto"/>
      <w:ind w:firstLine="200" w:firstLineChars="200"/>
      <w:textAlignment w:val="baseline"/>
    </w:pPr>
    <w:rPr>
      <w:rFonts w:ascii="Times New Roman" w:hAnsi="Times New Roman" w:eastAsia="仿宋_GB2312" w:cs="Times New Roman"/>
      <w:kern w:val="0"/>
      <w:sz w:val="28"/>
      <w:szCs w:val="20"/>
    </w:rPr>
  </w:style>
  <w:style w:type="paragraph" w:customStyle="1" w:styleId="342">
    <w:name w:val="二级节标题"/>
    <w:basedOn w:val="2"/>
    <w:next w:val="343"/>
    <w:autoRedefine/>
    <w:qFormat/>
    <w:uiPriority w:val="0"/>
    <w:pPr>
      <w:widowControl/>
      <w:numPr>
        <w:ilvl w:val="1"/>
        <w:numId w:val="16"/>
      </w:numPr>
      <w:adjustRightInd w:val="0"/>
      <w:spacing w:before="240" w:after="120" w:line="240" w:lineRule="auto"/>
      <w:textAlignment w:val="baseline"/>
    </w:pPr>
    <w:rPr>
      <w:rFonts w:ascii="Arial" w:hAnsi="Arial" w:eastAsia="黑体" w:cs="Times New Roman"/>
      <w:bCs/>
      <w:sz w:val="32"/>
    </w:rPr>
  </w:style>
  <w:style w:type="paragraph" w:customStyle="1" w:styleId="343">
    <w:name w:val="段落文字"/>
    <w:basedOn w:val="1"/>
    <w:autoRedefine/>
    <w:qFormat/>
    <w:uiPriority w:val="0"/>
    <w:pPr>
      <w:widowControl/>
      <w:ind w:firstLine="200" w:firstLineChars="200"/>
    </w:pPr>
    <w:rPr>
      <w:rFonts w:ascii="Times New Roman" w:hAnsi="Times New Roman" w:cs="Times New Roman"/>
      <w:kern w:val="0"/>
      <w:sz w:val="24"/>
      <w:szCs w:val="24"/>
    </w:rPr>
  </w:style>
  <w:style w:type="paragraph" w:customStyle="1" w:styleId="344">
    <w:name w:val="技术附件正文"/>
    <w:autoRedefine/>
    <w:qFormat/>
    <w:uiPriority w:val="0"/>
    <w:pPr>
      <w:spacing w:after="156" w:line="360" w:lineRule="auto"/>
      <w:ind w:firstLine="560" w:firstLineChars="200"/>
    </w:pPr>
    <w:rPr>
      <w:rFonts w:ascii="宋体" w:hAnsi="宋体" w:eastAsia="宋体" w:cs="Times New Roman"/>
      <w:kern w:val="28"/>
      <w:sz w:val="28"/>
      <w:lang w:val="en-US" w:eastAsia="zh-CN" w:bidi="ar-SA"/>
    </w:rPr>
  </w:style>
  <w:style w:type="paragraph" w:customStyle="1" w:styleId="345">
    <w:name w:val="图表文字"/>
    <w:basedOn w:val="1"/>
    <w:next w:val="1"/>
    <w:autoRedefine/>
    <w:qFormat/>
    <w:uiPriority w:val="0"/>
    <w:pPr>
      <w:widowControl/>
      <w:spacing w:line="280" w:lineRule="exact"/>
      <w:ind w:firstLine="200" w:firstLineChars="200"/>
      <w:jc w:val="center"/>
    </w:pPr>
    <w:rPr>
      <w:rFonts w:ascii="仿宋_GB2312" w:hAnsi="Times New Roman" w:eastAsia="仿宋_GB2312" w:cs="Times New Roman"/>
      <w:color w:val="000000"/>
      <w:kern w:val="0"/>
      <w:sz w:val="22"/>
    </w:rPr>
  </w:style>
  <w:style w:type="paragraph" w:customStyle="1" w:styleId="346">
    <w:name w:val="模板标题2"/>
    <w:basedOn w:val="1"/>
    <w:next w:val="1"/>
    <w:autoRedefine/>
    <w:qFormat/>
    <w:uiPriority w:val="0"/>
    <w:pPr>
      <w:adjustRightInd w:val="0"/>
      <w:spacing w:line="300" w:lineRule="auto"/>
      <w:ind w:firstLine="200" w:firstLineChars="200"/>
      <w:jc w:val="both"/>
      <w:outlineLvl w:val="1"/>
    </w:pPr>
    <w:rPr>
      <w:rFonts w:ascii="仿宋_GB2312" w:hAnsi="Times New Roman" w:eastAsia="仿宋_GB2312" w:cs="Times New Roman"/>
      <w:b/>
      <w:kern w:val="32"/>
      <w:sz w:val="28"/>
      <w:szCs w:val="20"/>
    </w:rPr>
  </w:style>
  <w:style w:type="paragraph" w:customStyle="1" w:styleId="347">
    <w:name w:val="模板标题3"/>
    <w:basedOn w:val="1"/>
    <w:next w:val="49"/>
    <w:autoRedefine/>
    <w:qFormat/>
    <w:uiPriority w:val="0"/>
    <w:pPr>
      <w:tabs>
        <w:tab w:val="left" w:pos="709"/>
        <w:tab w:val="left" w:pos="851"/>
      </w:tabs>
      <w:adjustRightInd w:val="0"/>
      <w:spacing w:after="156" w:line="300" w:lineRule="auto"/>
      <w:ind w:firstLine="200" w:firstLineChars="200"/>
      <w:jc w:val="both"/>
      <w:outlineLvl w:val="2"/>
    </w:pPr>
    <w:rPr>
      <w:rFonts w:ascii="仿宋_GB2312" w:hAnsi="Times New Roman" w:eastAsia="仿宋_GB2312" w:cs="Times New Roman"/>
      <w:b/>
      <w:kern w:val="21"/>
      <w:sz w:val="24"/>
      <w:szCs w:val="20"/>
    </w:rPr>
  </w:style>
  <w:style w:type="paragraph" w:customStyle="1" w:styleId="348">
    <w:name w:val="模板标题4"/>
    <w:basedOn w:val="1"/>
    <w:next w:val="49"/>
    <w:autoRedefine/>
    <w:qFormat/>
    <w:uiPriority w:val="0"/>
    <w:pPr>
      <w:tabs>
        <w:tab w:val="left" w:pos="1440"/>
      </w:tabs>
      <w:adjustRightInd w:val="0"/>
      <w:spacing w:before="100" w:beforeAutospacing="1" w:after="100" w:afterAutospacing="1" w:line="400" w:lineRule="exact"/>
      <w:ind w:firstLine="200" w:firstLineChars="200"/>
      <w:jc w:val="both"/>
      <w:outlineLvl w:val="3"/>
    </w:pPr>
    <w:rPr>
      <w:rFonts w:ascii="宋体" w:hAnsi="Arial" w:cs="Times New Roman"/>
      <w:kern w:val="28"/>
      <w:sz w:val="24"/>
      <w:szCs w:val="20"/>
    </w:rPr>
  </w:style>
  <w:style w:type="paragraph" w:customStyle="1" w:styleId="349">
    <w:name w:val="模板三级标题"/>
    <w:basedOn w:val="1"/>
    <w:next w:val="49"/>
    <w:autoRedefine/>
    <w:qFormat/>
    <w:uiPriority w:val="0"/>
    <w:pPr>
      <w:keepNext/>
      <w:keepLines/>
      <w:tabs>
        <w:tab w:val="left" w:pos="1080"/>
      </w:tabs>
      <w:spacing w:after="156" w:line="240" w:lineRule="auto"/>
      <w:ind w:left="360" w:hanging="360" w:firstLineChars="200"/>
      <w:jc w:val="both"/>
      <w:outlineLvl w:val="2"/>
    </w:pPr>
    <w:rPr>
      <w:rFonts w:ascii="Arial" w:hAnsi="Arial" w:cs="Times New Roman"/>
      <w:b/>
      <w:kern w:val="21"/>
      <w:sz w:val="24"/>
      <w:szCs w:val="20"/>
    </w:rPr>
  </w:style>
  <w:style w:type="paragraph" w:customStyle="1" w:styleId="350">
    <w:name w:val="样式 正文文本表文字-表文字 + 首行缩进:  2 字符"/>
    <w:basedOn w:val="5"/>
    <w:autoRedefine/>
    <w:qFormat/>
    <w:uiPriority w:val="0"/>
    <w:pPr>
      <w:spacing w:after="0" w:line="240" w:lineRule="auto"/>
      <w:ind w:firstLine="200" w:firstLineChars="200"/>
      <w:jc w:val="center"/>
    </w:pPr>
    <w:rPr>
      <w:rFonts w:cs="宋体"/>
      <w:kern w:val="0"/>
      <w:sz w:val="22"/>
    </w:rPr>
  </w:style>
  <w:style w:type="paragraph" w:customStyle="1" w:styleId="351">
    <w:name w:val="模板四级标题"/>
    <w:basedOn w:val="349"/>
    <w:next w:val="49"/>
    <w:autoRedefine/>
    <w:qFormat/>
    <w:uiPriority w:val="0"/>
    <w:pPr>
      <w:tabs>
        <w:tab w:val="left" w:pos="420"/>
        <w:tab w:val="clear" w:pos="1080"/>
      </w:tabs>
      <w:spacing w:after="0"/>
      <w:ind w:left="425" w:hanging="425"/>
      <w:outlineLvl w:val="3"/>
    </w:pPr>
    <w:rPr>
      <w:b w:val="0"/>
      <w:sz w:val="28"/>
    </w:rPr>
  </w:style>
  <w:style w:type="paragraph" w:customStyle="1" w:styleId="352">
    <w:name w:val="模板正文"/>
    <w:basedOn w:val="49"/>
    <w:autoRedefine/>
    <w:qFormat/>
    <w:uiPriority w:val="0"/>
    <w:pPr>
      <w:spacing w:line="360" w:lineRule="auto"/>
      <w:ind w:firstLine="480" w:firstLineChars="200"/>
    </w:pPr>
    <w:rPr>
      <w:rFonts w:ascii="宋体" w:hAnsi="宋体"/>
      <w:b/>
      <w:kern w:val="0"/>
      <w:sz w:val="21"/>
      <w:lang w:val="en-GB"/>
    </w:rPr>
  </w:style>
  <w:style w:type="paragraph" w:customStyle="1" w:styleId="353">
    <w:name w:val="样式 小四 行距: 1.5 倍行距"/>
    <w:basedOn w:val="1"/>
    <w:autoRedefine/>
    <w:qFormat/>
    <w:uiPriority w:val="0"/>
    <w:pPr>
      <w:ind w:firstLine="480" w:firstLineChars="200"/>
      <w:jc w:val="both"/>
    </w:pPr>
    <w:rPr>
      <w:rFonts w:ascii="宋体" w:hAnsi="宋体" w:cs="宋体"/>
      <w:kern w:val="0"/>
      <w:sz w:val="24"/>
      <w:szCs w:val="20"/>
    </w:rPr>
  </w:style>
  <w:style w:type="paragraph" w:customStyle="1" w:styleId="354">
    <w:name w:val="模板正文 Char"/>
    <w:basedOn w:val="49"/>
    <w:autoRedefine/>
    <w:qFormat/>
    <w:uiPriority w:val="0"/>
    <w:pPr>
      <w:spacing w:line="360" w:lineRule="auto"/>
      <w:ind w:firstLine="700" w:firstLineChars="250"/>
    </w:pPr>
    <w:rPr>
      <w:rFonts w:ascii="Arial Narrow" w:hAnsi="Arial Narrow"/>
      <w:b/>
      <w:sz w:val="28"/>
      <w:szCs w:val="28"/>
    </w:rPr>
  </w:style>
  <w:style w:type="paragraph" w:customStyle="1" w:styleId="355">
    <w:name w:val="图"/>
    <w:basedOn w:val="1"/>
    <w:next w:val="20"/>
    <w:autoRedefine/>
    <w:qFormat/>
    <w:uiPriority w:val="0"/>
    <w:pPr>
      <w:adjustRightInd w:val="0"/>
      <w:snapToGrid w:val="0"/>
      <w:spacing w:beforeLines="100" w:afterLines="100" w:line="240" w:lineRule="auto"/>
      <w:ind w:firstLine="200" w:firstLineChars="200"/>
      <w:jc w:val="center"/>
    </w:pPr>
    <w:rPr>
      <w:rFonts w:ascii="仿宋_GB2312" w:hAnsi="Times New Roman" w:eastAsia="仿宋_GB2312" w:cs="Times New Roman"/>
      <w:sz w:val="24"/>
      <w:szCs w:val="24"/>
      <w:u w:val="single"/>
    </w:rPr>
  </w:style>
  <w:style w:type="paragraph" w:customStyle="1" w:styleId="356">
    <w:name w:val="列表框 Char Char Char"/>
    <w:basedOn w:val="1"/>
    <w:next w:val="1"/>
    <w:autoRedefine/>
    <w:qFormat/>
    <w:uiPriority w:val="0"/>
    <w:pPr>
      <w:numPr>
        <w:ilvl w:val="0"/>
        <w:numId w:val="17"/>
      </w:numPr>
      <w:adjustRightInd w:val="0"/>
      <w:snapToGrid w:val="0"/>
      <w:ind w:firstLine="200" w:firstLineChars="200"/>
      <w:jc w:val="both"/>
    </w:pPr>
    <w:rPr>
      <w:rFonts w:ascii="Times New Roman" w:hAnsi="Times New Roman" w:cs="Times New Roman"/>
      <w:sz w:val="24"/>
      <w:szCs w:val="24"/>
    </w:rPr>
  </w:style>
  <w:style w:type="paragraph" w:customStyle="1" w:styleId="357">
    <w:name w:val="表文字-文字"/>
    <w:basedOn w:val="1"/>
    <w:next w:val="1"/>
    <w:autoRedefine/>
    <w:qFormat/>
    <w:uiPriority w:val="0"/>
    <w:pPr>
      <w:spacing w:line="240" w:lineRule="auto"/>
      <w:ind w:firstLine="200" w:firstLineChars="200"/>
      <w:jc w:val="center"/>
    </w:pPr>
    <w:rPr>
      <w:rFonts w:ascii="Times New Roman" w:hAnsi="Times New Roman" w:cs="Times New Roman"/>
      <w:sz w:val="24"/>
      <w:szCs w:val="24"/>
    </w:rPr>
  </w:style>
  <w:style w:type="paragraph" w:customStyle="1" w:styleId="358">
    <w:name w:val="ST20_1"/>
    <w:basedOn w:val="1"/>
    <w:autoRedefine/>
    <w:qFormat/>
    <w:uiPriority w:val="0"/>
    <w:pPr>
      <w:autoSpaceDE w:val="0"/>
      <w:autoSpaceDN w:val="0"/>
      <w:adjustRightInd w:val="0"/>
      <w:spacing w:line="360" w:lineRule="atLeast"/>
      <w:ind w:firstLine="200" w:firstLineChars="200"/>
      <w:jc w:val="both"/>
      <w:textAlignment w:val="baseline"/>
    </w:pPr>
    <w:rPr>
      <w:rFonts w:ascii="宋体" w:hAnsi="Tms Rmn" w:cs="Times New Roman"/>
      <w:kern w:val="0"/>
      <w:sz w:val="28"/>
      <w:szCs w:val="20"/>
    </w:rPr>
  </w:style>
  <w:style w:type="paragraph" w:customStyle="1" w:styleId="359">
    <w:name w:val="文本"/>
    <w:basedOn w:val="1"/>
    <w:autoRedefine/>
    <w:qFormat/>
    <w:uiPriority w:val="0"/>
    <w:pPr>
      <w:widowControl/>
      <w:autoSpaceDE w:val="0"/>
      <w:autoSpaceDN w:val="0"/>
      <w:adjustRightInd w:val="0"/>
      <w:ind w:firstLine="200" w:firstLineChars="200"/>
      <w:jc w:val="both"/>
    </w:pPr>
    <w:rPr>
      <w:rFonts w:ascii="宋体" w:hAnsi="宋体" w:cs="宋体"/>
      <w:color w:val="000000"/>
      <w:kern w:val="0"/>
      <w:sz w:val="24"/>
      <w:szCs w:val="24"/>
    </w:rPr>
  </w:style>
  <w:style w:type="paragraph" w:customStyle="1" w:styleId="360">
    <w:name w:val="样式 标题 1第A章第*部分第1章附件 *苏州博览H1Heading 11level 1Level 1 Hea..."/>
    <w:basedOn w:val="3"/>
    <w:autoRedefine/>
    <w:qFormat/>
    <w:uiPriority w:val="0"/>
    <w:pPr>
      <w:widowControl/>
      <w:numPr>
        <w:ilvl w:val="0"/>
        <w:numId w:val="18"/>
      </w:numPr>
      <w:spacing w:before="480" w:after="120" w:line="240" w:lineRule="auto"/>
      <w:jc w:val="both"/>
    </w:pPr>
    <w:rPr>
      <w:rFonts w:ascii="宋体" w:hAnsi="宋体" w:eastAsia="黑体" w:cs="Times New Roman"/>
    </w:rPr>
  </w:style>
  <w:style w:type="paragraph" w:customStyle="1" w:styleId="361">
    <w:name w:val="reader-word-layer"/>
    <w:basedOn w:val="1"/>
    <w:autoRedefine/>
    <w:qFormat/>
    <w:uiPriority w:val="0"/>
    <w:pPr>
      <w:widowControl/>
      <w:spacing w:before="100" w:beforeAutospacing="1" w:after="100" w:afterAutospacing="1" w:line="240" w:lineRule="auto"/>
      <w:ind w:firstLine="200" w:firstLineChars="200"/>
    </w:pPr>
    <w:rPr>
      <w:rFonts w:ascii="宋体" w:hAnsi="宋体" w:cs="宋体"/>
      <w:kern w:val="0"/>
      <w:sz w:val="24"/>
      <w:szCs w:val="24"/>
    </w:rPr>
  </w:style>
  <w:style w:type="paragraph" w:customStyle="1" w:styleId="362">
    <w:name w:val="样式 标题 1第A章第*部分第1章附件 *苏州博览H1Heading 11level 1Level 1 Hea...1"/>
    <w:basedOn w:val="3"/>
    <w:autoRedefine/>
    <w:qFormat/>
    <w:uiPriority w:val="0"/>
    <w:pPr>
      <w:widowControl/>
      <w:numPr>
        <w:ilvl w:val="0"/>
        <w:numId w:val="19"/>
      </w:numPr>
      <w:spacing w:before="480" w:after="120" w:line="240" w:lineRule="auto"/>
      <w:jc w:val="both"/>
    </w:pPr>
    <w:rPr>
      <w:rFonts w:ascii="宋体" w:hAnsi="宋体" w:eastAsia="黑体" w:cs="Times New Roman"/>
      <w:sz w:val="32"/>
      <w:szCs w:val="32"/>
    </w:rPr>
  </w:style>
  <w:style w:type="paragraph" w:customStyle="1" w:styleId="363">
    <w:name w:val="样式7"/>
    <w:basedOn w:val="1"/>
    <w:next w:val="1"/>
    <w:autoRedefine/>
    <w:qFormat/>
    <w:uiPriority w:val="0"/>
    <w:pPr>
      <w:widowControl/>
      <w:tabs>
        <w:tab w:val="left" w:pos="2213"/>
      </w:tabs>
      <w:spacing w:line="400" w:lineRule="exact"/>
      <w:ind w:firstLine="200" w:firstLineChars="200"/>
      <w:jc w:val="both"/>
    </w:pPr>
    <w:rPr>
      <w:rFonts w:ascii="宋体" w:hAnsi="宋体" w:cs="宋体"/>
      <w:kern w:val="0"/>
      <w:sz w:val="24"/>
      <w:szCs w:val="24"/>
    </w:rPr>
  </w:style>
  <w:style w:type="paragraph" w:customStyle="1" w:styleId="364">
    <w:name w:val="样式4"/>
    <w:basedOn w:val="1"/>
    <w:autoRedefine/>
    <w:qFormat/>
    <w:uiPriority w:val="0"/>
    <w:pPr>
      <w:widowControl/>
      <w:numPr>
        <w:ilvl w:val="0"/>
        <w:numId w:val="20"/>
      </w:numPr>
      <w:tabs>
        <w:tab w:val="left" w:pos="2100"/>
      </w:tabs>
      <w:ind w:firstLine="200" w:firstLineChars="200"/>
      <w:jc w:val="both"/>
    </w:pPr>
    <w:rPr>
      <w:rFonts w:ascii="宋体" w:hAnsi="宋体" w:cs="宋体"/>
      <w:kern w:val="0"/>
      <w:sz w:val="24"/>
      <w:szCs w:val="24"/>
    </w:rPr>
  </w:style>
  <w:style w:type="paragraph" w:customStyle="1" w:styleId="365">
    <w:name w:val="标题4 + 宋体 非加粗 Char Char"/>
    <w:basedOn w:val="6"/>
    <w:autoRedefine/>
    <w:qFormat/>
    <w:uiPriority w:val="0"/>
    <w:pPr>
      <w:widowControl/>
      <w:autoSpaceDE w:val="0"/>
      <w:autoSpaceDN w:val="0"/>
      <w:adjustRightInd w:val="0"/>
      <w:spacing w:line="377" w:lineRule="auto"/>
    </w:pPr>
    <w:rPr>
      <w:rFonts w:ascii="宋体" w:hAnsi="宋体" w:eastAsia="宋体" w:cs="Times New Roman"/>
      <w:kern w:val="0"/>
      <w:sz w:val="24"/>
    </w:rPr>
  </w:style>
  <w:style w:type="paragraph" w:customStyle="1" w:styleId="366">
    <w:name w:val="表题"/>
    <w:next w:val="70"/>
    <w:autoRedefine/>
    <w:qFormat/>
    <w:uiPriority w:val="0"/>
    <w:pPr>
      <w:spacing w:line="360" w:lineRule="auto"/>
      <w:jc w:val="center"/>
      <w:outlineLvl w:val="5"/>
    </w:pPr>
    <w:rPr>
      <w:rFonts w:ascii="Times New Roman" w:hAnsi="Times New Roman" w:eastAsia="宋体" w:cs="Times New Roman"/>
      <w:sz w:val="24"/>
      <w:lang w:val="en-US" w:eastAsia="zh-CN" w:bidi="ar-SA"/>
    </w:rPr>
  </w:style>
  <w:style w:type="paragraph" w:customStyle="1" w:styleId="367">
    <w:name w:val="封面部门名"/>
    <w:basedOn w:val="1"/>
    <w:autoRedefine/>
    <w:qFormat/>
    <w:uiPriority w:val="0"/>
    <w:pPr>
      <w:wordWrap w:val="0"/>
      <w:spacing w:line="240" w:lineRule="auto"/>
      <w:ind w:firstLine="200" w:firstLineChars="200"/>
      <w:jc w:val="center"/>
    </w:pPr>
    <w:rPr>
      <w:rFonts w:ascii="宋体" w:hAnsi="宋体" w:cs="Times New Roman"/>
      <w:b/>
      <w:bCs/>
      <w:sz w:val="44"/>
      <w:szCs w:val="24"/>
    </w:rPr>
  </w:style>
  <w:style w:type="paragraph" w:customStyle="1" w:styleId="368">
    <w:name w:val="程序"/>
    <w:basedOn w:val="24"/>
    <w:autoRedefine/>
    <w:qFormat/>
    <w:uiPriority w:val="0"/>
    <w:pPr>
      <w:spacing w:line="329" w:lineRule="exact"/>
      <w:ind w:firstLine="425"/>
      <w:jc w:val="both"/>
    </w:pPr>
    <w:rPr>
      <w:rFonts w:ascii="Courier New" w:cs="Times New Roman"/>
      <w:sz w:val="24"/>
      <w:szCs w:val="20"/>
      <w:lang w:eastAsia="en-US"/>
    </w:rPr>
  </w:style>
  <w:style w:type="paragraph" w:customStyle="1" w:styleId="369">
    <w:name w:val="font6"/>
    <w:basedOn w:val="1"/>
    <w:autoRedefine/>
    <w:qFormat/>
    <w:uiPriority w:val="0"/>
    <w:pPr>
      <w:widowControl/>
      <w:spacing w:before="100" w:beforeAutospacing="1" w:after="100" w:afterAutospacing="1" w:line="240" w:lineRule="auto"/>
      <w:ind w:firstLine="200" w:firstLineChars="200"/>
    </w:pPr>
    <w:rPr>
      <w:rFonts w:hint="eastAsia" w:ascii="宋体" w:hAnsi="宋体" w:cs="Times New Roman"/>
      <w:color w:val="000000"/>
      <w:kern w:val="0"/>
      <w:sz w:val="24"/>
    </w:rPr>
  </w:style>
  <w:style w:type="paragraph" w:customStyle="1" w:styleId="370">
    <w:name w:val="一级节标题"/>
    <w:basedOn w:val="3"/>
    <w:next w:val="343"/>
    <w:autoRedefine/>
    <w:qFormat/>
    <w:uiPriority w:val="0"/>
    <w:pPr>
      <w:widowControl/>
      <w:numPr>
        <w:ilvl w:val="0"/>
        <w:numId w:val="16"/>
      </w:numPr>
      <w:spacing w:before="480" w:after="120" w:line="240" w:lineRule="auto"/>
      <w:jc w:val="left"/>
    </w:pPr>
    <w:rPr>
      <w:rFonts w:ascii="Times New Roman" w:hAnsi="Times New Roman" w:eastAsia="黑体" w:cs="Times New Roman"/>
      <w:b w:val="0"/>
      <w:sz w:val="36"/>
    </w:rPr>
  </w:style>
  <w:style w:type="paragraph" w:customStyle="1" w:styleId="371">
    <w:name w:val="三级节标题"/>
    <w:basedOn w:val="4"/>
    <w:next w:val="343"/>
    <w:autoRedefine/>
    <w:qFormat/>
    <w:uiPriority w:val="0"/>
    <w:pPr>
      <w:numPr>
        <w:ilvl w:val="2"/>
        <w:numId w:val="16"/>
      </w:numPr>
      <w:adjustRightInd w:val="0"/>
      <w:spacing w:before="240" w:after="120" w:line="240" w:lineRule="auto"/>
      <w:jc w:val="both"/>
      <w:textAlignment w:val="baseline"/>
    </w:pPr>
    <w:rPr>
      <w:rFonts w:ascii="Times New Roman" w:hAnsi="Times New Roman" w:eastAsia="黑体"/>
      <w:b w:val="0"/>
      <w:kern w:val="0"/>
      <w:sz w:val="28"/>
    </w:rPr>
  </w:style>
  <w:style w:type="paragraph" w:customStyle="1" w:styleId="372">
    <w:name w:val="四级节标题"/>
    <w:basedOn w:val="6"/>
    <w:next w:val="343"/>
    <w:autoRedefine/>
    <w:qFormat/>
    <w:uiPriority w:val="0"/>
    <w:pPr>
      <w:numPr>
        <w:ilvl w:val="3"/>
        <w:numId w:val="16"/>
      </w:numPr>
      <w:tabs>
        <w:tab w:val="left" w:pos="2166"/>
        <w:tab w:val="clear" w:pos="1984"/>
      </w:tabs>
      <w:spacing w:before="240" w:after="120" w:line="240" w:lineRule="auto"/>
      <w:ind w:left="1937" w:hanging="851"/>
      <w:jc w:val="both"/>
    </w:pPr>
    <w:rPr>
      <w:rFonts w:ascii="宋体" w:hAnsi="宋体" w:eastAsia="宋体" w:cs="Times New Roman"/>
      <w:sz w:val="24"/>
      <w:szCs w:val="24"/>
    </w:rPr>
  </w:style>
  <w:style w:type="paragraph" w:customStyle="1" w:styleId="373">
    <w:name w:val="五级节标题"/>
    <w:basedOn w:val="7"/>
    <w:next w:val="343"/>
    <w:autoRedefine/>
    <w:qFormat/>
    <w:uiPriority w:val="0"/>
    <w:pPr>
      <w:keepNext/>
      <w:keepLines/>
      <w:widowControl/>
      <w:numPr>
        <w:ilvl w:val="4"/>
        <w:numId w:val="16"/>
      </w:numPr>
      <w:spacing w:before="240" w:after="120" w:line="240" w:lineRule="auto"/>
      <w:ind w:firstLine="200" w:firstLineChars="200"/>
    </w:pPr>
    <w:rPr>
      <w:rFonts w:ascii="Times New Roman" w:hAnsi="Times New Roman" w:eastAsia="黑体" w:cs="Times New Roman"/>
      <w:b w:val="0"/>
      <w:sz w:val="24"/>
      <w:szCs w:val="28"/>
    </w:rPr>
  </w:style>
  <w:style w:type="paragraph" w:customStyle="1" w:styleId="374">
    <w:name w:val="样式 段落文字 + 首行缩进:  2 字符3"/>
    <w:basedOn w:val="343"/>
    <w:autoRedefine/>
    <w:qFormat/>
    <w:uiPriority w:val="0"/>
    <w:pPr>
      <w:snapToGrid w:val="0"/>
    </w:pPr>
    <w:rPr>
      <w:rFonts w:cs="宋体"/>
      <w:szCs w:val="20"/>
    </w:rPr>
  </w:style>
  <w:style w:type="paragraph" w:customStyle="1" w:styleId="375">
    <w:name w:val="图表文字 Char"/>
    <w:basedOn w:val="1"/>
    <w:next w:val="1"/>
    <w:autoRedefine/>
    <w:qFormat/>
    <w:uiPriority w:val="0"/>
    <w:pPr>
      <w:widowControl/>
      <w:spacing w:line="280" w:lineRule="exact"/>
      <w:ind w:firstLine="200" w:firstLineChars="200"/>
      <w:jc w:val="center"/>
    </w:pPr>
    <w:rPr>
      <w:rFonts w:ascii="仿宋_GB2312" w:hAnsi="Times New Roman" w:eastAsia="仿宋_GB2312" w:cs="Times New Roman"/>
      <w:color w:val="000000"/>
      <w:kern w:val="0"/>
      <w:sz w:val="22"/>
    </w:rPr>
  </w:style>
  <w:style w:type="paragraph" w:customStyle="1" w:styleId="376">
    <w:name w:val="文本框文字"/>
    <w:basedOn w:val="1"/>
    <w:autoRedefine/>
    <w:qFormat/>
    <w:uiPriority w:val="0"/>
    <w:pPr>
      <w:widowControl/>
      <w:spacing w:line="240" w:lineRule="auto"/>
      <w:ind w:firstLine="200" w:firstLineChars="200"/>
      <w:jc w:val="center"/>
    </w:pPr>
    <w:rPr>
      <w:rFonts w:ascii="Times New Roman" w:hAnsi="Times New Roman" w:cs="Times New Roman"/>
      <w:kern w:val="0"/>
      <w:sz w:val="22"/>
      <w:szCs w:val="20"/>
    </w:rPr>
  </w:style>
  <w:style w:type="paragraph" w:customStyle="1" w:styleId="377">
    <w:name w:val="1234"/>
    <w:basedOn w:val="20"/>
    <w:autoRedefine/>
    <w:qFormat/>
    <w:uiPriority w:val="0"/>
    <w:pPr>
      <w:widowControl/>
      <w:spacing w:after="0" w:line="200" w:lineRule="exact"/>
      <w:ind w:left="0" w:firstLine="200" w:firstLineChars="200"/>
    </w:pPr>
    <w:rPr>
      <w:spacing w:val="-10"/>
      <w:w w:val="80"/>
      <w:kern w:val="0"/>
      <w:sz w:val="22"/>
    </w:rPr>
  </w:style>
  <w:style w:type="paragraph" w:customStyle="1" w:styleId="378">
    <w:name w:val="d42zw"/>
    <w:basedOn w:val="1"/>
    <w:autoRedefine/>
    <w:qFormat/>
    <w:uiPriority w:val="0"/>
    <w:pPr>
      <w:widowControl/>
      <w:spacing w:line="480" w:lineRule="exact"/>
      <w:ind w:firstLine="560" w:firstLineChars="200"/>
    </w:pPr>
    <w:rPr>
      <w:rFonts w:ascii="仿宋_GB2312" w:hAnsi="宋体" w:eastAsia="仿宋_GB2312" w:cs="Times New Roman"/>
      <w:bCs/>
      <w:kern w:val="0"/>
      <w:sz w:val="28"/>
      <w:szCs w:val="20"/>
    </w:rPr>
  </w:style>
  <w:style w:type="paragraph" w:customStyle="1" w:styleId="379">
    <w:name w:val="Default1"/>
    <w:basedOn w:val="1"/>
    <w:next w:val="1"/>
    <w:autoRedefine/>
    <w:qFormat/>
    <w:uiPriority w:val="0"/>
    <w:pPr>
      <w:autoSpaceDE w:val="0"/>
      <w:autoSpaceDN w:val="0"/>
      <w:adjustRightInd w:val="0"/>
      <w:spacing w:line="240" w:lineRule="auto"/>
      <w:ind w:firstLine="200" w:firstLineChars="200"/>
    </w:pPr>
    <w:rPr>
      <w:rFonts w:ascii="Times New Roman" w:hAnsi="Times New Roman" w:cs="Times New Roman"/>
      <w:kern w:val="0"/>
      <w:sz w:val="24"/>
      <w:szCs w:val="24"/>
    </w:rPr>
  </w:style>
  <w:style w:type="paragraph" w:customStyle="1" w:styleId="380">
    <w:name w:val="5"/>
    <w:basedOn w:val="1"/>
    <w:autoRedefine/>
    <w:qFormat/>
    <w:uiPriority w:val="0"/>
    <w:pPr>
      <w:tabs>
        <w:tab w:val="left" w:pos="480"/>
      </w:tabs>
      <w:ind w:firstLine="200" w:firstLineChars="200"/>
      <w:jc w:val="both"/>
    </w:pPr>
    <w:rPr>
      <w:rFonts w:ascii="Times New Roman" w:hAnsi="Times New Roman" w:cs="Times New Roman"/>
      <w:sz w:val="24"/>
      <w:szCs w:val="24"/>
    </w:rPr>
  </w:style>
  <w:style w:type="paragraph" w:customStyle="1" w:styleId="381">
    <w:name w:val="USE 2"/>
    <w:basedOn w:val="1"/>
    <w:autoRedefine/>
    <w:qFormat/>
    <w:uiPriority w:val="0"/>
    <w:pPr>
      <w:numPr>
        <w:ilvl w:val="1"/>
        <w:numId w:val="21"/>
      </w:numPr>
      <w:ind w:firstLine="200" w:firstLineChars="200"/>
    </w:pPr>
    <w:rPr>
      <w:rFonts w:ascii="宋体" w:hAnsi="宋体" w:cs="Times New Roman"/>
      <w:sz w:val="24"/>
      <w:szCs w:val="20"/>
    </w:rPr>
  </w:style>
  <w:style w:type="paragraph" w:customStyle="1" w:styleId="382">
    <w:name w:val="正文(首行缩进)"/>
    <w:autoRedefine/>
    <w:qFormat/>
    <w:uiPriority w:val="0"/>
    <w:pPr>
      <w:spacing w:line="420" w:lineRule="atLeast"/>
      <w:ind w:firstLine="200" w:firstLineChars="200"/>
      <w:jc w:val="both"/>
    </w:pPr>
    <w:rPr>
      <w:rFonts w:ascii="Times New Roman" w:hAnsi="Times New Roman" w:eastAsia="仿宋_GB2312" w:cs="Times New Roman"/>
      <w:spacing w:val="2"/>
      <w:kern w:val="24"/>
      <w:sz w:val="24"/>
      <w:lang w:val="en-US" w:eastAsia="zh-CN" w:bidi="ar-SA"/>
    </w:rPr>
  </w:style>
  <w:style w:type="paragraph" w:customStyle="1" w:styleId="383">
    <w:name w:val="南昌图标文字"/>
    <w:basedOn w:val="1"/>
    <w:autoRedefine/>
    <w:qFormat/>
    <w:uiPriority w:val="0"/>
    <w:pPr>
      <w:ind w:firstLine="200" w:firstLineChars="200"/>
      <w:jc w:val="center"/>
    </w:pPr>
    <w:rPr>
      <w:rFonts w:ascii="Times New Roman" w:hAnsi="Times New Roman" w:eastAsia="黑体" w:cs="Times New Roman"/>
      <w:sz w:val="24"/>
    </w:rPr>
  </w:style>
  <w:style w:type="paragraph" w:customStyle="1" w:styleId="384">
    <w:name w:val="南昌表头文字"/>
    <w:autoRedefine/>
    <w:qFormat/>
    <w:uiPriority w:val="0"/>
    <w:rPr>
      <w:rFonts w:ascii="Times New Roman" w:hAnsi="Times New Roman" w:eastAsia="黑体" w:cs="Times New Roman"/>
      <w:kern w:val="2"/>
      <w:sz w:val="21"/>
      <w:szCs w:val="21"/>
      <w:lang w:val="en-US" w:eastAsia="zh-CN" w:bidi="ar-SA"/>
    </w:rPr>
  </w:style>
  <w:style w:type="paragraph" w:customStyle="1" w:styleId="385">
    <w:name w:val="联演正文"/>
    <w:basedOn w:val="1"/>
    <w:autoRedefine/>
    <w:qFormat/>
    <w:uiPriority w:val="0"/>
    <w:pPr>
      <w:spacing w:line="320" w:lineRule="exact"/>
      <w:jc w:val="both"/>
    </w:pPr>
    <w:rPr>
      <w:rFonts w:ascii="宋体" w:hAnsi="宋体" w:cs="Times New Roman"/>
      <w:sz w:val="15"/>
      <w:szCs w:val="15"/>
    </w:rPr>
  </w:style>
  <w:style w:type="paragraph" w:customStyle="1" w:styleId="386">
    <w:name w:val="Other|1"/>
    <w:basedOn w:val="1"/>
    <w:autoRedefine/>
    <w:qFormat/>
    <w:uiPriority w:val="0"/>
    <w:pPr>
      <w:spacing w:line="480" w:lineRule="auto"/>
      <w:ind w:firstLine="400"/>
    </w:pPr>
    <w:rPr>
      <w:rFonts w:ascii="宋体" w:hAnsi="宋体" w:cs="宋体"/>
      <w:kern w:val="0"/>
      <w:sz w:val="26"/>
      <w:szCs w:val="26"/>
      <w:lang w:val="zh-TW" w:eastAsia="zh-TW" w:bidi="zh-TW"/>
    </w:rPr>
  </w:style>
  <w:style w:type="paragraph" w:customStyle="1" w:styleId="387">
    <w:name w:val="1.1"/>
    <w:basedOn w:val="2"/>
    <w:autoRedefine/>
    <w:qFormat/>
    <w:uiPriority w:val="0"/>
    <w:pPr>
      <w:keepNext w:val="0"/>
      <w:keepLines w:val="0"/>
      <w:numPr>
        <w:ilvl w:val="1"/>
        <w:numId w:val="22"/>
      </w:numPr>
      <w:tabs>
        <w:tab w:val="left" w:pos="210"/>
        <w:tab w:val="left" w:pos="1144"/>
      </w:tabs>
      <w:autoSpaceDE w:val="0"/>
      <w:autoSpaceDN w:val="0"/>
      <w:adjustRightInd w:val="0"/>
      <w:snapToGrid w:val="0"/>
      <w:ind w:left="1144" w:hanging="576"/>
      <w:outlineLvl w:val="2"/>
    </w:pPr>
    <w:rPr>
      <w:rFonts w:ascii="宋体" w:hAnsi="宋体" w:cs="Times New Roman"/>
      <w:b/>
      <w:bCs/>
      <w:sz w:val="24"/>
      <w:szCs w:val="24"/>
    </w:rPr>
  </w:style>
  <w:style w:type="paragraph" w:customStyle="1" w:styleId="388">
    <w:name w:val="样式 标题 3第二层条第三层论文标题 21.1.1 标题 3条标题1.1.1h33rd levelH3l3C..."/>
    <w:basedOn w:val="4"/>
    <w:autoRedefine/>
    <w:qFormat/>
    <w:uiPriority w:val="0"/>
    <w:pPr>
      <w:keepNext w:val="0"/>
      <w:keepLines w:val="0"/>
      <w:numPr>
        <w:ilvl w:val="2"/>
        <w:numId w:val="22"/>
      </w:numPr>
      <w:tabs>
        <w:tab w:val="left" w:pos="1874"/>
      </w:tabs>
      <w:spacing w:line="360" w:lineRule="auto"/>
      <w:ind w:left="1874" w:hanging="720"/>
      <w:jc w:val="both"/>
    </w:pPr>
    <w:rPr>
      <w:rFonts w:ascii="Times New Roman" w:hAnsi="Times New Roman" w:cs="宋体"/>
      <w:szCs w:val="20"/>
    </w:rPr>
  </w:style>
  <w:style w:type="paragraph" w:customStyle="1" w:styleId="389">
    <w:name w:val="样式 标题 1标题1标题 1 111121314151111211311611212213217..."/>
    <w:basedOn w:val="3"/>
    <w:autoRedefine/>
    <w:qFormat/>
    <w:uiPriority w:val="0"/>
    <w:pPr>
      <w:keepNext w:val="0"/>
      <w:keepLines w:val="0"/>
      <w:numPr>
        <w:ilvl w:val="0"/>
        <w:numId w:val="22"/>
      </w:numPr>
      <w:tabs>
        <w:tab w:val="left" w:pos="0"/>
      </w:tabs>
      <w:autoSpaceDE w:val="0"/>
      <w:autoSpaceDN w:val="0"/>
      <w:adjustRightInd w:val="0"/>
      <w:spacing w:before="0" w:after="0" w:line="360" w:lineRule="auto"/>
      <w:ind w:left="180" w:hanging="432"/>
      <w:jc w:val="left"/>
    </w:pPr>
    <w:rPr>
      <w:rFonts w:ascii="宋体" w:hAnsi="宋体" w:cs="Times New Roman"/>
      <w:kern w:val="0"/>
      <w:sz w:val="24"/>
      <w:szCs w:val="20"/>
    </w:rPr>
  </w:style>
  <w:style w:type="paragraph" w:customStyle="1" w:styleId="390">
    <w:name w:val="标题 4 FS"/>
    <w:basedOn w:val="6"/>
    <w:autoRedefine/>
    <w:qFormat/>
    <w:uiPriority w:val="0"/>
    <w:pPr>
      <w:keepNext w:val="0"/>
      <w:keepLines w:val="0"/>
      <w:numPr>
        <w:ilvl w:val="3"/>
        <w:numId w:val="22"/>
      </w:numPr>
      <w:tabs>
        <w:tab w:val="left" w:pos="0"/>
        <w:tab w:val="left" w:pos="1624"/>
      </w:tabs>
      <w:spacing w:before="0" w:after="0" w:line="360" w:lineRule="auto"/>
      <w:ind w:left="567"/>
      <w:jc w:val="both"/>
    </w:pPr>
    <w:rPr>
      <w:rFonts w:ascii="Arial" w:hAnsi="Arial" w:eastAsia="宋体" w:cs="宋体"/>
      <w:b w:val="0"/>
      <w:bCs w:val="0"/>
      <w:sz w:val="24"/>
      <w:szCs w:val="20"/>
    </w:rPr>
  </w:style>
  <w:style w:type="character" w:customStyle="1" w:styleId="391">
    <w:name w:val="列出段落 Char"/>
    <w:link w:val="72"/>
    <w:autoRedefine/>
    <w:qFormat/>
    <w:uiPriority w:val="0"/>
    <w:rPr>
      <w:rFonts w:asciiTheme="minorHAnsi" w:hAnsiTheme="minorHAnsi" w:cstheme="minorBidi"/>
      <w:kern w:val="2"/>
      <w:sz w:val="21"/>
      <w:szCs w:val="21"/>
    </w:rPr>
  </w:style>
  <w:style w:type="paragraph" w:customStyle="1" w:styleId="392">
    <w:name w:val="章标题"/>
    <w:next w:val="1"/>
    <w:autoRedefine/>
    <w:qFormat/>
    <w:uiPriority w:val="99"/>
    <w:pPr>
      <w:spacing w:beforeLines="50" w:afterLines="50" w:line="336" w:lineRule="auto"/>
      <w:jc w:val="both"/>
      <w:outlineLvl w:val="1"/>
    </w:pPr>
    <w:rPr>
      <w:rFonts w:ascii="黑体" w:hAnsi="Calibri" w:eastAsia="黑体" w:cs="Times New Roman"/>
      <w:sz w:val="21"/>
      <w:szCs w:val="21"/>
      <w:lang w:val="en-US" w:eastAsia="zh-CN" w:bidi="ar-SA"/>
    </w:rPr>
  </w:style>
  <w:style w:type="paragraph" w:customStyle="1" w:styleId="393">
    <w:name w:val="样式 标题 3H3h3ERMH3ReERMH31ERMH32ERMH33ERMH34ERMH35ERMH36..."/>
    <w:basedOn w:val="4"/>
    <w:autoRedefine/>
    <w:qFormat/>
    <w:uiPriority w:val="0"/>
    <w:pPr>
      <w:keepNext w:val="0"/>
      <w:keepLines w:val="0"/>
      <w:jc w:val="both"/>
    </w:pPr>
    <w:rPr>
      <w:rFonts w:ascii="宋体" w:hAnsi="宋体" w:eastAsia="黑体" w:cs="宋体"/>
    </w:rPr>
  </w:style>
  <w:style w:type="character" w:customStyle="1" w:styleId="394">
    <w:name w:val="标题 2 Char"/>
    <w:basedOn w:val="55"/>
    <w:link w:val="2"/>
    <w:autoRedefine/>
    <w:qFormat/>
    <w:uiPriority w:val="0"/>
    <w:rPr>
      <w:rFonts w:ascii="宋体" w:hAnsi="宋体"/>
      <w:b/>
    </w:rPr>
  </w:style>
  <w:style w:type="paragraph" w:customStyle="1" w:styleId="395">
    <w:name w:val="9小四表格正文"/>
    <w:autoRedefine/>
    <w:qFormat/>
    <w:uiPriority w:val="0"/>
    <w:pPr>
      <w:jc w:val="center"/>
    </w:pPr>
    <w:rPr>
      <w:rFonts w:ascii="Times New Roman" w:hAnsi="Times New Roman" w:eastAsia="仿宋_GB2312" w:cs="Times New Roman"/>
      <w:kern w:val="2"/>
      <w:sz w:val="24"/>
      <w:szCs w:val="24"/>
      <w:lang w:val="en-US" w:eastAsia="zh-CN" w:bidi="ar-SA"/>
    </w:rPr>
  </w:style>
  <w:style w:type="character" w:customStyle="1" w:styleId="396">
    <w:name w:val="font51"/>
    <w:basedOn w:val="55"/>
    <w:autoRedefine/>
    <w:qFormat/>
    <w:uiPriority w:val="0"/>
    <w:rPr>
      <w:rFonts w:hint="eastAsia" w:ascii="宋体" w:hAnsi="宋体" w:eastAsia="宋体" w:cs="宋体"/>
      <w:color w:val="000000"/>
      <w:sz w:val="20"/>
      <w:szCs w:val="20"/>
      <w:u w:val="none"/>
    </w:rPr>
  </w:style>
  <w:style w:type="character" w:customStyle="1" w:styleId="397">
    <w:name w:val="font71"/>
    <w:basedOn w:val="55"/>
    <w:autoRedefine/>
    <w:qFormat/>
    <w:uiPriority w:val="0"/>
    <w:rPr>
      <w:rFonts w:hint="default" w:ascii="Times New Roman" w:hAnsi="Times New Roman" w:cs="Times New Roman"/>
      <w:color w:val="000000"/>
      <w:sz w:val="20"/>
      <w:szCs w:val="20"/>
      <w:u w:val="none"/>
    </w:rPr>
  </w:style>
  <w:style w:type="character" w:customStyle="1" w:styleId="398">
    <w:name w:val="font81"/>
    <w:basedOn w:val="55"/>
    <w:autoRedefine/>
    <w:qFormat/>
    <w:uiPriority w:val="0"/>
    <w:rPr>
      <w:rFonts w:hint="default" w:ascii="Times New Roman" w:hAnsi="Times New Roman" w:cs="Times New Roman"/>
      <w:color w:val="000000"/>
      <w:sz w:val="24"/>
      <w:szCs w:val="24"/>
      <w:u w:val="none"/>
    </w:rPr>
  </w:style>
  <w:style w:type="character" w:customStyle="1" w:styleId="399">
    <w:name w:val="font11"/>
    <w:basedOn w:val="55"/>
    <w:autoRedefine/>
    <w:qFormat/>
    <w:uiPriority w:val="0"/>
    <w:rPr>
      <w:rFonts w:hint="eastAsia" w:ascii="宋体" w:hAnsi="宋体" w:eastAsia="宋体" w:cs="宋体"/>
      <w:color w:val="000000"/>
      <w:sz w:val="24"/>
      <w:szCs w:val="24"/>
      <w:u w:val="none"/>
    </w:rPr>
  </w:style>
  <w:style w:type="table" w:customStyle="1" w:styleId="400">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50</Pages>
  <Words>11347</Words>
  <Characters>12224</Characters>
  <Lines>1185</Lines>
  <Paragraphs>847</Paragraphs>
  <TotalTime>0</TotalTime>
  <ScaleCrop>false</ScaleCrop>
  <LinksUpToDate>false</LinksUpToDate>
  <CharactersWithSpaces>12774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2021-07-23T15:13:00Z</dcterms:created>
  <dc:creator>Administrator</dc:creator>
  <cp:lastModifiedBy>·L·</cp:lastModifiedBy>
  <cp:lastPrinted>2024-05-11T08:20:00Z</cp:lastPrinted>
  <dcterms:modified xsi:type="dcterms:W3CDTF">2026-06-23T09:01:58Z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BAFA37807DEE416F87350C4AA1B4B247_13</vt:lpwstr>
  </property>
  <property fmtid="{D5CDD505-2E9C-101B-9397-08002B2CF9AE}" pid="4" name="KSOTemplateDocerSaveRecord">
    <vt:lpwstr>eyJoZGlkIjoiYmE5OTM3NjNjNDRmYzMyMTg2MWRiNGRmNmJlZmQ0NTYiLCJ1c2VySWQiOiI1NzY2MTkzMDYifQ==</vt:lpwstr>
  </property>
</Properties>
</file>