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DD76E">
      <w:pPr>
        <w:ind w:left="-315" w:leftChars="-150"/>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 xml:space="preserve"> </w:t>
      </w:r>
    </w:p>
    <w:p w14:paraId="79ECCA49">
      <w:pPr>
        <w:ind w:left="-315" w:leftChars="-150"/>
        <w:jc w:val="center"/>
        <w:outlineLvl w:val="0"/>
        <w:rPr>
          <w:rFonts w:hint="eastAsia" w:ascii="宋体" w:hAnsi="宋体" w:eastAsia="宋体" w:cs="宋体"/>
          <w:b/>
          <w:bCs/>
          <w:color w:val="auto"/>
          <w:kern w:val="0"/>
          <w:sz w:val="52"/>
          <w:szCs w:val="52"/>
          <w:highlight w:val="none"/>
          <w:lang w:eastAsia="zh-CN" w:bidi="ar"/>
        </w:rPr>
      </w:pPr>
      <w:r>
        <w:rPr>
          <w:rFonts w:hint="eastAsia" w:ascii="宋体" w:hAnsi="宋体" w:eastAsia="宋体" w:cs="宋体"/>
          <w:b/>
          <w:bCs/>
          <w:color w:val="auto"/>
          <w:kern w:val="0"/>
          <w:sz w:val="52"/>
          <w:szCs w:val="52"/>
          <w:highlight w:val="none"/>
          <w:lang w:eastAsia="zh-CN" w:bidi="ar"/>
        </w:rPr>
        <w:t xml:space="preserve"> 南通轨道交通1号线图书馆站地下附属空间（02号商铺）出租项目</w:t>
      </w:r>
    </w:p>
    <w:p w14:paraId="2A88C8B4">
      <w:pPr>
        <w:bidi w:val="0"/>
        <w:rPr>
          <w:rFonts w:hint="eastAsia" w:ascii="宋体" w:hAnsi="宋体" w:eastAsia="宋体" w:cs="宋体"/>
          <w:highlight w:val="none"/>
          <w:lang w:val="en-US" w:eastAsia="zh-CN"/>
        </w:rPr>
      </w:pPr>
    </w:p>
    <w:p w14:paraId="3F7D34D0">
      <w:pPr>
        <w:ind w:left="-315" w:leftChars="-150"/>
        <w:jc w:val="center"/>
        <w:rPr>
          <w:rFonts w:hint="eastAsia" w:ascii="宋体" w:hAnsi="宋体" w:eastAsia="宋体" w:cs="宋体"/>
          <w:b/>
          <w:bCs/>
          <w:color w:val="auto"/>
          <w:sz w:val="52"/>
          <w:szCs w:val="52"/>
          <w:highlight w:val="none"/>
        </w:rPr>
      </w:pPr>
    </w:p>
    <w:p w14:paraId="322D558D">
      <w:pPr>
        <w:rPr>
          <w:rFonts w:hint="eastAsia" w:ascii="宋体" w:hAnsi="宋体" w:eastAsia="宋体" w:cs="宋体"/>
          <w:color w:val="auto"/>
          <w:highlight w:val="none"/>
        </w:rPr>
      </w:pPr>
    </w:p>
    <w:p w14:paraId="625ADFB3">
      <w:pPr>
        <w:jc w:val="center"/>
        <w:rPr>
          <w:rFonts w:hint="eastAsia" w:ascii="宋体" w:hAnsi="宋体" w:eastAsia="宋体" w:cs="宋体"/>
          <w:b/>
          <w:bCs/>
          <w:color w:val="auto"/>
          <w:sz w:val="52"/>
          <w:szCs w:val="52"/>
          <w:highlight w:val="none"/>
        </w:rPr>
      </w:pPr>
    </w:p>
    <w:p w14:paraId="0B8D13DF">
      <w:pPr>
        <w:ind w:left="-315" w:leftChars="-150"/>
        <w:jc w:val="center"/>
        <w:rPr>
          <w:rFonts w:hint="eastAsia"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lang w:eastAsia="zh-CN"/>
        </w:rPr>
        <w:t>招租</w:t>
      </w:r>
      <w:r>
        <w:rPr>
          <w:rFonts w:hint="eastAsia" w:ascii="宋体" w:hAnsi="宋体" w:eastAsia="宋体" w:cs="宋体"/>
          <w:b/>
          <w:bCs/>
          <w:color w:val="auto"/>
          <w:sz w:val="52"/>
          <w:szCs w:val="52"/>
          <w:highlight w:val="none"/>
        </w:rPr>
        <w:t>文件</w:t>
      </w:r>
    </w:p>
    <w:p w14:paraId="4E34E99B">
      <w:pPr>
        <w:tabs>
          <w:tab w:val="left" w:pos="6431"/>
        </w:tabs>
        <w:rPr>
          <w:rFonts w:hint="eastAsia" w:ascii="宋体" w:hAnsi="宋体" w:eastAsia="宋体" w:cs="宋体"/>
          <w:b/>
          <w:bCs/>
          <w:color w:val="auto"/>
          <w:sz w:val="84"/>
          <w:highlight w:val="none"/>
        </w:rPr>
      </w:pPr>
      <w:r>
        <w:rPr>
          <w:rFonts w:hint="eastAsia" w:ascii="宋体" w:hAnsi="宋体" w:eastAsia="宋体" w:cs="宋体"/>
          <w:b/>
          <w:bCs/>
          <w:color w:val="auto"/>
          <w:sz w:val="84"/>
          <w:highlight w:val="none"/>
        </w:rPr>
        <w:tab/>
      </w:r>
    </w:p>
    <w:p w14:paraId="588CB9C4">
      <w:pPr>
        <w:ind w:firstLine="600" w:firstLineChars="200"/>
        <w:rPr>
          <w:rFonts w:hint="eastAsia" w:ascii="宋体" w:hAnsi="宋体" w:eastAsia="宋体" w:cs="宋体"/>
          <w:bCs/>
          <w:color w:val="auto"/>
          <w:sz w:val="30"/>
          <w:szCs w:val="30"/>
          <w:highlight w:val="none"/>
        </w:rPr>
      </w:pPr>
    </w:p>
    <w:p w14:paraId="55BCAB50">
      <w:pPr>
        <w:tabs>
          <w:tab w:val="left" w:pos="8715"/>
        </w:tabs>
        <w:ind w:firstLine="600" w:firstLineChars="200"/>
        <w:rPr>
          <w:rFonts w:hint="eastAsia" w:ascii="宋体" w:hAnsi="宋体" w:eastAsia="宋体" w:cs="宋体"/>
          <w:bCs/>
          <w:color w:val="auto"/>
          <w:sz w:val="30"/>
          <w:szCs w:val="30"/>
          <w:highlight w:val="none"/>
        </w:rPr>
      </w:pPr>
    </w:p>
    <w:p w14:paraId="64FA8A5F">
      <w:pPr>
        <w:tabs>
          <w:tab w:val="left" w:pos="8715"/>
        </w:tabs>
        <w:ind w:left="0" w:leftChars="0" w:firstLine="1257" w:firstLineChars="419"/>
        <w:jc w:val="both"/>
        <w:rPr>
          <w:rFonts w:hint="eastAsia" w:ascii="宋体" w:hAnsi="宋体" w:eastAsia="宋体" w:cs="宋体"/>
          <w:bCs/>
          <w:color w:val="auto"/>
          <w:sz w:val="30"/>
          <w:szCs w:val="30"/>
          <w:highlight w:val="none"/>
          <w:lang w:val="en-US" w:eastAsia="zh-CN"/>
        </w:rPr>
      </w:pPr>
    </w:p>
    <w:p w14:paraId="15AE7C8D">
      <w:pPr>
        <w:tabs>
          <w:tab w:val="left" w:pos="8715"/>
        </w:tabs>
        <w:ind w:left="0" w:leftChars="0" w:firstLine="1677" w:firstLineChars="559"/>
        <w:jc w:val="both"/>
        <w:rPr>
          <w:rFonts w:hint="eastAsia" w:ascii="宋体" w:hAnsi="宋体" w:eastAsia="宋体" w:cs="宋体"/>
          <w:bCs/>
          <w:color w:val="auto"/>
          <w:sz w:val="30"/>
          <w:szCs w:val="30"/>
          <w:highlight w:val="none"/>
          <w:lang w:val="en-US" w:eastAsia="zh-CN"/>
        </w:rPr>
      </w:pPr>
    </w:p>
    <w:p w14:paraId="300978C3">
      <w:pPr>
        <w:tabs>
          <w:tab w:val="left" w:pos="8715"/>
        </w:tabs>
        <w:ind w:left="0" w:leftChars="0" w:firstLine="1677" w:firstLineChars="559"/>
        <w:jc w:val="both"/>
        <w:rPr>
          <w:rFonts w:hint="eastAsia" w:ascii="宋体" w:hAnsi="宋体" w:eastAsia="宋体" w:cs="宋体"/>
          <w:bCs/>
          <w:color w:val="auto"/>
          <w:sz w:val="30"/>
          <w:szCs w:val="30"/>
          <w:highlight w:val="none"/>
          <w:lang w:val="en-US" w:eastAsia="zh-CN"/>
        </w:rPr>
      </w:pPr>
    </w:p>
    <w:p w14:paraId="2B008F05">
      <w:pPr>
        <w:tabs>
          <w:tab w:val="left" w:pos="8715"/>
        </w:tabs>
        <w:ind w:left="0" w:leftChars="0" w:firstLine="1677" w:firstLineChars="559"/>
        <w:jc w:val="both"/>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lang w:val="en-US" w:eastAsia="zh-CN"/>
        </w:rPr>
        <w:t>出 租 方</w:t>
      </w:r>
      <w:r>
        <w:rPr>
          <w:rFonts w:hint="eastAsia" w:ascii="宋体" w:hAnsi="宋体" w:eastAsia="宋体" w:cs="宋体"/>
          <w:bCs/>
          <w:color w:val="auto"/>
          <w:sz w:val="30"/>
          <w:szCs w:val="30"/>
          <w:highlight w:val="none"/>
        </w:rPr>
        <w:t>：</w:t>
      </w:r>
      <w:r>
        <w:rPr>
          <w:rFonts w:hint="eastAsia" w:ascii="宋体" w:hAnsi="宋体" w:eastAsia="宋体" w:cs="宋体"/>
          <w:bCs/>
          <w:color w:val="auto"/>
          <w:sz w:val="30"/>
          <w:szCs w:val="30"/>
          <w:highlight w:val="none"/>
          <w:lang w:val="en-US" w:eastAsia="zh-CN"/>
        </w:rPr>
        <w:t>南通轨道资源开发有限公司</w:t>
      </w:r>
    </w:p>
    <w:p w14:paraId="4EEEC7D8">
      <w:pPr>
        <w:tabs>
          <w:tab w:val="left" w:pos="8715"/>
        </w:tabs>
        <w:ind w:left="0" w:leftChars="0" w:firstLine="1677" w:firstLineChars="559"/>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代理机构：</w:t>
      </w:r>
      <w:r>
        <w:rPr>
          <w:rFonts w:hint="eastAsia" w:ascii="宋体" w:hAnsi="宋体" w:eastAsia="宋体" w:cs="宋体"/>
          <w:bCs/>
          <w:color w:val="auto"/>
          <w:sz w:val="30"/>
          <w:szCs w:val="30"/>
          <w:highlight w:val="none"/>
          <w:lang w:val="en-US" w:eastAsia="zh-CN"/>
        </w:rPr>
        <w:t>山东国盛项目管理有限公司</w:t>
      </w:r>
    </w:p>
    <w:p w14:paraId="5E030A2B">
      <w:pPr>
        <w:ind w:left="0" w:leftChars="0" w:firstLine="1677" w:firstLineChars="559"/>
        <w:rPr>
          <w:rFonts w:hint="eastAsia" w:ascii="宋体" w:hAnsi="宋体" w:eastAsia="宋体" w:cs="宋体"/>
          <w:bCs/>
          <w:color w:val="auto"/>
          <w:sz w:val="30"/>
          <w:szCs w:val="30"/>
          <w:highlight w:val="none"/>
        </w:rPr>
      </w:pPr>
      <w:r>
        <w:rPr>
          <w:rFonts w:hint="eastAsia" w:ascii="宋体" w:hAnsi="宋体" w:eastAsia="宋体" w:cs="宋体"/>
          <w:bCs/>
          <w:color w:val="auto"/>
          <w:sz w:val="30"/>
          <w:szCs w:val="30"/>
          <w:highlight w:val="none"/>
        </w:rPr>
        <w:t>日    期：</w:t>
      </w:r>
      <w:r>
        <w:rPr>
          <w:rFonts w:hint="eastAsia" w:ascii="宋体" w:hAnsi="宋体" w:eastAsia="宋体" w:cs="宋体"/>
          <w:bCs/>
          <w:color w:val="auto"/>
          <w:sz w:val="30"/>
          <w:szCs w:val="30"/>
          <w:highlight w:val="none"/>
          <w:lang w:eastAsia="zh-CN"/>
        </w:rPr>
        <w:t>202</w:t>
      </w:r>
      <w:r>
        <w:rPr>
          <w:rFonts w:hint="eastAsia" w:ascii="宋体" w:hAnsi="宋体" w:eastAsia="宋体" w:cs="宋体"/>
          <w:bCs/>
          <w:color w:val="auto"/>
          <w:sz w:val="30"/>
          <w:szCs w:val="30"/>
          <w:highlight w:val="none"/>
          <w:lang w:val="en-US" w:eastAsia="zh-CN"/>
        </w:rPr>
        <w:t>6</w:t>
      </w:r>
      <w:r>
        <w:rPr>
          <w:rFonts w:hint="eastAsia" w:ascii="宋体" w:hAnsi="宋体" w:eastAsia="宋体" w:cs="宋体"/>
          <w:bCs/>
          <w:color w:val="auto"/>
          <w:sz w:val="30"/>
          <w:szCs w:val="30"/>
          <w:highlight w:val="none"/>
          <w:lang w:eastAsia="zh-CN"/>
        </w:rPr>
        <w:t>年</w:t>
      </w:r>
      <w:r>
        <w:rPr>
          <w:rFonts w:hint="eastAsia" w:ascii="宋体" w:hAnsi="宋体" w:cs="宋体"/>
          <w:bCs/>
          <w:color w:val="auto"/>
          <w:sz w:val="30"/>
          <w:szCs w:val="30"/>
          <w:highlight w:val="none"/>
          <w:lang w:val="en-US" w:eastAsia="zh-CN"/>
        </w:rPr>
        <w:t>7</w:t>
      </w:r>
      <w:r>
        <w:rPr>
          <w:rFonts w:hint="eastAsia" w:ascii="宋体" w:hAnsi="宋体" w:eastAsia="宋体" w:cs="宋体"/>
          <w:bCs/>
          <w:color w:val="auto"/>
          <w:sz w:val="30"/>
          <w:szCs w:val="30"/>
          <w:highlight w:val="none"/>
        </w:rPr>
        <w:t>月</w:t>
      </w:r>
    </w:p>
    <w:p w14:paraId="413AE76B">
      <w:pPr>
        <w:ind w:left="0" w:leftChars="0" w:firstLine="1571" w:firstLineChars="559"/>
        <w:jc w:val="center"/>
        <w:rPr>
          <w:rFonts w:hint="eastAsia" w:ascii="宋体" w:hAnsi="宋体" w:eastAsia="宋体" w:cs="宋体"/>
          <w:b/>
          <w:bCs/>
          <w:color w:val="auto"/>
          <w:sz w:val="28"/>
          <w:szCs w:val="28"/>
          <w:highlight w:val="none"/>
          <w:lang w:val="en-US" w:eastAsia="zh-CN"/>
        </w:rPr>
        <w:sectPr>
          <w:headerReference r:id="rId5" w:type="default"/>
          <w:footerReference r:id="rId6" w:type="default"/>
          <w:pgSz w:w="11906" w:h="16838"/>
          <w:pgMar w:top="1440" w:right="1066" w:bottom="1440" w:left="1800" w:header="851" w:footer="992" w:gutter="0"/>
          <w:cols w:space="425" w:num="1"/>
          <w:docGrid w:type="lines" w:linePitch="312" w:charSpace="0"/>
        </w:sectPr>
      </w:pPr>
    </w:p>
    <w:sdt>
      <w:sdtPr>
        <w:rPr>
          <w:rFonts w:hint="eastAsia" w:ascii="宋体" w:hAnsi="宋体" w:eastAsia="宋体" w:cs="宋体"/>
          <w:kern w:val="2"/>
          <w:sz w:val="21"/>
          <w:szCs w:val="21"/>
          <w:highlight w:val="none"/>
          <w:lang w:val="en-US" w:eastAsia="zh-CN" w:bidi="ar-SA"/>
        </w:rPr>
        <w:id w:val="147451027"/>
        <w15:color w:val="DBDBDB"/>
        <w:docPartObj>
          <w:docPartGallery w:val="Table of Contents"/>
          <w:docPartUnique/>
        </w:docPartObj>
      </w:sdtPr>
      <w:sdtEndPr>
        <w:rPr>
          <w:rFonts w:hint="eastAsia" w:ascii="宋体" w:hAnsi="宋体" w:eastAsia="宋体" w:cs="宋体"/>
          <w:b/>
          <w:kern w:val="2"/>
          <w:sz w:val="21"/>
          <w:szCs w:val="21"/>
          <w:highlight w:val="none"/>
          <w:lang w:val="en-US" w:eastAsia="zh-CN" w:bidi="ar-SA"/>
        </w:rPr>
      </w:sdtEndPr>
      <w:sdtContent>
        <w:p w14:paraId="7226496A">
          <w:pPr>
            <w:spacing w:before="0" w:beforeLines="0" w:after="0" w:afterLines="0" w:line="240" w:lineRule="auto"/>
            <w:ind w:left="0" w:leftChars="0" w:right="0" w:rightChars="0" w:firstLine="0" w:firstLineChars="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目录</w:t>
          </w:r>
        </w:p>
        <w:p w14:paraId="75C2D427">
          <w:pPr>
            <w:pStyle w:val="24"/>
            <w:tabs>
              <w:tab w:val="right" w:leader="dot" w:pos="8306"/>
            </w:tabs>
            <w:spacing w:line="360" w:lineRule="auto"/>
            <w:rPr>
              <w:rFonts w:hint="eastAsia" w:ascii="宋体" w:hAnsi="宋体" w:eastAsia="宋体" w:cs="宋体"/>
              <w:b/>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TOC \o "1-2" \h \u </w:instrText>
          </w:r>
          <w:r>
            <w:rPr>
              <w:rFonts w:hint="eastAsia" w:ascii="宋体" w:hAnsi="宋体" w:eastAsia="宋体" w:cs="宋体"/>
              <w:sz w:val="21"/>
              <w:szCs w:val="21"/>
              <w:highlight w:val="none"/>
            </w:rPr>
            <w:fldChar w:fldCharType="separate"/>
          </w:r>
          <w:r>
            <w:rPr>
              <w:rFonts w:hint="eastAsia" w:ascii="宋体" w:hAnsi="宋体" w:eastAsia="宋体" w:cs="宋体"/>
              <w:b/>
              <w:sz w:val="21"/>
              <w:szCs w:val="21"/>
              <w:highlight w:val="none"/>
            </w:rPr>
            <w:fldChar w:fldCharType="begin"/>
          </w:r>
          <w:r>
            <w:rPr>
              <w:rFonts w:hint="eastAsia" w:ascii="宋体" w:hAnsi="宋体" w:eastAsia="宋体" w:cs="宋体"/>
              <w:b/>
              <w:sz w:val="21"/>
              <w:szCs w:val="21"/>
              <w:highlight w:val="none"/>
            </w:rPr>
            <w:instrText xml:space="preserve"> HYPERLINK \l _Toc30481 </w:instrText>
          </w:r>
          <w:r>
            <w:rPr>
              <w:rFonts w:hint="eastAsia" w:ascii="宋体" w:hAnsi="宋体" w:eastAsia="宋体" w:cs="宋体"/>
              <w:b/>
              <w:sz w:val="21"/>
              <w:szCs w:val="21"/>
              <w:highlight w:val="none"/>
            </w:rPr>
            <w:fldChar w:fldCharType="separate"/>
          </w:r>
          <w:r>
            <w:rPr>
              <w:rFonts w:hint="eastAsia" w:ascii="宋体" w:hAnsi="宋体" w:eastAsia="宋体" w:cs="宋体"/>
              <w:b/>
              <w:sz w:val="21"/>
              <w:szCs w:val="21"/>
              <w:highlight w:val="none"/>
              <w:lang w:eastAsia="zh-CN"/>
            </w:rPr>
            <w:t xml:space="preserve"> </w:t>
          </w:r>
          <w:r>
            <w:rPr>
              <w:rFonts w:hint="eastAsia" w:ascii="宋体" w:hAnsi="宋体" w:cs="宋体"/>
              <w:b/>
              <w:sz w:val="21"/>
              <w:szCs w:val="21"/>
              <w:highlight w:val="none"/>
              <w:lang w:eastAsia="zh-CN"/>
            </w:rPr>
            <w:t>南通轨道交通1号线图书馆站地下附属空间（02号商铺）出租项目</w:t>
          </w:r>
          <w:r>
            <w:rPr>
              <w:rFonts w:hint="eastAsia" w:ascii="宋体" w:hAnsi="宋体" w:eastAsia="宋体" w:cs="宋体"/>
              <w:b/>
              <w:sz w:val="21"/>
              <w:szCs w:val="21"/>
              <w:highlight w:val="none"/>
              <w:lang w:eastAsia="zh-CN"/>
            </w:rPr>
            <w:t>招租</w:t>
          </w:r>
          <w:r>
            <w:rPr>
              <w:rFonts w:hint="eastAsia" w:ascii="宋体" w:hAnsi="宋体" w:eastAsia="宋体" w:cs="宋体"/>
              <w:b/>
              <w:sz w:val="21"/>
              <w:szCs w:val="21"/>
              <w:highlight w:val="none"/>
            </w:rPr>
            <w:t>公告</w:t>
          </w:r>
          <w:r>
            <w:rPr>
              <w:rFonts w:hint="eastAsia" w:ascii="宋体" w:hAnsi="宋体" w:eastAsia="宋体" w:cs="宋体"/>
              <w:b/>
              <w:sz w:val="21"/>
              <w:szCs w:val="21"/>
              <w:highlight w:val="none"/>
            </w:rPr>
            <w:tab/>
          </w:r>
          <w:r>
            <w:rPr>
              <w:rFonts w:hint="eastAsia" w:ascii="宋体" w:hAnsi="宋体" w:eastAsia="宋体" w:cs="宋体"/>
              <w:b/>
              <w:sz w:val="21"/>
              <w:szCs w:val="21"/>
              <w:highlight w:val="none"/>
            </w:rPr>
            <w:fldChar w:fldCharType="begin"/>
          </w:r>
          <w:r>
            <w:rPr>
              <w:rFonts w:hint="eastAsia" w:ascii="宋体" w:hAnsi="宋体" w:eastAsia="宋体" w:cs="宋体"/>
              <w:b/>
              <w:sz w:val="21"/>
              <w:szCs w:val="21"/>
              <w:highlight w:val="none"/>
            </w:rPr>
            <w:instrText xml:space="preserve"> PAGEREF _Toc30481 \h </w:instrText>
          </w:r>
          <w:r>
            <w:rPr>
              <w:rFonts w:hint="eastAsia" w:ascii="宋体" w:hAnsi="宋体" w:eastAsia="宋体" w:cs="宋体"/>
              <w:b/>
              <w:sz w:val="21"/>
              <w:szCs w:val="21"/>
              <w:highlight w:val="none"/>
            </w:rPr>
            <w:fldChar w:fldCharType="separate"/>
          </w:r>
          <w:r>
            <w:rPr>
              <w:rFonts w:hint="eastAsia" w:ascii="宋体" w:hAnsi="宋体" w:eastAsia="宋体" w:cs="宋体"/>
              <w:b/>
              <w:sz w:val="21"/>
              <w:szCs w:val="21"/>
              <w:highlight w:val="none"/>
            </w:rPr>
            <w:t>1</w:t>
          </w:r>
          <w:r>
            <w:rPr>
              <w:rFonts w:hint="eastAsia" w:ascii="宋体" w:hAnsi="宋体" w:eastAsia="宋体" w:cs="宋体"/>
              <w:b/>
              <w:sz w:val="21"/>
              <w:szCs w:val="21"/>
              <w:highlight w:val="none"/>
            </w:rPr>
            <w:fldChar w:fldCharType="end"/>
          </w:r>
          <w:r>
            <w:rPr>
              <w:rFonts w:hint="eastAsia" w:ascii="宋体" w:hAnsi="宋体" w:eastAsia="宋体" w:cs="宋体"/>
              <w:b/>
              <w:sz w:val="21"/>
              <w:szCs w:val="21"/>
              <w:highlight w:val="none"/>
            </w:rPr>
            <w:fldChar w:fldCharType="end"/>
          </w:r>
        </w:p>
        <w:p w14:paraId="15F656C2">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_Toc14418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一、项目概况</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_Toc14418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1</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08705E13">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_Toc2882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二、出租标的基本情况</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_Toc2882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1</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16BBF109">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_Toc393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三、对承租方的要求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_Toc393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1</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238B8FB">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_Toc30686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四、租金价格及支付要求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_Toc30686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1</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0B5C86B">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_Toc22030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五、交易保证金</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_Toc22030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2</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0B2866BC">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_Toc19804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六、招租流程</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_Toc19804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2</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C0413C1">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_Toc14197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七、其它要求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_Toc14197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2</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C50AC3E">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_Toc10082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八、竞选文件须提供材料</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_Toc10082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3</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282FDC2A">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_Toc16863 </w:instrText>
          </w:r>
          <w:r>
            <w:rPr>
              <w:rFonts w:hint="eastAsia" w:ascii="宋体" w:hAnsi="宋体" w:eastAsia="宋体" w:cs="宋体"/>
              <w:sz w:val="21"/>
              <w:szCs w:val="21"/>
              <w:highlight w:val="none"/>
            </w:rPr>
            <w:fldChar w:fldCharType="separate"/>
          </w:r>
          <w:r>
            <w:rPr>
              <w:rFonts w:hint="eastAsia" w:ascii="宋体" w:hAnsi="宋体" w:eastAsia="宋体" w:cs="宋体"/>
              <w:bCs/>
              <w:sz w:val="21"/>
              <w:szCs w:val="21"/>
              <w:highlight w:val="none"/>
              <w:lang w:val="en-US" w:eastAsia="zh-CN"/>
            </w:rPr>
            <w:t>九、</w:t>
          </w:r>
          <w:r>
            <w:rPr>
              <w:rFonts w:hint="eastAsia" w:ascii="宋体" w:hAnsi="宋体" w:eastAsia="宋体" w:cs="宋体"/>
              <w:bCs/>
              <w:sz w:val="21"/>
              <w:szCs w:val="21"/>
              <w:highlight w:val="none"/>
            </w:rPr>
            <w:t>联系方式</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_Toc16863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3</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6EFC3EA6">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_Toc5317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附件1：</w:t>
          </w:r>
          <w:r>
            <w:rPr>
              <w:rFonts w:hint="eastAsia" w:ascii="宋体" w:hAnsi="宋体" w:cs="宋体"/>
              <w:b/>
              <w:bCs/>
              <w:sz w:val="21"/>
              <w:szCs w:val="21"/>
              <w:highlight w:val="none"/>
              <w:lang w:val="en-US" w:eastAsia="zh-CN"/>
            </w:rPr>
            <w:t>商铺</w:t>
          </w:r>
          <w:r>
            <w:rPr>
              <w:rFonts w:hint="eastAsia" w:ascii="宋体" w:hAnsi="宋体" w:eastAsia="宋体" w:cs="宋体"/>
              <w:b/>
              <w:bCs/>
              <w:sz w:val="21"/>
              <w:szCs w:val="21"/>
              <w:highlight w:val="none"/>
              <w:lang w:val="en-US" w:eastAsia="zh-CN"/>
            </w:rPr>
            <w:t>信息汇总表</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_Toc5317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5</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12209924">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_Toc20846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附件2：</w:t>
          </w:r>
          <w:r>
            <w:rPr>
              <w:rFonts w:hint="eastAsia" w:ascii="宋体" w:hAnsi="宋体" w:cs="宋体"/>
              <w:b/>
              <w:bCs/>
              <w:sz w:val="21"/>
              <w:szCs w:val="21"/>
              <w:highlight w:val="none"/>
              <w:lang w:val="en-US" w:eastAsia="zh-CN"/>
            </w:rPr>
            <w:t>商铺</w:t>
          </w:r>
          <w:r>
            <w:rPr>
              <w:rFonts w:hint="eastAsia" w:ascii="宋体" w:hAnsi="宋体" w:eastAsia="宋体" w:cs="宋体"/>
              <w:b/>
              <w:bCs/>
              <w:sz w:val="21"/>
              <w:szCs w:val="21"/>
              <w:highlight w:val="none"/>
              <w:lang w:val="en-US" w:eastAsia="zh-CN"/>
            </w:rPr>
            <w:t>落位图</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_Toc20846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6</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6E126861">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_Toc26130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附件3. 竞选须知</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_Toc26130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6</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42A03C73">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_Toc18490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一、竞选文件编制</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_Toc18490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7</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49D20222">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_Toc443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二、交易保证金</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_Toc443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7</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7D18FFC4">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_Toc13501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三、竞选文件递交要求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_Toc13501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8</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297BE6CC">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_Toc16089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四、开标时间</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_Toc16089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8</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271B155A">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_Toc12815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五、评审规则</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_Toc12815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8</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0EA499D0">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_Toc29438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六、合同签订</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_Toc29438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8</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6FF7E489">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_Toc13036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七、经营相关要求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_Toc13036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9</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3AADF630">
          <w:pPr>
            <w:pStyle w:val="25"/>
            <w:tabs>
              <w:tab w:val="right" w:leader="dot" w:pos="8306"/>
            </w:tabs>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HYPERLINK \l _Toc21998 </w:instrText>
          </w:r>
          <w:r>
            <w:rPr>
              <w:rFonts w:hint="eastAsia" w:ascii="宋体" w:hAnsi="宋体" w:eastAsia="宋体" w:cs="宋体"/>
              <w:sz w:val="21"/>
              <w:szCs w:val="21"/>
              <w:highlight w:val="none"/>
            </w:rPr>
            <w:fldChar w:fldCharType="separate"/>
          </w:r>
          <w:r>
            <w:rPr>
              <w:rFonts w:hint="eastAsia" w:ascii="宋体" w:hAnsi="宋体" w:eastAsia="宋体" w:cs="宋体"/>
              <w:bCs/>
              <w:kern w:val="0"/>
              <w:sz w:val="21"/>
              <w:szCs w:val="21"/>
              <w:highlight w:val="none"/>
              <w:lang w:val="en-US" w:eastAsia="zh-CN" w:bidi="ar"/>
            </w:rPr>
            <w:t>八、其它要求</w:t>
          </w:r>
          <w:r>
            <w:rPr>
              <w:rFonts w:hint="eastAsia" w:ascii="宋体" w:hAnsi="宋体" w:eastAsia="宋体" w:cs="宋体"/>
              <w:sz w:val="21"/>
              <w:szCs w:val="21"/>
              <w:highlight w:val="none"/>
            </w:rPr>
            <w:tab/>
          </w:r>
          <w:r>
            <w:rPr>
              <w:rFonts w:hint="eastAsia" w:ascii="宋体" w:hAnsi="宋体" w:eastAsia="宋体" w:cs="宋体"/>
              <w:sz w:val="21"/>
              <w:szCs w:val="21"/>
              <w:highlight w:val="none"/>
            </w:rPr>
            <w:fldChar w:fldCharType="begin"/>
          </w:r>
          <w:r>
            <w:rPr>
              <w:rFonts w:hint="eastAsia" w:ascii="宋体" w:hAnsi="宋体" w:eastAsia="宋体" w:cs="宋体"/>
              <w:sz w:val="21"/>
              <w:szCs w:val="21"/>
              <w:highlight w:val="none"/>
            </w:rPr>
            <w:instrText xml:space="preserve"> PAGEREF _Toc21998 \h </w:instrText>
          </w:r>
          <w:r>
            <w:rPr>
              <w:rFonts w:hint="eastAsia" w:ascii="宋体" w:hAnsi="宋体" w:eastAsia="宋体" w:cs="宋体"/>
              <w:sz w:val="21"/>
              <w:szCs w:val="21"/>
              <w:highlight w:val="none"/>
            </w:rPr>
            <w:fldChar w:fldCharType="separate"/>
          </w:r>
          <w:r>
            <w:rPr>
              <w:rFonts w:hint="eastAsia" w:ascii="宋体" w:hAnsi="宋体" w:eastAsia="宋体" w:cs="宋体"/>
              <w:sz w:val="21"/>
              <w:szCs w:val="21"/>
              <w:highlight w:val="none"/>
            </w:rPr>
            <w:t>9</w:t>
          </w:r>
          <w:r>
            <w:rPr>
              <w:rFonts w:hint="eastAsia" w:ascii="宋体" w:hAnsi="宋体" w:eastAsia="宋体" w:cs="宋体"/>
              <w:sz w:val="21"/>
              <w:szCs w:val="21"/>
              <w:highlight w:val="none"/>
            </w:rPr>
            <w:fldChar w:fldCharType="end"/>
          </w:r>
          <w:r>
            <w:rPr>
              <w:rFonts w:hint="eastAsia" w:ascii="宋体" w:hAnsi="宋体" w:eastAsia="宋体" w:cs="宋体"/>
              <w:sz w:val="21"/>
              <w:szCs w:val="21"/>
              <w:highlight w:val="none"/>
            </w:rPr>
            <w:fldChar w:fldCharType="end"/>
          </w:r>
        </w:p>
        <w:p w14:paraId="1A07D40E">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_Toc4080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附件4：合同主要条款</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_Toc4080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11</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1AC29B4B">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_Toc30100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附件5-1. 竞选文件格式（法人版）</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_Toc30100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39</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01483F21">
          <w:pPr>
            <w:pStyle w:val="25"/>
            <w:tabs>
              <w:tab w:val="right" w:leader="dot" w:pos="8306"/>
            </w:tabs>
            <w:spacing w:line="360" w:lineRule="auto"/>
            <w:ind w:left="0" w:leftChars="0" w:firstLine="0" w:firstLineChars="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HYPERLINK \l _Toc2117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lang w:val="en-US" w:eastAsia="zh-CN"/>
            </w:rPr>
            <w:t>附件5-2. 竞选文件格式（自然人版）</w:t>
          </w:r>
          <w:r>
            <w:rPr>
              <w:rFonts w:hint="eastAsia" w:ascii="宋体" w:hAnsi="宋体" w:eastAsia="宋体" w:cs="宋体"/>
              <w:b/>
              <w:bCs/>
              <w:sz w:val="21"/>
              <w:szCs w:val="21"/>
              <w:highlight w:val="none"/>
            </w:rPr>
            <w:tab/>
          </w:r>
          <w:r>
            <w:rPr>
              <w:rFonts w:hint="eastAsia" w:ascii="宋体" w:hAnsi="宋体" w:eastAsia="宋体" w:cs="宋体"/>
              <w:b/>
              <w:bCs/>
              <w:sz w:val="21"/>
              <w:szCs w:val="21"/>
              <w:highlight w:val="none"/>
            </w:rPr>
            <w:fldChar w:fldCharType="begin"/>
          </w:r>
          <w:r>
            <w:rPr>
              <w:rFonts w:hint="eastAsia" w:ascii="宋体" w:hAnsi="宋体" w:eastAsia="宋体" w:cs="宋体"/>
              <w:b/>
              <w:bCs/>
              <w:sz w:val="21"/>
              <w:szCs w:val="21"/>
              <w:highlight w:val="none"/>
            </w:rPr>
            <w:instrText xml:space="preserve"> PAGEREF _Toc2117 \h </w:instrText>
          </w:r>
          <w:r>
            <w:rPr>
              <w:rFonts w:hint="eastAsia" w:ascii="宋体" w:hAnsi="宋体" w:eastAsia="宋体" w:cs="宋体"/>
              <w:b/>
              <w:bCs/>
              <w:sz w:val="21"/>
              <w:szCs w:val="21"/>
              <w:highlight w:val="none"/>
            </w:rPr>
            <w:fldChar w:fldCharType="separate"/>
          </w:r>
          <w:r>
            <w:rPr>
              <w:rFonts w:hint="eastAsia" w:ascii="宋体" w:hAnsi="宋体" w:eastAsia="宋体" w:cs="宋体"/>
              <w:b/>
              <w:bCs/>
              <w:sz w:val="21"/>
              <w:szCs w:val="21"/>
              <w:highlight w:val="none"/>
            </w:rPr>
            <w:t>44</w:t>
          </w:r>
          <w:r>
            <w:rPr>
              <w:rFonts w:hint="eastAsia" w:ascii="宋体" w:hAnsi="宋体" w:eastAsia="宋体" w:cs="宋体"/>
              <w:b/>
              <w:bCs/>
              <w:sz w:val="21"/>
              <w:szCs w:val="21"/>
              <w:highlight w:val="none"/>
            </w:rPr>
            <w:fldChar w:fldCharType="end"/>
          </w:r>
          <w:r>
            <w:rPr>
              <w:rFonts w:hint="eastAsia" w:ascii="宋体" w:hAnsi="宋体" w:eastAsia="宋体" w:cs="宋体"/>
              <w:b/>
              <w:bCs/>
              <w:sz w:val="21"/>
              <w:szCs w:val="21"/>
              <w:highlight w:val="none"/>
            </w:rPr>
            <w:fldChar w:fldCharType="end"/>
          </w:r>
        </w:p>
        <w:p w14:paraId="7EDDC65B">
          <w:pPr>
            <w:spacing w:line="360" w:lineRule="auto"/>
            <w:rPr>
              <w:rFonts w:hint="eastAsia" w:ascii="宋体" w:hAnsi="宋体" w:eastAsia="宋体" w:cs="宋体"/>
              <w:highlight w:val="none"/>
            </w:rPr>
          </w:pPr>
          <w:r>
            <w:rPr>
              <w:rFonts w:hint="eastAsia" w:ascii="宋体" w:hAnsi="宋体" w:eastAsia="宋体" w:cs="宋体"/>
              <w:b/>
              <w:sz w:val="21"/>
              <w:szCs w:val="21"/>
              <w:highlight w:val="none"/>
            </w:rPr>
            <w:fldChar w:fldCharType="end"/>
          </w:r>
        </w:p>
      </w:sdtContent>
    </w:sdt>
    <w:p w14:paraId="33D091D5">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eastAsia="宋体" w:cs="宋体"/>
          <w:color w:val="auto"/>
          <w:highlight w:val="none"/>
          <w:lang w:eastAsia="zh-CN"/>
        </w:rPr>
        <w:sectPr>
          <w:headerReference r:id="rId7" w:type="default"/>
          <w:footerReference r:id="rId8" w:type="default"/>
          <w:pgSz w:w="11906" w:h="16838"/>
          <w:pgMar w:top="1440" w:right="1800" w:bottom="1440" w:left="1800" w:header="851" w:footer="992" w:gutter="0"/>
          <w:pgNumType w:fmt="decimal" w:start="1"/>
          <w:cols w:space="720" w:num="1"/>
          <w:docGrid w:type="lines" w:linePitch="312" w:charSpace="0"/>
        </w:sectPr>
      </w:pPr>
      <w:bookmarkStart w:id="0" w:name="_Toc30481"/>
    </w:p>
    <w:p w14:paraId="6F14EB33">
      <w:pPr>
        <w:pStyle w:val="3"/>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eastAsia="zh-CN"/>
        </w:rPr>
        <w:t>南通轨道交通1号线图书馆站地下附属空间（02号商铺）出租项目</w:t>
      </w:r>
      <w:r>
        <w:rPr>
          <w:rFonts w:hint="eastAsia" w:ascii="宋体" w:hAnsi="宋体" w:eastAsia="宋体" w:cs="宋体"/>
          <w:color w:val="auto"/>
          <w:highlight w:val="none"/>
          <w:lang w:eastAsia="zh-CN"/>
        </w:rPr>
        <w:t>招租</w:t>
      </w:r>
      <w:r>
        <w:rPr>
          <w:rFonts w:hint="eastAsia" w:ascii="宋体" w:hAnsi="宋体" w:eastAsia="宋体" w:cs="宋体"/>
          <w:color w:val="auto"/>
          <w:highlight w:val="none"/>
        </w:rPr>
        <w:t>公告</w:t>
      </w:r>
      <w:bookmarkEnd w:id="0"/>
    </w:p>
    <w:p w14:paraId="16564B10">
      <w:pPr>
        <w:pStyle w:val="4"/>
        <w:bidi w:val="0"/>
        <w:rPr>
          <w:rFonts w:hint="eastAsia" w:ascii="宋体" w:hAnsi="宋体" w:eastAsia="宋体" w:cs="宋体"/>
          <w:b/>
          <w:bCs/>
          <w:color w:val="auto"/>
          <w:sz w:val="21"/>
          <w:szCs w:val="21"/>
          <w:highlight w:val="none"/>
        </w:rPr>
      </w:pPr>
      <w:bookmarkStart w:id="1" w:name="_Toc14418"/>
      <w:r>
        <w:rPr>
          <w:rFonts w:hint="eastAsia" w:ascii="宋体" w:hAnsi="宋体" w:eastAsia="宋体" w:cs="宋体"/>
          <w:b/>
          <w:bCs/>
          <w:color w:val="auto"/>
          <w:sz w:val="21"/>
          <w:szCs w:val="21"/>
          <w:highlight w:val="none"/>
          <w:lang w:val="en-US" w:eastAsia="zh-CN"/>
        </w:rPr>
        <w:t>一、项目概况</w:t>
      </w:r>
      <w:bookmarkEnd w:id="1"/>
      <w:r>
        <w:rPr>
          <w:rFonts w:hint="eastAsia" w:ascii="宋体" w:hAnsi="宋体" w:eastAsia="宋体" w:cs="宋体"/>
          <w:b/>
          <w:bCs/>
          <w:color w:val="auto"/>
          <w:sz w:val="21"/>
          <w:szCs w:val="21"/>
          <w:highlight w:val="none"/>
          <w:lang w:val="en-US" w:eastAsia="zh-CN"/>
        </w:rPr>
        <w:t xml:space="preserve"> </w:t>
      </w:r>
    </w:p>
    <w:p w14:paraId="70F2FAB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出租方：南通轨道资源开发有限公司 </w:t>
      </w:r>
    </w:p>
    <w:p w14:paraId="2AAF354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出租标的：南通轨道交通1号线图书馆站地下附属空间02号商铺，详见附件 1。 </w:t>
      </w:r>
    </w:p>
    <w:p w14:paraId="66779E9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 交易方式：公开挂牌招租。只征集到一家符合条件的意向承租方时，按意向承租方报价出租；征集到两家或两家以上符合条件的意向承租方时，由出租方采取竞价方式确定承租方。 </w:t>
      </w:r>
    </w:p>
    <w:p w14:paraId="6AC8318C">
      <w:pPr>
        <w:pStyle w:val="4"/>
        <w:bidi w:val="0"/>
        <w:rPr>
          <w:rFonts w:hint="eastAsia" w:ascii="宋体" w:hAnsi="宋体" w:eastAsia="宋体" w:cs="宋体"/>
          <w:b/>
          <w:bCs/>
          <w:color w:val="auto"/>
          <w:sz w:val="21"/>
          <w:szCs w:val="21"/>
          <w:highlight w:val="none"/>
          <w:lang w:val="en-US" w:eastAsia="zh-CN"/>
        </w:rPr>
      </w:pPr>
      <w:bookmarkStart w:id="2" w:name="_Toc2882"/>
      <w:r>
        <w:rPr>
          <w:rFonts w:hint="eastAsia" w:ascii="宋体" w:hAnsi="宋体" w:eastAsia="宋体" w:cs="宋体"/>
          <w:b/>
          <w:bCs/>
          <w:color w:val="auto"/>
          <w:sz w:val="21"/>
          <w:szCs w:val="21"/>
          <w:highlight w:val="none"/>
          <w:lang w:val="en-US" w:eastAsia="zh-CN"/>
        </w:rPr>
        <w:t>二、出租标的基本情况</w:t>
      </w:r>
      <w:bookmarkEnd w:id="2"/>
      <w:r>
        <w:rPr>
          <w:rFonts w:hint="eastAsia" w:ascii="宋体" w:hAnsi="宋体" w:eastAsia="宋体" w:cs="宋体"/>
          <w:b/>
          <w:bCs/>
          <w:color w:val="auto"/>
          <w:sz w:val="21"/>
          <w:szCs w:val="21"/>
          <w:highlight w:val="none"/>
          <w:lang w:val="en-US" w:eastAsia="zh-CN"/>
        </w:rPr>
        <w:t xml:space="preserve"> </w:t>
      </w:r>
    </w:p>
    <w:p w14:paraId="3B6C03D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 坐落位置：崇川路65号</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 xml:space="preserve">具体位置详见附件 1 和附件 2 </w:t>
      </w:r>
    </w:p>
    <w:p w14:paraId="4E597AF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出租面积：详见附件 1 </w:t>
      </w:r>
    </w:p>
    <w:p w14:paraId="33AE72F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出租用途：商业 </w:t>
      </w:r>
    </w:p>
    <w:p w14:paraId="6A1F998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业态条件：详见附件 1 </w:t>
      </w:r>
    </w:p>
    <w:p w14:paraId="20035C1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 附属设施：详见附件 1 </w:t>
      </w:r>
    </w:p>
    <w:p w14:paraId="333D7B0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6.（1）装修程度：详见附件 1 </w:t>
      </w:r>
    </w:p>
    <w:p w14:paraId="5D96142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（2）目前租赁状态：详见附件 1，房产移交由出租方负责。</w:t>
      </w:r>
    </w:p>
    <w:p w14:paraId="5621120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7. 有无房产证：无</w:t>
      </w:r>
    </w:p>
    <w:p w14:paraId="698CE748">
      <w:pPr>
        <w:pStyle w:val="4"/>
        <w:bidi w:val="0"/>
        <w:rPr>
          <w:rFonts w:hint="eastAsia" w:ascii="宋体" w:hAnsi="宋体" w:eastAsia="宋体" w:cs="宋体"/>
          <w:b/>
          <w:bCs/>
          <w:color w:val="auto"/>
          <w:sz w:val="21"/>
          <w:szCs w:val="21"/>
          <w:highlight w:val="none"/>
          <w:lang w:val="en-US" w:eastAsia="zh-CN"/>
        </w:rPr>
      </w:pPr>
      <w:bookmarkStart w:id="3" w:name="_Toc393"/>
      <w:r>
        <w:rPr>
          <w:rFonts w:hint="eastAsia" w:ascii="宋体" w:hAnsi="宋体" w:eastAsia="宋体" w:cs="宋体"/>
          <w:b/>
          <w:bCs/>
          <w:color w:val="auto"/>
          <w:sz w:val="21"/>
          <w:szCs w:val="21"/>
          <w:highlight w:val="none"/>
          <w:lang w:val="en-US" w:eastAsia="zh-CN"/>
        </w:rPr>
        <w:t>三、对承租方的要求</w:t>
      </w:r>
      <w:bookmarkEnd w:id="3"/>
      <w:r>
        <w:rPr>
          <w:rFonts w:hint="eastAsia" w:ascii="宋体" w:hAnsi="宋体" w:eastAsia="宋体" w:cs="宋体"/>
          <w:b/>
          <w:bCs/>
          <w:color w:val="auto"/>
          <w:sz w:val="21"/>
          <w:szCs w:val="21"/>
          <w:highlight w:val="none"/>
          <w:lang w:val="en-US" w:eastAsia="zh-CN"/>
        </w:rPr>
        <w:t xml:space="preserve"> </w:t>
      </w:r>
    </w:p>
    <w:p w14:paraId="24A7384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意向承租方须为具有完全民事行为能力的自然人或法人。 </w:t>
      </w:r>
    </w:p>
    <w:p w14:paraId="57EE4D5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意向承租方须提交盖章确认（法人）或签字按手印（自然人）的《承诺函》（详见附件 5）。 </w:t>
      </w:r>
    </w:p>
    <w:p w14:paraId="685747D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意向承租方须信用良好，在“信用中国”平台中没有不良记录。 </w:t>
      </w:r>
    </w:p>
    <w:p w14:paraId="0F9C9BB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意向承租方承租本标的后不得转租，不得用于非法金融业务，不得出现违反公序良俗的行为。 </w:t>
      </w:r>
    </w:p>
    <w:p w14:paraId="76D5E2F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5. 不接受联合体报名。 </w:t>
      </w:r>
    </w:p>
    <w:p w14:paraId="1CC3AD25">
      <w:pPr>
        <w:pStyle w:val="4"/>
        <w:numPr>
          <w:ilvl w:val="0"/>
          <w:numId w:val="0"/>
        </w:numPr>
        <w:bidi w:val="0"/>
        <w:rPr>
          <w:rFonts w:hint="eastAsia" w:ascii="宋体" w:hAnsi="宋体" w:eastAsia="宋体" w:cs="宋体"/>
          <w:b/>
          <w:bCs/>
          <w:color w:val="auto"/>
          <w:sz w:val="21"/>
          <w:szCs w:val="21"/>
          <w:highlight w:val="none"/>
          <w:lang w:val="en-US" w:eastAsia="zh-CN"/>
        </w:rPr>
      </w:pPr>
      <w:bookmarkStart w:id="4" w:name="_Toc30686"/>
      <w:r>
        <w:rPr>
          <w:rFonts w:hint="eastAsia" w:ascii="宋体" w:hAnsi="宋体" w:eastAsia="宋体" w:cs="宋体"/>
          <w:b/>
          <w:bCs/>
          <w:color w:val="auto"/>
          <w:sz w:val="21"/>
          <w:szCs w:val="21"/>
          <w:highlight w:val="none"/>
          <w:lang w:val="en-US" w:eastAsia="zh-CN"/>
        </w:rPr>
        <w:t>四、租金价格及支付要求</w:t>
      </w:r>
      <w:bookmarkEnd w:id="4"/>
    </w:p>
    <w:p w14:paraId="37A1AFE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 出租年限：</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年。免租期3个月，在承租方首年无违约情况下于第二个合同年给予减免。</w:t>
      </w:r>
    </w:p>
    <w:p w14:paraId="1D57995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 租金价格：详见附件1，意向承租方报价不得低于租金底价。</w:t>
      </w:r>
    </w:p>
    <w:p w14:paraId="03EF72E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 租金支付方式：先付后用，每半年付。</w:t>
      </w:r>
    </w:p>
    <w:p w14:paraId="5B00E8A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 履约保证金：成交首年金额的25%，缴纳形式为</w:t>
      </w:r>
      <w:r>
        <w:rPr>
          <w:rFonts w:hint="eastAsia" w:ascii="宋体" w:hAnsi="宋体" w:cs="宋体"/>
          <w:color w:val="auto"/>
          <w:kern w:val="0"/>
          <w:sz w:val="21"/>
          <w:szCs w:val="21"/>
          <w:highlight w:val="none"/>
          <w:lang w:val="en-US" w:eastAsia="zh-CN" w:bidi="ar"/>
        </w:rPr>
        <w:t>转账</w:t>
      </w:r>
      <w:r>
        <w:rPr>
          <w:rFonts w:hint="eastAsia" w:ascii="宋体" w:hAnsi="宋体" w:eastAsia="宋体" w:cs="宋体"/>
          <w:color w:val="auto"/>
          <w:kern w:val="0"/>
          <w:sz w:val="21"/>
          <w:szCs w:val="21"/>
          <w:highlight w:val="none"/>
          <w:lang w:val="en-US" w:eastAsia="zh-CN" w:bidi="ar"/>
        </w:rPr>
        <w:t>。</w:t>
      </w:r>
    </w:p>
    <w:p w14:paraId="7DEC4CA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 经营项目范围内的水、电等为有偿使用，其费用由承租方自行承担。水、电等费用，按南通轨道交通规定的商业收费标准计算费用。</w:t>
      </w:r>
    </w:p>
    <w:p w14:paraId="33BB2EE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 物业费：每月每平方米为人民币</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元，物业费采用先付后用的原则，每半年付（免租期内不免除）</w:t>
      </w:r>
      <w:r>
        <w:rPr>
          <w:rFonts w:hint="eastAsia" w:ascii="宋体" w:hAnsi="宋体" w:cs="宋体"/>
          <w:color w:val="auto"/>
          <w:kern w:val="0"/>
          <w:sz w:val="21"/>
          <w:szCs w:val="21"/>
          <w:highlight w:val="none"/>
          <w:lang w:val="en-US" w:eastAsia="zh-CN" w:bidi="ar"/>
        </w:rPr>
        <w:t>。</w:t>
      </w:r>
    </w:p>
    <w:p w14:paraId="01776609">
      <w:pPr>
        <w:pStyle w:val="4"/>
        <w:bidi w:val="0"/>
        <w:rPr>
          <w:rFonts w:hint="eastAsia" w:ascii="宋体" w:hAnsi="宋体" w:eastAsia="宋体" w:cs="宋体"/>
          <w:b/>
          <w:bCs/>
          <w:color w:val="auto"/>
          <w:sz w:val="21"/>
          <w:szCs w:val="21"/>
          <w:highlight w:val="none"/>
          <w:lang w:val="en-US" w:eastAsia="zh-CN"/>
        </w:rPr>
      </w:pPr>
      <w:bookmarkStart w:id="5" w:name="_Toc22030"/>
      <w:r>
        <w:rPr>
          <w:rFonts w:hint="eastAsia" w:ascii="宋体" w:hAnsi="宋体" w:eastAsia="宋体" w:cs="宋体"/>
          <w:b/>
          <w:bCs/>
          <w:color w:val="auto"/>
          <w:sz w:val="21"/>
          <w:szCs w:val="21"/>
          <w:highlight w:val="none"/>
          <w:lang w:val="en-US" w:eastAsia="zh-CN"/>
        </w:rPr>
        <w:t>五、交易保证金</w:t>
      </w:r>
      <w:bookmarkEnd w:id="5"/>
      <w:r>
        <w:rPr>
          <w:rFonts w:hint="eastAsia" w:ascii="宋体" w:hAnsi="宋体" w:eastAsia="宋体" w:cs="宋体"/>
          <w:b/>
          <w:bCs/>
          <w:color w:val="auto"/>
          <w:sz w:val="21"/>
          <w:szCs w:val="21"/>
          <w:highlight w:val="none"/>
          <w:lang w:val="en-US" w:eastAsia="zh-CN"/>
        </w:rPr>
        <w:t xml:space="preserve"> </w:t>
      </w:r>
    </w:p>
    <w:p w14:paraId="6615758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金额为3000元/标的，意向承租方须在2026年</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日9时30分（北京时间，下同）前交至指定账户（以到达账户时间为准，遇法定节假日顺延），</w:t>
      </w:r>
      <w:r>
        <w:rPr>
          <w:rFonts w:hint="eastAsia" w:ascii="宋体" w:hAnsi="宋体" w:eastAsia="宋体" w:cs="宋体"/>
          <w:b/>
          <w:bCs/>
          <w:color w:val="auto"/>
          <w:kern w:val="0"/>
          <w:sz w:val="21"/>
          <w:szCs w:val="21"/>
          <w:highlight w:val="none"/>
          <w:lang w:val="en-US" w:eastAsia="zh-CN" w:bidi="ar"/>
        </w:rPr>
        <w:t>逾期将不能取得竞租资格</w:t>
      </w:r>
      <w:r>
        <w:rPr>
          <w:rFonts w:hint="eastAsia" w:ascii="宋体" w:hAnsi="宋体" w:eastAsia="宋体" w:cs="宋体"/>
          <w:color w:val="auto"/>
          <w:kern w:val="0"/>
          <w:sz w:val="21"/>
          <w:szCs w:val="21"/>
          <w:highlight w:val="none"/>
          <w:lang w:val="en-US" w:eastAsia="zh-CN" w:bidi="ar"/>
        </w:rPr>
        <w:t>。</w:t>
      </w:r>
    </w:p>
    <w:p w14:paraId="2A4647B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保证金交纳方式：竞选人若为企业法人，须采用本票或保函或保险或担保或数字人民币或从企业基本账户以银行转账等形式交纳保证金；竞选人若为自然人，以个人的名义交纳保证金的形式为本票或保函或保险或担保或数字人民币或银行转账等。禁止第三方代缴保证金或以其他方式交纳。交纳保证金时须</w:t>
      </w:r>
      <w:r>
        <w:rPr>
          <w:rFonts w:hint="eastAsia" w:ascii="宋体" w:hAnsi="宋体" w:eastAsia="宋体" w:cs="宋体"/>
          <w:b/>
          <w:bCs/>
          <w:color w:val="auto"/>
          <w:kern w:val="0"/>
          <w:sz w:val="21"/>
          <w:szCs w:val="21"/>
          <w:highlight w:val="none"/>
          <w:lang w:val="en-US" w:eastAsia="zh-CN" w:bidi="ar"/>
        </w:rPr>
        <w:t>备注“图书馆站</w:t>
      </w:r>
      <w:r>
        <w:rPr>
          <w:rFonts w:hint="eastAsia" w:ascii="宋体" w:hAnsi="宋体" w:cs="宋体"/>
          <w:b/>
          <w:bCs/>
          <w:color w:val="auto"/>
          <w:kern w:val="0"/>
          <w:sz w:val="21"/>
          <w:szCs w:val="21"/>
          <w:highlight w:val="none"/>
          <w:lang w:val="en-US" w:eastAsia="zh-CN" w:bidi="ar"/>
        </w:rPr>
        <w:t>02</w:t>
      </w:r>
      <w:r>
        <w:rPr>
          <w:rFonts w:hint="eastAsia" w:ascii="宋体" w:hAnsi="宋体" w:eastAsia="宋体" w:cs="宋体"/>
          <w:b/>
          <w:bCs/>
          <w:color w:val="auto"/>
          <w:kern w:val="0"/>
          <w:sz w:val="21"/>
          <w:szCs w:val="21"/>
          <w:highlight w:val="none"/>
          <w:lang w:val="en-US" w:eastAsia="zh-CN" w:bidi="ar"/>
        </w:rPr>
        <w:t>号</w:t>
      </w:r>
      <w:r>
        <w:rPr>
          <w:rFonts w:hint="eastAsia" w:ascii="宋体" w:hAnsi="宋体" w:cs="宋体"/>
          <w:b/>
          <w:bCs/>
          <w:color w:val="auto"/>
          <w:kern w:val="0"/>
          <w:sz w:val="21"/>
          <w:szCs w:val="21"/>
          <w:highlight w:val="none"/>
          <w:lang w:val="en-US" w:eastAsia="zh-CN" w:bidi="ar"/>
        </w:rPr>
        <w:t>铺</w:t>
      </w:r>
      <w:r>
        <w:rPr>
          <w:rFonts w:hint="eastAsia" w:ascii="宋体" w:hAnsi="宋体" w:eastAsia="宋体" w:cs="宋体"/>
          <w:b/>
          <w:bCs/>
          <w:color w:val="auto"/>
          <w:kern w:val="0"/>
          <w:sz w:val="21"/>
          <w:szCs w:val="21"/>
          <w:highlight w:val="none"/>
          <w:lang w:val="en-US" w:eastAsia="zh-CN" w:bidi="ar"/>
        </w:rPr>
        <w:t>交易保证金”。</w:t>
      </w:r>
      <w:r>
        <w:rPr>
          <w:rFonts w:hint="eastAsia" w:ascii="宋体" w:hAnsi="宋体" w:eastAsia="宋体" w:cs="宋体"/>
          <w:color w:val="auto"/>
          <w:kern w:val="0"/>
          <w:sz w:val="21"/>
          <w:szCs w:val="21"/>
          <w:highlight w:val="none"/>
          <w:lang w:val="en-US" w:eastAsia="zh-CN" w:bidi="ar"/>
        </w:rPr>
        <w:t>竞选人以银行转账方式交纳保证金的，若确定为承租方，其保证金转为履约保证金。</w:t>
      </w:r>
    </w:p>
    <w:p w14:paraId="0168ED3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bookmarkStart w:id="6" w:name="_Toc20965"/>
      <w:r>
        <w:rPr>
          <w:rFonts w:hint="eastAsia" w:ascii="宋体" w:hAnsi="宋体" w:eastAsia="宋体" w:cs="宋体"/>
          <w:b/>
          <w:bCs/>
          <w:color w:val="auto"/>
          <w:kern w:val="0"/>
          <w:sz w:val="21"/>
          <w:szCs w:val="21"/>
          <w:highlight w:val="none"/>
          <w:lang w:val="en-US" w:eastAsia="zh-CN" w:bidi="ar"/>
        </w:rPr>
        <w:t>户名：南通轨道资源开发有限公司</w:t>
      </w:r>
      <w:bookmarkEnd w:id="6"/>
    </w:p>
    <w:p w14:paraId="694BD44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账号：326008602011000291381</w:t>
      </w:r>
    </w:p>
    <w:p w14:paraId="09E432D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开户银行：交通银行南通分行营业部</w:t>
      </w:r>
    </w:p>
    <w:p w14:paraId="2DE02BB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交易保证金退还及其他要求详见附件3竞选须知。</w:t>
      </w:r>
    </w:p>
    <w:p w14:paraId="0E7D1EC3">
      <w:pPr>
        <w:pStyle w:val="4"/>
        <w:bidi w:val="0"/>
        <w:rPr>
          <w:rFonts w:hint="eastAsia" w:ascii="宋体" w:hAnsi="宋体" w:eastAsia="宋体" w:cs="宋体"/>
          <w:b/>
          <w:bCs/>
          <w:sz w:val="21"/>
          <w:szCs w:val="21"/>
          <w:highlight w:val="none"/>
          <w:lang w:val="en-US" w:eastAsia="zh-CN"/>
        </w:rPr>
      </w:pPr>
      <w:bookmarkStart w:id="7" w:name="_Toc19804"/>
      <w:r>
        <w:rPr>
          <w:rFonts w:hint="eastAsia" w:ascii="宋体" w:hAnsi="宋体" w:eastAsia="宋体" w:cs="宋体"/>
          <w:b/>
          <w:bCs/>
          <w:sz w:val="21"/>
          <w:szCs w:val="21"/>
          <w:highlight w:val="none"/>
          <w:lang w:val="en-US" w:eastAsia="zh-CN"/>
        </w:rPr>
        <w:t>六、招租流程</w:t>
      </w:r>
      <w:bookmarkEnd w:id="7"/>
      <w:r>
        <w:rPr>
          <w:rFonts w:hint="eastAsia" w:ascii="宋体" w:hAnsi="宋体" w:eastAsia="宋体" w:cs="宋体"/>
          <w:b/>
          <w:bCs/>
          <w:sz w:val="21"/>
          <w:szCs w:val="21"/>
          <w:highlight w:val="none"/>
          <w:lang w:val="en-US" w:eastAsia="zh-CN"/>
        </w:rPr>
        <w:t xml:space="preserve"> </w:t>
      </w:r>
    </w:p>
    <w:p w14:paraId="09D90B8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 出租方通过南通轨道交通官网发布招租信息，挂牌期限为2026年</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28</w:t>
      </w:r>
      <w:r>
        <w:rPr>
          <w:rFonts w:hint="eastAsia" w:ascii="宋体" w:hAnsi="宋体" w:eastAsia="宋体" w:cs="宋体"/>
          <w:color w:val="auto"/>
          <w:kern w:val="0"/>
          <w:sz w:val="21"/>
          <w:szCs w:val="21"/>
          <w:highlight w:val="none"/>
          <w:lang w:val="en-US" w:eastAsia="zh-CN" w:bidi="ar"/>
        </w:rPr>
        <w:t>日至2026年</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val="en-US" w:eastAsia="zh-CN" w:bidi="ar"/>
        </w:rPr>
        <w:t>月</w:t>
      </w:r>
      <w:r>
        <w:rPr>
          <w:rFonts w:hint="eastAsia" w:ascii="宋体" w:hAnsi="宋体" w:cs="宋体"/>
          <w:color w:val="auto"/>
          <w:kern w:val="0"/>
          <w:sz w:val="21"/>
          <w:szCs w:val="21"/>
          <w:highlight w:val="none"/>
          <w:lang w:val="en-US" w:eastAsia="zh-CN" w:bidi="ar"/>
        </w:rPr>
        <w:t>6</w:t>
      </w:r>
      <w:r>
        <w:rPr>
          <w:rFonts w:hint="eastAsia" w:ascii="宋体" w:hAnsi="宋体" w:eastAsia="宋体" w:cs="宋体"/>
          <w:color w:val="auto"/>
          <w:kern w:val="0"/>
          <w:sz w:val="21"/>
          <w:szCs w:val="21"/>
          <w:highlight w:val="none"/>
          <w:lang w:val="en-US" w:eastAsia="zh-CN" w:bidi="ar"/>
        </w:rPr>
        <w:t>日。</w:t>
      </w:r>
    </w:p>
    <w:p w14:paraId="40A2D9D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意向承租方至出租方进行信息咨询、缴纳交易保证金、递交竞选文件。 </w:t>
      </w:r>
    </w:p>
    <w:p w14:paraId="7EAF414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 挂牌期满后，意向承租方在规定的时间内递交竞选文件，出租方按照招租文件规定的要求进行组织开标。</w:t>
      </w:r>
      <w:r>
        <w:rPr>
          <w:rFonts w:hint="eastAsia" w:ascii="宋体" w:hAnsi="宋体" w:eastAsia="宋体" w:cs="宋体"/>
          <w:b/>
          <w:bCs/>
          <w:color w:val="auto"/>
          <w:kern w:val="0"/>
          <w:sz w:val="21"/>
          <w:szCs w:val="21"/>
          <w:highlight w:val="none"/>
          <w:lang w:val="en-US" w:eastAsia="zh-CN" w:bidi="ar"/>
        </w:rPr>
        <w:t>竞选文件的编制要求和地点等内容详见附件 4</w:t>
      </w:r>
      <w:r>
        <w:rPr>
          <w:rFonts w:hint="eastAsia" w:ascii="宋体" w:hAnsi="宋体" w:eastAsia="宋体" w:cs="宋体"/>
          <w:color w:val="auto"/>
          <w:kern w:val="0"/>
          <w:sz w:val="21"/>
          <w:szCs w:val="21"/>
          <w:highlight w:val="none"/>
          <w:lang w:val="en-US" w:eastAsia="zh-CN" w:bidi="ar"/>
        </w:rPr>
        <w:t xml:space="preserve">。 </w:t>
      </w:r>
    </w:p>
    <w:p w14:paraId="6D2977D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3.1竞选文件递交起止时间：</w:t>
      </w:r>
      <w:r>
        <w:rPr>
          <w:rFonts w:hint="eastAsia" w:ascii="宋体" w:hAnsi="宋体" w:eastAsia="宋体" w:cs="宋体"/>
          <w:color w:val="auto"/>
          <w:kern w:val="0"/>
          <w:sz w:val="21"/>
          <w:szCs w:val="21"/>
          <w:highlight w:val="none"/>
          <w:u w:val="single"/>
          <w:lang w:val="en-US" w:eastAsia="zh-CN" w:bidi="ar"/>
        </w:rPr>
        <w:t>2026年</w:t>
      </w:r>
      <w:r>
        <w:rPr>
          <w:rFonts w:hint="eastAsia" w:ascii="宋体" w:hAnsi="宋体" w:cs="宋体"/>
          <w:color w:val="auto"/>
          <w:kern w:val="0"/>
          <w:sz w:val="21"/>
          <w:szCs w:val="21"/>
          <w:highlight w:val="none"/>
          <w:u w:val="single"/>
          <w:lang w:val="en-US" w:eastAsia="zh-CN" w:bidi="ar"/>
        </w:rPr>
        <w:t>8</w:t>
      </w:r>
      <w:r>
        <w:rPr>
          <w:rFonts w:hint="eastAsia" w:ascii="宋体" w:hAnsi="宋体" w:eastAsia="宋体" w:cs="宋体"/>
          <w:color w:val="auto"/>
          <w:kern w:val="0"/>
          <w:sz w:val="21"/>
          <w:szCs w:val="21"/>
          <w:highlight w:val="none"/>
          <w:u w:val="single"/>
          <w:lang w:val="en-US" w:eastAsia="zh-CN" w:bidi="ar"/>
        </w:rPr>
        <w:t>月</w:t>
      </w:r>
      <w:r>
        <w:rPr>
          <w:rFonts w:hint="eastAsia" w:ascii="宋体" w:hAnsi="宋体" w:cs="宋体"/>
          <w:color w:val="auto"/>
          <w:kern w:val="0"/>
          <w:sz w:val="21"/>
          <w:szCs w:val="21"/>
          <w:highlight w:val="none"/>
          <w:u w:val="single"/>
          <w:lang w:val="en-US" w:eastAsia="zh-CN" w:bidi="ar"/>
        </w:rPr>
        <w:t>7</w:t>
      </w:r>
      <w:r>
        <w:rPr>
          <w:rFonts w:hint="eastAsia" w:ascii="宋体" w:hAnsi="宋体" w:eastAsia="宋体" w:cs="宋体"/>
          <w:color w:val="auto"/>
          <w:kern w:val="0"/>
          <w:sz w:val="21"/>
          <w:szCs w:val="21"/>
          <w:highlight w:val="none"/>
          <w:u w:val="single"/>
          <w:lang w:val="en-US" w:eastAsia="zh-CN" w:bidi="ar"/>
        </w:rPr>
        <w:t>日</w:t>
      </w:r>
      <w:r>
        <w:rPr>
          <w:rFonts w:hint="eastAsia" w:ascii="宋体" w:hAnsi="宋体"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时00分-</w:t>
      </w:r>
      <w:r>
        <w:rPr>
          <w:rFonts w:hint="eastAsia" w:ascii="宋体" w:hAnsi="宋体" w:cs="宋体"/>
          <w:color w:val="auto"/>
          <w:kern w:val="0"/>
          <w:sz w:val="21"/>
          <w:szCs w:val="21"/>
          <w:highlight w:val="none"/>
          <w:u w:val="single"/>
          <w:lang w:val="en-US" w:eastAsia="zh-CN" w:bidi="ar"/>
        </w:rPr>
        <w:t>9</w:t>
      </w:r>
      <w:r>
        <w:rPr>
          <w:rFonts w:hint="eastAsia" w:ascii="宋体" w:hAnsi="宋体" w:eastAsia="宋体" w:cs="宋体"/>
          <w:color w:val="auto"/>
          <w:kern w:val="0"/>
          <w:sz w:val="21"/>
          <w:szCs w:val="21"/>
          <w:highlight w:val="none"/>
          <w:u w:val="single"/>
          <w:lang w:val="en-US" w:eastAsia="zh-CN" w:bidi="ar"/>
        </w:rPr>
        <w:t>时30分</w:t>
      </w:r>
      <w:r>
        <w:rPr>
          <w:rFonts w:hint="eastAsia" w:ascii="宋体" w:hAnsi="宋体" w:eastAsia="宋体" w:cs="宋体"/>
          <w:color w:val="auto"/>
          <w:kern w:val="0"/>
          <w:sz w:val="21"/>
          <w:szCs w:val="21"/>
          <w:highlight w:val="none"/>
          <w:lang w:val="en-US" w:eastAsia="zh-CN" w:bidi="ar"/>
        </w:rPr>
        <w:t>。</w:t>
      </w:r>
    </w:p>
    <w:p w14:paraId="2CA70EB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3.2竞选文件递交地点：</w:t>
      </w:r>
      <w:r>
        <w:rPr>
          <w:rFonts w:hint="eastAsia" w:ascii="宋体" w:hAnsi="宋体" w:eastAsia="宋体" w:cs="宋体"/>
          <w:color w:val="auto"/>
          <w:kern w:val="0"/>
          <w:sz w:val="21"/>
          <w:szCs w:val="21"/>
          <w:highlight w:val="none"/>
          <w:u w:val="single"/>
          <w:lang w:val="en-US" w:eastAsia="zh-CN" w:bidi="ar"/>
        </w:rPr>
        <w:t>南通市崇川区崇川路158号15楼1506开标</w:t>
      </w:r>
      <w:r>
        <w:rPr>
          <w:rFonts w:hint="eastAsia" w:ascii="宋体" w:hAnsi="宋体" w:eastAsia="宋体" w:cs="宋体"/>
          <w:color w:val="auto"/>
          <w:highlight w:val="none"/>
          <w:u w:val="single"/>
          <w:lang w:val="en-US" w:eastAsia="zh-CN"/>
        </w:rPr>
        <w:t>室</w:t>
      </w:r>
      <w:r>
        <w:rPr>
          <w:rFonts w:hint="eastAsia" w:ascii="宋体" w:hAnsi="宋体" w:eastAsia="宋体" w:cs="宋体"/>
          <w:color w:val="auto"/>
          <w:kern w:val="0"/>
          <w:sz w:val="21"/>
          <w:szCs w:val="21"/>
          <w:highlight w:val="none"/>
          <w:lang w:val="en-US" w:eastAsia="zh-CN" w:bidi="ar"/>
        </w:rPr>
        <w:t>。</w:t>
      </w:r>
    </w:p>
    <w:p w14:paraId="0CEFC0D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3.3逾期送达的或者未送达指定地点的竞选文件，出租方不予受理。</w:t>
      </w:r>
    </w:p>
    <w:p w14:paraId="77A810F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出租方向中选承租方发出中选通知书。 </w:t>
      </w:r>
    </w:p>
    <w:p w14:paraId="28C38E5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 承租方缴纳履约保证金、与出租方签订租赁合同（合同范本详见附件</w:t>
      </w:r>
      <w:r>
        <w:rPr>
          <w:rFonts w:hint="eastAsia" w:ascii="宋体" w:hAnsi="宋体" w:cs="宋体"/>
          <w:color w:val="auto"/>
          <w:kern w:val="0"/>
          <w:sz w:val="21"/>
          <w:szCs w:val="21"/>
          <w:highlight w:val="none"/>
          <w:lang w:val="en-US" w:eastAsia="zh-CN" w:bidi="ar"/>
        </w:rPr>
        <w:t xml:space="preserve"> 4</w:t>
      </w:r>
      <w:r>
        <w:rPr>
          <w:rFonts w:hint="eastAsia" w:ascii="宋体" w:hAnsi="宋体" w:eastAsia="宋体" w:cs="宋体"/>
          <w:color w:val="auto"/>
          <w:kern w:val="0"/>
          <w:sz w:val="21"/>
          <w:szCs w:val="21"/>
          <w:highlight w:val="none"/>
          <w:lang w:val="en-US" w:eastAsia="zh-CN" w:bidi="ar"/>
        </w:rPr>
        <w:t>）、办理</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 xml:space="preserve">交接等。 </w:t>
      </w:r>
    </w:p>
    <w:p w14:paraId="1CFF8511">
      <w:pPr>
        <w:pStyle w:val="4"/>
        <w:bidi w:val="0"/>
        <w:rPr>
          <w:rFonts w:hint="eastAsia" w:ascii="宋体" w:hAnsi="宋体" w:eastAsia="宋体" w:cs="宋体"/>
          <w:color w:val="auto"/>
          <w:sz w:val="21"/>
          <w:szCs w:val="21"/>
          <w:highlight w:val="none"/>
        </w:rPr>
      </w:pPr>
      <w:bookmarkStart w:id="8" w:name="_Toc14197"/>
      <w:r>
        <w:rPr>
          <w:rFonts w:hint="eastAsia" w:ascii="宋体" w:hAnsi="宋体" w:eastAsia="宋体" w:cs="宋体"/>
          <w:b/>
          <w:bCs/>
          <w:color w:val="auto"/>
          <w:sz w:val="21"/>
          <w:szCs w:val="21"/>
          <w:highlight w:val="none"/>
          <w:lang w:val="en-US" w:eastAsia="zh-CN"/>
        </w:rPr>
        <w:t>七、其它要求</w:t>
      </w:r>
      <w:bookmarkEnd w:id="8"/>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CN" w:bidi="ar"/>
        </w:rPr>
        <w:t xml:space="preserve"> </w:t>
      </w:r>
    </w:p>
    <w:p w14:paraId="28DF745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 本次出租标的为分别出租。 </w:t>
      </w:r>
    </w:p>
    <w:p w14:paraId="02559A20">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 经营业态：不得经营地铁内已授权相关业务（充电宝、自助售货机等业务），不得经营烤肠。</w:t>
      </w:r>
    </w:p>
    <w:p w14:paraId="35F8975E">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注：出租方保留判断经营业态是否符合南通轨道交通要求的权利，具体经由评标委员会决定。</w:t>
      </w:r>
    </w:p>
    <w:p w14:paraId="4F5BEDD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bookmarkStart w:id="9" w:name="_Toc10082"/>
      <w:r>
        <w:rPr>
          <w:rFonts w:hint="eastAsia" w:ascii="宋体" w:hAnsi="宋体" w:eastAsia="宋体" w:cs="宋体"/>
          <w:color w:val="auto"/>
          <w:kern w:val="0"/>
          <w:sz w:val="21"/>
          <w:szCs w:val="21"/>
          <w:highlight w:val="none"/>
          <w:lang w:val="en-US" w:eastAsia="zh-CN" w:bidi="ar"/>
        </w:rPr>
        <w:t>3. 经营范围：</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内部的使用权及</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门头的使用权。</w:t>
      </w:r>
    </w:p>
    <w:p w14:paraId="5420B35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4. </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交付状态：现状交付，详见附件1</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信息汇总表。对于承租方提出的供电量增容、上/下水增设、排污排烟增设需求，出租方均无法满足，承租方不得提出异议。（详见附件1）</w:t>
      </w:r>
    </w:p>
    <w:p w14:paraId="6D16B539">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 意向承租方如被确定为承租方，出租方将向承租方发放中选通知书。自中选通知书发出之日起 7 日内，承租方须缴纳租赁押金（履约保证金）；自收到租赁押金（履约保证金）之日起30个工作日内签订合同。承租方未按时足额缴纳租赁押金（履约保证金）或逾期不与出租方签订合同的，出租方有权取消其中选资格并没收交易保证金。</w:t>
      </w:r>
    </w:p>
    <w:p w14:paraId="6703328C">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 承租方承租后签订合同时，需同时签订项目安全协议、项目廉政公约。</w:t>
      </w:r>
    </w:p>
    <w:p w14:paraId="3CE12647">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 承租方在对</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进行装修施工前，须按照出租方规定办理完成</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装修审批手续，在获得出租方批准后方可开始对</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进行装修施工。否则，出租方将按租赁合同约定追究承租方的违约责任（具体要求详见附件 4《合同主要条款》）。</w:t>
      </w:r>
    </w:p>
    <w:p w14:paraId="1BBA65D1">
      <w:pPr>
        <w:pStyle w:val="4"/>
        <w:bidi w:val="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八、竞选文件须提供材料</w:t>
      </w:r>
      <w:bookmarkEnd w:id="9"/>
    </w:p>
    <w:p w14:paraId="2D59CBF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如意向承租方为法人则提交：</w:t>
      </w:r>
      <w:r>
        <w:rPr>
          <w:rFonts w:hint="eastAsia" w:ascii="宋体" w:hAnsi="宋体" w:eastAsia="宋体" w:cs="宋体"/>
          <w:color w:val="auto"/>
          <w:kern w:val="0"/>
          <w:sz w:val="21"/>
          <w:szCs w:val="21"/>
          <w:highlight w:val="none"/>
          <w:lang w:val="en-US" w:eastAsia="zh-CN" w:bidi="ar"/>
        </w:rPr>
        <w:t>（详见附件 5-1竞选文件格式（法人版））</w:t>
      </w:r>
    </w:p>
    <w:p w14:paraId="65C4215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授权委托书 </w:t>
      </w:r>
    </w:p>
    <w:p w14:paraId="61D3CDEA">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营业执照 </w:t>
      </w:r>
    </w:p>
    <w:p w14:paraId="3B7CB2B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 承诺书</w:t>
      </w:r>
    </w:p>
    <w:p w14:paraId="52C8686B">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 经营业态</w:t>
      </w:r>
    </w:p>
    <w:p w14:paraId="695C0CB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 报价函</w:t>
      </w:r>
    </w:p>
    <w:p w14:paraId="54CF0AA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highlight w:val="none"/>
          <w:lang w:val="en-US" w:eastAsia="zh-CN"/>
        </w:rPr>
      </w:pPr>
      <w:r>
        <w:rPr>
          <w:rFonts w:hint="eastAsia" w:ascii="宋体" w:hAnsi="宋体" w:eastAsia="宋体" w:cs="宋体"/>
          <w:color w:val="auto"/>
          <w:kern w:val="0"/>
          <w:sz w:val="21"/>
          <w:szCs w:val="21"/>
          <w:highlight w:val="none"/>
          <w:lang w:val="en-US" w:eastAsia="zh-CN" w:bidi="ar"/>
        </w:rPr>
        <w:t>6. 交易保证金</w:t>
      </w:r>
    </w:p>
    <w:p w14:paraId="42302AD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如意向承租方为自然人则提交：</w:t>
      </w:r>
      <w:r>
        <w:rPr>
          <w:rFonts w:hint="eastAsia" w:ascii="宋体" w:hAnsi="宋体" w:eastAsia="宋体" w:cs="宋体"/>
          <w:color w:val="auto"/>
          <w:kern w:val="0"/>
          <w:sz w:val="21"/>
          <w:szCs w:val="21"/>
          <w:highlight w:val="none"/>
          <w:lang w:val="en-US" w:eastAsia="zh-CN" w:bidi="ar"/>
        </w:rPr>
        <w:t>（详见附件 5-2竞选文件格式（自然人版））</w:t>
      </w:r>
    </w:p>
    <w:p w14:paraId="2053FA23">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授权委托书 </w:t>
      </w:r>
    </w:p>
    <w:p w14:paraId="2291BE59">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身份证复印件</w:t>
      </w:r>
    </w:p>
    <w:p w14:paraId="3AA6914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 承诺书</w:t>
      </w:r>
    </w:p>
    <w:p w14:paraId="57D5F794">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 经营业态</w:t>
      </w:r>
    </w:p>
    <w:p w14:paraId="7495F46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bookmarkStart w:id="10" w:name="_Toc16863"/>
      <w:bookmarkStart w:id="11" w:name="_Toc4026"/>
      <w:bookmarkStart w:id="12" w:name="_Toc10003"/>
      <w:bookmarkStart w:id="13" w:name="_Toc2657"/>
      <w:bookmarkStart w:id="14" w:name="_Toc28369"/>
      <w:bookmarkStart w:id="15" w:name="_Toc13184"/>
      <w:r>
        <w:rPr>
          <w:rFonts w:hint="eastAsia" w:ascii="宋体" w:hAnsi="宋体" w:eastAsia="宋体" w:cs="宋体"/>
          <w:color w:val="auto"/>
          <w:kern w:val="0"/>
          <w:sz w:val="21"/>
          <w:szCs w:val="21"/>
          <w:highlight w:val="none"/>
          <w:lang w:val="en-US" w:eastAsia="zh-CN" w:bidi="ar"/>
        </w:rPr>
        <w:t>5. 报价函</w:t>
      </w:r>
    </w:p>
    <w:p w14:paraId="7B6A4AB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highlight w:val="none"/>
          <w:lang w:val="en-US" w:eastAsia="zh-CN"/>
        </w:rPr>
      </w:pPr>
      <w:r>
        <w:rPr>
          <w:rFonts w:hint="eastAsia" w:ascii="宋体" w:hAnsi="宋体" w:eastAsia="宋体" w:cs="宋体"/>
          <w:color w:val="auto"/>
          <w:kern w:val="0"/>
          <w:sz w:val="21"/>
          <w:szCs w:val="21"/>
          <w:highlight w:val="none"/>
          <w:lang w:val="en-US" w:eastAsia="zh-CN" w:bidi="ar"/>
        </w:rPr>
        <w:t>6. 交易保证金</w:t>
      </w:r>
    </w:p>
    <w:p w14:paraId="1A85FFE4">
      <w:pPr>
        <w:pStyle w:val="4"/>
        <w:bidi w:val="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rPr>
        <w:t>联系方式</w:t>
      </w:r>
      <w:bookmarkEnd w:id="10"/>
    </w:p>
    <w:bookmarkEnd w:id="11"/>
    <w:bookmarkEnd w:id="12"/>
    <w:bookmarkEnd w:id="13"/>
    <w:bookmarkEnd w:id="14"/>
    <w:bookmarkEnd w:id="15"/>
    <w:p w14:paraId="5DBC3FFA">
      <w:pPr>
        <w:ind w:left="-439" w:leftChars="-209" w:right="-748" w:rightChars="-356" w:firstLine="858" w:firstLineChars="40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出租方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shd w:val="clear" w:color="auto" w:fill="FFFFFF"/>
          <w:lang w:eastAsia="zh-CN"/>
        </w:rPr>
        <w:t>南通轨道资源开发有限公司</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9AA6AD5">
      <w:pPr>
        <w:ind w:left="-439" w:leftChars="-209" w:right="-748" w:rightChars="-356" w:firstLine="858" w:firstLineChars="40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南通市崇川区崇川路158号18楼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0640A0E7">
      <w:pPr>
        <w:ind w:left="-439" w:leftChars="-209" w:right="-748" w:rightChars="-356" w:firstLine="858" w:firstLineChars="409"/>
        <w:rPr>
          <w:rFonts w:hint="eastAsia" w:ascii="宋体" w:hAnsi="宋体" w:eastAsia="宋体" w:cs="宋体"/>
          <w:color w:val="auto"/>
          <w:highlight w:val="none"/>
        </w:rPr>
      </w:pPr>
      <w:r>
        <w:rPr>
          <w:rFonts w:hint="eastAsia" w:ascii="宋体" w:hAnsi="宋体" w:eastAsia="宋体" w:cs="宋体"/>
          <w:color w:val="auto"/>
          <w:highlight w:val="none"/>
        </w:rPr>
        <w:t>联系人：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郭</w:t>
      </w:r>
      <w:r>
        <w:rPr>
          <w:rFonts w:hint="eastAsia" w:ascii="宋体" w:hAnsi="宋体" w:eastAsia="宋体" w:cs="宋体"/>
          <w:color w:val="auto"/>
          <w:highlight w:val="none"/>
          <w:u w:val="single"/>
        </w:rPr>
        <w:t xml:space="preserve">女士                                                     </w:t>
      </w:r>
    </w:p>
    <w:p w14:paraId="74477F9C">
      <w:pPr>
        <w:ind w:left="-439" w:leftChars="-209" w:right="-748" w:rightChars="-356" w:firstLine="858" w:firstLineChars="409"/>
        <w:rPr>
          <w:rFonts w:hint="eastAsia" w:ascii="宋体" w:hAnsi="宋体" w:eastAsia="宋体" w:cs="宋体"/>
          <w:b/>
          <w:bCs/>
          <w:color w:val="auto"/>
          <w:highlight w:val="none"/>
          <w:u w:val="single"/>
        </w:rPr>
      </w:pPr>
      <w:r>
        <w:rPr>
          <w:rFonts w:hint="eastAsia" w:ascii="宋体" w:hAnsi="宋体" w:eastAsia="宋体" w:cs="宋体"/>
          <w:color w:val="auto"/>
          <w:highlight w:val="none"/>
        </w:rPr>
        <w:t>联系电话：</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0513-80813997                   </w:t>
      </w:r>
      <w:r>
        <w:rPr>
          <w:rFonts w:hint="eastAsia" w:ascii="宋体" w:hAnsi="宋体" w:eastAsia="宋体" w:cs="宋体"/>
          <w:color w:val="auto"/>
          <w:highlight w:val="none"/>
          <w:u w:val="single"/>
        </w:rPr>
        <w:t xml:space="preserve">                         </w:t>
      </w:r>
    </w:p>
    <w:p w14:paraId="42E203A9">
      <w:pPr>
        <w:ind w:left="-439" w:leftChars="-209" w:right="-748" w:rightChars="-356" w:firstLine="858" w:firstLineChars="40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代理单位：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山东国盛项目管理有限公司</w:t>
      </w:r>
      <w:r>
        <w:rPr>
          <w:rFonts w:hint="eastAsia" w:ascii="宋体" w:hAnsi="宋体" w:eastAsia="宋体" w:cs="宋体"/>
          <w:color w:val="auto"/>
          <w:sz w:val="21"/>
          <w:szCs w:val="21"/>
          <w:highlight w:val="none"/>
          <w:u w:val="single"/>
        </w:rPr>
        <w:t xml:space="preserve">                                 </w:t>
      </w:r>
    </w:p>
    <w:p w14:paraId="66488793">
      <w:pPr>
        <w:ind w:left="-439" w:leftChars="-209" w:right="-748" w:rightChars="-356" w:firstLine="858" w:firstLineChars="409"/>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李</w:t>
      </w:r>
      <w:r>
        <w:rPr>
          <w:rFonts w:hint="eastAsia" w:ascii="宋体" w:hAnsi="宋体" w:eastAsia="宋体" w:cs="宋体"/>
          <w:color w:val="auto"/>
          <w:sz w:val="21"/>
          <w:szCs w:val="21"/>
          <w:highlight w:val="none"/>
          <w:u w:val="single"/>
        </w:rPr>
        <w:t xml:space="preserve">先生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4F0A382">
      <w:pPr>
        <w:ind w:left="-439" w:leftChars="-209" w:right="-748" w:rightChars="-356" w:firstLine="858" w:firstLineChars="409"/>
        <w:rPr>
          <w:rFonts w:hint="eastAsia" w:ascii="宋体" w:hAnsi="宋体" w:eastAsia="宋体" w:cs="宋体"/>
          <w:b/>
          <w:bCs/>
          <w:color w:val="auto"/>
          <w:sz w:val="21"/>
          <w:szCs w:val="21"/>
          <w:highlight w:val="none"/>
          <w:u w:val="singl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15192029263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DB16E87">
      <w:pPr>
        <w:keepNext w:val="0"/>
        <w:keepLines w:val="0"/>
        <w:pageBreakBefore w:val="0"/>
        <w:widowControl/>
        <w:suppressLineNumbers w:val="0"/>
        <w:kinsoku/>
        <w:wordWrap/>
        <w:overflowPunct/>
        <w:topLinePunct w:val="0"/>
        <w:autoSpaceDE/>
        <w:autoSpaceDN/>
        <w:bidi w:val="0"/>
        <w:adjustRightInd/>
        <w:snapToGrid/>
        <w:ind w:right="-512" w:rightChars="-244"/>
        <w:jc w:val="left"/>
        <w:textAlignment w:val="auto"/>
        <w:rPr>
          <w:rFonts w:hint="eastAsia" w:ascii="宋体" w:hAnsi="宋体" w:eastAsia="宋体" w:cs="宋体"/>
          <w:color w:val="auto"/>
          <w:kern w:val="0"/>
          <w:sz w:val="21"/>
          <w:szCs w:val="21"/>
          <w:highlight w:val="none"/>
          <w:lang w:val="en-US" w:eastAsia="zh-CN" w:bidi="ar"/>
        </w:rPr>
      </w:pPr>
    </w:p>
    <w:p w14:paraId="4B29ED72">
      <w:pPr>
        <w:keepNext w:val="0"/>
        <w:keepLines w:val="0"/>
        <w:pageBreakBefore w:val="0"/>
        <w:widowControl/>
        <w:suppressLineNumbers w:val="0"/>
        <w:kinsoku/>
        <w:wordWrap/>
        <w:overflowPunct/>
        <w:topLinePunct w:val="0"/>
        <w:autoSpaceDE/>
        <w:autoSpaceDN/>
        <w:bidi w:val="0"/>
        <w:adjustRightInd/>
        <w:snapToGrid/>
        <w:ind w:right="-512" w:rightChars="-24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附件：1. </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 xml:space="preserve">信息汇总表 </w:t>
      </w:r>
    </w:p>
    <w:p w14:paraId="1732C61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 </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 xml:space="preserve">落位图 </w:t>
      </w:r>
    </w:p>
    <w:p w14:paraId="56A92CC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 竞选须知 </w:t>
      </w:r>
    </w:p>
    <w:p w14:paraId="1C3B9C2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 合同主要条款</w:t>
      </w:r>
    </w:p>
    <w:p w14:paraId="5353A71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5-1. 竞选文件格式（法人版）</w:t>
      </w:r>
    </w:p>
    <w:p w14:paraId="202BF2E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638" w:firstLineChars="304"/>
        <w:jc w:val="lef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5-2. 竞选文件格式（自然人版）</w:t>
      </w:r>
    </w:p>
    <w:p w14:paraId="1930474C">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1058" w:firstLineChars="504"/>
        <w:jc w:val="left"/>
        <w:textAlignment w:val="auto"/>
        <w:rPr>
          <w:rFonts w:hint="eastAsia" w:ascii="宋体" w:hAnsi="宋体" w:eastAsia="宋体" w:cs="宋体"/>
          <w:color w:val="auto"/>
          <w:sz w:val="21"/>
          <w:szCs w:val="21"/>
          <w:highlight w:val="none"/>
          <w:lang w:val="en-US"/>
        </w:rPr>
      </w:pPr>
    </w:p>
    <w:p w14:paraId="4EDEBC12">
      <w:pPr>
        <w:jc w:val="righ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541DB6CE">
      <w:pPr>
        <w:pStyle w:val="4"/>
        <w:bidi w:val="0"/>
        <w:outlineLvl w:val="9"/>
        <w:rPr>
          <w:rFonts w:hint="eastAsia" w:ascii="宋体" w:hAnsi="宋体" w:eastAsia="宋体" w:cs="宋体"/>
          <w:color w:val="auto"/>
          <w:sz w:val="21"/>
          <w:szCs w:val="21"/>
          <w:highlight w:val="none"/>
          <w:lang w:val="en-US" w:eastAsia="zh-CN"/>
        </w:rPr>
        <w:sectPr>
          <w:footerReference r:id="rId9" w:type="default"/>
          <w:pgSz w:w="11906" w:h="16838"/>
          <w:pgMar w:top="1440" w:right="1800" w:bottom="1440" w:left="1800" w:header="851" w:footer="992" w:gutter="0"/>
          <w:pgNumType w:fmt="decimal" w:start="1"/>
          <w:cols w:space="720" w:num="1"/>
          <w:docGrid w:type="lines" w:linePitch="312" w:charSpace="0"/>
        </w:sectPr>
      </w:pPr>
    </w:p>
    <w:p w14:paraId="02B35E66">
      <w:pPr>
        <w:pStyle w:val="4"/>
        <w:bidi w:val="0"/>
        <w:outlineLvl w:val="0"/>
        <w:rPr>
          <w:rFonts w:hint="eastAsia" w:ascii="宋体" w:hAnsi="宋体" w:eastAsia="宋体" w:cs="宋体"/>
          <w:color w:val="auto"/>
          <w:sz w:val="24"/>
          <w:szCs w:val="24"/>
          <w:highlight w:val="none"/>
          <w:lang w:val="en-US" w:eastAsia="zh-CN"/>
        </w:rPr>
      </w:pPr>
      <w:bookmarkStart w:id="16" w:name="_Toc5317"/>
      <w:r>
        <w:rPr>
          <w:rFonts w:hint="eastAsia" w:ascii="宋体" w:hAnsi="宋体" w:eastAsia="宋体" w:cs="宋体"/>
          <w:color w:val="auto"/>
          <w:sz w:val="24"/>
          <w:szCs w:val="24"/>
          <w:highlight w:val="none"/>
          <w:lang w:val="en-US" w:eastAsia="zh-CN"/>
        </w:rPr>
        <w:t>附件1：</w:t>
      </w:r>
      <w:r>
        <w:rPr>
          <w:rFonts w:hint="eastAsia" w:ascii="宋体" w:hAnsi="宋体" w:cs="宋体"/>
          <w:color w:val="auto"/>
          <w:sz w:val="24"/>
          <w:szCs w:val="24"/>
          <w:highlight w:val="none"/>
          <w:lang w:val="en-US" w:eastAsia="zh-CN"/>
        </w:rPr>
        <w:t>商铺</w:t>
      </w:r>
      <w:r>
        <w:rPr>
          <w:rFonts w:hint="eastAsia" w:ascii="宋体" w:hAnsi="宋体" w:eastAsia="宋体" w:cs="宋体"/>
          <w:color w:val="auto"/>
          <w:sz w:val="24"/>
          <w:szCs w:val="24"/>
          <w:highlight w:val="none"/>
          <w:lang w:val="en-US" w:eastAsia="zh-CN"/>
        </w:rPr>
        <w:t>信息汇总表</w:t>
      </w:r>
      <w:bookmarkEnd w:id="16"/>
    </w:p>
    <w:tbl>
      <w:tblPr>
        <w:tblStyle w:val="14"/>
        <w:tblW w:w="5069" w:type="pct"/>
        <w:tblInd w:w="-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72"/>
        <w:gridCol w:w="2895"/>
        <w:gridCol w:w="1642"/>
        <w:gridCol w:w="2175"/>
        <w:gridCol w:w="3083"/>
        <w:gridCol w:w="1867"/>
        <w:gridCol w:w="1937"/>
      </w:tblGrid>
      <w:tr w14:paraId="19731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trPr>
        <w:tc>
          <w:tcPr>
            <w:tcW w:w="5000" w:type="pct"/>
            <w:gridSpan w:val="7"/>
            <w:shd w:val="clear" w:color="auto" w:fill="auto"/>
            <w:vAlign w:val="center"/>
          </w:tcPr>
          <w:p w14:paraId="1C0C49BC">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cs="宋体"/>
                <w:b/>
                <w:bCs/>
                <w:i w:val="0"/>
                <w:iCs w:val="0"/>
                <w:color w:val="000000"/>
                <w:kern w:val="0"/>
                <w:sz w:val="32"/>
                <w:szCs w:val="32"/>
                <w:highlight w:val="none"/>
                <w:u w:val="none"/>
                <w:lang w:val="en-US" w:eastAsia="zh-CN" w:bidi="ar"/>
              </w:rPr>
              <w:t>商铺</w:t>
            </w:r>
            <w:r>
              <w:rPr>
                <w:rFonts w:hint="eastAsia" w:ascii="宋体" w:hAnsi="宋体" w:eastAsia="宋体" w:cs="宋体"/>
                <w:b/>
                <w:bCs/>
                <w:i w:val="0"/>
                <w:iCs w:val="0"/>
                <w:color w:val="000000"/>
                <w:kern w:val="0"/>
                <w:sz w:val="32"/>
                <w:szCs w:val="32"/>
                <w:highlight w:val="none"/>
                <w:u w:val="none"/>
                <w:lang w:val="en-US" w:eastAsia="zh-CN" w:bidi="ar"/>
              </w:rPr>
              <w:t>信息汇总表</w:t>
            </w:r>
          </w:p>
        </w:tc>
      </w:tr>
      <w:tr w14:paraId="5C1B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0" w:hRule="atLeast"/>
        </w:trPr>
        <w:tc>
          <w:tcPr>
            <w:tcW w:w="268" w:type="pct"/>
            <w:shd w:val="clear" w:color="auto" w:fill="auto"/>
            <w:vAlign w:val="center"/>
          </w:tcPr>
          <w:p w14:paraId="6AFCB3E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1007" w:type="pct"/>
            <w:shd w:val="clear" w:color="auto" w:fill="auto"/>
            <w:vAlign w:val="center"/>
          </w:tcPr>
          <w:p w14:paraId="31DDD37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车站名</w:t>
            </w:r>
          </w:p>
        </w:tc>
        <w:tc>
          <w:tcPr>
            <w:tcW w:w="571" w:type="pct"/>
            <w:shd w:val="clear" w:color="auto" w:fill="auto"/>
            <w:noWrap/>
            <w:vAlign w:val="center"/>
          </w:tcPr>
          <w:p w14:paraId="6B61691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铺位号</w:t>
            </w:r>
          </w:p>
        </w:tc>
        <w:tc>
          <w:tcPr>
            <w:tcW w:w="756" w:type="pct"/>
            <w:shd w:val="clear" w:color="auto" w:fill="auto"/>
            <w:vAlign w:val="center"/>
          </w:tcPr>
          <w:p w14:paraId="16F9C70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面积（㎡）</w:t>
            </w:r>
          </w:p>
        </w:tc>
        <w:tc>
          <w:tcPr>
            <w:tcW w:w="1072" w:type="pct"/>
            <w:shd w:val="clear" w:color="auto" w:fill="auto"/>
            <w:vAlign w:val="center"/>
          </w:tcPr>
          <w:p w14:paraId="7E3EF94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租金底价（元/年）</w:t>
            </w:r>
          </w:p>
        </w:tc>
        <w:tc>
          <w:tcPr>
            <w:tcW w:w="649" w:type="pct"/>
            <w:shd w:val="clear" w:color="auto" w:fill="auto"/>
            <w:noWrap/>
            <w:vAlign w:val="center"/>
          </w:tcPr>
          <w:p w14:paraId="3682FEAD">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出租年限</w:t>
            </w:r>
          </w:p>
        </w:tc>
        <w:tc>
          <w:tcPr>
            <w:tcW w:w="673" w:type="pct"/>
            <w:shd w:val="clear" w:color="auto" w:fill="auto"/>
            <w:noWrap/>
            <w:vAlign w:val="center"/>
          </w:tcPr>
          <w:p w14:paraId="6D7A70F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交易保证金</w:t>
            </w:r>
          </w:p>
        </w:tc>
      </w:tr>
      <w:tr w14:paraId="2E15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268" w:type="pct"/>
            <w:shd w:val="clear" w:color="auto" w:fill="auto"/>
            <w:vAlign w:val="center"/>
          </w:tcPr>
          <w:p w14:paraId="3A36079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1007" w:type="pct"/>
            <w:shd w:val="clear" w:color="auto" w:fill="auto"/>
            <w:vAlign w:val="center"/>
          </w:tcPr>
          <w:p w14:paraId="1571C0C6">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图书馆站地下附属空间</w:t>
            </w:r>
          </w:p>
        </w:tc>
        <w:tc>
          <w:tcPr>
            <w:tcW w:w="571" w:type="pct"/>
            <w:shd w:val="clear" w:color="auto" w:fill="auto"/>
            <w:noWrap/>
            <w:vAlign w:val="center"/>
          </w:tcPr>
          <w:p w14:paraId="7BDDFAAC">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0</w:t>
            </w:r>
            <w:r>
              <w:rPr>
                <w:rFonts w:hint="eastAsia" w:ascii="宋体" w:hAnsi="宋体" w:cs="宋体"/>
                <w:i w:val="0"/>
                <w:iCs w:val="0"/>
                <w:color w:val="000000"/>
                <w:kern w:val="2"/>
                <w:sz w:val="24"/>
                <w:szCs w:val="24"/>
                <w:highlight w:val="none"/>
                <w:u w:val="none"/>
                <w:lang w:val="en-US" w:eastAsia="zh-CN" w:bidi="ar-SA"/>
              </w:rPr>
              <w:t>2</w:t>
            </w:r>
            <w:r>
              <w:rPr>
                <w:rFonts w:hint="eastAsia" w:ascii="宋体" w:hAnsi="宋体" w:eastAsia="宋体" w:cs="宋体"/>
                <w:i w:val="0"/>
                <w:iCs w:val="0"/>
                <w:color w:val="000000"/>
                <w:kern w:val="2"/>
                <w:sz w:val="24"/>
                <w:szCs w:val="24"/>
                <w:highlight w:val="none"/>
                <w:u w:val="none"/>
                <w:lang w:val="en-US" w:eastAsia="zh-CN" w:bidi="ar-SA"/>
              </w:rPr>
              <w:t>号</w:t>
            </w:r>
          </w:p>
        </w:tc>
        <w:tc>
          <w:tcPr>
            <w:tcW w:w="756" w:type="pct"/>
            <w:shd w:val="clear" w:color="auto" w:fill="auto"/>
            <w:noWrap/>
            <w:vAlign w:val="center"/>
          </w:tcPr>
          <w:p w14:paraId="097A7F6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25.76</w:t>
            </w:r>
          </w:p>
        </w:tc>
        <w:tc>
          <w:tcPr>
            <w:tcW w:w="1072" w:type="pct"/>
            <w:shd w:val="clear" w:color="auto" w:fill="auto"/>
            <w:noWrap/>
            <w:vAlign w:val="center"/>
          </w:tcPr>
          <w:p w14:paraId="7705E733">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2"/>
                <w:sz w:val="24"/>
                <w:szCs w:val="24"/>
                <w:highlight w:val="none"/>
                <w:u w:val="none"/>
                <w:lang w:val="en-US" w:eastAsia="zh-CN" w:bidi="ar-SA"/>
              </w:rPr>
              <w:t>7522</w:t>
            </w:r>
          </w:p>
        </w:tc>
        <w:tc>
          <w:tcPr>
            <w:tcW w:w="649" w:type="pct"/>
            <w:shd w:val="clear" w:color="auto" w:fill="auto"/>
            <w:noWrap/>
            <w:vAlign w:val="center"/>
          </w:tcPr>
          <w:p w14:paraId="1757DBD5">
            <w:pPr>
              <w:keepNext w:val="0"/>
              <w:keepLines w:val="0"/>
              <w:widowControl/>
              <w:suppressLineNumbers w:val="0"/>
              <w:jc w:val="center"/>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cs="宋体"/>
                <w:i w:val="0"/>
                <w:iCs w:val="0"/>
                <w:color w:val="000000"/>
                <w:kern w:val="2"/>
                <w:sz w:val="24"/>
                <w:szCs w:val="24"/>
                <w:highlight w:val="none"/>
                <w:u w:val="none"/>
                <w:lang w:val="en-US" w:eastAsia="zh-CN" w:bidi="ar-SA"/>
              </w:rPr>
              <w:t>3</w:t>
            </w:r>
            <w:r>
              <w:rPr>
                <w:rFonts w:hint="eastAsia" w:ascii="宋体" w:hAnsi="宋体" w:eastAsia="宋体" w:cs="宋体"/>
                <w:i w:val="0"/>
                <w:iCs w:val="0"/>
                <w:color w:val="000000"/>
                <w:kern w:val="2"/>
                <w:sz w:val="24"/>
                <w:szCs w:val="24"/>
                <w:highlight w:val="none"/>
                <w:u w:val="none"/>
                <w:lang w:val="en-US" w:eastAsia="zh-CN" w:bidi="ar-SA"/>
              </w:rPr>
              <w:t>年</w:t>
            </w:r>
          </w:p>
        </w:tc>
        <w:tc>
          <w:tcPr>
            <w:tcW w:w="673" w:type="pct"/>
            <w:shd w:val="clear" w:color="auto" w:fill="auto"/>
            <w:noWrap/>
            <w:vAlign w:val="center"/>
          </w:tcPr>
          <w:p w14:paraId="657FB2A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yellow"/>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3000元</w:t>
            </w:r>
          </w:p>
        </w:tc>
      </w:tr>
      <w:tr w14:paraId="7E32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60" w:hRule="atLeast"/>
        </w:trPr>
        <w:tc>
          <w:tcPr>
            <w:tcW w:w="1275" w:type="pct"/>
            <w:gridSpan w:val="2"/>
            <w:shd w:val="clear" w:color="auto" w:fill="auto"/>
            <w:vAlign w:val="center"/>
          </w:tcPr>
          <w:p w14:paraId="4F65412A">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备注</w:t>
            </w:r>
          </w:p>
        </w:tc>
        <w:tc>
          <w:tcPr>
            <w:tcW w:w="3724" w:type="pct"/>
            <w:gridSpan w:val="5"/>
            <w:shd w:val="clear" w:color="auto" w:fill="auto"/>
            <w:vAlign w:val="center"/>
          </w:tcPr>
          <w:p w14:paraId="2106054F">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1、以上租金价格不含水电费等其他费用。</w:t>
            </w:r>
          </w:p>
          <w:p w14:paraId="23A757A5">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2、商铺交付状态为现状交付，各间商铺的供电量、上/下水、排污排烟情况见上表，对于承租方提出的供电量增容、上/下水增设、排污排烟增设需求，出租方均无法满足，承租方不得提出异议。</w:t>
            </w:r>
          </w:p>
        </w:tc>
      </w:tr>
    </w:tbl>
    <w:p w14:paraId="37DC103A">
      <w:pPr>
        <w:bidi w:val="0"/>
        <w:rPr>
          <w:rFonts w:hint="eastAsia" w:ascii="宋体" w:hAnsi="宋体" w:eastAsia="宋体" w:cs="宋体"/>
          <w:color w:val="auto"/>
          <w:highlight w:val="none"/>
          <w:lang w:val="en-US" w:eastAsia="zh-CN"/>
        </w:rPr>
      </w:pPr>
    </w:p>
    <w:p w14:paraId="3C337635">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2702219A">
      <w:pPr>
        <w:pStyle w:val="4"/>
        <w:bidi w:val="0"/>
        <w:rPr>
          <w:rFonts w:hint="eastAsia" w:ascii="宋体" w:hAnsi="宋体" w:eastAsia="宋体" w:cs="宋体"/>
          <w:color w:val="auto"/>
          <w:sz w:val="24"/>
          <w:szCs w:val="24"/>
          <w:highlight w:val="none"/>
          <w:lang w:val="en-US" w:eastAsia="zh-CN"/>
        </w:rPr>
        <w:sectPr>
          <w:headerReference r:id="rId10" w:type="default"/>
          <w:footerReference r:id="rId11" w:type="default"/>
          <w:pgSz w:w="16838" w:h="11906" w:orient="landscape"/>
          <w:pgMar w:top="1803" w:right="1440" w:bottom="1803" w:left="1440" w:header="851" w:footer="992" w:gutter="0"/>
          <w:pgNumType w:fmt="decimal"/>
          <w:cols w:space="0" w:num="1"/>
          <w:rtlGutter w:val="0"/>
          <w:docGrid w:type="lines" w:linePitch="319" w:charSpace="0"/>
        </w:sectPr>
      </w:pPr>
      <w:bookmarkStart w:id="17" w:name="_Toc20846"/>
    </w:p>
    <w:p w14:paraId="61743543">
      <w:pPr>
        <w:pStyle w:val="4"/>
        <w:bidi w:val="0"/>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附件2：</w:t>
      </w:r>
      <w:bookmarkEnd w:id="17"/>
      <w:r>
        <w:rPr>
          <w:rFonts w:hint="eastAsia" w:ascii="宋体" w:hAnsi="宋体" w:cs="宋体"/>
          <w:color w:val="auto"/>
          <w:sz w:val="24"/>
          <w:szCs w:val="24"/>
          <w:highlight w:val="none"/>
          <w:lang w:val="en-US" w:eastAsia="zh-CN"/>
        </w:rPr>
        <w:t>商铺</w:t>
      </w:r>
      <w:r>
        <w:rPr>
          <w:rFonts w:hint="eastAsia" w:ascii="宋体" w:hAnsi="宋体" w:eastAsia="宋体" w:cs="宋体"/>
          <w:color w:val="auto"/>
          <w:sz w:val="24"/>
          <w:szCs w:val="24"/>
          <w:highlight w:val="none"/>
          <w:lang w:val="en-US" w:eastAsia="zh-CN"/>
        </w:rPr>
        <w:t>落位图</w:t>
      </w:r>
    </w:p>
    <w:p w14:paraId="0C69D948">
      <w:pPr>
        <w:pStyle w:val="10"/>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bookmarkStart w:id="18" w:name="_Toc26130"/>
    </w:p>
    <w:p w14:paraId="3FA95824">
      <w:pPr>
        <w:pStyle w:val="10"/>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rPr>
      </w:pPr>
      <w:r>
        <w:drawing>
          <wp:inline distT="0" distB="0" distL="114300" distR="114300">
            <wp:extent cx="5611495" cy="2637790"/>
            <wp:effectExtent l="0" t="0" r="825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5611495" cy="2637790"/>
                    </a:xfrm>
                    <a:prstGeom prst="rect">
                      <a:avLst/>
                    </a:prstGeom>
                    <a:noFill/>
                    <a:ln>
                      <a:noFill/>
                    </a:ln>
                  </pic:spPr>
                </pic:pic>
              </a:graphicData>
            </a:graphic>
          </wp:inline>
        </w:drawing>
      </w:r>
    </w:p>
    <w:p w14:paraId="62A8E1B7">
      <w:pPr>
        <w:pStyle w:val="10"/>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highlight w:val="none"/>
          <w:lang w:val="en-US" w:eastAsia="zh-CN"/>
        </w:rPr>
      </w:pPr>
    </w:p>
    <w:p w14:paraId="696483D8">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13837C37">
      <w:pPr>
        <w:pStyle w:val="4"/>
        <w:bidi w:val="0"/>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附件3：竞选须知</w:t>
      </w:r>
      <w:bookmarkEnd w:id="18"/>
    </w:p>
    <w:p w14:paraId="7D15FDD1">
      <w:pPr>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竞选须知</w:t>
      </w:r>
    </w:p>
    <w:p w14:paraId="7DF39ED3">
      <w:pPr>
        <w:keepNext w:val="0"/>
        <w:keepLines w:val="0"/>
        <w:widowControl/>
        <w:suppressLineNumbers w:val="0"/>
        <w:ind w:left="0" w:leftChars="0" w:firstLine="420" w:firstLineChars="175"/>
        <w:jc w:val="left"/>
        <w:rPr>
          <w:rFonts w:hint="eastAsia" w:ascii="宋体" w:hAnsi="宋体" w:eastAsia="宋体" w:cs="宋体"/>
          <w:color w:val="auto"/>
          <w:kern w:val="0"/>
          <w:sz w:val="24"/>
          <w:szCs w:val="24"/>
          <w:highlight w:val="none"/>
          <w:lang w:val="en-US" w:eastAsia="zh-CN" w:bidi="ar"/>
        </w:rPr>
      </w:pPr>
    </w:p>
    <w:p w14:paraId="4EF15A12">
      <w:pPr>
        <w:keepNext w:val="0"/>
        <w:keepLines w:val="0"/>
        <w:pageBreakBefore w:val="0"/>
        <w:widowControl/>
        <w:suppressLineNumbers w:val="0"/>
        <w:kinsoku/>
        <w:wordWrap/>
        <w:overflowPunct/>
        <w:topLinePunct w:val="0"/>
        <w:autoSpaceDE/>
        <w:autoSpaceDN/>
        <w:bidi w:val="0"/>
        <w:adjustRightInd/>
        <w:snapToGrid/>
        <w:spacing w:line="440" w:lineRule="exact"/>
        <w:ind w:right="-512" w:rightChars="-244"/>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各意向承租方： </w:t>
      </w:r>
    </w:p>
    <w:p w14:paraId="5572C2A3">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现就本次竞选有关事项通知如下： </w:t>
      </w:r>
    </w:p>
    <w:p w14:paraId="3FD8E51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19" w:name="_Toc18490"/>
      <w:r>
        <w:rPr>
          <w:rFonts w:hint="eastAsia" w:ascii="宋体" w:hAnsi="宋体" w:eastAsia="宋体" w:cs="宋体"/>
          <w:b/>
          <w:bCs/>
          <w:color w:val="auto"/>
          <w:kern w:val="0"/>
          <w:sz w:val="21"/>
          <w:szCs w:val="21"/>
          <w:highlight w:val="none"/>
          <w:lang w:val="en-US" w:eastAsia="zh-CN" w:bidi="ar"/>
        </w:rPr>
        <w:t>一、竞选文件编制</w:t>
      </w:r>
      <w:bookmarkEnd w:id="19"/>
      <w:r>
        <w:rPr>
          <w:rFonts w:hint="eastAsia" w:ascii="宋体" w:hAnsi="宋体" w:eastAsia="宋体" w:cs="宋体"/>
          <w:b/>
          <w:bCs/>
          <w:color w:val="auto"/>
          <w:kern w:val="0"/>
          <w:sz w:val="21"/>
          <w:szCs w:val="21"/>
          <w:highlight w:val="none"/>
          <w:lang w:val="en-US" w:eastAsia="zh-CN" w:bidi="ar"/>
        </w:rPr>
        <w:t xml:space="preserve"> </w:t>
      </w:r>
    </w:p>
    <w:p w14:paraId="1929CED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（一）编制要求 </w:t>
      </w:r>
    </w:p>
    <w:p w14:paraId="52A8F165">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r>
        <w:rPr>
          <w:rFonts w:hint="eastAsia" w:ascii="宋体" w:hAnsi="宋体" w:eastAsia="宋体" w:cs="宋体"/>
          <w:b/>
          <w:bCs/>
          <w:color w:val="auto"/>
          <w:kern w:val="0"/>
          <w:sz w:val="21"/>
          <w:szCs w:val="21"/>
          <w:highlight w:val="none"/>
          <w:lang w:val="en-US" w:eastAsia="zh-CN" w:bidi="ar"/>
        </w:rPr>
        <w:t xml:space="preserve">须单独编制 </w:t>
      </w:r>
      <w:r>
        <w:rPr>
          <w:rFonts w:hint="eastAsia" w:ascii="宋体" w:hAnsi="宋体" w:cs="宋体"/>
          <w:b/>
          <w:bCs/>
          <w:color w:val="auto"/>
          <w:kern w:val="0"/>
          <w:sz w:val="21"/>
          <w:szCs w:val="21"/>
          <w:highlight w:val="none"/>
          <w:lang w:val="en-US" w:eastAsia="zh-CN" w:bidi="ar"/>
        </w:rPr>
        <w:t>2</w:t>
      </w:r>
      <w:r>
        <w:rPr>
          <w:rFonts w:hint="eastAsia" w:ascii="宋体" w:hAnsi="宋体" w:eastAsia="宋体" w:cs="宋体"/>
          <w:b/>
          <w:bCs/>
          <w:color w:val="auto"/>
          <w:kern w:val="0"/>
          <w:sz w:val="21"/>
          <w:szCs w:val="21"/>
          <w:highlight w:val="none"/>
          <w:lang w:val="en-US" w:eastAsia="zh-CN" w:bidi="ar"/>
        </w:rPr>
        <w:t xml:space="preserve"> 份竞选文件。</w:t>
      </w:r>
      <w:r>
        <w:rPr>
          <w:rFonts w:hint="eastAsia" w:ascii="宋体" w:hAnsi="宋体" w:eastAsia="宋体" w:cs="宋体"/>
          <w:color w:val="auto"/>
          <w:kern w:val="0"/>
          <w:sz w:val="21"/>
          <w:szCs w:val="21"/>
          <w:highlight w:val="none"/>
          <w:lang w:val="en-US" w:eastAsia="zh-CN" w:bidi="ar"/>
        </w:rPr>
        <w:t xml:space="preserve">如同一次开标时，意向承租方对同一标的提交两份及以上不同报价的竞选文件，则竞选文件无效。 </w:t>
      </w:r>
    </w:p>
    <w:p w14:paraId="4612820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2、竞选文件应用中文填写，字迹清楚、内容齐全、表达准确，不应有涂改增删。如有修改需在修改处加盖公司公章或自然人签名或由委托代理人签名。未按要求填写竞选文件的视为无效报价。 </w:t>
      </w:r>
    </w:p>
    <w:p w14:paraId="42DAC2E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3、报价不得低于租金底价，否则出租方有权视为无效报价。 </w:t>
      </w:r>
    </w:p>
    <w:p w14:paraId="226915D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4、意向承租方为自然人的，竞选文件须由意向承租方本人或其委托代理人签字；意向承租方为法人的，竞选文件须由法定代表人或委托代理人签名并加盖公章。 </w:t>
      </w:r>
    </w:p>
    <w:p w14:paraId="2EF10FC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5、竞选文件有效期从报价截止日起至租赁合同签署生效之日止。 </w:t>
      </w:r>
      <w:bookmarkStart w:id="52" w:name="_GoBack"/>
      <w:bookmarkEnd w:id="52"/>
    </w:p>
    <w:p w14:paraId="5279FC45">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（二）竞选文件密封与标记 </w:t>
      </w:r>
    </w:p>
    <w:p w14:paraId="5E233B65">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1、对竞选文件未密封的，出租方将拒绝接受，视为无效竞选文件。</w:t>
      </w:r>
    </w:p>
    <w:p w14:paraId="3202103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r>
        <w:rPr>
          <w:rFonts w:hint="eastAsia" w:ascii="宋体" w:hAnsi="宋体" w:eastAsia="宋体" w:cs="宋体"/>
          <w:b/>
          <w:bCs/>
          <w:color w:val="auto"/>
          <w:kern w:val="0"/>
          <w:sz w:val="21"/>
          <w:szCs w:val="21"/>
          <w:highlight w:val="none"/>
          <w:lang w:val="en-US" w:eastAsia="zh-CN" w:bidi="ar"/>
        </w:rPr>
        <w:t>竞选文件的文件袋上应依次写明：标的、意向承租方名称、联系人、联系电话、联系地址，</w:t>
      </w:r>
      <w:r>
        <w:rPr>
          <w:rFonts w:hint="eastAsia" w:ascii="宋体" w:hAnsi="宋体" w:eastAsia="宋体" w:cs="宋体"/>
          <w:color w:val="auto"/>
          <w:kern w:val="0"/>
          <w:sz w:val="21"/>
          <w:szCs w:val="21"/>
          <w:highlight w:val="none"/>
          <w:lang w:val="en-US" w:eastAsia="zh-CN" w:bidi="ar"/>
        </w:rPr>
        <w:t xml:space="preserve">其内容应与竞选文件的各项内容对应一致。如果意向承租方未按规定写明上述信息或所写内容与竞选文件的内容不一致，出租方将不承担竞选文件错放或提前开封的责任，错放或提前开封的竞选文件将视为无效竞选文件，由此造成的一切经济后果由意向承租方承担。 </w:t>
      </w:r>
    </w:p>
    <w:p w14:paraId="5945295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0" w:name="_Toc443"/>
      <w:r>
        <w:rPr>
          <w:rFonts w:hint="eastAsia" w:ascii="宋体" w:hAnsi="宋体" w:eastAsia="宋体" w:cs="宋体"/>
          <w:b/>
          <w:bCs/>
          <w:color w:val="auto"/>
          <w:kern w:val="0"/>
          <w:sz w:val="21"/>
          <w:szCs w:val="21"/>
          <w:highlight w:val="none"/>
          <w:lang w:val="en-US" w:eastAsia="zh-CN" w:bidi="ar"/>
        </w:rPr>
        <w:t>二、交易保证金</w:t>
      </w:r>
      <w:bookmarkEnd w:id="20"/>
      <w:r>
        <w:rPr>
          <w:rFonts w:hint="eastAsia" w:ascii="宋体" w:hAnsi="宋体" w:eastAsia="宋体" w:cs="宋体"/>
          <w:b/>
          <w:bCs/>
          <w:color w:val="auto"/>
          <w:kern w:val="0"/>
          <w:sz w:val="21"/>
          <w:szCs w:val="21"/>
          <w:highlight w:val="none"/>
          <w:lang w:val="en-US" w:eastAsia="zh-CN" w:bidi="ar"/>
        </w:rPr>
        <w:t xml:space="preserve"> </w:t>
      </w:r>
    </w:p>
    <w:p w14:paraId="64439F0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交易保证金缴纳要求详见公告。</w:t>
      </w:r>
    </w:p>
    <w:p w14:paraId="43982626">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交易保证金的退还：未中选单位的交易保证金在成交公示期结束后予以退还，中选单位的交易保证金将自动转为履约保证金使用，交易保证金与履约保证金的差额部分由中选单位在规定时限内补足。除不可抗力情况外，中选人出现下列情形之一的，出租方有权取消其中选资格，并不予退还其交易保证金：</w:t>
      </w:r>
    </w:p>
    <w:p w14:paraId="2CA963A1">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（1）放弃中选项目的；</w:t>
      </w:r>
    </w:p>
    <w:p w14:paraId="20F33A58">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（2）拒不按照招租文件的要求提交履约保证金的；</w:t>
      </w:r>
    </w:p>
    <w:p w14:paraId="3E1C1A2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（3）不与出租方签订合同的，或者在签订合同时向出租方提出附加条件或者更改合同实质性内容的；</w:t>
      </w:r>
    </w:p>
    <w:p w14:paraId="3AC6987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（4）中选人放弃中选或者因被投诉且已查实的，其交易保证金均不予退还。</w:t>
      </w:r>
    </w:p>
    <w:p w14:paraId="6270297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1" w:name="_Toc23700"/>
      <w:bookmarkStart w:id="22" w:name="_Toc13501"/>
      <w:r>
        <w:rPr>
          <w:rFonts w:hint="eastAsia" w:ascii="宋体" w:hAnsi="宋体" w:eastAsia="宋体" w:cs="宋体"/>
          <w:b/>
          <w:bCs/>
          <w:color w:val="auto"/>
          <w:kern w:val="0"/>
          <w:sz w:val="21"/>
          <w:szCs w:val="21"/>
          <w:highlight w:val="none"/>
          <w:lang w:val="en-US" w:eastAsia="zh-CN" w:bidi="ar"/>
        </w:rPr>
        <w:t>三、竞选文件递交要求</w:t>
      </w:r>
      <w:bookmarkEnd w:id="21"/>
      <w:bookmarkEnd w:id="22"/>
      <w:r>
        <w:rPr>
          <w:rFonts w:hint="eastAsia" w:ascii="宋体" w:hAnsi="宋体" w:eastAsia="宋体" w:cs="宋体"/>
          <w:b/>
          <w:bCs/>
          <w:color w:val="auto"/>
          <w:kern w:val="0"/>
          <w:sz w:val="21"/>
          <w:szCs w:val="21"/>
          <w:highlight w:val="none"/>
          <w:lang w:val="en-US" w:eastAsia="zh-CN" w:bidi="ar"/>
        </w:rPr>
        <w:t xml:space="preserve"> </w:t>
      </w:r>
    </w:p>
    <w:p w14:paraId="2652FB7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意向承租方需由意向承租方本人、法定代表人或委托代理人携带个人有效身份证件在指定的时间和地点签到、递交竞选文件及参加开标。如意向承租方本人、法定代表人或委托代理人未能在本须知规定的时间出场并证明其身份，将视同其认可本次开标过程。 </w:t>
      </w:r>
    </w:p>
    <w:p w14:paraId="4B7E694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2、竞选文件一经递交，不再接受撤回、修改竞选文件。 </w:t>
      </w:r>
    </w:p>
    <w:p w14:paraId="718AD6F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3、递交截止时间之后提出递交的竞选文件，出租方将拒绝接受。逾时递交或未递交竞选文件将视为自动放弃竞租资格。 </w:t>
      </w:r>
    </w:p>
    <w:p w14:paraId="29AAA7B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3" w:name="_Toc22965"/>
      <w:bookmarkStart w:id="24" w:name="_Toc16089"/>
      <w:r>
        <w:rPr>
          <w:rFonts w:hint="eastAsia" w:ascii="宋体" w:hAnsi="宋体" w:eastAsia="宋体" w:cs="宋体"/>
          <w:b/>
          <w:bCs/>
          <w:color w:val="auto"/>
          <w:kern w:val="0"/>
          <w:sz w:val="21"/>
          <w:szCs w:val="21"/>
          <w:highlight w:val="none"/>
          <w:lang w:val="en-US" w:eastAsia="zh-CN" w:bidi="ar"/>
        </w:rPr>
        <w:t>四、开标时间</w:t>
      </w:r>
      <w:bookmarkEnd w:id="23"/>
      <w:bookmarkEnd w:id="24"/>
    </w:p>
    <w:p w14:paraId="347719F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同竞选文件递交截止时间。 </w:t>
      </w:r>
    </w:p>
    <w:p w14:paraId="7C41036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5" w:name="_Toc12815"/>
      <w:r>
        <w:rPr>
          <w:rFonts w:hint="eastAsia" w:ascii="宋体" w:hAnsi="宋体" w:eastAsia="宋体" w:cs="宋体"/>
          <w:b/>
          <w:bCs/>
          <w:color w:val="auto"/>
          <w:kern w:val="0"/>
          <w:sz w:val="21"/>
          <w:szCs w:val="21"/>
          <w:highlight w:val="none"/>
          <w:lang w:val="en-US" w:eastAsia="zh-CN" w:bidi="ar"/>
        </w:rPr>
        <w:t>五、评审规则</w:t>
      </w:r>
      <w:bookmarkEnd w:id="25"/>
      <w:r>
        <w:rPr>
          <w:rFonts w:hint="eastAsia" w:ascii="宋体" w:hAnsi="宋体" w:eastAsia="宋体" w:cs="宋体"/>
          <w:b/>
          <w:bCs/>
          <w:color w:val="auto"/>
          <w:kern w:val="0"/>
          <w:sz w:val="21"/>
          <w:szCs w:val="21"/>
          <w:highlight w:val="none"/>
          <w:lang w:val="en-US" w:eastAsia="zh-CN" w:bidi="ar"/>
        </w:rPr>
        <w:t xml:space="preserve"> </w:t>
      </w:r>
    </w:p>
    <w:p w14:paraId="7DE6AE84">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（一）评审原则 </w:t>
      </w:r>
    </w:p>
    <w:p w14:paraId="73E5700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公开、公平、公正。 </w:t>
      </w:r>
    </w:p>
    <w:p w14:paraId="0C1B71E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（二）竞选程序</w:t>
      </w:r>
    </w:p>
    <w:p w14:paraId="27CEB5E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资格审查→报价</w:t>
      </w:r>
    </w:p>
    <w:p w14:paraId="2BC9B696">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（三）竞价办法 </w:t>
      </w:r>
    </w:p>
    <w:p w14:paraId="54F0A97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 xml:space="preserve">1、采取竞价方式（价高者得的方式）确定承租方。 </w:t>
      </w:r>
    </w:p>
    <w:p w14:paraId="41AED26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2、如同一标的最高报价出现两个或以上相同报价时，采取最高报价相同单位二次报价方式确定承租方，当场进行二次报价。如再次出现最高报价相同情况，按照上述方式，最高报价相同的单位进行再报价。</w:t>
      </w:r>
    </w:p>
    <w:p w14:paraId="62B0E52E">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（四）其他说明 </w:t>
      </w:r>
    </w:p>
    <w:p w14:paraId="7C6561D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出租方无需向意向承租方就评审过程、结果做任何解释。 </w:t>
      </w:r>
    </w:p>
    <w:p w14:paraId="379E7C98">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6" w:name="_Toc29438"/>
      <w:r>
        <w:rPr>
          <w:rFonts w:hint="eastAsia" w:ascii="宋体" w:hAnsi="宋体" w:eastAsia="宋体" w:cs="宋体"/>
          <w:b/>
          <w:bCs/>
          <w:color w:val="auto"/>
          <w:kern w:val="0"/>
          <w:sz w:val="21"/>
          <w:szCs w:val="21"/>
          <w:highlight w:val="none"/>
          <w:lang w:val="en-US" w:eastAsia="zh-CN" w:bidi="ar"/>
        </w:rPr>
        <w:t>六、合同签订</w:t>
      </w:r>
      <w:bookmarkEnd w:id="26"/>
      <w:r>
        <w:rPr>
          <w:rFonts w:hint="eastAsia" w:ascii="宋体" w:hAnsi="宋体" w:eastAsia="宋体" w:cs="宋体"/>
          <w:b/>
          <w:bCs/>
          <w:color w:val="auto"/>
          <w:kern w:val="0"/>
          <w:sz w:val="21"/>
          <w:szCs w:val="21"/>
          <w:highlight w:val="none"/>
          <w:lang w:val="en-US" w:eastAsia="zh-CN" w:bidi="ar"/>
        </w:rPr>
        <w:t xml:space="preserve"> </w:t>
      </w:r>
    </w:p>
    <w:p w14:paraId="35B979F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 意向承租方如被确定为承租方，出租方将向承租方发放中选通知书。承租方拒绝接收中选通知书，或因承租方原因（如报名表或竞选文件中的联系地址和邮寄地址错误、承租方更换地址而未提前通知出租方等）导致中选通知书无法寄出或到达承租方处的，出租方将视为承租方放弃中选资格，出租方有权取消其中选资格并没收交易保证金。 </w:t>
      </w:r>
    </w:p>
    <w:p w14:paraId="1493370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2.意向承租方如被确定为承租方，出租方将向承租方发放中选通知书。自中选通知书发出之日起 7 日内，承租方须缴纳租赁押金（履约保证金）；自收到租赁押金（履约保证金）之日起30个工作日内签订合同。承租方未按时足额缴纳租赁押金（履约保证金）或逾期不与出租方签订合同的，出租方有权取消其中选资格并没收交易保证金。</w:t>
      </w:r>
    </w:p>
    <w:p w14:paraId="6FD07799">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1"/>
          <w:szCs w:val="21"/>
          <w:highlight w:val="none"/>
          <w:lang w:val="en-US" w:eastAsia="zh-CN" w:bidi="ar"/>
        </w:rPr>
        <w:t>3.承租方承租后签订合同时，需同时签订项目安全协议、项目廉政公约。</w:t>
      </w:r>
    </w:p>
    <w:p w14:paraId="67E3D5FD">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bookmarkStart w:id="27" w:name="_Toc13036"/>
      <w:r>
        <w:rPr>
          <w:rFonts w:hint="eastAsia" w:ascii="宋体" w:hAnsi="宋体" w:eastAsia="宋体" w:cs="宋体"/>
          <w:b/>
          <w:bCs/>
          <w:color w:val="auto"/>
          <w:kern w:val="0"/>
          <w:sz w:val="21"/>
          <w:szCs w:val="21"/>
          <w:highlight w:val="none"/>
          <w:lang w:val="en-US" w:eastAsia="zh-CN" w:bidi="ar"/>
        </w:rPr>
        <w:t>七、经营相关要求</w:t>
      </w:r>
      <w:bookmarkEnd w:id="27"/>
    </w:p>
    <w:p w14:paraId="38EE5225">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（一）开业前准备</w:t>
      </w:r>
    </w:p>
    <w:p w14:paraId="274AF86C">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承租方自行负责开业经营所需的消防、市场监督、治安、环保、市政、卫生、食品安全、广告等涉及经营行政许可的相关证照，自行负责满足开业经营所需的法律、法规和相关行业规范所规定的各类审批事宜。</w:t>
      </w:r>
    </w:p>
    <w:p w14:paraId="7840784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（二）经营管理</w:t>
      </w:r>
    </w:p>
    <w:p w14:paraId="30067A6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承租方从事经营活动，应当遵守《中华人民共和国民法典》、《中华人民共和国消费者权益保护法》、《中华人民共和国产品质量法》等相关法律、行政法规、规章，遵循公平、诚实、守信的原则，经营范围不得包括油漆、打火机充气、油等甲、乙类危险化学品以及使用明火和重油烟等餐饮类别。</w:t>
      </w:r>
    </w:p>
    <w:p w14:paraId="59FE706A">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（三）运营管理</w:t>
      </w:r>
    </w:p>
    <w:p w14:paraId="24FAFAA2">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承租方经营须遵守相关法律法规并配合城市轨道交通的运营管理制度，避免与城市轨道交通运营的任何其他系统造成冲突或对乘客造成滋扰。</w:t>
      </w:r>
    </w:p>
    <w:p w14:paraId="4F14A6C0">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（四）安全管理</w:t>
      </w:r>
    </w:p>
    <w:p w14:paraId="1B428B1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承租方应建立和完善安全管理责任制度，建立安全管理保证体系，防止安全责任事故发生。必须积极做好所受让场地内的防火安全、安全生产、社会治安综合治理等各项工作，按国家、省、市有关法规、规范做好防范措施。</w:t>
      </w:r>
    </w:p>
    <w:p w14:paraId="4D3A5C21">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（五）装修改造</w:t>
      </w:r>
    </w:p>
    <w:p w14:paraId="5220F86B">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7" w:firstLineChars="175"/>
        <w:jc w:val="left"/>
        <w:textAlignment w:val="auto"/>
        <w:rPr>
          <w:rFonts w:hint="eastAsia" w:ascii="宋体" w:hAnsi="宋体" w:eastAsia="宋体" w:cs="宋体"/>
          <w:color w:val="auto"/>
          <w:kern w:val="0"/>
          <w:sz w:val="21"/>
          <w:szCs w:val="21"/>
          <w:highlight w:val="none"/>
          <w:lang w:val="en-US" w:eastAsia="zh-CN" w:bidi="ar"/>
        </w:rPr>
      </w:pPr>
      <w:bookmarkStart w:id="28" w:name="_Toc21998"/>
      <w:r>
        <w:rPr>
          <w:rFonts w:hint="eastAsia" w:ascii="宋体" w:hAnsi="宋体" w:eastAsia="宋体" w:cs="宋体"/>
          <w:color w:val="auto"/>
          <w:kern w:val="0"/>
          <w:sz w:val="21"/>
          <w:szCs w:val="21"/>
          <w:highlight w:val="none"/>
          <w:lang w:val="en-US" w:eastAsia="zh-CN" w:bidi="ar"/>
        </w:rPr>
        <w:t>承租方在合同期间内对</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进行装修改造均由承租方自行负责与承担所有费用，装修改造不得破坏现有地面，且装修方案需报出租方书面审批，转让方在不影响城市轨道交通运营安全的前提下予以配合。承租方在对</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进行装修施工前，须按照出租方规定办理完成</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装修审批手续，在获得出租方批准后方可开始对</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进行装修施工。否则，出租方将按租赁合同约定追究承租方的违约责任。</w:t>
      </w:r>
    </w:p>
    <w:p w14:paraId="62702457">
      <w:pPr>
        <w:keepNext w:val="0"/>
        <w:keepLines w:val="0"/>
        <w:pageBreakBefore w:val="0"/>
        <w:widowControl/>
        <w:suppressLineNumbers w:val="0"/>
        <w:kinsoku/>
        <w:wordWrap/>
        <w:overflowPunct/>
        <w:topLinePunct w:val="0"/>
        <w:autoSpaceDE/>
        <w:autoSpaceDN/>
        <w:bidi w:val="0"/>
        <w:adjustRightInd/>
        <w:snapToGrid/>
        <w:spacing w:line="440" w:lineRule="exact"/>
        <w:ind w:left="0" w:leftChars="0" w:right="-512" w:rightChars="-244" w:firstLine="369" w:firstLineChars="175"/>
        <w:jc w:val="left"/>
        <w:textAlignment w:val="auto"/>
        <w:outlineLvl w:val="1"/>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八、其它要求</w:t>
      </w:r>
      <w:bookmarkEnd w:id="28"/>
      <w:r>
        <w:rPr>
          <w:rFonts w:hint="eastAsia" w:ascii="宋体" w:hAnsi="宋体" w:eastAsia="宋体" w:cs="宋体"/>
          <w:b/>
          <w:bCs/>
          <w:color w:val="auto"/>
          <w:kern w:val="0"/>
          <w:sz w:val="21"/>
          <w:szCs w:val="21"/>
          <w:highlight w:val="none"/>
          <w:lang w:val="en-US" w:eastAsia="zh-CN" w:bidi="ar"/>
        </w:rPr>
        <w:t xml:space="preserve"> </w:t>
      </w:r>
    </w:p>
    <w:p w14:paraId="2274055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该物业用途为轨道交通配套用房。承租方承租后如需变更使用用途，办理相关营业执照、施工许可证、消防验收、行业许可、市政排放等证照办理事项，需自行承担相应风险及成本，出租方仅作配合，不承担任何违约或赔偿、补偿等责任。</w:t>
      </w:r>
    </w:p>
    <w:p w14:paraId="5E13D5E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2、承租方须定期对租赁范围及管理范围内的安全生产隐患进行排查，上述范围内发生的任何事故、事件均与出租方无关。</w:t>
      </w:r>
    </w:p>
    <w:p w14:paraId="18583463">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承租方的经营行为须符合政府相关法律法规和地铁运营部门的要求，不对标的及管理范围内的物业造成破坏，不得影响标的及管理范围内的物业的整体形象，否则出租方有权向承租方追偿并要求承租方恢复原状。</w:t>
      </w:r>
    </w:p>
    <w:p w14:paraId="3D6510B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承租方自行负责开业经营所需的消防、市场监督、治安、环保、市政、卫生、食品安全、广告等涉及经营行政许可的相关证照，自行负责满足开业经营所需的法律、法规和相关行业规范所规定的各类审批事宜。</w:t>
      </w:r>
    </w:p>
    <w:p w14:paraId="67A0FC05">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5、承租方经营须遵守相关法律法规并配合地铁的运营管理制度，避免与地铁运营的任何其他系统造成冲突或对乘客造成滋扰。</w:t>
      </w:r>
    </w:p>
    <w:p w14:paraId="352DB3E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承租方应建立和完善安全管理责任制度，建立安全管理保证体系，防止安全责任事故发生。必须积极做好所受让场地内的消防安全、安全生产、社会治安综合治理等各项工作，按国家、省、市有关法规、规范做好防范措施。</w:t>
      </w:r>
    </w:p>
    <w:p w14:paraId="4D06C4D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7、承租方在合同期间内进行装修改造均由承租方自行负责与承担所有费用，装修方案需报出租方书面审批，转让方在不影响地铁运营安全的前提下予以配合。</w:t>
      </w:r>
    </w:p>
    <w:p w14:paraId="70341E7F">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8、如遇国家政策、规划调整、需进行拆除的，出租方有权无条件提前终止合同。对此，承租方无权向出租方提出任何要求。</w:t>
      </w:r>
    </w:p>
    <w:p w14:paraId="5FB50CBD">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9、中选承租方须在成交通知书发出后5个工作日内与出租方签订租赁合同，中选承租方逾期不与出租方签订合同的，出租方有权取消其成交资格并没收交易保证金。</w:t>
      </w:r>
    </w:p>
    <w:p w14:paraId="4EAB6752">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10、其他，详见合同。 </w:t>
      </w:r>
    </w:p>
    <w:p w14:paraId="3452FBA7">
      <w:pPr>
        <w:keepNext w:val="0"/>
        <w:keepLines w:val="0"/>
        <w:pageBreakBefore w:val="0"/>
        <w:widowControl/>
        <w:suppressLineNumbers w:val="0"/>
        <w:kinsoku/>
        <w:wordWrap/>
        <w:overflowPunct/>
        <w:topLinePunct w:val="0"/>
        <w:autoSpaceDE/>
        <w:autoSpaceDN/>
        <w:bidi w:val="0"/>
        <w:adjustRightInd/>
        <w:snapToGrid/>
        <w:ind w:left="0" w:leftChars="0" w:right="-512" w:rightChars="-244" w:firstLine="420" w:firstLineChars="200"/>
        <w:jc w:val="left"/>
        <w:textAlignment w:val="auto"/>
        <w:rPr>
          <w:rFonts w:hint="eastAsia" w:ascii="宋体" w:hAnsi="宋体" w:eastAsia="宋体" w:cs="宋体"/>
          <w:color w:val="auto"/>
          <w:sz w:val="21"/>
          <w:szCs w:val="21"/>
          <w:highlight w:val="none"/>
        </w:rPr>
      </w:pPr>
    </w:p>
    <w:p w14:paraId="360B7751">
      <w:pPr>
        <w:keepNext w:val="0"/>
        <w:keepLines w:val="0"/>
        <w:widowControl/>
        <w:suppressLineNumbers w:val="0"/>
        <w:jc w:val="left"/>
        <w:rPr>
          <w:rFonts w:hint="eastAsia" w:ascii="宋体" w:hAnsi="宋体" w:eastAsia="宋体" w:cs="宋体"/>
          <w:color w:val="auto"/>
          <w:sz w:val="24"/>
          <w:szCs w:val="24"/>
          <w:highlight w:val="none"/>
        </w:rPr>
      </w:pPr>
    </w:p>
    <w:p w14:paraId="2B3088DA">
      <w:pPr>
        <w:pStyle w:val="4"/>
        <w:bidi w:val="0"/>
        <w:outlineLvl w:val="9"/>
        <w:rPr>
          <w:rFonts w:hint="eastAsia" w:ascii="宋体" w:hAnsi="宋体" w:eastAsia="宋体" w:cs="宋体"/>
          <w:color w:val="auto"/>
          <w:sz w:val="24"/>
          <w:szCs w:val="24"/>
          <w:highlight w:val="none"/>
          <w:lang w:val="en-US" w:eastAsia="zh-CN"/>
        </w:rPr>
        <w:sectPr>
          <w:pgSz w:w="11906" w:h="16838"/>
          <w:pgMar w:top="1440" w:right="1803" w:bottom="1440" w:left="1803" w:header="851" w:footer="992" w:gutter="0"/>
          <w:pgNumType w:fmt="decimal"/>
          <w:cols w:space="0" w:num="1"/>
          <w:rtlGutter w:val="0"/>
          <w:docGrid w:type="lines" w:linePitch="319" w:charSpace="0"/>
        </w:sectPr>
      </w:pPr>
      <w:r>
        <w:rPr>
          <w:rFonts w:hint="eastAsia" w:ascii="宋体" w:hAnsi="宋体" w:eastAsia="宋体" w:cs="宋体"/>
          <w:color w:val="auto"/>
          <w:sz w:val="24"/>
          <w:szCs w:val="24"/>
          <w:highlight w:val="none"/>
          <w:lang w:val="en-US" w:eastAsia="zh-CN"/>
        </w:rPr>
        <w:br w:type="page"/>
      </w:r>
    </w:p>
    <w:p w14:paraId="694D6975">
      <w:pPr>
        <w:pStyle w:val="4"/>
        <w:bidi w:val="0"/>
        <w:outlineLvl w:val="0"/>
        <w:rPr>
          <w:rFonts w:hint="eastAsia" w:ascii="宋体" w:hAnsi="宋体" w:eastAsia="宋体" w:cs="宋体"/>
          <w:color w:val="auto"/>
          <w:sz w:val="24"/>
          <w:szCs w:val="24"/>
          <w:highlight w:val="none"/>
          <w:lang w:val="en-US" w:eastAsia="zh-CN"/>
        </w:rPr>
      </w:pPr>
      <w:bookmarkStart w:id="29" w:name="_Toc4080"/>
      <w:r>
        <w:rPr>
          <w:rFonts w:hint="eastAsia" w:ascii="宋体" w:hAnsi="宋体" w:eastAsia="宋体" w:cs="宋体"/>
          <w:color w:val="auto"/>
          <w:sz w:val="24"/>
          <w:szCs w:val="24"/>
          <w:highlight w:val="none"/>
          <w:lang w:val="en-US" w:eastAsia="zh-CN"/>
        </w:rPr>
        <w:t>附件4：合同主要条款</w:t>
      </w:r>
      <w:bookmarkEnd w:id="29"/>
    </w:p>
    <w:p w14:paraId="69671730">
      <w:pPr>
        <w:bidi w:val="0"/>
        <w:rPr>
          <w:rFonts w:hint="default"/>
          <w:lang w:val="en-US" w:eastAsia="zh-CN"/>
        </w:rPr>
      </w:pPr>
      <w:bookmarkStart w:id="30" w:name="_Toc233433291"/>
      <w:bookmarkStart w:id="31" w:name="_Toc195349096"/>
    </w:p>
    <w:p w14:paraId="18E5D1C3">
      <w:pPr>
        <w:adjustRightInd w:val="0"/>
        <w:snapToGrid w:val="0"/>
        <w:spacing w:line="360" w:lineRule="auto"/>
        <w:jc w:val="center"/>
        <w:rPr>
          <w:rFonts w:hint="default" w:ascii="Times New Roman" w:hAnsi="Times New Roman" w:eastAsia="宋体" w:cs="Times New Roman"/>
          <w:b/>
          <w:bCs/>
          <w:color w:val="auto"/>
          <w:sz w:val="32"/>
          <w:szCs w:val="32"/>
          <w:highlight w:val="none"/>
        </w:rPr>
      </w:pPr>
    </w:p>
    <w:p w14:paraId="6E21D158">
      <w:pPr>
        <w:adjustRightInd w:val="0"/>
        <w:snapToGrid w:val="0"/>
        <w:spacing w:line="360" w:lineRule="auto"/>
        <w:jc w:val="center"/>
        <w:rPr>
          <w:rFonts w:hint="default" w:ascii="Times New Roman" w:hAnsi="Times New Roman" w:eastAsia="宋体" w:cs="Times New Roman"/>
          <w:b/>
          <w:bCs/>
          <w:color w:val="auto"/>
          <w:sz w:val="44"/>
          <w:szCs w:val="44"/>
          <w:highlight w:val="none"/>
        </w:rPr>
      </w:pPr>
      <w:r>
        <w:rPr>
          <w:rFonts w:hint="default" w:ascii="Times New Roman" w:hAnsi="Times New Roman" w:eastAsia="宋体" w:cs="Times New Roman"/>
          <w:b/>
          <w:bCs/>
          <w:color w:val="auto"/>
          <w:sz w:val="44"/>
          <w:szCs w:val="44"/>
          <w:highlight w:val="none"/>
        </w:rPr>
        <w:t>南通</w:t>
      </w:r>
      <w:r>
        <w:rPr>
          <w:rFonts w:hint="default" w:ascii="Times New Roman" w:hAnsi="Times New Roman" w:eastAsia="宋体" w:cs="Times New Roman"/>
          <w:b/>
          <w:bCs/>
          <w:color w:val="auto"/>
          <w:sz w:val="44"/>
          <w:szCs w:val="44"/>
          <w:highlight w:val="none"/>
          <w:lang w:val="en-US" w:eastAsia="zh-CN"/>
        </w:rPr>
        <w:t>轨道交通1</w:t>
      </w:r>
      <w:r>
        <w:rPr>
          <w:rFonts w:hint="default" w:ascii="Times New Roman" w:hAnsi="Times New Roman" w:eastAsia="宋体" w:cs="Times New Roman"/>
          <w:b/>
          <w:bCs/>
          <w:color w:val="auto"/>
          <w:sz w:val="44"/>
          <w:szCs w:val="44"/>
          <w:highlight w:val="none"/>
        </w:rPr>
        <w:t>号线</w:t>
      </w:r>
      <w:r>
        <w:rPr>
          <w:rFonts w:hint="default" w:ascii="Times New Roman" w:hAnsi="Times New Roman" w:eastAsia="宋体" w:cs="Times New Roman"/>
          <w:b/>
          <w:bCs/>
          <w:color w:val="auto"/>
          <w:sz w:val="44"/>
          <w:szCs w:val="44"/>
          <w:highlight w:val="none"/>
          <w:lang w:val="en-US" w:eastAsia="zh-CN"/>
        </w:rPr>
        <w:t>图书馆站地下附属空间（02号商铺）</w:t>
      </w:r>
      <w:r>
        <w:rPr>
          <w:rFonts w:hint="default" w:ascii="Times New Roman" w:hAnsi="Times New Roman" w:eastAsia="宋体" w:cs="Times New Roman"/>
          <w:b/>
          <w:bCs/>
          <w:color w:val="auto"/>
          <w:sz w:val="44"/>
          <w:szCs w:val="44"/>
          <w:highlight w:val="none"/>
        </w:rPr>
        <w:t>租赁合同</w:t>
      </w:r>
    </w:p>
    <w:p w14:paraId="79D254DC">
      <w:pPr>
        <w:pStyle w:val="10"/>
        <w:spacing w:line="360" w:lineRule="auto"/>
        <w:jc w:val="center"/>
        <w:rPr>
          <w:rFonts w:hint="eastAsia" w:ascii="Times New Roman" w:hAnsi="Times New Roman" w:eastAsia="宋体" w:cs="Times New Roman"/>
          <w:bCs/>
          <w:color w:val="auto"/>
          <w:sz w:val="24"/>
          <w:highlight w:val="none"/>
          <w:u w:val="single"/>
          <w:lang w:val="en-US" w:eastAsia="zh-CN"/>
        </w:rPr>
      </w:pPr>
      <w:r>
        <w:rPr>
          <w:rFonts w:hint="default" w:ascii="Times New Roman" w:hAnsi="Times New Roman" w:eastAsia="宋体" w:cs="Times New Roman"/>
          <w:color w:val="auto"/>
          <w:sz w:val="24"/>
          <w:highlight w:val="none"/>
        </w:rPr>
        <w:t>编号：</w:t>
      </w:r>
    </w:p>
    <w:p w14:paraId="6DB74FE8">
      <w:pPr>
        <w:pStyle w:val="10"/>
        <w:spacing w:line="360" w:lineRule="auto"/>
        <w:jc w:val="center"/>
        <w:rPr>
          <w:rFonts w:hint="default" w:ascii="Times New Roman" w:hAnsi="Times New Roman" w:eastAsia="宋体" w:cs="Times New Roman"/>
          <w:bCs/>
          <w:color w:val="auto"/>
          <w:sz w:val="24"/>
          <w:highlight w:val="none"/>
          <w:u w:val="single"/>
        </w:rPr>
      </w:pPr>
    </w:p>
    <w:p w14:paraId="684C5B82">
      <w:pPr>
        <w:bidi w:val="0"/>
        <w:rPr>
          <w:rFonts w:hint="default" w:ascii="Times New Roman" w:hAnsi="Times New Roman" w:eastAsia="宋体" w:cs="Times New Roman"/>
          <w:color w:val="auto"/>
          <w:highlight w:val="none"/>
        </w:rPr>
      </w:pPr>
    </w:p>
    <w:p w14:paraId="744F5A89">
      <w:pPr>
        <w:bidi w:val="0"/>
        <w:rPr>
          <w:rFonts w:hint="default" w:ascii="Times New Roman" w:hAnsi="Times New Roman" w:eastAsia="宋体" w:cs="Times New Roman"/>
          <w:color w:val="auto"/>
          <w:highlight w:val="none"/>
        </w:rPr>
      </w:pPr>
    </w:p>
    <w:p w14:paraId="0C6DE0F9">
      <w:pPr>
        <w:bidi w:val="0"/>
        <w:rPr>
          <w:rFonts w:hint="default" w:ascii="Times New Roman" w:hAnsi="Times New Roman" w:eastAsia="宋体" w:cs="Times New Roman"/>
          <w:color w:val="auto"/>
          <w:highlight w:val="none"/>
        </w:rPr>
      </w:pPr>
    </w:p>
    <w:p w14:paraId="5740F468">
      <w:pPr>
        <w:bidi w:val="0"/>
        <w:rPr>
          <w:rFonts w:hint="default" w:ascii="Times New Roman" w:hAnsi="Times New Roman" w:eastAsia="宋体" w:cs="Times New Roman"/>
          <w:color w:val="auto"/>
          <w:highlight w:val="none"/>
        </w:rPr>
      </w:pPr>
    </w:p>
    <w:p w14:paraId="1B1D4806">
      <w:pPr>
        <w:bidi w:val="0"/>
        <w:rPr>
          <w:rFonts w:hint="default" w:ascii="Times New Roman" w:hAnsi="Times New Roman" w:eastAsia="宋体" w:cs="Times New Roman"/>
          <w:color w:val="auto"/>
          <w:highlight w:val="none"/>
        </w:rPr>
      </w:pPr>
    </w:p>
    <w:p w14:paraId="3F7F878F">
      <w:pPr>
        <w:bidi w:val="0"/>
        <w:rPr>
          <w:rFonts w:hint="default" w:ascii="Times New Roman" w:hAnsi="Times New Roman" w:eastAsia="宋体" w:cs="Times New Roman"/>
          <w:color w:val="auto"/>
          <w:highlight w:val="none"/>
        </w:rPr>
      </w:pPr>
    </w:p>
    <w:p w14:paraId="545F16AB">
      <w:pPr>
        <w:bidi w:val="0"/>
        <w:rPr>
          <w:rFonts w:hint="default" w:ascii="Times New Roman" w:hAnsi="Times New Roman" w:eastAsia="宋体" w:cs="Times New Roman"/>
          <w:color w:val="auto"/>
          <w:highlight w:val="none"/>
        </w:rPr>
      </w:pPr>
    </w:p>
    <w:p w14:paraId="361982FA">
      <w:pPr>
        <w:bidi w:val="0"/>
        <w:rPr>
          <w:rFonts w:hint="default" w:ascii="Times New Roman" w:hAnsi="Times New Roman" w:eastAsia="宋体" w:cs="Times New Roman"/>
          <w:color w:val="auto"/>
          <w:highlight w:val="none"/>
        </w:rPr>
      </w:pPr>
    </w:p>
    <w:p w14:paraId="687FFE6C">
      <w:pPr>
        <w:bidi w:val="0"/>
        <w:rPr>
          <w:rFonts w:hint="default" w:ascii="Times New Roman" w:hAnsi="Times New Roman" w:eastAsia="宋体" w:cs="Times New Roman"/>
          <w:color w:val="auto"/>
          <w:highlight w:val="none"/>
        </w:rPr>
      </w:pPr>
    </w:p>
    <w:p w14:paraId="5D0281FF">
      <w:pPr>
        <w:bidi w:val="0"/>
        <w:rPr>
          <w:rFonts w:hint="default" w:ascii="Times New Roman" w:hAnsi="Times New Roman" w:eastAsia="宋体" w:cs="Times New Roman"/>
          <w:color w:val="auto"/>
          <w:highlight w:val="none"/>
        </w:rPr>
      </w:pPr>
    </w:p>
    <w:p w14:paraId="6B94F7F0">
      <w:pPr>
        <w:bidi w:val="0"/>
        <w:rPr>
          <w:rFonts w:hint="default" w:ascii="Times New Roman" w:hAnsi="Times New Roman" w:eastAsia="宋体" w:cs="Times New Roman"/>
          <w:color w:val="auto"/>
          <w:highlight w:val="none"/>
        </w:rPr>
      </w:pPr>
    </w:p>
    <w:p w14:paraId="2E18649D">
      <w:pPr>
        <w:bidi w:val="0"/>
        <w:rPr>
          <w:rFonts w:hint="default"/>
        </w:rPr>
      </w:pPr>
      <w:bookmarkStart w:id="32" w:name="_Toc5288"/>
    </w:p>
    <w:p w14:paraId="7B10D275">
      <w:pPr>
        <w:spacing w:line="360" w:lineRule="auto"/>
        <w:ind w:left="0" w:leftChars="0" w:firstLine="1260" w:firstLineChars="525"/>
        <w:outlineLvl w:val="0"/>
        <w:rPr>
          <w:rFonts w:hint="default"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甲方（出租方）：</w:t>
      </w:r>
      <w:r>
        <w:rPr>
          <w:rFonts w:hint="default" w:ascii="Times New Roman" w:hAnsi="Times New Roman" w:eastAsia="宋体" w:cs="Times New Roman"/>
          <w:bCs/>
          <w:color w:val="auto"/>
          <w:sz w:val="24"/>
          <w:highlight w:val="none"/>
          <w:u w:val="single"/>
        </w:rPr>
        <w:t xml:space="preserve">  </w:t>
      </w:r>
      <w:r>
        <w:rPr>
          <w:rFonts w:hint="default" w:ascii="Times New Roman" w:hAnsi="Times New Roman" w:cs="Times New Roman"/>
          <w:bCs/>
          <w:color w:val="auto"/>
          <w:sz w:val="24"/>
          <w:highlight w:val="none"/>
          <w:u w:val="single"/>
          <w:lang w:eastAsia="zh-CN"/>
        </w:rPr>
        <w:t>南通轨道资源开发有限公司</w:t>
      </w:r>
      <w:bookmarkEnd w:id="32"/>
      <w:r>
        <w:rPr>
          <w:rFonts w:hint="default" w:ascii="Times New Roman" w:hAnsi="Times New Roman" w:eastAsia="宋体" w:cs="Times New Roman"/>
          <w:bCs/>
          <w:color w:val="auto"/>
          <w:sz w:val="24"/>
          <w:highlight w:val="none"/>
          <w:u w:val="single"/>
        </w:rPr>
        <w:t xml:space="preserve">  </w:t>
      </w:r>
      <w:r>
        <w:rPr>
          <w:rFonts w:hint="default" w:ascii="Times New Roman" w:hAnsi="Times New Roman" w:eastAsia="宋体" w:cs="Times New Roman"/>
          <w:bCs/>
          <w:color w:val="auto"/>
          <w:sz w:val="24"/>
          <w:highlight w:val="none"/>
        </w:rPr>
        <w:t xml:space="preserve">   </w:t>
      </w:r>
    </w:p>
    <w:p w14:paraId="1B98749F">
      <w:pPr>
        <w:spacing w:line="360" w:lineRule="auto"/>
        <w:ind w:left="0" w:leftChars="0" w:firstLine="1260" w:firstLineChars="525"/>
        <w:outlineLvl w:val="0"/>
        <w:rPr>
          <w:rFonts w:hint="default" w:ascii="Times New Roman" w:hAnsi="Times New Roman" w:eastAsia="宋体" w:cs="Times New Roman"/>
          <w:b/>
          <w:color w:val="auto"/>
          <w:sz w:val="24"/>
          <w:highlight w:val="none"/>
        </w:rPr>
      </w:pPr>
      <w:bookmarkStart w:id="33" w:name="_Toc28155"/>
      <w:r>
        <w:rPr>
          <w:rFonts w:hint="default" w:ascii="Times New Roman" w:hAnsi="Times New Roman" w:eastAsia="宋体" w:cs="Times New Roman"/>
          <w:bCs/>
          <w:color w:val="auto"/>
          <w:sz w:val="24"/>
          <w:highlight w:val="none"/>
        </w:rPr>
        <w:t>乙方（承租方）：</w:t>
      </w:r>
      <w:bookmarkEnd w:id="33"/>
      <w:r>
        <w:rPr>
          <w:rFonts w:hint="default" w:ascii="Times New Roman" w:hAnsi="Times New Roman" w:eastAsia="宋体" w:cs="Times New Roman"/>
          <w:bCs/>
          <w:color w:val="auto"/>
          <w:sz w:val="24"/>
          <w:highlight w:val="none"/>
          <w:u w:val="single"/>
        </w:rPr>
        <w:t xml:space="preserve">  </w:t>
      </w:r>
      <w:r>
        <w:rPr>
          <w:rFonts w:hint="eastAsia" w:ascii="Times New Roman" w:hAnsi="Times New Roman" w:cs="Times New Roman"/>
          <w:bCs/>
          <w:color w:val="auto"/>
          <w:sz w:val="24"/>
          <w:highlight w:val="none"/>
          <w:u w:val="single"/>
          <w:lang w:val="en-US" w:eastAsia="zh-CN"/>
        </w:rPr>
        <w:t xml:space="preserve">              </w:t>
      </w:r>
      <w:r>
        <w:rPr>
          <w:rFonts w:hint="default" w:ascii="Times New Roman" w:hAnsi="Times New Roman" w:eastAsia="宋体" w:cs="Times New Roman"/>
          <w:bCs/>
          <w:color w:val="auto"/>
          <w:sz w:val="24"/>
          <w:highlight w:val="none"/>
          <w:u w:val="single"/>
        </w:rPr>
        <w:t xml:space="preserve"> </w:t>
      </w:r>
      <w:r>
        <w:rPr>
          <w:rFonts w:hint="eastAsia" w:ascii="Times New Roman" w:hAnsi="Times New Roman" w:cs="Times New Roman"/>
          <w:bCs/>
          <w:color w:val="auto"/>
          <w:sz w:val="24"/>
          <w:highlight w:val="none"/>
          <w:u w:val="single"/>
          <w:lang w:val="en-US" w:eastAsia="zh-CN"/>
        </w:rPr>
        <w:t xml:space="preserve">    </w:t>
      </w:r>
      <w:r>
        <w:rPr>
          <w:rFonts w:hint="default" w:ascii="Times New Roman" w:hAnsi="Times New Roman" w:eastAsia="宋体" w:cs="Times New Roman"/>
          <w:bCs/>
          <w:color w:val="auto"/>
          <w:sz w:val="24"/>
          <w:highlight w:val="none"/>
          <w:u w:val="single"/>
        </w:rPr>
        <w:t xml:space="preserve">       </w:t>
      </w:r>
      <w:r>
        <w:rPr>
          <w:rFonts w:hint="default" w:ascii="Times New Roman" w:hAnsi="Times New Roman" w:eastAsia="宋体" w:cs="Times New Roman"/>
          <w:bCs/>
          <w:color w:val="auto"/>
          <w:sz w:val="24"/>
          <w:highlight w:val="none"/>
        </w:rPr>
        <w:t xml:space="preserve">  </w:t>
      </w:r>
    </w:p>
    <w:p w14:paraId="79AE5FF0">
      <w:pPr>
        <w:bidi w:val="0"/>
        <w:rPr>
          <w:rFonts w:hint="default" w:ascii="Times New Roman" w:hAnsi="Times New Roman" w:eastAsia="宋体" w:cs="Times New Roman"/>
          <w:color w:val="auto"/>
          <w:highlight w:val="none"/>
        </w:rPr>
      </w:pPr>
    </w:p>
    <w:p w14:paraId="49E7D6D2">
      <w:pPr>
        <w:bidi w:val="0"/>
        <w:rPr>
          <w:rFonts w:hint="default" w:ascii="Times New Roman" w:hAnsi="Times New Roman" w:eastAsia="宋体" w:cs="Times New Roman"/>
          <w:color w:val="auto"/>
          <w:highlight w:val="none"/>
        </w:rPr>
      </w:pPr>
    </w:p>
    <w:p w14:paraId="146E893F">
      <w:pPr>
        <w:bidi w:val="0"/>
        <w:rPr>
          <w:rFonts w:hint="default" w:ascii="Times New Roman" w:hAnsi="Times New Roman" w:eastAsia="宋体" w:cs="Times New Roman"/>
          <w:color w:val="auto"/>
          <w:highlight w:val="none"/>
        </w:rPr>
      </w:pPr>
    </w:p>
    <w:p w14:paraId="41E21220">
      <w:pPr>
        <w:rPr>
          <w:rFonts w:hint="default" w:ascii="Times New Roman" w:hAnsi="Times New Roman" w:eastAsia="宋体" w:cs="Times New Roman"/>
          <w:color w:val="auto"/>
          <w:sz w:val="24"/>
          <w:highlight w:val="none"/>
        </w:rPr>
      </w:pPr>
    </w:p>
    <w:p w14:paraId="78CE0C04">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outlineLvl w:val="0"/>
        <w:rPr>
          <w:rFonts w:hint="default" w:ascii="Times New Roman" w:hAnsi="Times New Roman" w:eastAsia="宋体" w:cs="Times New Roman"/>
          <w:bCs/>
          <w:color w:val="auto"/>
          <w:sz w:val="24"/>
          <w:highlight w:val="none"/>
        </w:rPr>
      </w:pPr>
      <w:bookmarkStart w:id="34" w:name="_Toc27776"/>
      <w:r>
        <w:rPr>
          <w:rFonts w:hint="eastAsia" w:ascii="Times New Roman" w:hAnsi="Times New Roman" w:cs="Times New Roman"/>
          <w:bCs/>
          <w:color w:val="auto"/>
          <w:sz w:val="24"/>
          <w:highlight w:val="none"/>
          <w:lang w:val="en-US" w:eastAsia="zh-CN"/>
        </w:rPr>
        <w:t>2026</w:t>
      </w:r>
      <w:r>
        <w:rPr>
          <w:rFonts w:hint="default" w:ascii="Times New Roman" w:hAnsi="Times New Roman" w:eastAsia="宋体" w:cs="Times New Roman"/>
          <w:bCs/>
          <w:color w:val="auto"/>
          <w:sz w:val="24"/>
          <w:highlight w:val="none"/>
        </w:rPr>
        <w:t>年</w:t>
      </w:r>
      <w:r>
        <w:rPr>
          <w:rFonts w:hint="eastAsia" w:ascii="Times New Roman" w:hAnsi="Times New Roman" w:cs="Times New Roman"/>
          <w:bCs/>
          <w:color w:val="auto"/>
          <w:sz w:val="24"/>
          <w:highlight w:val="none"/>
          <w:lang w:val="en-US" w:eastAsia="zh-CN"/>
        </w:rPr>
        <w:t xml:space="preserve">   </w:t>
      </w:r>
      <w:r>
        <w:rPr>
          <w:rFonts w:hint="default" w:ascii="Times New Roman" w:hAnsi="Times New Roman" w:eastAsia="宋体" w:cs="Times New Roman"/>
          <w:bCs/>
          <w:color w:val="auto"/>
          <w:sz w:val="24"/>
          <w:highlight w:val="none"/>
        </w:rPr>
        <w:t>月</w:t>
      </w:r>
      <w:bookmarkEnd w:id="34"/>
    </w:p>
    <w:p w14:paraId="7BB70FE5">
      <w:pPr>
        <w:rPr>
          <w:rFonts w:hint="eastAsia" w:ascii="宋体" w:hAnsi="宋体" w:eastAsia="宋体" w:cs="宋体"/>
          <w:spacing w:val="7"/>
          <w:position w:val="11"/>
          <w:sz w:val="24"/>
          <w:szCs w:val="24"/>
          <w:highlight w:val="none"/>
          <w:lang w:val="en-US" w:eastAsia="zh-CN"/>
        </w:rPr>
      </w:pPr>
      <w:r>
        <w:rPr>
          <w:rFonts w:hint="eastAsia" w:ascii="宋体" w:hAnsi="宋体" w:eastAsia="宋体" w:cs="宋体"/>
          <w:spacing w:val="7"/>
          <w:position w:val="11"/>
          <w:sz w:val="24"/>
          <w:szCs w:val="24"/>
          <w:highlight w:val="none"/>
          <w:lang w:val="en-US" w:eastAsia="zh-CN"/>
        </w:rPr>
        <w:br w:type="page"/>
      </w:r>
    </w:p>
    <w:p w14:paraId="318AE11D">
      <w:pPr>
        <w:keepNext w:val="0"/>
        <w:keepLines w:val="0"/>
        <w:pageBreakBefore w:val="0"/>
        <w:widowControl/>
        <w:wordWrap/>
        <w:topLinePunct w:val="0"/>
        <w:autoSpaceDE w:val="0"/>
        <w:autoSpaceDN w:val="0"/>
        <w:bidi w:val="0"/>
        <w:adjustRightInd w:val="0"/>
        <w:snapToGrid w:val="0"/>
        <w:spacing w:before="63" w:line="360" w:lineRule="auto"/>
        <w:ind w:left="0" w:right="-519" w:rightChars="-247" w:firstLine="0" w:firstLineChars="0"/>
        <w:jc w:val="center"/>
        <w:textAlignment w:val="baseline"/>
        <w:rPr>
          <w:rFonts w:hint="eastAsia" w:ascii="宋体" w:hAnsi="宋体" w:eastAsia="宋体" w:cs="宋体"/>
          <w:spacing w:val="7"/>
          <w:position w:val="11"/>
          <w:sz w:val="24"/>
          <w:szCs w:val="24"/>
          <w:highlight w:val="none"/>
          <w:lang w:val="en-US" w:eastAsia="zh-CN"/>
        </w:rPr>
        <w:sectPr>
          <w:pgSz w:w="11906" w:h="16838"/>
          <w:pgMar w:top="1440" w:right="1800" w:bottom="1440" w:left="1800" w:header="851" w:footer="992" w:gutter="0"/>
          <w:cols w:space="425" w:num="1"/>
          <w:docGrid w:type="lines" w:linePitch="312" w:charSpace="0"/>
        </w:sectPr>
      </w:pPr>
    </w:p>
    <w:p w14:paraId="37E5EAC0">
      <w:pPr>
        <w:adjustRightInd w:val="0"/>
        <w:snapToGrid w:val="0"/>
        <w:spacing w:line="360" w:lineRule="auto"/>
        <w:jc w:val="center"/>
        <w:rPr>
          <w:rFonts w:hint="eastAsia" w:ascii="宋体" w:hAnsi="宋体" w:eastAsia="宋体" w:cs="宋体"/>
          <w:spacing w:val="7"/>
          <w:position w:val="11"/>
          <w:sz w:val="24"/>
          <w:szCs w:val="24"/>
          <w:highlight w:val="none"/>
        </w:rPr>
      </w:pPr>
      <w:r>
        <w:rPr>
          <w:rFonts w:hint="eastAsia" w:ascii="宋体" w:hAnsi="宋体" w:cs="宋体"/>
          <w:spacing w:val="7"/>
          <w:position w:val="11"/>
          <w:sz w:val="24"/>
          <w:szCs w:val="24"/>
          <w:highlight w:val="none"/>
          <w:lang w:val="en-US" w:eastAsia="zh-CN"/>
        </w:rPr>
        <w:t>南通轨道交通1号线图书馆站地下附属空间（02号商铺）租赁</w:t>
      </w:r>
      <w:r>
        <w:rPr>
          <w:rFonts w:hint="eastAsia" w:ascii="宋体" w:hAnsi="宋体" w:eastAsia="宋体" w:cs="宋体"/>
          <w:spacing w:val="7"/>
          <w:position w:val="11"/>
          <w:sz w:val="24"/>
          <w:szCs w:val="24"/>
          <w:highlight w:val="none"/>
        </w:rPr>
        <w:t>合同</w:t>
      </w:r>
    </w:p>
    <w:p w14:paraId="47FC890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sz w:val="22"/>
          <w:szCs w:val="22"/>
          <w:highlight w:val="none"/>
        </w:rPr>
      </w:pPr>
    </w:p>
    <w:p w14:paraId="765B4F5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sz w:val="21"/>
          <w:szCs w:val="21"/>
          <w:highlight w:val="none"/>
        </w:rPr>
      </w:pPr>
      <w:r>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t>甲方（出租方）：</w:t>
      </w:r>
      <w:r>
        <w:rPr>
          <w:rFonts w:hint="eastAsia" w:ascii="宋体" w:hAnsi="宋体" w:eastAsia="宋体" w:cs="宋体"/>
          <w:spacing w:val="-10"/>
          <w:sz w:val="21"/>
          <w:szCs w:val="21"/>
          <w:highlight w:val="none"/>
          <w:lang w:eastAsia="zh-CN"/>
          <w14:textOutline w14:w="4358" w14:cap="sq" w14:cmpd="sng">
            <w14:solidFill>
              <w14:srgbClr w14:val="000000"/>
            </w14:solidFill>
            <w14:prstDash w14:val="solid"/>
            <w14:bevel/>
          </w14:textOutline>
        </w:rPr>
        <w:t>南通轨道资源开发有限公司</w:t>
      </w:r>
    </w:p>
    <w:p w14:paraId="51B79DE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left"/>
        <w:textAlignment w:val="baseline"/>
        <w:rPr>
          <w:rFonts w:hint="eastAsia" w:ascii="宋体" w:hAnsi="宋体" w:cs="宋体"/>
          <w:spacing w:val="-10"/>
          <w:sz w:val="21"/>
          <w:szCs w:val="21"/>
          <w:highlight w:val="none"/>
          <w:lang w:val="en-US" w:eastAsia="zh-CN"/>
          <w14:textOutline w14:w="4358" w14:cap="sq" w14:cmpd="sng">
            <w14:solidFill>
              <w14:srgbClr w14:val="000000"/>
            </w14:solidFill>
            <w14:prstDash w14:val="solid"/>
            <w14:bevel/>
          </w14:textOutline>
        </w:rPr>
      </w:pPr>
      <w:r>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t>乙方（承租方）：</w:t>
      </w:r>
      <w:r>
        <w:rPr>
          <w:rFonts w:hint="eastAsia" w:ascii="宋体" w:hAnsi="宋体" w:cs="宋体"/>
          <w:spacing w:val="-10"/>
          <w:sz w:val="21"/>
          <w:szCs w:val="21"/>
          <w:highlight w:val="none"/>
          <w:lang w:val="en-US" w:eastAsia="zh-CN"/>
          <w14:textOutline w14:w="4358" w14:cap="sq" w14:cmpd="sng">
            <w14:solidFill>
              <w14:srgbClr w14:val="000000"/>
            </w14:solidFill>
            <w14:prstDash w14:val="solid"/>
            <w14:bevel/>
          </w14:textOutline>
        </w:rPr>
        <w:t xml:space="preserve"> </w:t>
      </w:r>
    </w:p>
    <w:p w14:paraId="669CD1C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left"/>
        <w:textAlignment w:val="baseline"/>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pPr>
      <w:r>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t>乙方证照名称</w:t>
      </w:r>
      <w:r>
        <w:rPr>
          <w:rFonts w:hint="eastAsia" w:ascii="宋体" w:hAnsi="宋体" w:cs="宋体"/>
          <w:spacing w:val="-10"/>
          <w:sz w:val="21"/>
          <w:szCs w:val="21"/>
          <w:highlight w:val="none"/>
          <w:lang w:eastAsia="zh-CN"/>
          <w14:textOutline w14:w="4358" w14:cap="sq" w14:cmpd="sng">
            <w14:solidFill>
              <w14:srgbClr w14:val="000000"/>
            </w14:solidFill>
            <w14:prstDash w14:val="solid"/>
            <w14:bevel/>
          </w14:textOutline>
        </w:rPr>
        <w:t>：</w:t>
      </w:r>
      <w:r>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t xml:space="preserve"> </w:t>
      </w:r>
    </w:p>
    <w:p w14:paraId="43425BB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left"/>
        <w:textAlignment w:val="baseline"/>
        <w:rPr>
          <w:rFonts w:hint="default" w:ascii="宋体" w:hAnsi="宋体" w:eastAsia="宋体" w:cs="宋体"/>
          <w:spacing w:val="-10"/>
          <w:sz w:val="21"/>
          <w:szCs w:val="21"/>
          <w:highlight w:val="none"/>
          <w:lang w:val="en-US" w:eastAsia="zh-CN"/>
          <w14:textOutline w14:w="4358" w14:cap="sq" w14:cmpd="sng">
            <w14:solidFill>
              <w14:srgbClr w14:val="000000"/>
            </w14:solidFill>
            <w14:prstDash w14:val="solid"/>
            <w14:bevel/>
          </w14:textOutline>
        </w:rPr>
      </w:pPr>
      <w:r>
        <w:rPr>
          <w:rFonts w:hint="eastAsia" w:ascii="宋体" w:hAnsi="宋体" w:eastAsia="宋体" w:cs="宋体"/>
          <w:spacing w:val="-10"/>
          <w:sz w:val="21"/>
          <w:szCs w:val="21"/>
          <w:highlight w:val="none"/>
          <w14:textOutline w14:w="4358" w14:cap="sq" w14:cmpd="sng">
            <w14:solidFill>
              <w14:srgbClr w14:val="000000"/>
            </w14:solidFill>
            <w14:prstDash w14:val="solid"/>
            <w14:bevel/>
          </w14:textOutline>
        </w:rPr>
        <w:t>乙方证照号码</w:t>
      </w:r>
      <w:r>
        <w:rPr>
          <w:rFonts w:hint="eastAsia" w:ascii="宋体" w:hAnsi="宋体" w:cs="宋体"/>
          <w:spacing w:val="-10"/>
          <w:sz w:val="21"/>
          <w:szCs w:val="21"/>
          <w:highlight w:val="none"/>
          <w:lang w:eastAsia="zh-CN"/>
          <w14:textOutline w14:w="4358" w14:cap="sq" w14:cmpd="sng">
            <w14:solidFill>
              <w14:srgbClr w14:val="000000"/>
            </w14:solidFill>
            <w14:prstDash w14:val="solid"/>
            <w14:bevel/>
          </w14:textOutline>
        </w:rPr>
        <w:t>：</w:t>
      </w:r>
      <w:r>
        <w:rPr>
          <w:rFonts w:hint="eastAsia" w:ascii="宋体" w:hAnsi="宋体" w:cs="宋体"/>
          <w:spacing w:val="-10"/>
          <w:sz w:val="21"/>
          <w:szCs w:val="21"/>
          <w:highlight w:val="none"/>
          <w:lang w:val="en-US" w:eastAsia="zh-CN"/>
          <w14:textOutline w14:w="4358" w14:cap="sq" w14:cmpd="sng">
            <w14:solidFill>
              <w14:srgbClr w14:val="000000"/>
            </w14:solidFill>
            <w14:prstDash w14:val="solid"/>
            <w14:bevel/>
          </w14:textOutline>
        </w:rPr>
        <w:t xml:space="preserve"> </w:t>
      </w:r>
    </w:p>
    <w:p w14:paraId="506B1C2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宋体" w:hAnsi="宋体" w:eastAsia="宋体" w:cs="宋体"/>
          <w:sz w:val="22"/>
          <w:szCs w:val="22"/>
          <w:highlight w:val="none"/>
        </w:rPr>
      </w:pPr>
    </w:p>
    <w:p w14:paraId="371DA79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spacing w:val="-6"/>
          <w:sz w:val="24"/>
          <w:szCs w:val="24"/>
          <w:highlight w:val="none"/>
        </w:rPr>
      </w:pPr>
      <w:r>
        <w:rPr>
          <w:rFonts w:hint="default" w:ascii="Times New Roman" w:hAnsi="Times New Roman" w:eastAsia="宋体" w:cs="Times New Roman"/>
          <w:b/>
          <w:bCs/>
          <w:spacing w:val="-6"/>
          <w:sz w:val="24"/>
          <w:szCs w:val="24"/>
          <w:highlight w:val="none"/>
        </w:rPr>
        <w:t>第一章  总则</w:t>
      </w:r>
    </w:p>
    <w:p w14:paraId="3BB27DA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sz w:val="22"/>
          <w:szCs w:val="22"/>
          <w:highlight w:val="none"/>
        </w:rPr>
      </w:pPr>
    </w:p>
    <w:p w14:paraId="2D6905E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b/>
          <w:bCs/>
          <w:spacing w:val="2"/>
          <w:sz w:val="21"/>
          <w:szCs w:val="21"/>
          <w:highlight w:val="none"/>
          <w:lang w:val="en-US" w:eastAsia="zh-CN"/>
        </w:rPr>
        <w:t>第一条</w:t>
      </w:r>
      <w:r>
        <w:rPr>
          <w:rFonts w:hint="default" w:ascii="Times New Roman" w:hAnsi="Times New Roman" w:eastAsia="宋体" w:cs="Times New Roman"/>
          <w:sz w:val="21"/>
          <w:szCs w:val="21"/>
          <w:highlight w:val="none"/>
        </w:rPr>
        <w:t xml:space="preserve"> </w:t>
      </w:r>
    </w:p>
    <w:p w14:paraId="7E99AD8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z w:val="21"/>
          <w:szCs w:val="21"/>
          <w:highlight w:val="none"/>
        </w:rPr>
        <w:t>根据中华人民共和国相关法律法规的规定，乙方在充分理解城市轨道交通车站为特殊经</w:t>
      </w:r>
      <w:r>
        <w:rPr>
          <w:rFonts w:hint="default" w:ascii="Times New Roman" w:hAnsi="Times New Roman" w:eastAsia="宋体" w:cs="Times New Roman"/>
          <w:color w:val="auto"/>
          <w:sz w:val="21"/>
          <w:szCs w:val="21"/>
          <w:highlight w:val="none"/>
        </w:rPr>
        <w:t>营环境的前提下，甲乙双方经充分协商，签订本合同。</w:t>
      </w:r>
    </w:p>
    <w:p w14:paraId="20456D3F">
      <w:pPr>
        <w:pStyle w:val="2"/>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2"/>
          <w:szCs w:val="22"/>
          <w:highlight w:val="none"/>
        </w:rPr>
      </w:pPr>
    </w:p>
    <w:p w14:paraId="45B006B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4"/>
          <w:szCs w:val="24"/>
          <w:highlight w:val="none"/>
        </w:rPr>
      </w:pPr>
      <w:r>
        <w:rPr>
          <w:rFonts w:hint="default" w:ascii="Times New Roman" w:hAnsi="Times New Roman" w:eastAsia="宋体" w:cs="Times New Roman"/>
          <w:b/>
          <w:bCs/>
          <w:color w:val="auto"/>
          <w:spacing w:val="-6"/>
          <w:sz w:val="24"/>
          <w:szCs w:val="24"/>
          <w:highlight w:val="none"/>
        </w:rPr>
        <w:t>第二章  租赁</w:t>
      </w:r>
      <w:r>
        <w:rPr>
          <w:rFonts w:hint="eastAsia" w:ascii="Times New Roman" w:hAnsi="Times New Roman" w:cs="Times New Roman"/>
          <w:b/>
          <w:bCs/>
          <w:color w:val="auto"/>
          <w:spacing w:val="-6"/>
          <w:sz w:val="24"/>
          <w:szCs w:val="24"/>
          <w:highlight w:val="none"/>
          <w:lang w:val="en-US" w:eastAsia="zh-CN"/>
        </w:rPr>
        <w:t>图书馆站地下附属空间</w:t>
      </w:r>
      <w:r>
        <w:rPr>
          <w:rFonts w:hint="default" w:ascii="Times New Roman" w:hAnsi="Times New Roman" w:eastAsia="宋体" w:cs="Times New Roman"/>
          <w:b/>
          <w:bCs/>
          <w:color w:val="auto"/>
          <w:spacing w:val="-6"/>
          <w:sz w:val="24"/>
          <w:szCs w:val="24"/>
          <w:highlight w:val="none"/>
        </w:rPr>
        <w:t>及经营范围</w:t>
      </w:r>
    </w:p>
    <w:p w14:paraId="015BCF29">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第二条</w:t>
      </w:r>
    </w:p>
    <w:p w14:paraId="335C356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经商定，甲方同意将附件1的物业租赁给乙方作为经营用房。</w:t>
      </w:r>
    </w:p>
    <w:p w14:paraId="0493CE6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第三条</w:t>
      </w:r>
    </w:p>
    <w:p w14:paraId="75BCF63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乙方须是具有合法经营资格的组织，或具有完全民事行为能力的自然人，同时须向甲方提供有效的营业执照、身份证等与经营相关的证照资料复印件，乙方须提供以上证照原件供甲方核对。</w:t>
      </w:r>
      <w:r>
        <w:rPr>
          <w:rFonts w:hint="eastAsia" w:ascii="Times New Roman" w:hAnsi="Times New Roman" w:cs="Times New Roman"/>
        </w:rPr>
        <w:t>乙方须保证上述证照资料在租赁期内持续有效。</w:t>
      </w:r>
    </w:p>
    <w:p w14:paraId="725BB32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第四条</w:t>
      </w:r>
    </w:p>
    <w:p w14:paraId="5AB0D7A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乙方各类证照须与实际经营相符，且不得经营包括油漆、打火机充气、油等甲、乙类危险品。租赁期内，未经甲方书面同意，乙方不得改变该物业在附件1中列明的经营品牌及用途，否则甲方有权要求乙方限期纠正，逾期不改的，甲方有权终止合同</w:t>
      </w:r>
      <w:r>
        <w:rPr>
          <w:rFonts w:hint="eastAsia" w:ascii="Times New Roman" w:hAnsi="Times New Roman" w:cs="Times New Roman"/>
          <w:lang w:eastAsia="zh-CN"/>
        </w:rPr>
        <w:t>，</w:t>
      </w:r>
      <w:r>
        <w:rPr>
          <w:rFonts w:hint="eastAsia" w:ascii="Times New Roman" w:hAnsi="Times New Roman" w:cs="Times New Roman"/>
          <w:lang w:val="en-US" w:eastAsia="zh-CN"/>
        </w:rPr>
        <w:t>且造成的所有损失由乙方承担</w:t>
      </w:r>
      <w:r>
        <w:rPr>
          <w:rFonts w:ascii="Times New Roman" w:hAnsi="Times New Roman" w:cs="Times New Roman"/>
        </w:rPr>
        <w:t>。</w:t>
      </w:r>
    </w:p>
    <w:p w14:paraId="5F19C998">
      <w:pPr>
        <w:bidi w:val="0"/>
        <w:ind w:right="-519" w:rightChars="-247"/>
        <w:rPr>
          <w:rFonts w:hint="default" w:ascii="Times New Roman" w:hAnsi="Times New Roman" w:cs="Times New Roman"/>
          <w:color w:val="auto"/>
          <w:sz w:val="20"/>
          <w:szCs w:val="20"/>
          <w:highlight w:val="none"/>
        </w:rPr>
      </w:pPr>
    </w:p>
    <w:p w14:paraId="016E718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4"/>
          <w:szCs w:val="24"/>
          <w:highlight w:val="none"/>
        </w:rPr>
      </w:pPr>
      <w:r>
        <w:rPr>
          <w:rFonts w:hint="default" w:ascii="Times New Roman" w:hAnsi="Times New Roman" w:eastAsia="宋体" w:cs="Times New Roman"/>
          <w:b/>
          <w:bCs/>
          <w:color w:val="auto"/>
          <w:spacing w:val="-6"/>
          <w:sz w:val="24"/>
          <w:szCs w:val="24"/>
          <w:highlight w:val="none"/>
        </w:rPr>
        <w:t>第</w:t>
      </w:r>
      <w:r>
        <w:rPr>
          <w:rFonts w:hint="default" w:ascii="Times New Roman" w:hAnsi="Times New Roman" w:eastAsia="宋体" w:cs="Times New Roman"/>
          <w:b/>
          <w:bCs/>
          <w:color w:val="auto"/>
          <w:spacing w:val="-6"/>
          <w:sz w:val="24"/>
          <w:szCs w:val="24"/>
          <w:highlight w:val="none"/>
          <w:lang w:val="en-US" w:eastAsia="zh-CN"/>
        </w:rPr>
        <w:t>三</w:t>
      </w:r>
      <w:r>
        <w:rPr>
          <w:rFonts w:hint="default" w:ascii="Times New Roman" w:hAnsi="Times New Roman" w:eastAsia="宋体" w:cs="Times New Roman"/>
          <w:b/>
          <w:bCs/>
          <w:color w:val="auto"/>
          <w:spacing w:val="-6"/>
          <w:sz w:val="24"/>
          <w:szCs w:val="24"/>
          <w:highlight w:val="none"/>
        </w:rPr>
        <w:t>章  租赁期限</w:t>
      </w:r>
    </w:p>
    <w:p w14:paraId="3988CBF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第五条</w:t>
      </w:r>
    </w:p>
    <w:p w14:paraId="3D4AC664">
      <w:pPr>
        <w:keepNext w:val="0"/>
        <w:keepLines w:val="0"/>
        <w:pageBreakBefore w:val="0"/>
        <w:widowControl/>
        <w:kinsoku/>
        <w:wordWrap/>
        <w:overflowPunct/>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交付日期和租赁期详见附件1。租赁期自物业交付次日起算，具体交付时间以物业交付表为准。</w:t>
      </w:r>
    </w:p>
    <w:p w14:paraId="216E953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第六条</w:t>
      </w:r>
    </w:p>
    <w:p w14:paraId="627A469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双方特别确认，甲方有权根据</w:t>
      </w:r>
      <w:r>
        <w:rPr>
          <w:rFonts w:hint="eastAsia" w:ascii="Times New Roman" w:hAnsi="Times New Roman"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的实际情况确定、调整交付日期，租赁期自实际交付日起顺延，甲方调整交付日期不构成违约。</w:t>
      </w:r>
    </w:p>
    <w:p w14:paraId="7CF12DC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第七条</w:t>
      </w:r>
    </w:p>
    <w:p w14:paraId="79E2FD1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本合同期满即为合同履行完毕。</w:t>
      </w:r>
    </w:p>
    <w:p w14:paraId="3B1F1DCC">
      <w:pPr>
        <w:pStyle w:val="2"/>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2"/>
          <w:szCs w:val="22"/>
          <w:highlight w:val="none"/>
        </w:rPr>
      </w:pPr>
    </w:p>
    <w:p w14:paraId="357E234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4"/>
          <w:szCs w:val="24"/>
          <w:highlight w:val="none"/>
        </w:rPr>
      </w:pPr>
      <w:r>
        <w:rPr>
          <w:rFonts w:hint="default" w:ascii="Times New Roman" w:hAnsi="Times New Roman" w:eastAsia="宋体" w:cs="Times New Roman"/>
          <w:b/>
          <w:bCs/>
          <w:color w:val="auto"/>
          <w:spacing w:val="-6"/>
          <w:sz w:val="24"/>
          <w:szCs w:val="24"/>
          <w:highlight w:val="none"/>
        </w:rPr>
        <w:t>第四章  费用及支付方法</w:t>
      </w:r>
    </w:p>
    <w:p w14:paraId="38D03BF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第八条</w:t>
      </w:r>
      <w:r>
        <w:rPr>
          <w:rFonts w:hint="default" w:ascii="Times New Roman" w:hAnsi="Times New Roman" w:eastAsia="宋体" w:cs="Times New Roman"/>
          <w:color w:val="auto"/>
          <w:sz w:val="21"/>
          <w:szCs w:val="21"/>
          <w:highlight w:val="none"/>
        </w:rPr>
        <w:t xml:space="preserve">    </w:t>
      </w:r>
    </w:p>
    <w:p w14:paraId="3E10E83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租赁期内，乙方需向甲方支付附件2所列明的租金（以下称“租金”）。该物业租金价格为含增值税的价格。</w:t>
      </w:r>
    </w:p>
    <w:p w14:paraId="059DB893">
      <w:pPr>
        <w:keepNext w:val="0"/>
        <w:keepLines w:val="0"/>
        <w:pageBreakBefore w:val="0"/>
        <w:widowControl/>
        <w:numPr>
          <w:ilvl w:val="0"/>
          <w:numId w:val="2"/>
        </w:numPr>
        <w:kinsoku/>
        <w:wordWrap/>
        <w:overflowPunct w:val="0"/>
        <w:topLinePunct w:val="0"/>
        <w:autoSpaceDE w:val="0"/>
        <w:autoSpaceDN w:val="0"/>
        <w:bidi w:val="0"/>
        <w:adjustRightInd w:val="0"/>
        <w:snapToGrid w:val="0"/>
        <w:spacing w:line="360" w:lineRule="auto"/>
        <w:ind w:right="-519" w:rightChars="-247"/>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 </w:t>
      </w:r>
    </w:p>
    <w:p w14:paraId="69896592">
      <w:pPr>
        <w:keepNext w:val="0"/>
        <w:keepLines w:val="0"/>
        <w:pageBreakBefore w:val="0"/>
        <w:widowControl/>
        <w:numPr>
          <w:ilvl w:val="0"/>
          <w:numId w:val="0"/>
        </w:numPr>
        <w:kinsoku/>
        <w:wordWrap/>
        <w:overflowPunct w:val="0"/>
        <w:topLinePunct w:val="0"/>
        <w:autoSpaceDE w:val="0"/>
        <w:autoSpaceDN w:val="0"/>
        <w:bidi w:val="0"/>
        <w:adjustRightInd w:val="0"/>
        <w:snapToGrid w:val="0"/>
        <w:spacing w:line="360" w:lineRule="auto"/>
        <w:ind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在本合同执行过程中，若国家法律、法规有关于税种、税率调整的，按相关规定执行，含税价租金不变。</w:t>
      </w:r>
    </w:p>
    <w:p w14:paraId="5C82A58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en-US"/>
        </w:rPr>
      </w:pPr>
      <w:r>
        <w:rPr>
          <w:rFonts w:hint="default" w:ascii="Times New Roman" w:hAnsi="Times New Roman" w:eastAsia="宋体" w:cs="Times New Roman"/>
          <w:b/>
          <w:bCs/>
          <w:color w:val="auto"/>
          <w:spacing w:val="2"/>
          <w:sz w:val="21"/>
          <w:szCs w:val="21"/>
          <w:highlight w:val="none"/>
          <w:lang w:val="en-US" w:eastAsia="en-US"/>
        </w:rPr>
        <w:t>第十条</w:t>
      </w:r>
    </w:p>
    <w:p w14:paraId="443BC6D1">
      <w:pPr>
        <w:keepNext w:val="0"/>
        <w:keepLines w:val="0"/>
        <w:pageBreakBefore w:val="0"/>
        <w:widowControl/>
        <w:kinsoku/>
        <w:wordWrap/>
        <w:overflowPunct/>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乙方须按时缴付附件2列明的履约保证金。甲方在收到乙方支付的履约保证金后，开具符合财税要求的收据给乙方。如乙方在合同期及交还期内无任何违约违法行为，按照合同约定交还物业后，履约保证金由甲方无息退还给乙方，乙方应当出具符合财税要求的收据。如乙方在合同期或交还期发生违约违法行为，甲方有权直接从履约保证金中扣除乙方应付的违约金和费用，乙方须在履约保证金扣除5日内将其补足。履约保证金不足以支付违约金和费用的，乙方须在接到甲方通知后5日内另行支付。如双方协商提前终止本合同的，履约保证金按终止协议中相关条款执行。</w:t>
      </w:r>
    </w:p>
    <w:p w14:paraId="419C68D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第十</w:t>
      </w:r>
      <w:r>
        <w:rPr>
          <w:rFonts w:hint="eastAsia" w:ascii="Times New Roman" w:hAnsi="Times New Roman" w:cs="Times New Roman"/>
          <w:b/>
          <w:bCs/>
          <w:color w:val="auto"/>
          <w:spacing w:val="2"/>
          <w:sz w:val="21"/>
          <w:szCs w:val="21"/>
          <w:highlight w:val="none"/>
          <w:lang w:val="en-US" w:eastAsia="zh-CN"/>
        </w:rPr>
        <w:t>一</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5A7795D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color w:val="auto"/>
        </w:rPr>
      </w:pPr>
      <w:r>
        <w:rPr>
          <w:rFonts w:hint="eastAsia" w:ascii="Times New Roman" w:hAnsi="Times New Roman" w:eastAsia="宋体" w:cs="Times New Roman"/>
          <w:color w:val="auto"/>
          <w:sz w:val="21"/>
          <w:szCs w:val="21"/>
          <w:highlight w:val="none"/>
          <w:lang w:val="en-US" w:eastAsia="zh-CN"/>
        </w:rPr>
        <w:t>租赁期内，乙方使用该物业所发生的水、电等公用事业费以及通讯、设备、等其他费用（含水、电传输过程中的损耗）均由乙方承担</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eastAsia="宋体" w:cs="Times New Roman"/>
          <w:color w:val="auto"/>
          <w:sz w:val="21"/>
          <w:szCs w:val="21"/>
          <w:highlight w:val="none"/>
          <w:lang w:val="en-US" w:eastAsia="zh-CN"/>
        </w:rPr>
        <w:t>甲方或其指定单位可提供代收代缴服务，具体费用以甲方或其指定单位出具的缴费账单为准，乙方应在甲方指定时间内向甲方或其指定单位支付上述费用。若因乙方延迟缴纳相关费用导致停水、停电等事宜，由乙方自行解决。</w:t>
      </w:r>
    </w:p>
    <w:p w14:paraId="277185D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第十</w:t>
      </w:r>
      <w:r>
        <w:rPr>
          <w:rFonts w:hint="eastAsia" w:ascii="Times New Roman" w:hAnsi="Times New Roman" w:cs="Times New Roman"/>
          <w:b/>
          <w:bCs/>
          <w:color w:val="auto"/>
          <w:spacing w:val="2"/>
          <w:sz w:val="21"/>
          <w:szCs w:val="21"/>
          <w:highlight w:val="none"/>
          <w:lang w:val="en-US" w:eastAsia="zh-CN"/>
        </w:rPr>
        <w:t>二</w:t>
      </w:r>
      <w:r>
        <w:rPr>
          <w:rFonts w:hint="default" w:ascii="Times New Roman" w:hAnsi="Times New Roman" w:eastAsia="宋体" w:cs="Times New Roman"/>
          <w:b/>
          <w:bCs/>
          <w:color w:val="auto"/>
          <w:spacing w:val="2"/>
          <w:sz w:val="21"/>
          <w:szCs w:val="21"/>
          <w:highlight w:val="none"/>
          <w:lang w:val="en-US" w:eastAsia="zh-CN"/>
        </w:rPr>
        <w:t>条</w:t>
      </w:r>
    </w:p>
    <w:p w14:paraId="7BBA26A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双方因签订和履行本合同而应当缴纳的税费，根据相关法律法规规定由双方各自依法承担。</w:t>
      </w:r>
    </w:p>
    <w:p w14:paraId="5DCC14BB">
      <w:pPr>
        <w:bidi w:val="0"/>
        <w:rPr>
          <w:rFonts w:hint="default"/>
        </w:rPr>
      </w:pPr>
    </w:p>
    <w:p w14:paraId="3C0BC89E">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rPr>
      </w:pPr>
      <w:r>
        <w:rPr>
          <w:rFonts w:hint="default" w:ascii="Times New Roman" w:hAnsi="Times New Roman" w:eastAsia="宋体" w:cs="Times New Roman"/>
          <w:b/>
          <w:bCs/>
          <w:color w:val="auto"/>
          <w:spacing w:val="-6"/>
          <w:sz w:val="22"/>
          <w:szCs w:val="22"/>
          <w:highlight w:val="none"/>
        </w:rPr>
        <w:t>第</w:t>
      </w:r>
      <w:r>
        <w:rPr>
          <w:rFonts w:hint="default" w:ascii="Times New Roman" w:hAnsi="Times New Roman" w:eastAsia="宋体" w:cs="Times New Roman"/>
          <w:b/>
          <w:bCs/>
          <w:color w:val="auto"/>
          <w:spacing w:val="-6"/>
          <w:sz w:val="22"/>
          <w:szCs w:val="22"/>
          <w:highlight w:val="none"/>
          <w:lang w:val="en-US" w:eastAsia="zh-CN"/>
        </w:rPr>
        <w:t>五</w:t>
      </w:r>
      <w:r>
        <w:rPr>
          <w:rFonts w:hint="default" w:ascii="Times New Roman" w:hAnsi="Times New Roman" w:eastAsia="宋体" w:cs="Times New Roman"/>
          <w:b/>
          <w:bCs/>
          <w:color w:val="auto"/>
          <w:spacing w:val="-6"/>
          <w:sz w:val="22"/>
          <w:szCs w:val="22"/>
          <w:highlight w:val="none"/>
        </w:rPr>
        <w:t>章  甲方权利和义务</w:t>
      </w:r>
    </w:p>
    <w:p w14:paraId="0F00287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第十</w:t>
      </w:r>
      <w:r>
        <w:rPr>
          <w:rFonts w:hint="eastAsia" w:ascii="Times New Roman" w:hAnsi="Times New Roman" w:cs="Times New Roman"/>
          <w:b/>
          <w:bCs/>
          <w:color w:val="auto"/>
          <w:spacing w:val="2"/>
          <w:sz w:val="21"/>
          <w:szCs w:val="21"/>
          <w:highlight w:val="none"/>
          <w:lang w:val="en-US" w:eastAsia="zh-CN"/>
        </w:rPr>
        <w:t>三</w:t>
      </w:r>
      <w:r>
        <w:rPr>
          <w:rFonts w:hint="default" w:ascii="Times New Roman" w:hAnsi="Times New Roman" w:eastAsia="宋体" w:cs="Times New Roman"/>
          <w:b/>
          <w:bCs/>
          <w:color w:val="auto"/>
          <w:spacing w:val="2"/>
          <w:sz w:val="21"/>
          <w:szCs w:val="21"/>
          <w:highlight w:val="none"/>
          <w:lang w:val="en-US" w:eastAsia="zh-CN"/>
        </w:rPr>
        <w:t>条</w:t>
      </w:r>
    </w:p>
    <w:p w14:paraId="599D651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甲方保证对该租赁</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有使用权和出租权。</w:t>
      </w:r>
    </w:p>
    <w:p w14:paraId="68104CA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第十</w:t>
      </w:r>
      <w:r>
        <w:rPr>
          <w:rFonts w:hint="eastAsia" w:ascii="Times New Roman" w:hAnsi="Times New Roman" w:cs="Times New Roman"/>
          <w:b/>
          <w:bCs/>
          <w:color w:val="auto"/>
          <w:spacing w:val="2"/>
          <w:sz w:val="21"/>
          <w:szCs w:val="21"/>
          <w:highlight w:val="none"/>
          <w:lang w:val="en-US" w:eastAsia="zh-CN"/>
        </w:rPr>
        <w:t>四</w:t>
      </w:r>
      <w:r>
        <w:rPr>
          <w:rFonts w:hint="default" w:ascii="Times New Roman" w:hAnsi="Times New Roman" w:eastAsia="宋体" w:cs="Times New Roman"/>
          <w:b/>
          <w:bCs/>
          <w:color w:val="auto"/>
          <w:spacing w:val="2"/>
          <w:sz w:val="21"/>
          <w:szCs w:val="21"/>
          <w:highlight w:val="none"/>
          <w:lang w:val="en-US" w:eastAsia="zh-CN"/>
        </w:rPr>
        <w:t>条</w:t>
      </w:r>
    </w:p>
    <w:p w14:paraId="4B69FFA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甲方应对乙方办理经营、设计、装修所需的或可能发生的环保、通讯、消防、卫生及其政府规定的申请报批手续给予必要的协助。</w:t>
      </w:r>
    </w:p>
    <w:p w14:paraId="04D28989">
      <w:pPr>
        <w:widowControl/>
        <w:autoSpaceDE w:val="0"/>
        <w:autoSpaceDN w:val="0"/>
        <w:adjustRightInd w:val="0"/>
        <w:snapToGrid w:val="0"/>
        <w:ind w:right="-519" w:rightChars="-247"/>
        <w:textAlignment w:val="baseline"/>
        <w:rPr>
          <w:rFonts w:ascii="Times New Roman" w:hAnsi="Times New Roman" w:cs="Times New Roman"/>
          <w:b/>
          <w:bCs/>
          <w:spacing w:val="2"/>
        </w:rPr>
      </w:pPr>
      <w:r>
        <w:rPr>
          <w:rFonts w:ascii="Times New Roman" w:hAnsi="Times New Roman" w:cs="Times New Roman"/>
          <w:b/>
          <w:bCs/>
          <w:spacing w:val="2"/>
        </w:rPr>
        <w:t>第十</w:t>
      </w:r>
      <w:r>
        <w:rPr>
          <w:rFonts w:hint="eastAsia" w:ascii="Times New Roman" w:hAnsi="Times New Roman" w:cs="Times New Roman"/>
          <w:b/>
          <w:bCs/>
          <w:spacing w:val="2"/>
        </w:rPr>
        <w:t>五</w:t>
      </w:r>
      <w:r>
        <w:rPr>
          <w:rFonts w:ascii="Times New Roman" w:hAnsi="Times New Roman" w:cs="Times New Roman"/>
          <w:b/>
          <w:bCs/>
          <w:spacing w:val="2"/>
        </w:rPr>
        <w:t>条</w:t>
      </w:r>
    </w:p>
    <w:p w14:paraId="1BF307F7">
      <w:pPr>
        <w:widowControl/>
        <w:overflowPunct w:val="0"/>
        <w:autoSpaceDE w:val="0"/>
        <w:autoSpaceDN w:val="0"/>
        <w:adjustRightInd w:val="0"/>
        <w:snapToGrid w:val="0"/>
        <w:ind w:right="-519" w:rightChars="-247" w:firstLine="420" w:firstLineChars="200"/>
        <w:textAlignment w:val="baseline"/>
        <w:rPr>
          <w:rFonts w:ascii="Times New Roman" w:hAnsi="Times New Roman" w:cs="Times New Roman"/>
          <w:b/>
          <w:bCs/>
          <w:spacing w:val="2"/>
        </w:rPr>
      </w:pPr>
      <w:r>
        <w:rPr>
          <w:rFonts w:ascii="Times New Roman" w:hAnsi="Times New Roman" w:cs="Times New Roman"/>
        </w:rPr>
        <w:t>甲方保留可不时制订、引进或修改、采用、废除任何其认为经营和维持</w:t>
      </w:r>
      <w:r>
        <w:rPr>
          <w:rFonts w:hint="eastAsia" w:ascii="Times New Roman" w:hAnsi="Times New Roman" w:cs="Times New Roman"/>
        </w:rPr>
        <w:t>图书馆站地下附属空间</w:t>
      </w:r>
      <w:r>
        <w:rPr>
          <w:rFonts w:ascii="Times New Roman" w:hAnsi="Times New Roman" w:cs="Times New Roman"/>
        </w:rPr>
        <w:t>所必要的一切管理规章制度的权利</w:t>
      </w:r>
      <w:r>
        <w:rPr>
          <w:rFonts w:hint="eastAsia" w:ascii="Times New Roman" w:hAnsi="Times New Roman" w:cs="Times New Roman"/>
        </w:rPr>
        <w:t>，乙方应无条件遵守</w:t>
      </w:r>
      <w:r>
        <w:rPr>
          <w:rFonts w:ascii="Times New Roman" w:hAnsi="Times New Roman" w:cs="Times New Roman"/>
        </w:rPr>
        <w:t>。</w:t>
      </w:r>
    </w:p>
    <w:p w14:paraId="5585553D">
      <w:pPr>
        <w:widowControl/>
        <w:autoSpaceDE w:val="0"/>
        <w:autoSpaceDN w:val="0"/>
        <w:adjustRightInd w:val="0"/>
        <w:snapToGrid w:val="0"/>
        <w:ind w:right="-519" w:rightChars="-247"/>
        <w:textAlignment w:val="baseline"/>
        <w:rPr>
          <w:rFonts w:ascii="Times New Roman" w:hAnsi="Times New Roman" w:cs="Times New Roman"/>
        </w:rPr>
      </w:pPr>
      <w:r>
        <w:rPr>
          <w:rFonts w:ascii="Times New Roman" w:hAnsi="Times New Roman" w:cs="Times New Roman"/>
          <w:b/>
          <w:bCs/>
          <w:spacing w:val="2"/>
        </w:rPr>
        <w:t>第十</w:t>
      </w:r>
      <w:r>
        <w:rPr>
          <w:rFonts w:hint="eastAsia" w:ascii="Times New Roman" w:hAnsi="Times New Roman" w:cs="Times New Roman"/>
          <w:b/>
          <w:bCs/>
          <w:spacing w:val="2"/>
        </w:rPr>
        <w:t>六</w:t>
      </w:r>
      <w:r>
        <w:rPr>
          <w:rFonts w:ascii="Times New Roman" w:hAnsi="Times New Roman" w:cs="Times New Roman"/>
          <w:b/>
          <w:bCs/>
          <w:spacing w:val="2"/>
        </w:rPr>
        <w:t>条</w:t>
      </w:r>
    </w:p>
    <w:p w14:paraId="7723DC13">
      <w:pPr>
        <w:widowControl/>
        <w:overflowPunct w:val="0"/>
        <w:autoSpaceDE w:val="0"/>
        <w:autoSpaceDN w:val="0"/>
        <w:adjustRightInd w:val="0"/>
        <w:snapToGrid w:val="0"/>
        <w:ind w:right="-519" w:rightChars="-247" w:firstLine="420" w:firstLineChars="200"/>
        <w:textAlignment w:val="baseline"/>
        <w:rPr>
          <w:rFonts w:ascii="Times New Roman" w:hAnsi="Times New Roman" w:cs="Times New Roman"/>
          <w:b/>
          <w:bCs/>
          <w:spacing w:val="2"/>
        </w:rPr>
      </w:pPr>
      <w:r>
        <w:rPr>
          <w:rFonts w:ascii="Times New Roman" w:hAnsi="Times New Roman" w:cs="Times New Roman"/>
        </w:rPr>
        <w:t>对乙方在经营业态、安全管理、合法经营等合同执行方面有违反本合同约定，并且严重影响甲方、南通轨道交通形象和信誉的行为，甲方有权要求乙方限期整改，在合理整改期限内如乙方拒绝整改或怠于整改，甲方有权采取停止水、电供应等相关措施，直至终止合同</w:t>
      </w:r>
      <w:r>
        <w:rPr>
          <w:rFonts w:hint="eastAsia" w:ascii="Times New Roman" w:hAnsi="Times New Roman" w:cs="Times New Roman"/>
        </w:rPr>
        <w:t>，由此造成的损失由乙方自行承担</w:t>
      </w:r>
      <w:r>
        <w:rPr>
          <w:rFonts w:ascii="Times New Roman" w:hAnsi="Times New Roman" w:cs="Times New Roman"/>
        </w:rPr>
        <w:t>。</w:t>
      </w:r>
    </w:p>
    <w:p w14:paraId="371988B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十七</w:t>
      </w:r>
      <w:r>
        <w:rPr>
          <w:rFonts w:hint="default" w:ascii="Times New Roman" w:hAnsi="Times New Roman" w:eastAsia="宋体" w:cs="Times New Roman"/>
          <w:b/>
          <w:bCs/>
          <w:color w:val="auto"/>
          <w:spacing w:val="2"/>
          <w:sz w:val="21"/>
          <w:szCs w:val="21"/>
          <w:highlight w:val="none"/>
          <w:lang w:val="en-US" w:eastAsia="zh-CN"/>
        </w:rPr>
        <w:t>条</w:t>
      </w:r>
    </w:p>
    <w:p w14:paraId="7917079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在租赁期内，甲方有权进入租赁</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内对物业及设备设施进行检查，甲方应提前</w:t>
      </w:r>
      <w:r>
        <w:rPr>
          <w:rFonts w:hint="default" w:ascii="Times New Roman" w:hAnsi="Times New Roman" w:eastAsia="宋体" w:cs="Times New Roman"/>
          <w:color w:val="auto"/>
          <w:sz w:val="21"/>
          <w:szCs w:val="21"/>
          <w:highlight w:val="none"/>
          <w:u w:val="single"/>
          <w:lang w:val="en-US" w:eastAsia="zh-CN"/>
        </w:rPr>
        <w:t xml:space="preserve"> 5 </w:t>
      </w:r>
      <w:r>
        <w:rPr>
          <w:rFonts w:hint="default" w:ascii="Times New Roman" w:hAnsi="Times New Roman" w:eastAsia="宋体" w:cs="Times New Roman"/>
          <w:color w:val="auto"/>
          <w:sz w:val="21"/>
          <w:szCs w:val="21"/>
          <w:highlight w:val="none"/>
          <w:lang w:val="en-US" w:eastAsia="zh-CN"/>
        </w:rPr>
        <w:t>个工作日书面通知乙方，乙方应协助并配合甲方进入租赁</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对物业及设备设施进行检查。如发现损坏或使用不当等情况，甲方立即告知乙方整改，乙方须在甲方规定的期限内完成整改，如遇特殊情况的，双方另行协商。否则甲方有权自行采取相应整改措施，所产生的费用由乙方承担。</w:t>
      </w:r>
    </w:p>
    <w:p w14:paraId="68B8CCC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十八</w:t>
      </w:r>
      <w:r>
        <w:rPr>
          <w:rFonts w:hint="default" w:ascii="Times New Roman" w:hAnsi="Times New Roman" w:eastAsia="宋体" w:cs="Times New Roman"/>
          <w:b/>
          <w:bCs/>
          <w:color w:val="auto"/>
          <w:spacing w:val="2"/>
          <w:sz w:val="21"/>
          <w:szCs w:val="21"/>
          <w:highlight w:val="none"/>
          <w:lang w:val="en-US" w:eastAsia="zh-CN"/>
        </w:rPr>
        <w:t>条</w:t>
      </w:r>
    </w:p>
    <w:p w14:paraId="44F0188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在租赁期内，甲方有权进入租赁</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内进行用电、消防等相关的检查，但不得影响乙方的正常经营活动，乙方应当对甲方的检查予以配合。对于检查发现的问题，甲方有权采取相应措施，责令乙方进行整改，乙方应当立即整改。</w:t>
      </w:r>
    </w:p>
    <w:p w14:paraId="2B69168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十九</w:t>
      </w:r>
      <w:r>
        <w:rPr>
          <w:rFonts w:hint="default" w:ascii="Times New Roman" w:hAnsi="Times New Roman" w:eastAsia="宋体" w:cs="Times New Roman"/>
          <w:b/>
          <w:bCs/>
          <w:color w:val="auto"/>
          <w:spacing w:val="2"/>
          <w:sz w:val="21"/>
          <w:szCs w:val="21"/>
          <w:highlight w:val="none"/>
          <w:lang w:val="en-US" w:eastAsia="zh-CN"/>
        </w:rPr>
        <w:t>条</w:t>
      </w:r>
    </w:p>
    <w:p w14:paraId="5F8CD8C6">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如乙方因服务态度或商品质量问题被社会新闻等媒体曝光或造成不良影响的，甲方有权要求乙方停业整顿，乙方应承担因此给甲方造成的一切损失。</w:t>
      </w:r>
    </w:p>
    <w:p w14:paraId="0A6119D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第二十条</w:t>
      </w:r>
    </w:p>
    <w:p w14:paraId="5216276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租赁</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所在地铁车站内的任何部分因电梯、自动扶梯、防火、保安设备、空气调节设备或其他设备的任何缺陷或故障，或因电力、自来水、电话等供应的失效、故障、暂停，或因有水、烟、火或任何其他物质泄漏，或因老鼠、白蚁、蟑螂、其他害虫的滋生，或因遭受爆炸、盗窃、抢劫，而对乙方或任何其他人员造成任何财产损失或破坏，甲方不必对乙方或任何其他人员负责。如上述情况是因甲方的过错直接引起的，甲方仅赔偿乙方因此而遭受的有形财产损毁而发生的直接经济损失。</w:t>
      </w:r>
    </w:p>
    <w:p w14:paraId="1795DB4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第二十</w:t>
      </w:r>
      <w:r>
        <w:rPr>
          <w:rFonts w:hint="eastAsia" w:ascii="Times New Roman" w:hAnsi="Times New Roman" w:cs="Times New Roman"/>
          <w:b/>
          <w:bCs/>
          <w:color w:val="auto"/>
          <w:spacing w:val="2"/>
          <w:sz w:val="21"/>
          <w:szCs w:val="21"/>
          <w:highlight w:val="none"/>
          <w:lang w:val="en-US" w:eastAsia="zh-CN"/>
        </w:rPr>
        <w:t>一</w:t>
      </w:r>
      <w:r>
        <w:rPr>
          <w:rFonts w:hint="default" w:ascii="Times New Roman" w:hAnsi="Times New Roman" w:eastAsia="宋体" w:cs="Times New Roman"/>
          <w:b/>
          <w:bCs/>
          <w:color w:val="auto"/>
          <w:spacing w:val="2"/>
          <w:sz w:val="21"/>
          <w:szCs w:val="21"/>
          <w:highlight w:val="none"/>
          <w:lang w:val="en-US" w:eastAsia="zh-CN"/>
        </w:rPr>
        <w:t>条</w:t>
      </w:r>
    </w:p>
    <w:p w14:paraId="7B6A2571">
      <w:pPr>
        <w:widowControl/>
        <w:overflowPunct w:val="0"/>
        <w:autoSpaceDE w:val="0"/>
        <w:autoSpaceDN w:val="0"/>
        <w:adjustRightInd w:val="0"/>
        <w:snapToGrid w:val="0"/>
        <w:ind w:right="-519" w:rightChars="-247" w:firstLine="420" w:firstLineChars="200"/>
        <w:textAlignment w:val="baseline"/>
        <w:rPr>
          <w:rFonts w:ascii="Times New Roman" w:hAnsi="Times New Roman" w:cs="Times New Roman"/>
        </w:rPr>
      </w:pPr>
      <w:r>
        <w:rPr>
          <w:rFonts w:ascii="Times New Roman" w:hAnsi="Times New Roman" w:cs="Times New Roman"/>
        </w:rPr>
        <w:t>甲方保留在租赁期内的任何时候，无需征得乙方的同意，变更、修缮、及临时封闭</w:t>
      </w:r>
      <w:r>
        <w:rPr>
          <w:rFonts w:hint="eastAsia" w:ascii="Times New Roman" w:hAnsi="Times New Roman" w:cs="Times New Roman"/>
        </w:rPr>
        <w:t>图书馆站地下附属空间</w:t>
      </w:r>
      <w:r>
        <w:rPr>
          <w:rFonts w:ascii="Times New Roman" w:hAnsi="Times New Roman" w:cs="Times New Roman"/>
        </w:rPr>
        <w:t>公共部位/区域或其部分包括走道、门户、窗户、电动装置、电缆电线、水管信道、电梯、自动楼梯、防火、保安设备、空气调节设备等结构的权利，同时亦保留更换</w:t>
      </w:r>
      <w:r>
        <w:rPr>
          <w:rFonts w:hint="eastAsia" w:ascii="Times New Roman" w:hAnsi="Times New Roman" w:cs="Times New Roman"/>
        </w:rPr>
        <w:t>图书馆站地下附属空间</w:t>
      </w:r>
      <w:r>
        <w:rPr>
          <w:rFonts w:ascii="Times New Roman" w:hAnsi="Times New Roman" w:cs="Times New Roman"/>
        </w:rPr>
        <w:t>公共部位/区域整体结构、布局及安排的权利</w:t>
      </w:r>
      <w:r>
        <w:rPr>
          <w:rFonts w:hint="eastAsia" w:ascii="Times New Roman" w:hAnsi="Times New Roman" w:cs="Times New Roman"/>
        </w:rPr>
        <w:t>，乙方不得以此主张违约金、要求减免租金或赔偿损失</w:t>
      </w:r>
      <w:r>
        <w:rPr>
          <w:rFonts w:ascii="Times New Roman" w:hAnsi="Times New Roman" w:cs="Times New Roman"/>
        </w:rPr>
        <w:t>。</w:t>
      </w:r>
    </w:p>
    <w:p w14:paraId="39294D6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第二十</w:t>
      </w:r>
      <w:r>
        <w:rPr>
          <w:rFonts w:hint="eastAsia" w:ascii="Times New Roman" w:hAnsi="Times New Roman" w:cs="Times New Roman"/>
          <w:b/>
          <w:bCs/>
          <w:color w:val="auto"/>
          <w:spacing w:val="2"/>
          <w:sz w:val="21"/>
          <w:szCs w:val="21"/>
          <w:highlight w:val="none"/>
          <w:lang w:val="en-US" w:eastAsia="zh-CN"/>
        </w:rPr>
        <w:t>二</w:t>
      </w:r>
      <w:r>
        <w:rPr>
          <w:rFonts w:hint="default" w:ascii="Times New Roman" w:hAnsi="Times New Roman" w:eastAsia="宋体" w:cs="Times New Roman"/>
          <w:b/>
          <w:bCs/>
          <w:color w:val="auto"/>
          <w:spacing w:val="2"/>
          <w:sz w:val="21"/>
          <w:szCs w:val="21"/>
          <w:highlight w:val="none"/>
          <w:lang w:val="en-US" w:eastAsia="zh-CN"/>
        </w:rPr>
        <w:t>条</w:t>
      </w:r>
    </w:p>
    <w:p w14:paraId="648F08E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如在任何时间内非因甲方的过错，该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的水、电供应或空调服务停止供应或</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的任何公共设施停止运作，甲方不必为此而向乙方承担任何赔偿责任或减免乙方租金、物业管理费（如有）及其他费用。甲方向该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提供的保安人员、管理人员、任何性质的机械、电子防盗系统（如有），不构成甲方对该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 xml:space="preserve">或其内之财物的保安、保管责任。 </w:t>
      </w:r>
    </w:p>
    <w:p w14:paraId="046DBE9F">
      <w:pPr>
        <w:widowControl/>
        <w:overflowPunct w:val="0"/>
        <w:autoSpaceDE w:val="0"/>
        <w:autoSpaceDN w:val="0"/>
        <w:adjustRightInd w:val="0"/>
        <w:snapToGrid w:val="0"/>
        <w:ind w:right="-519" w:rightChars="-247" w:firstLine="420" w:firstLineChars="200"/>
        <w:textAlignment w:val="baseline"/>
        <w:rPr>
          <w:rFonts w:ascii="Times New Roman" w:hAnsi="Times New Roman" w:cs="Times New Roman"/>
        </w:rPr>
      </w:pPr>
      <w:r>
        <w:rPr>
          <w:rFonts w:ascii="Times New Roman" w:hAnsi="Times New Roman" w:cs="Times New Roman"/>
        </w:rPr>
        <w:t>甲方保留利用租赁</w:t>
      </w:r>
      <w:r>
        <w:rPr>
          <w:rFonts w:hint="eastAsia" w:ascii="Times New Roman" w:hAnsi="Times New Roman" w:cs="Times New Roman"/>
        </w:rPr>
        <w:t>图书馆站地下附属空间</w:t>
      </w:r>
      <w:r>
        <w:rPr>
          <w:rFonts w:ascii="Times New Roman" w:hAnsi="Times New Roman" w:cs="Times New Roman"/>
        </w:rPr>
        <w:t>的外墙（如果有）作任何用途的权利，但行使该权利时不能影响乙方正常经营。根据南通轨道交通运营的需要，甲方有权调整、改进、扩充、增加、减少或取消该</w:t>
      </w:r>
      <w:r>
        <w:rPr>
          <w:rFonts w:hint="eastAsia" w:ascii="Times New Roman" w:hAnsi="Times New Roman" w:cs="Times New Roman"/>
        </w:rPr>
        <w:t>图书馆站地下附属空间</w:t>
      </w:r>
      <w:r>
        <w:rPr>
          <w:rFonts w:ascii="Times New Roman" w:hAnsi="Times New Roman" w:cs="Times New Roman"/>
        </w:rPr>
        <w:t>的权利。乙方如果不同意甲方的决议，则双方的合同解除。甲方</w:t>
      </w:r>
      <w:r>
        <w:rPr>
          <w:rFonts w:hint="eastAsia" w:ascii="Times New Roman" w:hAnsi="Times New Roman" w:cs="Times New Roman"/>
          <w:lang w:val="en-US" w:eastAsia="zh-CN"/>
        </w:rPr>
        <w:t>无息</w:t>
      </w:r>
      <w:r>
        <w:rPr>
          <w:rFonts w:ascii="Times New Roman" w:hAnsi="Times New Roman" w:cs="Times New Roman"/>
        </w:rPr>
        <w:t>退回乙方已支付但还未执行的租金及履约保证金，除此外，甲方不作任何补偿或赔偿，且不承担任何违约责任。</w:t>
      </w:r>
    </w:p>
    <w:p w14:paraId="17F1FBEA">
      <w:pPr>
        <w:bidi w:val="0"/>
        <w:ind w:right="-519" w:rightChars="-247"/>
        <w:rPr>
          <w:rFonts w:hint="default" w:ascii="Times New Roman" w:hAnsi="Times New Roman" w:cs="Times New Roman"/>
          <w:sz w:val="20"/>
          <w:szCs w:val="20"/>
          <w:highlight w:val="none"/>
        </w:rPr>
      </w:pPr>
    </w:p>
    <w:p w14:paraId="7B4A4134">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rPr>
      </w:pPr>
      <w:r>
        <w:rPr>
          <w:rFonts w:hint="default" w:ascii="Times New Roman" w:hAnsi="Times New Roman" w:eastAsia="宋体" w:cs="Times New Roman"/>
          <w:b/>
          <w:bCs/>
          <w:color w:val="auto"/>
          <w:spacing w:val="-6"/>
          <w:sz w:val="22"/>
          <w:szCs w:val="22"/>
          <w:highlight w:val="none"/>
        </w:rPr>
        <w:t xml:space="preserve">第六章 </w:t>
      </w:r>
      <w:r>
        <w:rPr>
          <w:rFonts w:hint="default" w:ascii="Times New Roman" w:hAnsi="Times New Roman" w:cs="Times New Roman"/>
          <w:b/>
          <w:bCs/>
          <w:color w:val="auto"/>
          <w:spacing w:val="-6"/>
          <w:sz w:val="22"/>
          <w:szCs w:val="22"/>
          <w:highlight w:val="none"/>
          <w:lang w:val="en-US" w:eastAsia="zh-CN"/>
        </w:rPr>
        <w:t xml:space="preserve"> </w:t>
      </w:r>
      <w:r>
        <w:rPr>
          <w:rFonts w:hint="default" w:ascii="Times New Roman" w:hAnsi="Times New Roman" w:eastAsia="宋体" w:cs="Times New Roman"/>
          <w:b/>
          <w:bCs/>
          <w:color w:val="auto"/>
          <w:spacing w:val="-6"/>
          <w:sz w:val="22"/>
          <w:szCs w:val="22"/>
          <w:highlight w:val="none"/>
        </w:rPr>
        <w:t>乙方权利和义务</w:t>
      </w:r>
    </w:p>
    <w:p w14:paraId="56FA46F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第二十</w:t>
      </w:r>
      <w:r>
        <w:rPr>
          <w:rFonts w:hint="eastAsia" w:ascii="Times New Roman" w:hAnsi="Times New Roman" w:cs="Times New Roman"/>
          <w:b/>
          <w:bCs/>
          <w:color w:val="auto"/>
          <w:spacing w:val="2"/>
          <w:sz w:val="21"/>
          <w:szCs w:val="21"/>
          <w:highlight w:val="none"/>
          <w:lang w:val="en-US" w:eastAsia="zh-CN"/>
        </w:rPr>
        <w:t>三</w:t>
      </w:r>
      <w:r>
        <w:rPr>
          <w:rFonts w:hint="default" w:ascii="Times New Roman" w:hAnsi="Times New Roman" w:eastAsia="宋体" w:cs="Times New Roman"/>
          <w:b/>
          <w:bCs/>
          <w:color w:val="auto"/>
          <w:spacing w:val="2"/>
          <w:sz w:val="21"/>
          <w:szCs w:val="21"/>
          <w:highlight w:val="none"/>
          <w:lang w:val="en-US" w:eastAsia="zh-CN"/>
        </w:rPr>
        <w:t>条</w:t>
      </w:r>
    </w:p>
    <w:p w14:paraId="46F0C8C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乙方保证接受并服从甲方的统一经营管理。</w:t>
      </w:r>
    </w:p>
    <w:p w14:paraId="09F4407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第二十</w:t>
      </w:r>
      <w:r>
        <w:rPr>
          <w:rFonts w:hint="eastAsia" w:ascii="Times New Roman" w:hAnsi="Times New Roman" w:cs="Times New Roman"/>
          <w:b/>
          <w:bCs/>
          <w:color w:val="auto"/>
          <w:spacing w:val="2"/>
          <w:sz w:val="21"/>
          <w:szCs w:val="21"/>
          <w:highlight w:val="none"/>
          <w:lang w:val="en-US" w:eastAsia="zh-CN"/>
        </w:rPr>
        <w:t>四</w:t>
      </w:r>
      <w:r>
        <w:rPr>
          <w:rFonts w:hint="default" w:ascii="Times New Roman" w:hAnsi="Times New Roman" w:eastAsia="宋体" w:cs="Times New Roman"/>
          <w:b/>
          <w:bCs/>
          <w:color w:val="auto"/>
          <w:spacing w:val="2"/>
          <w:sz w:val="21"/>
          <w:szCs w:val="21"/>
          <w:highlight w:val="none"/>
          <w:lang w:val="en-US" w:eastAsia="zh-CN"/>
        </w:rPr>
        <w:t>条</w:t>
      </w:r>
    </w:p>
    <w:p w14:paraId="708D7B3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乙方在</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内从事经营活动时，应当遵守包括环境保护、卫生、防疫、文化、治安、消防管理在内的各项法律、法规、规定。</w:t>
      </w:r>
    </w:p>
    <w:p w14:paraId="47BF602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第二十</w:t>
      </w:r>
      <w:r>
        <w:rPr>
          <w:rFonts w:hint="eastAsia" w:ascii="Times New Roman" w:hAnsi="Times New Roman" w:cs="Times New Roman"/>
          <w:b/>
          <w:bCs/>
          <w:color w:val="auto"/>
          <w:spacing w:val="2"/>
          <w:sz w:val="21"/>
          <w:szCs w:val="21"/>
          <w:highlight w:val="none"/>
          <w:lang w:val="en-US" w:eastAsia="zh-CN"/>
        </w:rPr>
        <w:t>五</w:t>
      </w:r>
      <w:r>
        <w:rPr>
          <w:rFonts w:hint="default" w:ascii="Times New Roman" w:hAnsi="Times New Roman" w:eastAsia="宋体" w:cs="Times New Roman"/>
          <w:b/>
          <w:bCs/>
          <w:color w:val="auto"/>
          <w:spacing w:val="2"/>
          <w:sz w:val="21"/>
          <w:szCs w:val="21"/>
          <w:highlight w:val="none"/>
          <w:lang w:val="en-US" w:eastAsia="zh-CN"/>
        </w:rPr>
        <w:t>条</w:t>
      </w:r>
    </w:p>
    <w:p w14:paraId="7B10837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乙方自行负责</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物品的安全保卫工作，并承担因此而产生的一切费用和责任。因乙方经营管理等原因，发生的消防、治安等安全问题，由乙方承担全部责任。因此造成甲方损失的，乙方应赔偿甲方损失。甲乙双方另行签署《南通轨道资源开发有限公司（经营、租赁类）外单位作业安全、消防、治安管理协议》。</w:t>
      </w:r>
    </w:p>
    <w:p w14:paraId="1DCCA9F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第二十</w:t>
      </w:r>
      <w:r>
        <w:rPr>
          <w:rFonts w:hint="eastAsia" w:ascii="Times New Roman" w:hAnsi="Times New Roman" w:cs="Times New Roman"/>
          <w:b/>
          <w:bCs/>
          <w:color w:val="auto"/>
          <w:spacing w:val="2"/>
          <w:sz w:val="21"/>
          <w:szCs w:val="21"/>
          <w:highlight w:val="none"/>
          <w:lang w:val="en-US" w:eastAsia="zh-CN"/>
        </w:rPr>
        <w:t>六</w:t>
      </w:r>
      <w:r>
        <w:rPr>
          <w:rFonts w:hint="default" w:ascii="Times New Roman" w:hAnsi="Times New Roman" w:eastAsia="宋体" w:cs="Times New Roman"/>
          <w:b/>
          <w:bCs/>
          <w:color w:val="auto"/>
          <w:spacing w:val="2"/>
          <w:sz w:val="21"/>
          <w:szCs w:val="21"/>
          <w:highlight w:val="none"/>
          <w:lang w:val="en-US" w:eastAsia="zh-CN"/>
        </w:rPr>
        <w:t>条</w:t>
      </w:r>
    </w:p>
    <w:p w14:paraId="091DFFF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乙方应加强经营管理，严格遵守《南通轨道交通</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日常经营管理规定》（附件</w:t>
      </w:r>
      <w:r>
        <w:rPr>
          <w:rFonts w:hint="eastAsia"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）等甲方制定的并不时修改的有关该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管理的所有规章制度（包括日常管理规定、装修管理规定、商户手册等），并保证其经营行为不损害其他任何第三方的利益。如乙方管理不善，出现违反本合同、地铁运营规范或上述规章制度等要求的，给地铁安全、服务等造成严重不良社会影响的，甲方有权追究乙方相应的违约责任。</w:t>
      </w:r>
    </w:p>
    <w:p w14:paraId="0AE82C7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第二十</w:t>
      </w:r>
      <w:r>
        <w:rPr>
          <w:rFonts w:hint="eastAsia" w:ascii="Times New Roman" w:hAnsi="Times New Roman" w:cs="Times New Roman"/>
          <w:b/>
          <w:bCs/>
          <w:color w:val="auto"/>
          <w:spacing w:val="2"/>
          <w:sz w:val="21"/>
          <w:szCs w:val="21"/>
          <w:highlight w:val="none"/>
          <w:lang w:val="en-US" w:eastAsia="zh-CN"/>
        </w:rPr>
        <w:t>七</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36E5F32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乙方确认，甲方不承担该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内乙方、乙方工作人员、乙方顾客和访客或其他乙方相关人员的人身、财产的安全义务。</w:t>
      </w:r>
    </w:p>
    <w:p w14:paraId="3DBD803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第二十</w:t>
      </w:r>
      <w:r>
        <w:rPr>
          <w:rFonts w:hint="eastAsia" w:ascii="Times New Roman" w:hAnsi="Times New Roman" w:cs="Times New Roman"/>
          <w:b/>
          <w:bCs/>
          <w:color w:val="auto"/>
          <w:spacing w:val="2"/>
          <w:sz w:val="21"/>
          <w:szCs w:val="21"/>
          <w:highlight w:val="none"/>
          <w:lang w:val="en-US" w:eastAsia="zh-CN"/>
        </w:rPr>
        <w:t>八</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0F5F91F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乙方在任何时间都应自行对该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或其内之财物负责，对其放置于该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内的货物、设备、材料等，应自行采取保护措施，否则，因此导致乙方的损失或给甲方及第三方造成的损失由乙方承担。</w:t>
      </w:r>
    </w:p>
    <w:p w14:paraId="5C83FAD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二十九</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79F667B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乙方保证及时办齐经营相关的各类证照，并将复印件提交甲方备案。</w:t>
      </w:r>
    </w:p>
    <w:p w14:paraId="025BECB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第三十条</w:t>
      </w:r>
    </w:p>
    <w:p w14:paraId="305F7AB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乙方因经营所涉及的消防等所有相关报验手续由乙方自行办理并承担相关费用，甲方须予以帮助配合。</w:t>
      </w:r>
    </w:p>
    <w:p w14:paraId="6FB9217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第三十</w:t>
      </w:r>
      <w:r>
        <w:rPr>
          <w:rFonts w:hint="eastAsia" w:ascii="Times New Roman" w:hAnsi="Times New Roman" w:cs="Times New Roman"/>
          <w:b/>
          <w:bCs/>
          <w:color w:val="auto"/>
          <w:spacing w:val="2"/>
          <w:sz w:val="21"/>
          <w:szCs w:val="21"/>
          <w:highlight w:val="none"/>
          <w:lang w:val="en-US" w:eastAsia="zh-CN"/>
        </w:rPr>
        <w:t>一</w:t>
      </w:r>
      <w:r>
        <w:rPr>
          <w:rFonts w:hint="default" w:ascii="Times New Roman" w:hAnsi="Times New Roman" w:eastAsia="宋体" w:cs="Times New Roman"/>
          <w:b/>
          <w:bCs/>
          <w:color w:val="auto"/>
          <w:spacing w:val="2"/>
          <w:sz w:val="21"/>
          <w:szCs w:val="21"/>
          <w:highlight w:val="none"/>
          <w:lang w:val="en-US" w:eastAsia="zh-CN"/>
        </w:rPr>
        <w:t>条</w:t>
      </w:r>
    </w:p>
    <w:p w14:paraId="5472744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未经甲方书面同意，乙方不得改变或损坏该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的建筑结构、外墙部分、门头以及甲方提供的任何设施设备（包括专用设施设备和共用设施设备）；乙方不得擅自改变该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相关设施（包括但不限于楼道、通道、大门、走廊、设备用房）的设计用途，亦不得采用封堵或阻挡等任何方式妨碍其使用，否则，甲方有权要求乙方恢复原状或不影响甲方再次招商。对于设置于</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内或通过该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的设施设备，乙方应当给予充分的注意和保护。</w:t>
      </w:r>
    </w:p>
    <w:p w14:paraId="6CF186F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第三十</w:t>
      </w:r>
      <w:r>
        <w:rPr>
          <w:rFonts w:hint="eastAsia" w:ascii="Times New Roman" w:hAnsi="Times New Roman" w:cs="Times New Roman"/>
          <w:b/>
          <w:bCs/>
          <w:color w:val="auto"/>
          <w:spacing w:val="2"/>
          <w:sz w:val="21"/>
          <w:szCs w:val="21"/>
          <w:highlight w:val="none"/>
          <w:lang w:val="en-US" w:eastAsia="zh-CN"/>
        </w:rPr>
        <w:t>二</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1EF0C68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乙方保证在经营范围内正常合理使用该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及其设施设备，不得放置任何超过该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设计荷载的物品，不得采取任何可能导致甲方的保险赔偿额减少、取消或保险费用增加的行为，不得采取任何可能导致不合理缩短该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及其所在建筑物、相关设施设备使用期限的行为。因乙方原因导致该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的水、电等供应中断或空调、电梯等设施设备停止运行的，乙方应当承担修复所需的一切费用，并赔偿因此给甲方及第三方所造成的一切损失。</w:t>
      </w:r>
    </w:p>
    <w:p w14:paraId="047FA33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第三十</w:t>
      </w:r>
      <w:r>
        <w:rPr>
          <w:rFonts w:hint="eastAsia" w:ascii="Times New Roman" w:hAnsi="Times New Roman" w:cs="Times New Roman"/>
          <w:b/>
          <w:bCs/>
          <w:color w:val="auto"/>
          <w:spacing w:val="2"/>
          <w:sz w:val="21"/>
          <w:szCs w:val="21"/>
          <w:highlight w:val="none"/>
          <w:lang w:val="en-US" w:eastAsia="zh-CN"/>
        </w:rPr>
        <w:t>三</w:t>
      </w:r>
      <w:r>
        <w:rPr>
          <w:rFonts w:hint="default" w:ascii="Times New Roman" w:hAnsi="Times New Roman" w:eastAsia="宋体" w:cs="Times New Roman"/>
          <w:b/>
          <w:bCs/>
          <w:color w:val="auto"/>
          <w:spacing w:val="2"/>
          <w:sz w:val="21"/>
          <w:szCs w:val="21"/>
          <w:highlight w:val="none"/>
          <w:lang w:val="en-US" w:eastAsia="zh-CN"/>
        </w:rPr>
        <w:t>条</w:t>
      </w:r>
    </w:p>
    <w:p w14:paraId="3E02016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乙方在该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经营项目如包含餐饮类业态，须按甲方要求安装独立隔油池、油烟净化器、排油烟设备等，所排放的污水、油烟须经过处理后方可排入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主管道，并须定期自行负责清理。</w:t>
      </w:r>
    </w:p>
    <w:p w14:paraId="1EE68D9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第三十</w:t>
      </w:r>
      <w:r>
        <w:rPr>
          <w:rFonts w:hint="eastAsia" w:ascii="Times New Roman" w:hAnsi="Times New Roman" w:cs="Times New Roman"/>
          <w:b/>
          <w:bCs/>
          <w:color w:val="auto"/>
          <w:spacing w:val="2"/>
          <w:sz w:val="21"/>
          <w:szCs w:val="21"/>
          <w:highlight w:val="none"/>
          <w:lang w:val="en-US" w:eastAsia="zh-CN"/>
        </w:rPr>
        <w:t>四</w:t>
      </w:r>
      <w:r>
        <w:rPr>
          <w:rFonts w:hint="default" w:ascii="Times New Roman" w:hAnsi="Times New Roman" w:eastAsia="宋体" w:cs="Times New Roman"/>
          <w:b/>
          <w:bCs/>
          <w:color w:val="auto"/>
          <w:spacing w:val="2"/>
          <w:sz w:val="21"/>
          <w:szCs w:val="21"/>
          <w:highlight w:val="none"/>
          <w:lang w:val="en-US" w:eastAsia="zh-CN"/>
        </w:rPr>
        <w:t>条</w:t>
      </w:r>
    </w:p>
    <w:p w14:paraId="1CC2412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保证不从事任何可能阻碍、影响相邻区域内甲方或其他乙方合法权利的行为，或其他不合理干涉、扰乱甲方或其他乙方正常经营的行为。如乙方经营产生特殊气味或者噪音干扰等，乙方应当采取有效的措施加以改正，因此造成的损失由乙方自行承担。</w:t>
      </w:r>
    </w:p>
    <w:p w14:paraId="78976C2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第三十</w:t>
      </w:r>
      <w:r>
        <w:rPr>
          <w:rFonts w:hint="eastAsia" w:ascii="Times New Roman" w:hAnsi="Times New Roman" w:cs="Times New Roman"/>
          <w:b/>
          <w:bCs/>
          <w:color w:val="auto"/>
          <w:spacing w:val="2"/>
          <w:sz w:val="21"/>
          <w:szCs w:val="21"/>
          <w:highlight w:val="none"/>
          <w:lang w:val="en-US" w:eastAsia="zh-CN"/>
        </w:rPr>
        <w:t>五</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5D63884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内陈列或销售之商品或提供的服务负责，因乙方经营活动导致他人权益受到侵害或甲方权益受损的，乙方应承担相应的法律责任。</w:t>
      </w:r>
    </w:p>
    <w:p w14:paraId="1AF753A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第三十</w:t>
      </w:r>
      <w:r>
        <w:rPr>
          <w:rFonts w:hint="eastAsia" w:ascii="Times New Roman" w:hAnsi="Times New Roman" w:cs="Times New Roman"/>
          <w:b/>
          <w:bCs/>
          <w:color w:val="auto"/>
          <w:spacing w:val="2"/>
          <w:sz w:val="21"/>
          <w:szCs w:val="21"/>
          <w:highlight w:val="none"/>
          <w:lang w:val="en-US" w:eastAsia="zh-CN"/>
        </w:rPr>
        <w:t>六</w:t>
      </w:r>
      <w:r>
        <w:rPr>
          <w:rFonts w:hint="default" w:ascii="Times New Roman" w:hAnsi="Times New Roman" w:eastAsia="宋体" w:cs="Times New Roman"/>
          <w:b/>
          <w:bCs/>
          <w:color w:val="auto"/>
          <w:spacing w:val="2"/>
          <w:sz w:val="21"/>
          <w:szCs w:val="21"/>
          <w:highlight w:val="none"/>
          <w:lang w:val="en-US" w:eastAsia="zh-CN"/>
        </w:rPr>
        <w:t>条</w:t>
      </w:r>
    </w:p>
    <w:p w14:paraId="4EA57F1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对于因乙方原因导致的水、烟等相关物质外泄或因乙方原因导致火灾、爆炸等危害公共安全事件或乙方有不良经营行为的，则乙方应赔偿因此给甲方及第三方造成的损失。本款内所述乙方的责任同样适用于乙方工作人员、乙方顾客和访客或其他与乙方相关人员，并由乙方承担连带赔偿责任。</w:t>
      </w:r>
    </w:p>
    <w:p w14:paraId="2484A3B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三十七</w:t>
      </w:r>
      <w:r>
        <w:rPr>
          <w:rFonts w:hint="default" w:ascii="Times New Roman" w:hAnsi="Times New Roman" w:eastAsia="宋体" w:cs="Times New Roman"/>
          <w:b/>
          <w:bCs/>
          <w:color w:val="auto"/>
          <w:spacing w:val="2"/>
          <w:sz w:val="21"/>
          <w:szCs w:val="21"/>
          <w:highlight w:val="none"/>
          <w:lang w:val="en-US" w:eastAsia="zh-CN"/>
        </w:rPr>
        <w:t>条</w:t>
      </w:r>
    </w:p>
    <w:p w14:paraId="503E21E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因第三方原因导致乙方商品、货物或其他财产发生损害，或导致乙方蒙受损失的，乙方自行向第三方索赔，甲方不承担任何责任。</w:t>
      </w:r>
    </w:p>
    <w:p w14:paraId="404E447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三十八</w:t>
      </w:r>
      <w:r>
        <w:rPr>
          <w:rFonts w:hint="default" w:ascii="Times New Roman" w:hAnsi="Times New Roman" w:eastAsia="宋体" w:cs="Times New Roman"/>
          <w:b/>
          <w:bCs/>
          <w:color w:val="auto"/>
          <w:spacing w:val="2"/>
          <w:sz w:val="21"/>
          <w:szCs w:val="21"/>
          <w:highlight w:val="none"/>
          <w:lang w:val="en-US" w:eastAsia="zh-CN"/>
        </w:rPr>
        <w:t>条</w:t>
      </w:r>
    </w:p>
    <w:p w14:paraId="6FAC6D67">
      <w:pPr>
        <w:widowControl/>
        <w:overflowPunct w:val="0"/>
        <w:autoSpaceDE w:val="0"/>
        <w:autoSpaceDN w:val="0"/>
        <w:adjustRightInd w:val="0"/>
        <w:snapToGrid w:val="0"/>
        <w:ind w:right="-519" w:rightChars="-247" w:firstLine="420" w:firstLineChars="200"/>
        <w:textAlignment w:val="baseline"/>
        <w:rPr>
          <w:rFonts w:ascii="Times New Roman" w:hAnsi="Times New Roman" w:cs="Times New Roman"/>
        </w:rPr>
      </w:pPr>
      <w:r>
        <w:rPr>
          <w:rFonts w:ascii="Times New Roman" w:hAnsi="Times New Roman" w:cs="Times New Roman"/>
        </w:rPr>
        <w:t>租赁期内，未经甲方书面批准，乙方不得</w:t>
      </w:r>
      <w:r>
        <w:rPr>
          <w:rFonts w:hint="eastAsia" w:ascii="Times New Roman" w:hAnsi="Times New Roman" w:cs="Times New Roman"/>
        </w:rPr>
        <w:t>擅自转租，</w:t>
      </w:r>
      <w:r>
        <w:rPr>
          <w:rFonts w:ascii="Times New Roman" w:hAnsi="Times New Roman" w:cs="Times New Roman"/>
        </w:rPr>
        <w:t>否则视为严重违约。</w:t>
      </w:r>
      <w:r>
        <w:rPr>
          <w:rFonts w:hint="eastAsia" w:ascii="Times New Roman" w:hAnsi="Times New Roman" w:cs="Times New Roman"/>
        </w:rPr>
        <w:t>如发现乙方擅自转租的，</w:t>
      </w:r>
      <w:r>
        <w:rPr>
          <w:rFonts w:ascii="Times New Roman" w:hAnsi="Times New Roman" w:cs="Times New Roman"/>
        </w:rPr>
        <w:t>将被纳入南通市国资委房屋租赁失信人员名单。</w:t>
      </w:r>
      <w:r>
        <w:rPr>
          <w:rFonts w:hint="eastAsia" w:ascii="Times New Roman" w:hAnsi="Times New Roman" w:cs="Times New Roman"/>
        </w:rPr>
        <w:t>同时，甲方有权立即解除本合同、没收履约保证金并要求乙方承担违约责任。</w:t>
      </w:r>
    </w:p>
    <w:p w14:paraId="47DCA7C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三十九</w:t>
      </w:r>
      <w:r>
        <w:rPr>
          <w:rFonts w:hint="default" w:ascii="Times New Roman" w:hAnsi="Times New Roman" w:eastAsia="宋体" w:cs="Times New Roman"/>
          <w:b/>
          <w:bCs/>
          <w:color w:val="auto"/>
          <w:spacing w:val="2"/>
          <w:sz w:val="21"/>
          <w:szCs w:val="21"/>
          <w:highlight w:val="none"/>
          <w:lang w:val="en-US" w:eastAsia="zh-CN"/>
        </w:rPr>
        <w:t>条</w:t>
      </w:r>
    </w:p>
    <w:p w14:paraId="3E4DDB8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如乙方未经甲方书面批准的情况下通过转租等任何方式允许第三方在该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内经营的，则因该第三方行为而导致甲方蒙受任何损失的，乙方承担连带赔偿责任。</w:t>
      </w:r>
    </w:p>
    <w:p w14:paraId="2EED3E39">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第四十条</w:t>
      </w:r>
    </w:p>
    <w:p w14:paraId="4970683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营业时间应在甲方指定的时间范围内，不得在非营业时间容留人员。未经甲方书面同意，营业时间不得超过城市轨道交通运营时间。甲方有权按情况需要经提前通知乙方后修改营业时间，乙方必须遵守，不得异议。未经甲方同意，不得推迟、提前及无故停止营业。</w:t>
      </w:r>
    </w:p>
    <w:p w14:paraId="4F87057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第四十</w:t>
      </w:r>
      <w:r>
        <w:rPr>
          <w:rFonts w:hint="eastAsia" w:ascii="Times New Roman" w:hAnsi="Times New Roman" w:cs="Times New Roman"/>
          <w:b/>
          <w:bCs/>
          <w:color w:val="auto"/>
          <w:spacing w:val="2"/>
          <w:sz w:val="21"/>
          <w:szCs w:val="21"/>
          <w:highlight w:val="none"/>
          <w:lang w:val="en-US" w:eastAsia="zh-CN"/>
        </w:rPr>
        <w:t>一</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6F949A8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未经甲方书面同意，乙方不得变更经营品牌、经营项目或超范围经营。对于乙方提出的变更经营品牌、经营项目的申请，甲方有权根据</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整体形象、规划布局、物业条件等各种因素予以拒绝，乙方必须遵守，不得异议，否则</w:t>
      </w:r>
      <w:r>
        <w:rPr>
          <w:rFonts w:hint="eastAsia" w:ascii="Times New Roman" w:hAnsi="Times New Roman" w:cs="Times New Roman"/>
          <w:color w:val="auto"/>
          <w:sz w:val="21"/>
          <w:szCs w:val="21"/>
          <w:highlight w:val="none"/>
          <w:lang w:val="en-US" w:eastAsia="zh-CN"/>
        </w:rPr>
        <w:t>甲方</w:t>
      </w:r>
      <w:r>
        <w:rPr>
          <w:rFonts w:hint="default" w:ascii="Times New Roman" w:hAnsi="Times New Roman" w:eastAsia="宋体" w:cs="Times New Roman"/>
          <w:color w:val="auto"/>
          <w:sz w:val="21"/>
          <w:szCs w:val="21"/>
          <w:highlight w:val="none"/>
          <w:lang w:val="en-US" w:eastAsia="zh-CN"/>
        </w:rPr>
        <w:t>有权提前解除合同。</w:t>
      </w:r>
    </w:p>
    <w:p w14:paraId="164870A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第四十</w:t>
      </w:r>
      <w:r>
        <w:rPr>
          <w:rFonts w:hint="eastAsia" w:ascii="Times New Roman" w:hAnsi="Times New Roman" w:cs="Times New Roman"/>
          <w:b/>
          <w:bCs/>
          <w:color w:val="auto"/>
          <w:spacing w:val="2"/>
          <w:sz w:val="21"/>
          <w:szCs w:val="21"/>
          <w:highlight w:val="none"/>
          <w:lang w:val="en-US" w:eastAsia="zh-CN"/>
        </w:rPr>
        <w:t>二</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136060C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乙方保证其工作人员在该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遵守国家、地方及甲方有关的消防管理规定，包括但不限于：不使用易燃易爆、有毒有害材料，不堵塞或占用消防通道，不使用明火、危险品、易燃物、电加热器，执行公共区域禁止吸烟规定，配齐消防器具，组织工作人员消防培训，具备火灾等突发事件紧急疏散等处置能力。乙方应确保其工作人员、装修及安装人员执行前述保证内容，否则产生任何损失或责任均由乙方自行处理和承担。乙方必须接受甲方的消防等安全检查，对于消防安全检查中发现的问题，乙方必须按要求无条件整改。</w:t>
      </w:r>
    </w:p>
    <w:p w14:paraId="198FC91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第四十</w:t>
      </w:r>
      <w:r>
        <w:rPr>
          <w:rFonts w:hint="eastAsia" w:ascii="Times New Roman" w:hAnsi="Times New Roman" w:cs="Times New Roman"/>
          <w:b/>
          <w:bCs/>
          <w:color w:val="auto"/>
          <w:spacing w:val="2"/>
          <w:sz w:val="21"/>
          <w:szCs w:val="21"/>
          <w:highlight w:val="none"/>
          <w:lang w:val="en-US" w:eastAsia="zh-CN"/>
        </w:rPr>
        <w:t>三</w:t>
      </w:r>
      <w:r>
        <w:rPr>
          <w:rFonts w:hint="default" w:ascii="Times New Roman" w:hAnsi="Times New Roman" w:eastAsia="宋体" w:cs="Times New Roman"/>
          <w:b/>
          <w:bCs/>
          <w:color w:val="auto"/>
          <w:spacing w:val="2"/>
          <w:sz w:val="21"/>
          <w:szCs w:val="21"/>
          <w:highlight w:val="none"/>
          <w:lang w:val="en-US" w:eastAsia="zh-CN"/>
        </w:rPr>
        <w:t>条</w:t>
      </w:r>
    </w:p>
    <w:p w14:paraId="7B4B40B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双方特别明确，除非本合同另有特别明确约定，乙方不得以任何理由拒绝或拖延缴纳本合同项下租金、物业管理费（如有）或水、电等公用事业费或其他应当由乙方承担的费用。如涉及争议，乙方应按照本合同约定的争议解决办法依法处理。在按照争议解决办法处理期间，乙方应继续履行本合同项下各项缴费义务。</w:t>
      </w:r>
    </w:p>
    <w:p w14:paraId="247616E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第四十</w:t>
      </w:r>
      <w:r>
        <w:rPr>
          <w:rFonts w:hint="eastAsia" w:ascii="Times New Roman" w:hAnsi="Times New Roman" w:cs="Times New Roman"/>
          <w:b/>
          <w:bCs/>
          <w:color w:val="auto"/>
          <w:spacing w:val="2"/>
          <w:sz w:val="21"/>
          <w:szCs w:val="21"/>
          <w:highlight w:val="none"/>
          <w:lang w:val="en-US" w:eastAsia="zh-CN"/>
        </w:rPr>
        <w:t>四</w:t>
      </w:r>
      <w:r>
        <w:rPr>
          <w:rFonts w:hint="default" w:ascii="Times New Roman" w:hAnsi="Times New Roman" w:eastAsia="宋体" w:cs="Times New Roman"/>
          <w:b/>
          <w:bCs/>
          <w:color w:val="auto"/>
          <w:spacing w:val="2"/>
          <w:sz w:val="21"/>
          <w:szCs w:val="21"/>
          <w:highlight w:val="none"/>
          <w:lang w:val="en-US" w:eastAsia="zh-CN"/>
        </w:rPr>
        <w:t>条</w:t>
      </w:r>
    </w:p>
    <w:p w14:paraId="7DAD295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乙方同意，如乙方欠付租金、物业管理费（如有）等费用，在欠费期间，未经甲方书面批准，该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内乙方商品、货物及设施设备不得转移出该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w:t>
      </w:r>
    </w:p>
    <w:p w14:paraId="37D04E5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第四十</w:t>
      </w:r>
      <w:r>
        <w:rPr>
          <w:rFonts w:hint="eastAsia" w:ascii="Times New Roman" w:hAnsi="Times New Roman" w:cs="Times New Roman"/>
          <w:b/>
          <w:bCs/>
          <w:color w:val="auto"/>
          <w:spacing w:val="2"/>
          <w:sz w:val="21"/>
          <w:szCs w:val="21"/>
          <w:highlight w:val="none"/>
          <w:lang w:val="en-US" w:eastAsia="zh-CN"/>
        </w:rPr>
        <w:t>五</w:t>
      </w:r>
      <w:r>
        <w:rPr>
          <w:rFonts w:hint="default" w:ascii="Times New Roman" w:hAnsi="Times New Roman" w:eastAsia="宋体" w:cs="Times New Roman"/>
          <w:b/>
          <w:bCs/>
          <w:color w:val="auto"/>
          <w:spacing w:val="2"/>
          <w:sz w:val="21"/>
          <w:szCs w:val="21"/>
          <w:highlight w:val="none"/>
          <w:lang w:val="en-US" w:eastAsia="zh-CN"/>
        </w:rPr>
        <w:t>条</w:t>
      </w:r>
    </w:p>
    <w:p w14:paraId="5F16C92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乙方须允许甲方和甲方授权的人员在一切合理的时间进入该</w:t>
      </w:r>
      <w:r>
        <w:rPr>
          <w:rFonts w:hint="eastAsia" w:ascii="Times New Roman" w:hAnsi="Times New Roman" w:cs="Times New Roman"/>
          <w:color w:val="auto"/>
          <w:sz w:val="21"/>
          <w:szCs w:val="21"/>
          <w:highlight w:val="none"/>
          <w:lang w:val="en-US" w:eastAsia="zh-CN"/>
        </w:rPr>
        <w:t>图书馆站地下附属空间查看</w:t>
      </w:r>
      <w:r>
        <w:rPr>
          <w:rFonts w:hint="default" w:ascii="Times New Roman" w:hAnsi="Times New Roman" w:eastAsia="宋体" w:cs="Times New Roman"/>
          <w:color w:val="auto"/>
          <w:sz w:val="21"/>
          <w:szCs w:val="21"/>
          <w:highlight w:val="none"/>
          <w:lang w:val="en-US" w:eastAsia="zh-CN"/>
        </w:rPr>
        <w:t>物业使用状况，如发现违章甲方可做出相应的处理决定。该处理决定对乙方有约束力，乙方必须严格执行，纠正违章的费用由乙方承担。</w:t>
      </w:r>
    </w:p>
    <w:p w14:paraId="224BE63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第四十</w:t>
      </w:r>
      <w:r>
        <w:rPr>
          <w:rFonts w:hint="eastAsia" w:ascii="Times New Roman" w:hAnsi="Times New Roman" w:cs="Times New Roman"/>
          <w:b/>
          <w:bCs/>
          <w:color w:val="auto"/>
          <w:spacing w:val="2"/>
          <w:sz w:val="21"/>
          <w:szCs w:val="21"/>
          <w:highlight w:val="none"/>
          <w:lang w:val="en-US" w:eastAsia="zh-CN"/>
        </w:rPr>
        <w:t>六</w:t>
      </w:r>
      <w:r>
        <w:rPr>
          <w:rFonts w:hint="default" w:ascii="Times New Roman" w:hAnsi="Times New Roman" w:eastAsia="宋体" w:cs="Times New Roman"/>
          <w:b/>
          <w:bCs/>
          <w:color w:val="auto"/>
          <w:spacing w:val="2"/>
          <w:sz w:val="21"/>
          <w:szCs w:val="21"/>
          <w:highlight w:val="none"/>
          <w:lang w:val="en-US" w:eastAsia="zh-CN"/>
        </w:rPr>
        <w:t>条</w:t>
      </w:r>
    </w:p>
    <w:p w14:paraId="0260EC5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双方确认，甲方有权进入该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进行维修、保养或其他与该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相关事项，并采取一切相关的合理技术措施（但应尽量避免给乙方及其营业造成影响）。乙方不得因此向甲方提出营业损失、营业场地占用、人员加班费或任何形式的补偿或赔偿要求。</w:t>
      </w:r>
    </w:p>
    <w:p w14:paraId="15B735C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四十七</w:t>
      </w:r>
      <w:r>
        <w:rPr>
          <w:rFonts w:hint="default" w:ascii="Times New Roman" w:hAnsi="Times New Roman" w:eastAsia="宋体" w:cs="Times New Roman"/>
          <w:b/>
          <w:bCs/>
          <w:color w:val="auto"/>
          <w:spacing w:val="2"/>
          <w:sz w:val="21"/>
          <w:szCs w:val="21"/>
          <w:highlight w:val="none"/>
          <w:lang w:val="en-US" w:eastAsia="zh-CN"/>
        </w:rPr>
        <w:t>条</w:t>
      </w:r>
    </w:p>
    <w:p w14:paraId="79F4EA7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乙方须在甲方对相关的管道、线路和设备进行检修、调试或对于故障及时采取补救措施时给予必要的协助。若因乙方对该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进行装饰装修或因乙方的其他行为，导致甲方无法实施上述行为的，因此造成甲方及第三方的损失，由乙方承担损害赔偿责任。</w:t>
      </w:r>
    </w:p>
    <w:p w14:paraId="0545898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四十八</w:t>
      </w:r>
      <w:r>
        <w:rPr>
          <w:rFonts w:hint="default" w:ascii="Times New Roman" w:hAnsi="Times New Roman" w:eastAsia="宋体" w:cs="Times New Roman"/>
          <w:b/>
          <w:bCs/>
          <w:color w:val="auto"/>
          <w:spacing w:val="2"/>
          <w:sz w:val="21"/>
          <w:szCs w:val="21"/>
          <w:highlight w:val="none"/>
          <w:lang w:val="en-US" w:eastAsia="zh-CN"/>
        </w:rPr>
        <w:t>条</w:t>
      </w:r>
    </w:p>
    <w:p w14:paraId="2C341FB6">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由于不可抗力及非甲方原因等造成的乙方财产损失，由乙方自行承担。</w:t>
      </w:r>
    </w:p>
    <w:p w14:paraId="64A7CC5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四十九</w:t>
      </w:r>
      <w:r>
        <w:rPr>
          <w:rFonts w:hint="default" w:ascii="Times New Roman" w:hAnsi="Times New Roman" w:eastAsia="宋体" w:cs="Times New Roman"/>
          <w:b/>
          <w:bCs/>
          <w:color w:val="auto"/>
          <w:spacing w:val="2"/>
          <w:sz w:val="21"/>
          <w:szCs w:val="21"/>
          <w:highlight w:val="none"/>
          <w:lang w:val="en-US" w:eastAsia="zh-CN"/>
        </w:rPr>
        <w:t>条</w:t>
      </w:r>
    </w:p>
    <w:p w14:paraId="6B5FA7D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方有权对乙方销售工作进行了解和监督，但不得干扰乙方正常的经营活动。乙方不得侵犯第三人的知识产权和其他权利，因此产生的一切法律责任由乙方承担，甲方不承担任何责任。因此造成甲方损失的，乙方负责赔偿。</w:t>
      </w:r>
    </w:p>
    <w:p w14:paraId="76AA539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同意对前述合同条款及在履行本合同过程中知悉的甲方商业秘密予以保密，除非应法律、法院判决或行政命令的要求，未经甲方书面许可，不向甲方及乙方以外任何第三方透露，但乙方律师及/或顾问不在此限。</w:t>
      </w:r>
    </w:p>
    <w:p w14:paraId="014FD02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2"/>
          <w:szCs w:val="22"/>
          <w:highlight w:val="none"/>
          <w:lang w:val="en-US" w:eastAsia="zh-CN"/>
        </w:rPr>
      </w:pPr>
    </w:p>
    <w:p w14:paraId="1ED95E8D">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rPr>
      </w:pPr>
      <w:r>
        <w:rPr>
          <w:rFonts w:hint="default" w:ascii="Times New Roman" w:hAnsi="Times New Roman" w:eastAsia="宋体" w:cs="Times New Roman"/>
          <w:b/>
          <w:bCs/>
          <w:color w:val="auto"/>
          <w:spacing w:val="-6"/>
          <w:sz w:val="22"/>
          <w:szCs w:val="22"/>
          <w:highlight w:val="none"/>
        </w:rPr>
        <w:t xml:space="preserve">第七章  </w:t>
      </w:r>
      <w:r>
        <w:rPr>
          <w:rFonts w:hint="eastAsia" w:ascii="Times New Roman" w:hAnsi="Times New Roman" w:cs="Times New Roman"/>
          <w:b/>
          <w:bCs/>
          <w:color w:val="auto"/>
          <w:spacing w:val="-6"/>
          <w:sz w:val="22"/>
          <w:szCs w:val="22"/>
          <w:highlight w:val="none"/>
          <w:lang w:eastAsia="zh-CN"/>
        </w:rPr>
        <w:t>图书馆站地下附属空间</w:t>
      </w:r>
      <w:r>
        <w:rPr>
          <w:rFonts w:hint="default" w:ascii="Times New Roman" w:hAnsi="Times New Roman" w:eastAsia="宋体" w:cs="Times New Roman"/>
          <w:b/>
          <w:bCs/>
          <w:color w:val="auto"/>
          <w:spacing w:val="-6"/>
          <w:sz w:val="22"/>
          <w:szCs w:val="22"/>
          <w:highlight w:val="none"/>
        </w:rPr>
        <w:t>交付及进场装修</w:t>
      </w:r>
    </w:p>
    <w:p w14:paraId="3953969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第五十条</w:t>
      </w:r>
    </w:p>
    <w:p w14:paraId="5720DA7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在本合同签订时，乙方已对相关</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进行现场勘察，对于</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交付时的现状了解并予以认可。合同签订后甲方应及时将该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及其附属设施交乙方使用，双方办理</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交接手续，届时该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应达到的交付条件为：现状交付，双方在交付时签署包括</w:t>
      </w:r>
      <w:r>
        <w:rPr>
          <w:rFonts w:hint="default" w:ascii="Times New Roman" w:hAnsi="Times New Roman" w:eastAsia="宋体" w:cs="Times New Roman"/>
          <w:color w:val="auto"/>
          <w:sz w:val="21"/>
          <w:szCs w:val="21"/>
          <w:highlight w:val="none"/>
          <w:u w:val="single"/>
          <w:lang w:val="en-US" w:eastAsia="zh-CN"/>
        </w:rPr>
        <w:t>物业交接表（附件</w:t>
      </w:r>
      <w:r>
        <w:rPr>
          <w:rFonts w:hint="eastAsia" w:ascii="Times New Roman" w:hAnsi="Times New Roman" w:cs="Times New Roman"/>
          <w:color w:val="auto"/>
          <w:sz w:val="21"/>
          <w:szCs w:val="21"/>
          <w:highlight w:val="none"/>
          <w:u w:val="single"/>
          <w:lang w:val="en-US" w:eastAsia="zh-CN"/>
        </w:rPr>
        <w:t>5</w:t>
      </w:r>
      <w:r>
        <w:rPr>
          <w:rFonts w:hint="default" w:ascii="Times New Roman" w:hAnsi="Times New Roman" w:eastAsia="宋体" w:cs="Times New Roman"/>
          <w:color w:val="auto"/>
          <w:sz w:val="21"/>
          <w:szCs w:val="21"/>
          <w:highlight w:val="none"/>
          <w:u w:val="single"/>
          <w:lang w:val="en-US" w:eastAsia="zh-CN"/>
        </w:rPr>
        <w:t>）</w:t>
      </w:r>
      <w:r>
        <w:rPr>
          <w:rFonts w:hint="default" w:ascii="Times New Roman" w:hAnsi="Times New Roman" w:eastAsia="宋体" w:cs="Times New Roman"/>
          <w:color w:val="auto"/>
          <w:sz w:val="21"/>
          <w:szCs w:val="21"/>
          <w:highlight w:val="none"/>
          <w:lang w:val="en-US" w:eastAsia="zh-CN"/>
        </w:rPr>
        <w:t>在内的交付确认文件。乙方应在接到甲方通知后即时办理交接手续。若乙方在甲方通知交铺后</w:t>
      </w:r>
      <w:r>
        <w:rPr>
          <w:rFonts w:hint="default" w:ascii="Times New Roman" w:hAnsi="Times New Roman" w:eastAsia="宋体" w:cs="Times New Roman"/>
          <w:color w:val="auto"/>
          <w:sz w:val="21"/>
          <w:szCs w:val="21"/>
          <w:highlight w:val="none"/>
          <w:u w:val="single"/>
          <w:lang w:val="en-US" w:eastAsia="zh-CN"/>
        </w:rPr>
        <w:t xml:space="preserve"> 7 </w:t>
      </w:r>
      <w:r>
        <w:rPr>
          <w:rFonts w:hint="default" w:ascii="Times New Roman" w:hAnsi="Times New Roman" w:eastAsia="宋体" w:cs="Times New Roman"/>
          <w:color w:val="auto"/>
          <w:sz w:val="21"/>
          <w:szCs w:val="21"/>
          <w:highlight w:val="none"/>
          <w:lang w:val="en-US" w:eastAsia="zh-CN"/>
        </w:rPr>
        <w:t>日内尚未办妥收铺手续，则甲方有权提前收回该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、单方面解除本合同、重新招商并</w:t>
      </w:r>
      <w:r>
        <w:rPr>
          <w:rFonts w:hint="eastAsia" w:ascii="Times New Roman" w:hAnsi="Times New Roman" w:cs="Times New Roman"/>
          <w:color w:val="auto"/>
          <w:sz w:val="21"/>
          <w:szCs w:val="21"/>
          <w:highlight w:val="none"/>
          <w:lang w:val="en-US" w:eastAsia="zh-CN"/>
        </w:rPr>
        <w:t>不退还</w:t>
      </w:r>
      <w:r>
        <w:rPr>
          <w:rFonts w:hint="default" w:ascii="Times New Roman" w:hAnsi="Times New Roman" w:eastAsia="宋体" w:cs="Times New Roman"/>
          <w:color w:val="auto"/>
          <w:sz w:val="21"/>
          <w:szCs w:val="21"/>
          <w:highlight w:val="none"/>
          <w:lang w:val="en-US" w:eastAsia="zh-CN"/>
        </w:rPr>
        <w:t>履约保证金、租金、物业管理费（如有）等所有已交费用。</w:t>
      </w:r>
    </w:p>
    <w:p w14:paraId="2D14A27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第五十</w:t>
      </w:r>
      <w:r>
        <w:rPr>
          <w:rFonts w:hint="eastAsia" w:ascii="Times New Roman" w:hAnsi="Times New Roman" w:cs="Times New Roman"/>
          <w:b/>
          <w:bCs/>
          <w:color w:val="auto"/>
          <w:spacing w:val="2"/>
          <w:sz w:val="21"/>
          <w:szCs w:val="21"/>
          <w:highlight w:val="none"/>
          <w:lang w:val="en-US" w:eastAsia="zh-CN"/>
        </w:rPr>
        <w:t>一</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1257557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的装饰装修工程由乙方自行实施，相应费用由乙方承担。乙方在对该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进行装饰装修（包括再次装修）前，应按照甲方规定办妥全部施工手续，提供该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装修设计文件（包括装修图纸等资料）供甲方审查，在获得甲方书面批准后方可开始对该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进行装饰装修。上述装修设计文件经甲方批准后，未经甲方书面同意，乙方不得擅自变更。</w:t>
      </w:r>
    </w:p>
    <w:p w14:paraId="45FD37E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第五十</w:t>
      </w:r>
      <w:r>
        <w:rPr>
          <w:rFonts w:hint="eastAsia" w:ascii="Times New Roman" w:hAnsi="Times New Roman" w:cs="Times New Roman"/>
          <w:b/>
          <w:bCs/>
          <w:color w:val="auto"/>
          <w:spacing w:val="2"/>
          <w:sz w:val="21"/>
          <w:szCs w:val="21"/>
          <w:highlight w:val="none"/>
          <w:lang w:val="en-US" w:eastAsia="zh-CN"/>
        </w:rPr>
        <w:t>二</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1983A7B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的装饰装修须符合法律法规和消防相关要求，遵守甲方相关管理规章制度，不得破坏该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主体结构和甲方已完成的公共区域装修。乙方承诺对装修设计文件自行承担全部责任，在装修过程中服从甲方及相关政府部门的管理和指挥，并按照甲方的规定缴纳装修相关收费，包括但不限于装修管理费、装修押金、垃圾清运费。如乙方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进行装饰装修造成甲方或第三方损失，由乙方自行负责全部赔偿。乙方须在甲方指定时间范围内进行</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装修，不得影响邻铺正常营业。</w:t>
      </w:r>
    </w:p>
    <w:p w14:paraId="78B1147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第五十</w:t>
      </w:r>
      <w:r>
        <w:rPr>
          <w:rFonts w:hint="eastAsia" w:ascii="Times New Roman" w:hAnsi="Times New Roman" w:cs="Times New Roman"/>
          <w:b/>
          <w:bCs/>
          <w:color w:val="auto"/>
          <w:spacing w:val="2"/>
          <w:sz w:val="21"/>
          <w:szCs w:val="21"/>
          <w:highlight w:val="none"/>
          <w:lang w:val="en-US" w:eastAsia="zh-CN"/>
        </w:rPr>
        <w:t>三</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3DDDF1A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乙方承租该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期间不得遮挡火灾报警探测器、自动喷水系统喷头、消防排烟口、室内消火栓等消防设施，不得影响防火卷帘的启降。</w:t>
      </w:r>
    </w:p>
    <w:p w14:paraId="5D1EC2A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第五十</w:t>
      </w:r>
      <w:r>
        <w:rPr>
          <w:rFonts w:hint="eastAsia" w:ascii="Times New Roman" w:hAnsi="Times New Roman" w:cs="Times New Roman"/>
          <w:b/>
          <w:bCs/>
          <w:color w:val="auto"/>
          <w:spacing w:val="2"/>
          <w:sz w:val="21"/>
          <w:szCs w:val="21"/>
          <w:highlight w:val="none"/>
          <w:lang w:val="en-US" w:eastAsia="zh-CN"/>
        </w:rPr>
        <w:t>四</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b/>
          <w:bCs/>
          <w:color w:val="auto"/>
          <w:spacing w:val="2"/>
          <w:sz w:val="21"/>
          <w:szCs w:val="21"/>
          <w:highlight w:val="none"/>
          <w:lang w:val="en-US" w:eastAsia="zh-CN"/>
        </w:rPr>
        <w:tab/>
      </w:r>
    </w:p>
    <w:p w14:paraId="01ABFA8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乙方承租的该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所有装修材料均应符合消防部门的要求。不得超负荷用电，电气线路应穿金属管敷设，不得私拉乱接。</w:t>
      </w:r>
    </w:p>
    <w:p w14:paraId="7348F9E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pacing w:val="2"/>
          <w:sz w:val="21"/>
          <w:szCs w:val="21"/>
          <w:highlight w:val="none"/>
          <w:lang w:val="en-US" w:eastAsia="zh-CN"/>
        </w:rPr>
      </w:pPr>
      <w:r>
        <w:rPr>
          <w:rFonts w:hint="default" w:ascii="Times New Roman" w:hAnsi="Times New Roman" w:eastAsia="宋体" w:cs="Times New Roman"/>
          <w:b/>
          <w:bCs/>
          <w:color w:val="auto"/>
          <w:spacing w:val="2"/>
          <w:sz w:val="21"/>
          <w:szCs w:val="21"/>
          <w:highlight w:val="none"/>
          <w:lang w:val="en-US" w:eastAsia="zh-CN"/>
        </w:rPr>
        <w:t>第五十</w:t>
      </w:r>
      <w:r>
        <w:rPr>
          <w:rFonts w:hint="eastAsia" w:ascii="Times New Roman" w:hAnsi="Times New Roman" w:cs="Times New Roman"/>
          <w:b/>
          <w:bCs/>
          <w:color w:val="auto"/>
          <w:spacing w:val="2"/>
          <w:sz w:val="21"/>
          <w:szCs w:val="21"/>
          <w:highlight w:val="none"/>
          <w:lang w:val="en-US" w:eastAsia="zh-CN"/>
        </w:rPr>
        <w:t>五</w:t>
      </w:r>
      <w:r>
        <w:rPr>
          <w:rFonts w:hint="default" w:ascii="Times New Roman" w:hAnsi="Times New Roman" w:eastAsia="宋体" w:cs="Times New Roman"/>
          <w:b/>
          <w:bCs/>
          <w:color w:val="auto"/>
          <w:spacing w:val="2"/>
          <w:sz w:val="21"/>
          <w:szCs w:val="21"/>
          <w:highlight w:val="none"/>
          <w:lang w:val="en-US" w:eastAsia="zh-CN"/>
        </w:rPr>
        <w:t>条</w:t>
      </w:r>
    </w:p>
    <w:p w14:paraId="59DB472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乙方违反本合同约定的各项要求对该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行装饰装修的（包括但不限于未经甲方批准，乙方擅自变更装修设计方案的情形），甲方有权要求乙方改正。甲方按其对建筑物的妨碍或损害程度，有权做出下述决定：（1）立即停工；（2）即时整改；（3）停止水、电等供应；（4）没收</w:t>
      </w:r>
      <w:r>
        <w:rPr>
          <w:rFonts w:hint="eastAsia" w:ascii="Times New Roman" w:hAnsi="Times New Roman" w:cs="Times New Roman"/>
          <w:color w:val="auto"/>
          <w:sz w:val="21"/>
          <w:szCs w:val="21"/>
          <w:highlight w:val="none"/>
          <w:lang w:val="en-US" w:eastAsia="zh-CN"/>
        </w:rPr>
        <w:t>装修押金、</w:t>
      </w:r>
      <w:r>
        <w:rPr>
          <w:rFonts w:hint="default" w:ascii="Times New Roman" w:hAnsi="Times New Roman" w:eastAsia="宋体" w:cs="Times New Roman"/>
          <w:color w:val="auto"/>
          <w:sz w:val="21"/>
          <w:szCs w:val="21"/>
          <w:highlight w:val="none"/>
          <w:lang w:val="en-US" w:eastAsia="zh-CN"/>
        </w:rPr>
        <w:t>履约保证金、收回该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、终止合同。因此而发生的一切损失和费用均由乙方承担。</w:t>
      </w:r>
    </w:p>
    <w:p w14:paraId="30086D1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2"/>
          <w:sz w:val="21"/>
          <w:szCs w:val="21"/>
          <w:highlight w:val="none"/>
          <w:lang w:val="en-US" w:eastAsia="zh-CN"/>
        </w:rPr>
        <w:t>第</w:t>
      </w:r>
      <w:r>
        <w:rPr>
          <w:rFonts w:hint="eastAsia" w:ascii="Times New Roman" w:hAnsi="Times New Roman" w:cs="Times New Roman"/>
          <w:b/>
          <w:bCs/>
          <w:color w:val="auto"/>
          <w:spacing w:val="2"/>
          <w:sz w:val="21"/>
          <w:szCs w:val="21"/>
          <w:highlight w:val="none"/>
          <w:lang w:val="en-US" w:eastAsia="zh-CN"/>
        </w:rPr>
        <w:t>五十六</w:t>
      </w:r>
      <w:r>
        <w:rPr>
          <w:rFonts w:hint="default" w:ascii="Times New Roman" w:hAnsi="Times New Roman" w:eastAsia="宋体" w:cs="Times New Roman"/>
          <w:b/>
          <w:bCs/>
          <w:color w:val="auto"/>
          <w:spacing w:val="2"/>
          <w:sz w:val="21"/>
          <w:szCs w:val="21"/>
          <w:highlight w:val="none"/>
          <w:lang w:val="en-US" w:eastAsia="zh-CN"/>
        </w:rPr>
        <w:t>条</w:t>
      </w:r>
      <w:r>
        <w:rPr>
          <w:rFonts w:hint="default" w:ascii="Times New Roman" w:hAnsi="Times New Roman" w:eastAsia="宋体" w:cs="Times New Roman"/>
          <w:color w:val="auto"/>
          <w:sz w:val="21"/>
          <w:szCs w:val="21"/>
          <w:highlight w:val="none"/>
        </w:rPr>
        <w:tab/>
      </w:r>
    </w:p>
    <w:p w14:paraId="3F01C74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b/>
          <w:bCs/>
          <w:snapToGrid w:val="0"/>
          <w:color w:val="auto"/>
          <w:spacing w:val="2"/>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乙方同意支付</w:t>
      </w:r>
      <w:r>
        <w:rPr>
          <w:rFonts w:hint="eastAsia" w:ascii="Times New Roman" w:hAnsi="Times New Roman" w:cs="Times New Roman"/>
          <w:color w:val="auto"/>
          <w:sz w:val="21"/>
          <w:szCs w:val="21"/>
          <w:highlight w:val="none"/>
          <w:lang w:val="en-US" w:eastAsia="zh-CN"/>
        </w:rPr>
        <w:t>装修</w:t>
      </w:r>
      <w:r>
        <w:rPr>
          <w:rFonts w:hint="default" w:ascii="Times New Roman" w:hAnsi="Times New Roman" w:eastAsia="宋体" w:cs="Times New Roman"/>
          <w:color w:val="auto"/>
          <w:sz w:val="21"/>
          <w:szCs w:val="21"/>
          <w:highlight w:val="none"/>
          <w:lang w:val="en-US" w:eastAsia="zh-CN"/>
        </w:rPr>
        <w:t>押金</w:t>
      </w:r>
      <w:r>
        <w:rPr>
          <w:rFonts w:hint="eastAsia" w:ascii="Times New Roman" w:hAnsi="Times New Roman" w:cs="Times New Roman"/>
          <w:color w:val="auto"/>
          <w:sz w:val="21"/>
          <w:szCs w:val="21"/>
          <w:highlight w:val="none"/>
          <w:u w:val="single"/>
          <w:lang w:val="en-US" w:eastAsia="zh-CN"/>
        </w:rPr>
        <w:t>2</w:t>
      </w:r>
      <w:r>
        <w:rPr>
          <w:rFonts w:hint="default" w:ascii="Times New Roman" w:hAnsi="Times New Roman" w:eastAsia="宋体" w:cs="Times New Roman"/>
          <w:color w:val="auto"/>
          <w:sz w:val="21"/>
          <w:szCs w:val="21"/>
          <w:highlight w:val="none"/>
          <w:u w:val="single"/>
          <w:lang w:val="en-US" w:eastAsia="zh-CN"/>
        </w:rPr>
        <w:t>000元</w:t>
      </w:r>
      <w:r>
        <w:rPr>
          <w:rFonts w:hint="default" w:ascii="Times New Roman" w:hAnsi="Times New Roman" w:eastAsia="宋体" w:cs="Times New Roman"/>
          <w:color w:val="auto"/>
          <w:sz w:val="21"/>
          <w:szCs w:val="21"/>
          <w:highlight w:val="none"/>
          <w:lang w:val="en-US" w:eastAsia="zh-CN"/>
        </w:rPr>
        <w:t>/铺（大写</w:t>
      </w:r>
      <w:r>
        <w:rPr>
          <w:rFonts w:hint="eastAsia" w:ascii="Times New Roman" w:hAnsi="Times New Roman" w:cs="Times New Roman"/>
          <w:color w:val="auto"/>
          <w:sz w:val="21"/>
          <w:szCs w:val="21"/>
          <w:highlight w:val="none"/>
          <w:u w:val="single"/>
          <w:lang w:val="en-US" w:eastAsia="zh-CN"/>
        </w:rPr>
        <w:t>贰仟元</w:t>
      </w:r>
      <w:r>
        <w:rPr>
          <w:rFonts w:hint="default" w:ascii="Times New Roman" w:hAnsi="Times New Roman" w:eastAsia="宋体" w:cs="Times New Roman"/>
          <w:color w:val="auto"/>
          <w:sz w:val="21"/>
          <w:szCs w:val="21"/>
          <w:highlight w:val="none"/>
          <w:u w:val="single"/>
          <w:lang w:val="en-US" w:eastAsia="zh-CN"/>
        </w:rPr>
        <w:t>整</w:t>
      </w:r>
      <w:r>
        <w:rPr>
          <w:rFonts w:hint="default" w:ascii="Times New Roman" w:hAnsi="Times New Roman" w:eastAsia="宋体" w:cs="Times New Roman"/>
          <w:color w:val="auto"/>
          <w:sz w:val="21"/>
          <w:szCs w:val="21"/>
          <w:highlight w:val="none"/>
          <w:lang w:val="en-US" w:eastAsia="zh-CN"/>
        </w:rPr>
        <w:t>），并于施工开始前支付给甲方。装修完毕，经甲方检验合格，无息退还施工押金。</w:t>
      </w:r>
    </w:p>
    <w:p w14:paraId="51B727C9">
      <w:pPr>
        <w:bidi w:val="0"/>
        <w:ind w:right="-519" w:rightChars="-247"/>
        <w:rPr>
          <w:rFonts w:hint="default" w:ascii="Times New Roman" w:hAnsi="Times New Roman" w:cs="Times New Roman"/>
          <w:sz w:val="20"/>
          <w:szCs w:val="20"/>
          <w:highlight w:val="none"/>
        </w:rPr>
      </w:pPr>
    </w:p>
    <w:p w14:paraId="54197E04">
      <w:pPr>
        <w:keepNext w:val="0"/>
        <w:keepLines w:val="0"/>
        <w:pageBreakBefore w:val="0"/>
        <w:widowControl/>
        <w:numPr>
          <w:ilvl w:val="0"/>
          <w:numId w:val="3"/>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lang w:val="en-US" w:eastAsia="zh-CN"/>
        </w:rPr>
      </w:pPr>
      <w:r>
        <w:rPr>
          <w:rFonts w:hint="default" w:ascii="Times New Roman" w:hAnsi="Times New Roman" w:eastAsia="宋体" w:cs="Times New Roman"/>
          <w:b/>
          <w:bCs/>
          <w:color w:val="auto"/>
          <w:spacing w:val="-6"/>
          <w:sz w:val="22"/>
          <w:szCs w:val="22"/>
          <w:highlight w:val="none"/>
          <w:lang w:val="en-US" w:eastAsia="zh-CN"/>
        </w:rPr>
        <w:t xml:space="preserve"> </w:t>
      </w:r>
      <w:r>
        <w:rPr>
          <w:rFonts w:hint="default" w:ascii="Times New Roman" w:hAnsi="Times New Roman" w:cs="Times New Roman"/>
          <w:b/>
          <w:bCs/>
          <w:color w:val="auto"/>
          <w:spacing w:val="-6"/>
          <w:sz w:val="22"/>
          <w:szCs w:val="22"/>
          <w:highlight w:val="none"/>
          <w:lang w:val="en-US" w:eastAsia="zh-CN"/>
        </w:rPr>
        <w:t xml:space="preserve"> </w:t>
      </w:r>
      <w:r>
        <w:rPr>
          <w:rFonts w:hint="default" w:ascii="Times New Roman" w:hAnsi="Times New Roman" w:eastAsia="宋体" w:cs="Times New Roman"/>
          <w:b/>
          <w:bCs/>
          <w:color w:val="auto"/>
          <w:spacing w:val="-6"/>
          <w:sz w:val="22"/>
          <w:szCs w:val="22"/>
          <w:highlight w:val="none"/>
          <w:lang w:val="en-US" w:eastAsia="zh-CN"/>
        </w:rPr>
        <w:t>招牌、广告及宣传</w:t>
      </w:r>
    </w:p>
    <w:p w14:paraId="21D29201">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w:t>
      </w:r>
      <w:r>
        <w:rPr>
          <w:rFonts w:hint="eastAsia" w:ascii="Times New Roman" w:hAnsi="Times New Roman" w:cs="Times New Roman"/>
          <w:b/>
          <w:bCs/>
          <w:snapToGrid w:val="0"/>
          <w:color w:val="auto"/>
          <w:spacing w:val="2"/>
          <w:kern w:val="0"/>
          <w:sz w:val="21"/>
          <w:szCs w:val="21"/>
          <w:highlight w:val="none"/>
          <w:lang w:val="en-US" w:eastAsia="zh-CN" w:bidi="ar-SA"/>
        </w:rPr>
        <w:t>五十七</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3BE2566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乙方在该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外组织各种宣传活动须先征得甲方的同意，报甲方备案，不得从事不正当竞争活动。</w:t>
      </w:r>
    </w:p>
    <w:p w14:paraId="1DB60423">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w:t>
      </w:r>
      <w:r>
        <w:rPr>
          <w:rFonts w:hint="eastAsia" w:ascii="Times New Roman" w:hAnsi="Times New Roman" w:cs="Times New Roman"/>
          <w:b/>
          <w:bCs/>
          <w:snapToGrid w:val="0"/>
          <w:color w:val="auto"/>
          <w:spacing w:val="2"/>
          <w:kern w:val="0"/>
          <w:sz w:val="21"/>
          <w:szCs w:val="21"/>
          <w:highlight w:val="none"/>
          <w:lang w:val="en-US" w:eastAsia="zh-CN" w:bidi="ar-SA"/>
        </w:rPr>
        <w:t>五十八</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4BFC91E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关于招牌和广告牌设置以及宣传事宜，乙方应当严格遵守甲方的管理规章制度。未经甲方同意，乙方不得在</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外或在其它公共部位张贴、张挂或展示任何广告、宣传标语、招牌、符号、装饰、灯饰或其他任何东西。店招及宣传画面内容所涉及的品牌仅限于本合同第四条约定的品牌并需经甲方审核后方可施工安装，不可出现任何其他品牌的宣传画面。乙方不得张贴、悬挂任何违法、违规、违禁的宣传广告、标语、画面、文字等。</w:t>
      </w:r>
    </w:p>
    <w:p w14:paraId="56CF3677">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w:t>
      </w:r>
      <w:r>
        <w:rPr>
          <w:rFonts w:hint="eastAsia" w:ascii="Times New Roman" w:hAnsi="Times New Roman" w:cs="Times New Roman"/>
          <w:b/>
          <w:bCs/>
          <w:snapToGrid w:val="0"/>
          <w:color w:val="auto"/>
          <w:spacing w:val="2"/>
          <w:kern w:val="0"/>
          <w:sz w:val="21"/>
          <w:szCs w:val="21"/>
          <w:highlight w:val="none"/>
          <w:lang w:val="en-US" w:eastAsia="zh-CN" w:bidi="ar-SA"/>
        </w:rPr>
        <w:t>五十九</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0EBD050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如乙方违反法律规定或未经甲方的同意而设置招牌或广告牌等，或者乙方拒绝对出现毁损或渗漏现象的招牌、广告牌等予以维修或更换的，甲方有权直接予以拆除，并完成相关墙面等复原工作，因此而发生的拆除、复原等费用或造成损失均由乙方承担。</w:t>
      </w:r>
    </w:p>
    <w:p w14:paraId="6024D396">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第六十条</w:t>
      </w:r>
    </w:p>
    <w:p w14:paraId="1ECDE51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乙方同意，甲方为整体宣传</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的需要，可无偿使用其商标、商号、标识等。如乙方需使用甲方的名称、商标、商号、标识等，应事先取得甲方的书面同意。</w:t>
      </w:r>
    </w:p>
    <w:p w14:paraId="59FADFF1">
      <w:pPr>
        <w:pStyle w:val="2"/>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2"/>
          <w:szCs w:val="22"/>
          <w:highlight w:val="none"/>
        </w:rPr>
      </w:pPr>
    </w:p>
    <w:p w14:paraId="1911AD20">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rPr>
      </w:pPr>
      <w:r>
        <w:rPr>
          <w:rFonts w:hint="default" w:ascii="Times New Roman" w:hAnsi="Times New Roman" w:eastAsia="宋体" w:cs="Times New Roman"/>
          <w:b/>
          <w:bCs/>
          <w:color w:val="auto"/>
          <w:spacing w:val="-6"/>
          <w:sz w:val="22"/>
          <w:szCs w:val="22"/>
          <w:highlight w:val="none"/>
        </w:rPr>
        <w:t>第九章  紧急状态、</w:t>
      </w:r>
      <w:r>
        <w:rPr>
          <w:rFonts w:hint="eastAsia" w:ascii="Times New Roman" w:hAnsi="Times New Roman" w:cs="Times New Roman"/>
          <w:b/>
          <w:bCs/>
          <w:color w:val="auto"/>
          <w:spacing w:val="-6"/>
          <w:sz w:val="22"/>
          <w:szCs w:val="22"/>
          <w:highlight w:val="none"/>
          <w:lang w:eastAsia="zh-CN"/>
        </w:rPr>
        <w:t>图书馆站地下附属空间</w:t>
      </w:r>
      <w:r>
        <w:rPr>
          <w:rFonts w:hint="default" w:ascii="Times New Roman" w:hAnsi="Times New Roman" w:eastAsia="宋体" w:cs="Times New Roman"/>
          <w:b/>
          <w:bCs/>
          <w:color w:val="auto"/>
          <w:spacing w:val="-6"/>
          <w:sz w:val="22"/>
          <w:szCs w:val="22"/>
          <w:highlight w:val="none"/>
        </w:rPr>
        <w:t>维修及物业管理</w:t>
      </w:r>
    </w:p>
    <w:p w14:paraId="4E8D7A1C">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第六十</w:t>
      </w:r>
      <w:r>
        <w:rPr>
          <w:rFonts w:hint="eastAsia" w:ascii="Times New Roman" w:hAnsi="Times New Roman" w:cs="Times New Roman"/>
          <w:b/>
          <w:bCs/>
          <w:snapToGrid w:val="0"/>
          <w:color w:val="auto"/>
          <w:spacing w:val="2"/>
          <w:kern w:val="0"/>
          <w:sz w:val="21"/>
          <w:szCs w:val="21"/>
          <w:highlight w:val="none"/>
          <w:lang w:val="en-US" w:eastAsia="zh-CN" w:bidi="ar-SA"/>
        </w:rPr>
        <w:t>一</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0EA5BC06">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租赁</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及其所在区域或其相邻的建筑发生火灾、爆炸、恐怖活动等危害公共安全的事件或发生重大的刑事犯罪行为等不可预测的突发性事件的情形，或存在发生上述危害公共安全的事件或突发性事件的潜在危险的情形等构成本合同项下所述紧急状态。</w:t>
      </w:r>
    </w:p>
    <w:p w14:paraId="688C1D68">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第六十</w:t>
      </w:r>
      <w:r>
        <w:rPr>
          <w:rFonts w:hint="eastAsia" w:ascii="Times New Roman" w:hAnsi="Times New Roman" w:cs="Times New Roman"/>
          <w:b/>
          <w:bCs/>
          <w:snapToGrid w:val="0"/>
          <w:color w:val="auto"/>
          <w:spacing w:val="2"/>
          <w:kern w:val="0"/>
          <w:sz w:val="21"/>
          <w:szCs w:val="21"/>
          <w:highlight w:val="none"/>
          <w:lang w:val="en-US" w:eastAsia="zh-CN" w:bidi="ar-SA"/>
        </w:rPr>
        <w:t>二</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7FD2BC7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发生紧急状态时，甲方可以在不通知乙方的情况下，自行决定中断对该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的水、电等供应或停止空调、电梯等设施设备的运行。但事后应当通过适当途径尽快通知乙方，并做出说明。</w:t>
      </w:r>
    </w:p>
    <w:p w14:paraId="65BF0286">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第六十</w:t>
      </w:r>
      <w:r>
        <w:rPr>
          <w:rFonts w:hint="eastAsia" w:ascii="Times New Roman" w:hAnsi="Times New Roman" w:cs="Times New Roman"/>
          <w:b/>
          <w:bCs/>
          <w:snapToGrid w:val="0"/>
          <w:color w:val="auto"/>
          <w:spacing w:val="2"/>
          <w:kern w:val="0"/>
          <w:sz w:val="21"/>
          <w:szCs w:val="21"/>
          <w:highlight w:val="none"/>
          <w:lang w:val="en-US" w:eastAsia="zh-CN" w:bidi="ar-SA"/>
        </w:rPr>
        <w:t>三</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6BF1EA5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因紧急状态或者公用事业部门或者政府部门要求、命令而导致该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的水、电等供应中断或空调、电梯等设施设备停止运行的，甲方不承担任何责任。</w:t>
      </w:r>
    </w:p>
    <w:p w14:paraId="5171463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snapToGrid w:val="0"/>
          <w:color w:val="auto"/>
          <w:spacing w:val="2"/>
          <w:kern w:val="0"/>
          <w:sz w:val="21"/>
          <w:szCs w:val="21"/>
          <w:highlight w:val="none"/>
          <w:lang w:val="en-US" w:eastAsia="zh-CN" w:bidi="ar-SA"/>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第六十</w:t>
      </w:r>
      <w:r>
        <w:rPr>
          <w:rFonts w:hint="eastAsia" w:ascii="Times New Roman" w:hAnsi="Times New Roman" w:cs="Times New Roman"/>
          <w:b/>
          <w:bCs/>
          <w:snapToGrid w:val="0"/>
          <w:color w:val="auto"/>
          <w:spacing w:val="2"/>
          <w:kern w:val="0"/>
          <w:sz w:val="21"/>
          <w:szCs w:val="21"/>
          <w:highlight w:val="none"/>
          <w:lang w:val="en-US" w:eastAsia="zh-CN" w:bidi="ar-SA"/>
        </w:rPr>
        <w:t>四</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7A5C809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因处置紧急状态而造成该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及相关设施设备受到损害或其他财产损失的（无论是因为甲方或相关政府部门工作人员的行为），其中属于乙方的财产，损失均由乙方自行承担。</w:t>
      </w:r>
    </w:p>
    <w:p w14:paraId="0E22181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snapToGrid w:val="0"/>
          <w:color w:val="auto"/>
          <w:spacing w:val="2"/>
          <w:kern w:val="0"/>
          <w:sz w:val="21"/>
          <w:szCs w:val="21"/>
          <w:highlight w:val="none"/>
          <w:lang w:val="en-US" w:eastAsia="zh-CN" w:bidi="ar-SA"/>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w:t>
      </w:r>
      <w:r>
        <w:rPr>
          <w:rFonts w:hint="eastAsia" w:ascii="Times New Roman" w:hAnsi="Times New Roman" w:cs="Times New Roman"/>
          <w:b/>
          <w:bCs/>
          <w:snapToGrid w:val="0"/>
          <w:color w:val="auto"/>
          <w:spacing w:val="2"/>
          <w:kern w:val="0"/>
          <w:sz w:val="21"/>
          <w:szCs w:val="21"/>
          <w:highlight w:val="none"/>
          <w:lang w:val="en-US" w:eastAsia="zh-CN" w:bidi="ar-SA"/>
        </w:rPr>
        <w:t>六十五</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330AAF7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甲方将在租赁期内提供配电设备、电源、消防设备等设施，乙方应按照</w:t>
      </w:r>
      <w:r>
        <w:rPr>
          <w:rFonts w:hint="default" w:ascii="Times New Roman" w:hAnsi="Times New Roman" w:eastAsia="宋体" w:cs="Times New Roman"/>
          <w:color w:val="auto"/>
          <w:kern w:val="0"/>
          <w:sz w:val="21"/>
          <w:szCs w:val="21"/>
          <w:highlight w:val="none"/>
          <w:lang w:val="en-US" w:eastAsia="zh-CN" w:bidi="ar"/>
        </w:rPr>
        <w:t>《南通轨道交通</w:t>
      </w:r>
      <w:r>
        <w:rPr>
          <w:rFonts w:hint="eastAsia" w:ascii="Times New Roman" w:hAnsi="Times New Roman" w:cs="Times New Roman"/>
          <w:color w:val="auto"/>
          <w:kern w:val="0"/>
          <w:sz w:val="21"/>
          <w:szCs w:val="21"/>
          <w:highlight w:val="none"/>
          <w:lang w:val="en-US" w:eastAsia="zh-CN" w:bidi="ar"/>
        </w:rPr>
        <w:t>图书馆站地下附属空间</w:t>
      </w:r>
      <w:r>
        <w:rPr>
          <w:rFonts w:hint="default" w:ascii="Times New Roman" w:hAnsi="Times New Roman" w:eastAsia="宋体" w:cs="Times New Roman"/>
          <w:color w:val="auto"/>
          <w:kern w:val="0"/>
          <w:sz w:val="21"/>
          <w:szCs w:val="21"/>
          <w:highlight w:val="none"/>
          <w:lang w:val="en-US" w:eastAsia="zh-CN" w:bidi="ar"/>
        </w:rPr>
        <w:t>日常经营管理规定》</w:t>
      </w:r>
      <w:r>
        <w:rPr>
          <w:rFonts w:hint="default" w:ascii="Times New Roman" w:hAnsi="Times New Roman" w:eastAsia="宋体" w:cs="Times New Roman"/>
          <w:color w:val="auto"/>
          <w:sz w:val="21"/>
          <w:szCs w:val="21"/>
          <w:highlight w:val="none"/>
          <w:lang w:val="en-US" w:eastAsia="zh-CN"/>
        </w:rPr>
        <w:t>中对设施设备使用相关要求执行。如因乙方使用原因，造成的故障，应由乙方维修并承担相关维修费用。</w:t>
      </w:r>
    </w:p>
    <w:p w14:paraId="0D8E032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snapToGrid w:val="0"/>
          <w:color w:val="auto"/>
          <w:spacing w:val="2"/>
          <w:kern w:val="0"/>
          <w:sz w:val="21"/>
          <w:szCs w:val="21"/>
          <w:highlight w:val="none"/>
          <w:lang w:val="en-US" w:eastAsia="zh-CN" w:bidi="ar-SA"/>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w:t>
      </w:r>
      <w:r>
        <w:rPr>
          <w:rFonts w:hint="eastAsia" w:ascii="Times New Roman" w:hAnsi="Times New Roman" w:cs="Times New Roman"/>
          <w:b/>
          <w:bCs/>
          <w:snapToGrid w:val="0"/>
          <w:color w:val="auto"/>
          <w:spacing w:val="2"/>
          <w:kern w:val="0"/>
          <w:sz w:val="21"/>
          <w:szCs w:val="21"/>
          <w:highlight w:val="none"/>
          <w:lang w:val="en-US" w:eastAsia="zh-CN" w:bidi="ar-SA"/>
        </w:rPr>
        <w:t>六十六</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0D9A7D3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如在租赁期间违反《南通轨道交通</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日常经营管理规定》</w:t>
      </w:r>
      <w:r>
        <w:rPr>
          <w:rFonts w:hint="eastAsia" w:ascii="Times New Roman" w:hAnsi="Times New Roman" w:cs="Times New Roman"/>
        </w:rPr>
        <w:t>（附件4）</w:t>
      </w:r>
      <w:r>
        <w:rPr>
          <w:rFonts w:hint="default" w:ascii="Times New Roman" w:hAnsi="Times New Roman" w:eastAsia="宋体" w:cs="Times New Roman"/>
          <w:color w:val="auto"/>
          <w:sz w:val="21"/>
          <w:szCs w:val="21"/>
          <w:highlight w:val="none"/>
          <w:lang w:val="en-US" w:eastAsia="zh-CN"/>
        </w:rPr>
        <w:t>中相关条款的，甲方有权对乙方行为进行</w:t>
      </w:r>
      <w:r>
        <w:rPr>
          <w:rFonts w:hint="eastAsia" w:ascii="Times New Roman" w:hAnsi="Times New Roman" w:cs="Times New Roman"/>
          <w:color w:val="auto"/>
          <w:sz w:val="21"/>
          <w:szCs w:val="21"/>
          <w:highlight w:val="none"/>
          <w:lang w:val="en-US" w:eastAsia="zh-CN"/>
        </w:rPr>
        <w:t>处理</w:t>
      </w:r>
      <w:r>
        <w:rPr>
          <w:rFonts w:hint="default" w:ascii="Times New Roman" w:hAnsi="Times New Roman" w:eastAsia="宋体" w:cs="Times New Roman"/>
          <w:color w:val="auto"/>
          <w:sz w:val="21"/>
          <w:szCs w:val="21"/>
          <w:highlight w:val="none"/>
          <w:lang w:val="en-US" w:eastAsia="zh-CN"/>
        </w:rPr>
        <w:t>，乙方在日常经营过程中，应接受甲方的监督管理，对于日常经营中存在的问题，乙方应积极予以整改。对于占道经营、环境卫生等问题，应立即整改。否则将开具整改通知单，并处以当年合同年租金 5‰的违约金（不超过 2000 元）。对于不能立即整改的问题：一经发现，由甲方开具整改通知单，给予一定的整改期限，并处以当年合同年租金 5‰的违约金（不超过5000元）。逾期未整改到位或未进行整改的，处以当年合同年租金 2%的违约金（不超过10000元），并再次开具整改通知单。拒不整改的，甲方有权无条件提前终止</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租赁合同，并追究相应违约责任。对于同一类问题，发现</w:t>
      </w:r>
      <w:r>
        <w:rPr>
          <w:rFonts w:hint="eastAsia" w:ascii="Times New Roman" w:hAnsi="Times New Roman" w:cs="Times New Roman"/>
          <w:color w:val="auto"/>
          <w:sz w:val="21"/>
          <w:szCs w:val="21"/>
          <w:highlight w:val="none"/>
          <w:lang w:val="en-US" w:eastAsia="zh-CN"/>
        </w:rPr>
        <w:t>三</w:t>
      </w:r>
      <w:r>
        <w:rPr>
          <w:rFonts w:hint="default" w:ascii="Times New Roman" w:hAnsi="Times New Roman" w:eastAsia="宋体" w:cs="Times New Roman"/>
          <w:color w:val="auto"/>
          <w:sz w:val="21"/>
          <w:szCs w:val="21"/>
          <w:highlight w:val="none"/>
          <w:lang w:val="en-US" w:eastAsia="zh-CN"/>
        </w:rPr>
        <w:t>次以上的，甲方有权无条件提前终止</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租赁合同，并追究相应违约责任。</w:t>
      </w:r>
    </w:p>
    <w:p w14:paraId="18E7B9E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w:t>
      </w:r>
      <w:r>
        <w:rPr>
          <w:rFonts w:hint="eastAsia" w:ascii="Times New Roman" w:hAnsi="Times New Roman" w:cs="Times New Roman"/>
          <w:b/>
          <w:bCs/>
          <w:snapToGrid w:val="0"/>
          <w:color w:val="auto"/>
          <w:spacing w:val="2"/>
          <w:kern w:val="0"/>
          <w:sz w:val="21"/>
          <w:szCs w:val="21"/>
          <w:highlight w:val="none"/>
          <w:lang w:val="en-US" w:eastAsia="zh-CN" w:bidi="ar-SA"/>
        </w:rPr>
        <w:t>六十七</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r>
        <w:rPr>
          <w:rFonts w:hint="default" w:ascii="Times New Roman" w:hAnsi="Times New Roman" w:eastAsia="宋体" w:cs="Times New Roman"/>
          <w:color w:val="auto"/>
          <w:sz w:val="21"/>
          <w:szCs w:val="21"/>
          <w:highlight w:val="none"/>
        </w:rPr>
        <w:t xml:space="preserve"> </w:t>
      </w:r>
    </w:p>
    <w:p w14:paraId="2B54E84B">
      <w:pPr>
        <w:keepNext w:val="0"/>
        <w:keepLines w:val="0"/>
        <w:pageBreakBefore w:val="0"/>
        <w:widowControl/>
        <w:kinsoku/>
        <w:wordWrap/>
        <w:overflowPunct/>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安全事故（事件）处罚措施，乙方在</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经营过程中发生责任冒烟、火灾、伤人等安全事故（事件）时，甲方有权根据情节的严重性采取相关处罚措施。第一次发生责任冒烟、轻微伤人等事件，发放整改通知单，进行停业整顿，停业整顿不少于 7 日，并处以合同当年年租金 1</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的违约金（</w:t>
      </w:r>
      <w:r>
        <w:rPr>
          <w:rFonts w:hint="eastAsia" w:ascii="Times New Roman" w:hAnsi="Times New Roman" w:cs="Times New Roman"/>
          <w:color w:val="auto"/>
          <w:sz w:val="21"/>
          <w:szCs w:val="21"/>
          <w:highlight w:val="none"/>
          <w:lang w:val="en-US" w:eastAsia="zh-CN"/>
        </w:rPr>
        <w:t>不低于</w:t>
      </w:r>
      <w:r>
        <w:rPr>
          <w:rFonts w:hint="default" w:ascii="Times New Roman" w:hAnsi="Times New Roman" w:eastAsia="宋体" w:cs="Times New Roman"/>
          <w:color w:val="auto"/>
          <w:sz w:val="21"/>
          <w:szCs w:val="21"/>
          <w:highlight w:val="none"/>
          <w:lang w:val="en-US" w:eastAsia="zh-CN"/>
        </w:rPr>
        <w:t xml:space="preserve"> 2000 元），给甲方或任何第三方造成损失，将由乙方承担全部赔偿责任。第二次发生责任冒烟、轻微伤人等事件，发放整改通知单，进行停业整顿，停业整顿不少于 1 个月，并处以合同当年年租金4</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的违约金（不低于10000元）。甲方有权提前终止合同，给甲方或任何第三方造成损失，将由乙方承担全部赔偿责任。发生责任火灾、重伤他人等安全事故，甲方有权提前终止合同，并追究相应违约责任，给甲方或任何第三方造成损失，将由乙方承担全部赔偿责任。同时列入招商黑名单，乙方不得参与南通地铁</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招商。如因乙方管理不善造成的一切安全事故，人员伤亡等；赔偿金额不包括在违约金范围内，乙方应另行承担相应的赔偿、法律责任、刑事责任等。</w:t>
      </w:r>
    </w:p>
    <w:p w14:paraId="69D765D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w:t>
      </w:r>
      <w:r>
        <w:rPr>
          <w:rFonts w:hint="eastAsia" w:ascii="Times New Roman" w:hAnsi="Times New Roman" w:cs="Times New Roman"/>
          <w:b/>
          <w:bCs/>
          <w:snapToGrid w:val="0"/>
          <w:color w:val="auto"/>
          <w:spacing w:val="2"/>
          <w:kern w:val="0"/>
          <w:sz w:val="21"/>
          <w:szCs w:val="21"/>
          <w:highlight w:val="none"/>
          <w:lang w:val="en-US" w:eastAsia="zh-CN" w:bidi="ar-SA"/>
        </w:rPr>
        <w:t>六十八</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r>
        <w:rPr>
          <w:rFonts w:hint="default" w:ascii="Times New Roman" w:hAnsi="Times New Roman" w:eastAsia="宋体" w:cs="Times New Roman"/>
          <w:color w:val="auto"/>
          <w:sz w:val="21"/>
          <w:szCs w:val="21"/>
          <w:highlight w:val="none"/>
        </w:rPr>
        <w:t xml:space="preserve"> </w:t>
      </w:r>
    </w:p>
    <w:p w14:paraId="7A775C7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除乙方使用原因外，该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因工程质量原因发生损坏的，甲方应予以维修。但是，甲方不因对该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及其相关设施设备和水、电供应系统的维修行为，而向乙方做出任何形式的赔偿或补偿。甲方对该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的维修责任范围只限于该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的结构部分及交接时甲方提供的设备设施（以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交付时双方签订的交付确认文件内容为准，本合同另有约定的除外）。此外，甲方亦应维修</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 xml:space="preserve">的公共部位/区域。乙方装修或增设的设施设备由乙方自行维修。 </w:t>
      </w:r>
    </w:p>
    <w:p w14:paraId="50404999">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2"/>
          <w:szCs w:val="22"/>
          <w:highlight w:val="none"/>
        </w:rPr>
      </w:pPr>
    </w:p>
    <w:p w14:paraId="1CD9DA80">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rPr>
      </w:pPr>
      <w:r>
        <w:rPr>
          <w:rFonts w:hint="default" w:ascii="Times New Roman" w:hAnsi="Times New Roman" w:eastAsia="宋体" w:cs="Times New Roman"/>
          <w:b/>
          <w:bCs/>
          <w:color w:val="auto"/>
          <w:spacing w:val="-6"/>
          <w:sz w:val="22"/>
          <w:szCs w:val="22"/>
          <w:highlight w:val="none"/>
        </w:rPr>
        <w:t xml:space="preserve">第十章  </w:t>
      </w:r>
      <w:r>
        <w:rPr>
          <w:rFonts w:hint="eastAsia" w:ascii="Times New Roman" w:hAnsi="Times New Roman" w:cs="Times New Roman"/>
          <w:b/>
          <w:bCs/>
          <w:color w:val="auto"/>
          <w:spacing w:val="-6"/>
          <w:sz w:val="22"/>
          <w:szCs w:val="22"/>
          <w:highlight w:val="none"/>
          <w:lang w:eastAsia="zh-CN"/>
        </w:rPr>
        <w:t>图书馆站地下附属空间</w:t>
      </w:r>
      <w:r>
        <w:rPr>
          <w:rFonts w:hint="default" w:ascii="Times New Roman" w:hAnsi="Times New Roman" w:eastAsia="宋体" w:cs="Times New Roman"/>
          <w:b/>
          <w:bCs/>
          <w:color w:val="auto"/>
          <w:spacing w:val="-6"/>
          <w:sz w:val="22"/>
          <w:szCs w:val="22"/>
          <w:highlight w:val="none"/>
        </w:rPr>
        <w:t>交还</w:t>
      </w:r>
    </w:p>
    <w:p w14:paraId="66A0755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w:t>
      </w:r>
      <w:r>
        <w:rPr>
          <w:rFonts w:hint="eastAsia" w:ascii="Times New Roman" w:hAnsi="Times New Roman" w:cs="Times New Roman"/>
          <w:b/>
          <w:bCs/>
          <w:snapToGrid w:val="0"/>
          <w:color w:val="auto"/>
          <w:spacing w:val="2"/>
          <w:kern w:val="0"/>
          <w:sz w:val="21"/>
          <w:szCs w:val="21"/>
          <w:highlight w:val="none"/>
          <w:lang w:val="en-US" w:eastAsia="zh-CN" w:bidi="ar-SA"/>
        </w:rPr>
        <w:t>六十九</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r>
        <w:rPr>
          <w:rFonts w:hint="default" w:ascii="Times New Roman" w:hAnsi="Times New Roman" w:eastAsia="宋体" w:cs="Times New Roman"/>
          <w:color w:val="auto"/>
          <w:sz w:val="21"/>
          <w:szCs w:val="21"/>
          <w:highlight w:val="none"/>
        </w:rPr>
        <w:t xml:space="preserve"> </w:t>
      </w:r>
    </w:p>
    <w:p w14:paraId="115E81C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本合同项下之租赁期限届满或本合同因任何原因而终止后</w:t>
      </w:r>
      <w:r>
        <w:rPr>
          <w:rFonts w:hint="eastAsia" w:ascii="Times New Roman" w:hAnsi="Times New Roman" w:cs="Times New Roman"/>
          <w:color w:val="auto"/>
          <w:sz w:val="21"/>
          <w:szCs w:val="21"/>
          <w:highlight w:val="none"/>
          <w:lang w:val="en-US" w:eastAsia="zh-CN"/>
        </w:rPr>
        <w:t>30</w:t>
      </w:r>
      <w:r>
        <w:rPr>
          <w:rFonts w:hint="default" w:ascii="Times New Roman" w:hAnsi="Times New Roman" w:eastAsia="宋体" w:cs="Times New Roman"/>
          <w:color w:val="auto"/>
          <w:sz w:val="21"/>
          <w:szCs w:val="21"/>
          <w:highlight w:val="none"/>
          <w:lang w:val="en-US" w:eastAsia="zh-CN"/>
        </w:rPr>
        <w:t>日内，乙方须将该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完好交还甲方，并将</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恢复至甲方认可的状态，否则甲方有权在履约保证金中扣除因恢复</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而产生的损失，或向乙方追偿。该期限为本合同项下该</w:t>
      </w:r>
      <w:r>
        <w:rPr>
          <w:rFonts w:hint="eastAsia" w:ascii="Times New Roman" w:hAnsi="Times New Roman" w:cs="Times New Roman"/>
          <w:color w:val="auto"/>
          <w:sz w:val="21"/>
          <w:szCs w:val="21"/>
          <w:highlight w:val="none"/>
          <w:lang w:val="en-US" w:eastAsia="zh-CN"/>
        </w:rPr>
        <w:t>图书馆站地下附属空间的</w:t>
      </w:r>
      <w:r>
        <w:rPr>
          <w:rFonts w:hint="default" w:ascii="Times New Roman" w:hAnsi="Times New Roman" w:eastAsia="宋体" w:cs="Times New Roman"/>
          <w:color w:val="auto"/>
          <w:sz w:val="21"/>
          <w:szCs w:val="21"/>
          <w:highlight w:val="none"/>
          <w:lang w:val="en-US" w:eastAsia="zh-CN"/>
        </w:rPr>
        <w:t>交还期。</w:t>
      </w:r>
    </w:p>
    <w:p w14:paraId="244FEBC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第七十条</w:t>
      </w:r>
      <w:r>
        <w:rPr>
          <w:rFonts w:hint="default" w:ascii="Times New Roman" w:hAnsi="Times New Roman" w:eastAsia="宋体" w:cs="Times New Roman"/>
          <w:color w:val="auto"/>
          <w:sz w:val="21"/>
          <w:szCs w:val="21"/>
          <w:highlight w:val="none"/>
        </w:rPr>
        <w:t xml:space="preserve"> </w:t>
      </w:r>
    </w:p>
    <w:p w14:paraId="17F018A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交还期内，乙方应向甲方归还所有甲方向乙方提供的物业管理和工程资料（如有）的全部原件和复印件，并使该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符合约定的装修交还状态，以及通过甲方的验收。</w:t>
      </w:r>
    </w:p>
    <w:p w14:paraId="7745518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第七十</w:t>
      </w:r>
      <w:r>
        <w:rPr>
          <w:rFonts w:hint="eastAsia" w:ascii="Times New Roman" w:hAnsi="Times New Roman" w:cs="Times New Roman"/>
          <w:b/>
          <w:bCs/>
          <w:snapToGrid w:val="0"/>
          <w:color w:val="auto"/>
          <w:spacing w:val="2"/>
          <w:kern w:val="0"/>
          <w:sz w:val="21"/>
          <w:szCs w:val="21"/>
          <w:highlight w:val="none"/>
          <w:lang w:val="en-US" w:eastAsia="zh-CN" w:bidi="ar-SA"/>
        </w:rPr>
        <w:t>一</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r>
        <w:rPr>
          <w:rFonts w:hint="default" w:ascii="Times New Roman" w:hAnsi="Times New Roman" w:eastAsia="宋体" w:cs="Times New Roman"/>
          <w:color w:val="auto"/>
          <w:sz w:val="21"/>
          <w:szCs w:val="21"/>
          <w:highlight w:val="none"/>
        </w:rPr>
        <w:t xml:space="preserve"> </w:t>
      </w:r>
    </w:p>
    <w:p w14:paraId="020F34C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交还期内，乙方不得在该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内从事任何经营行为。</w:t>
      </w:r>
    </w:p>
    <w:p w14:paraId="39DEAEA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snapToGrid w:val="0"/>
          <w:color w:val="auto"/>
          <w:spacing w:val="2"/>
          <w:kern w:val="0"/>
          <w:sz w:val="21"/>
          <w:szCs w:val="21"/>
          <w:highlight w:val="none"/>
          <w:lang w:val="en-US" w:eastAsia="zh-CN" w:bidi="ar-SA"/>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第七十</w:t>
      </w:r>
      <w:r>
        <w:rPr>
          <w:rFonts w:hint="eastAsia" w:ascii="Times New Roman" w:hAnsi="Times New Roman" w:cs="Times New Roman"/>
          <w:b/>
          <w:bCs/>
          <w:snapToGrid w:val="0"/>
          <w:color w:val="auto"/>
          <w:spacing w:val="2"/>
          <w:kern w:val="0"/>
          <w:sz w:val="21"/>
          <w:szCs w:val="21"/>
          <w:highlight w:val="none"/>
          <w:lang w:val="en-US" w:eastAsia="zh-CN" w:bidi="ar-SA"/>
        </w:rPr>
        <w:t>二</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5C82C58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交还期内，乙方无需支付租金和物业管理费（如有），但仍应当承担在此期间发生的水、电等各项费用及可能发生的迟延付款的违约责任。</w:t>
      </w:r>
    </w:p>
    <w:p w14:paraId="29CE05A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第七十</w:t>
      </w:r>
      <w:r>
        <w:rPr>
          <w:rFonts w:hint="eastAsia" w:ascii="Times New Roman" w:hAnsi="Times New Roman" w:cs="Times New Roman"/>
          <w:b/>
          <w:bCs/>
          <w:snapToGrid w:val="0"/>
          <w:color w:val="auto"/>
          <w:spacing w:val="2"/>
          <w:kern w:val="0"/>
          <w:sz w:val="21"/>
          <w:szCs w:val="21"/>
          <w:highlight w:val="none"/>
          <w:lang w:val="en-US" w:eastAsia="zh-CN" w:bidi="ar-SA"/>
        </w:rPr>
        <w:t>三</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5A00600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除不可抗力因素外，交还期届满后乙方仍未能将符合前述约定交还条件的该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交还甲方的，则自交还期届满之日的次日起，乙方应当按照合同终止时该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租金标准的200%向甲方支付</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使用费，并按照合同终止时该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物业管理费（如有）标准支付 物业管理费（如有）及承担相关的水、电等费用，直至乙方按照合同要求交还该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为止。如因此造成甲方延迟向新租户交付该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而需承担违约金、中介费等，以及造成甲方其它损失的，乙方均应全额赔偿，费用从履约保证金中扣减。不足部分，乙方须在收到甲方通知后</w:t>
      </w:r>
      <w:r>
        <w:rPr>
          <w:rFonts w:hint="default" w:ascii="Times New Roman" w:hAnsi="Times New Roman" w:eastAsia="宋体" w:cs="Times New Roman"/>
          <w:color w:val="auto"/>
          <w:sz w:val="21"/>
          <w:szCs w:val="21"/>
          <w:highlight w:val="none"/>
          <w:u w:val="single"/>
          <w:lang w:val="en-US" w:eastAsia="zh-CN"/>
        </w:rPr>
        <w:t xml:space="preserve"> 30  </w:t>
      </w:r>
      <w:r>
        <w:rPr>
          <w:rFonts w:hint="default" w:ascii="Times New Roman" w:hAnsi="Times New Roman" w:eastAsia="宋体" w:cs="Times New Roman"/>
          <w:color w:val="auto"/>
          <w:sz w:val="21"/>
          <w:szCs w:val="21"/>
          <w:highlight w:val="none"/>
          <w:lang w:val="en-US" w:eastAsia="zh-CN"/>
        </w:rPr>
        <w:t>日内补足。</w:t>
      </w:r>
    </w:p>
    <w:p w14:paraId="34285CB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第七十</w:t>
      </w:r>
      <w:r>
        <w:rPr>
          <w:rFonts w:hint="eastAsia" w:ascii="Times New Roman" w:hAnsi="Times New Roman" w:cs="Times New Roman"/>
          <w:b/>
          <w:bCs/>
          <w:snapToGrid w:val="0"/>
          <w:color w:val="auto"/>
          <w:spacing w:val="2"/>
          <w:kern w:val="0"/>
          <w:sz w:val="21"/>
          <w:szCs w:val="21"/>
          <w:highlight w:val="none"/>
          <w:lang w:val="en-US" w:eastAsia="zh-CN" w:bidi="ar-SA"/>
        </w:rPr>
        <w:t>四</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05D04C0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自交还期届满次日起，甲方有权采取对该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停止水、电等供应、</w:t>
      </w:r>
      <w:r>
        <w:rPr>
          <w:rFonts w:hint="eastAsia" w:ascii="Times New Roman" w:hAnsi="Times New Roman" w:cs="Times New Roman"/>
          <w:color w:val="auto"/>
          <w:sz w:val="21"/>
          <w:szCs w:val="21"/>
          <w:highlight w:val="none"/>
          <w:lang w:val="en-US" w:eastAsia="zh-CN"/>
        </w:rPr>
        <w:t>禁止</w:t>
      </w:r>
      <w:r>
        <w:rPr>
          <w:rFonts w:hint="default" w:ascii="Times New Roman" w:hAnsi="Times New Roman" w:eastAsia="宋体" w:cs="Times New Roman"/>
          <w:color w:val="auto"/>
          <w:sz w:val="21"/>
          <w:szCs w:val="21"/>
          <w:highlight w:val="none"/>
          <w:lang w:val="en-US" w:eastAsia="zh-CN"/>
        </w:rPr>
        <w:t>人员从</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进出、阻止乙方继续开业经营等措施。此种情况下，乙方所应承担的</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使用费、物业管理费（如有）及其它相关费用并不因此而得到减免。</w:t>
      </w:r>
    </w:p>
    <w:p w14:paraId="7C49C30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napToGrid w:val="0"/>
          <w:color w:val="auto"/>
          <w:spacing w:val="2"/>
          <w:kern w:val="0"/>
          <w:sz w:val="21"/>
          <w:szCs w:val="21"/>
          <w:highlight w:val="none"/>
          <w:lang w:val="en-US" w:eastAsia="zh-CN" w:bidi="ar-SA"/>
        </w:rPr>
        <w:t>第</w:t>
      </w:r>
      <w:r>
        <w:rPr>
          <w:rFonts w:hint="eastAsia" w:ascii="Times New Roman" w:hAnsi="Times New Roman" w:cs="Times New Roman"/>
          <w:b/>
          <w:bCs/>
          <w:snapToGrid w:val="0"/>
          <w:color w:val="auto"/>
          <w:spacing w:val="2"/>
          <w:kern w:val="0"/>
          <w:sz w:val="21"/>
          <w:szCs w:val="21"/>
          <w:highlight w:val="none"/>
          <w:lang w:val="en-US" w:eastAsia="zh-CN" w:bidi="ar-SA"/>
        </w:rPr>
        <w:t>七十五</w:t>
      </w:r>
      <w:r>
        <w:rPr>
          <w:rFonts w:hint="default" w:ascii="Times New Roman" w:hAnsi="Times New Roman" w:eastAsia="宋体" w:cs="Times New Roman"/>
          <w:b/>
          <w:bCs/>
          <w:snapToGrid w:val="0"/>
          <w:color w:val="auto"/>
          <w:spacing w:val="2"/>
          <w:kern w:val="0"/>
          <w:sz w:val="21"/>
          <w:szCs w:val="21"/>
          <w:highlight w:val="none"/>
          <w:lang w:val="en-US" w:eastAsia="zh-CN" w:bidi="ar-SA"/>
        </w:rPr>
        <w:t>条</w:t>
      </w:r>
    </w:p>
    <w:p w14:paraId="1766892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在乙方按约定向甲方交还本合同租赁范围内</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时，甲、乙双方应签署</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交还确认书。在双方签署了该确认书后，或虽未签署该确认书，但乙方已经实际撤离</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之后，乙方在</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内遗留的任何设施设备、物品等均视为乙方放弃一切权利，甲方有权自行处置（包括作为垃圾进行处理）。如甲方对乙方撤离后</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进行清理、整改或对有关设施设备进行维修、更换等使之符合前述约定交还条件的，则因此而发生的费用支出均应由乙方承担，并且上述清理、维修期间（不超过 7 个工作日），乙方仍应按合同终止时</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租金标准的 200%支付清理、维修期间的</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使用费，以弥补甲方在此期间的损失，费用从履约保证金中扣减，不足部分，乙方须在收到甲方通知后 30 日内补足。</w:t>
      </w:r>
    </w:p>
    <w:p w14:paraId="06FB38E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2"/>
          <w:szCs w:val="22"/>
          <w:highlight w:val="none"/>
        </w:rPr>
      </w:pPr>
    </w:p>
    <w:p w14:paraId="5D281F30">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rPr>
      </w:pPr>
      <w:r>
        <w:rPr>
          <w:rFonts w:hint="default" w:ascii="Times New Roman" w:hAnsi="Times New Roman" w:eastAsia="宋体" w:cs="Times New Roman"/>
          <w:b/>
          <w:bCs/>
          <w:color w:val="auto"/>
          <w:spacing w:val="-6"/>
          <w:sz w:val="22"/>
          <w:szCs w:val="22"/>
          <w:highlight w:val="none"/>
        </w:rPr>
        <w:t>第十一章  保险</w:t>
      </w:r>
    </w:p>
    <w:p w14:paraId="42F829B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w:t>
      </w:r>
      <w:r>
        <w:rPr>
          <w:rFonts w:hint="eastAsia" w:ascii="Times New Roman" w:hAnsi="Times New Roman" w:cs="Times New Roman"/>
          <w:b/>
          <w:bCs/>
          <w:color w:val="auto"/>
          <w:sz w:val="21"/>
          <w:szCs w:val="21"/>
          <w:highlight w:val="none"/>
          <w:lang w:val="en-US" w:eastAsia="zh-CN"/>
        </w:rPr>
        <w:t>七十六</w:t>
      </w:r>
      <w:r>
        <w:rPr>
          <w:rFonts w:hint="default" w:ascii="Times New Roman" w:hAnsi="Times New Roman" w:eastAsia="宋体" w:cs="Times New Roman"/>
          <w:b/>
          <w:bCs/>
          <w:color w:val="auto"/>
          <w:sz w:val="21"/>
          <w:szCs w:val="21"/>
          <w:highlight w:val="none"/>
        </w:rPr>
        <w:t>条</w:t>
      </w:r>
    </w:p>
    <w:p w14:paraId="72914F7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装修期间的保险。乙方应当在交付日起</w:t>
      </w:r>
      <w:r>
        <w:rPr>
          <w:rFonts w:hint="default" w:ascii="Times New Roman" w:hAnsi="Times New Roman" w:eastAsia="宋体" w:cs="Times New Roman"/>
          <w:color w:val="auto"/>
          <w:sz w:val="21"/>
          <w:szCs w:val="21"/>
          <w:highlight w:val="none"/>
          <w:u w:val="single"/>
          <w:lang w:val="en-US" w:eastAsia="zh-CN"/>
        </w:rPr>
        <w:t xml:space="preserve"> 5 </w:t>
      </w:r>
      <w:r>
        <w:rPr>
          <w:rFonts w:hint="default" w:ascii="Times New Roman" w:hAnsi="Times New Roman" w:eastAsia="宋体" w:cs="Times New Roman"/>
          <w:color w:val="auto"/>
          <w:sz w:val="21"/>
          <w:szCs w:val="21"/>
          <w:highlight w:val="none"/>
          <w:lang w:val="en-US" w:eastAsia="zh-CN"/>
        </w:rPr>
        <w:t>个工作日内自费为承租</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在装修期间可能遇到的风险购买保险，该等保险的险种为装修工程一切险及公众责任险，保险责任期间为开始装修之日起至开始营业之日止。如不购买，由乙方承担可能产生的相关后果。</w:t>
      </w:r>
    </w:p>
    <w:p w14:paraId="0F320989">
      <w:pPr>
        <w:pStyle w:val="2"/>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第</w:t>
      </w:r>
      <w:r>
        <w:rPr>
          <w:rFonts w:hint="eastAsia" w:ascii="Times New Roman" w:hAnsi="Times New Roman" w:cs="Times New Roman"/>
          <w:b/>
          <w:bCs w:val="0"/>
          <w:color w:val="auto"/>
          <w:sz w:val="21"/>
          <w:szCs w:val="21"/>
          <w:highlight w:val="none"/>
          <w:lang w:val="en-US" w:eastAsia="zh-CN"/>
        </w:rPr>
        <w:t>七十七</w:t>
      </w:r>
      <w:r>
        <w:rPr>
          <w:rFonts w:hint="default" w:ascii="Times New Roman" w:hAnsi="Times New Roman" w:eastAsia="宋体" w:cs="Times New Roman"/>
          <w:b/>
          <w:bCs w:val="0"/>
          <w:color w:val="auto"/>
          <w:sz w:val="21"/>
          <w:szCs w:val="21"/>
          <w:highlight w:val="none"/>
        </w:rPr>
        <w:t>条</w:t>
      </w:r>
    </w:p>
    <w:p w14:paraId="74B41B4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营业期间的保险。乙方应当于开业的</w:t>
      </w:r>
      <w:r>
        <w:rPr>
          <w:rFonts w:hint="default" w:ascii="Times New Roman" w:hAnsi="Times New Roman" w:eastAsia="宋体" w:cs="Times New Roman"/>
          <w:color w:val="auto"/>
          <w:sz w:val="21"/>
          <w:szCs w:val="21"/>
          <w:highlight w:val="none"/>
          <w:u w:val="single"/>
          <w:lang w:val="en-US" w:eastAsia="zh-CN"/>
        </w:rPr>
        <w:t xml:space="preserve"> 30  </w:t>
      </w:r>
      <w:r>
        <w:rPr>
          <w:rFonts w:hint="default" w:ascii="Times New Roman" w:hAnsi="Times New Roman" w:eastAsia="宋体" w:cs="Times New Roman"/>
          <w:color w:val="auto"/>
          <w:sz w:val="21"/>
          <w:szCs w:val="21"/>
          <w:highlight w:val="none"/>
          <w:lang w:val="en-US" w:eastAsia="zh-CN"/>
        </w:rPr>
        <w:t>日前自费为承租</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内自行增置的财产购买财产一切险以及公众责任险。保险的责任期间从乙方开业日起至本合同所述的租期届满之日止。如不购买，由乙方承担可能产生的相关后果。</w:t>
      </w:r>
    </w:p>
    <w:p w14:paraId="4139430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w:t>
      </w:r>
      <w:r>
        <w:rPr>
          <w:rFonts w:hint="eastAsia" w:ascii="Times New Roman" w:hAnsi="Times New Roman" w:cs="Times New Roman"/>
          <w:b/>
          <w:bCs/>
          <w:color w:val="auto"/>
          <w:sz w:val="21"/>
          <w:szCs w:val="21"/>
          <w:highlight w:val="none"/>
          <w:lang w:val="en-US" w:eastAsia="zh-CN"/>
        </w:rPr>
        <w:t>七十八</w:t>
      </w:r>
      <w:r>
        <w:rPr>
          <w:rFonts w:hint="default" w:ascii="Times New Roman" w:hAnsi="Times New Roman" w:eastAsia="宋体" w:cs="Times New Roman"/>
          <w:b/>
          <w:bCs/>
          <w:color w:val="auto"/>
          <w:sz w:val="21"/>
          <w:szCs w:val="21"/>
          <w:highlight w:val="none"/>
        </w:rPr>
        <w:t>条</w:t>
      </w:r>
    </w:p>
    <w:p w14:paraId="022DB47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租赁期间，出租</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场地内属甲方的相关设备及其附属设施的投保由甲方负责。</w:t>
      </w:r>
    </w:p>
    <w:p w14:paraId="06F9661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2"/>
          <w:szCs w:val="22"/>
          <w:highlight w:val="none"/>
        </w:rPr>
      </w:pPr>
    </w:p>
    <w:p w14:paraId="287F8BC7">
      <w:pPr>
        <w:keepNext w:val="0"/>
        <w:keepLines w:val="0"/>
        <w:pageBreakBefore w:val="0"/>
        <w:widowControl/>
        <w:numPr>
          <w:ilvl w:val="0"/>
          <w:numId w:val="4"/>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rPr>
      </w:pPr>
      <w:r>
        <w:rPr>
          <w:rFonts w:hint="default" w:ascii="Times New Roman" w:hAnsi="Times New Roman" w:eastAsia="宋体" w:cs="Times New Roman"/>
          <w:b/>
          <w:bCs/>
          <w:color w:val="auto"/>
          <w:spacing w:val="-6"/>
          <w:sz w:val="22"/>
          <w:szCs w:val="22"/>
          <w:highlight w:val="none"/>
        </w:rPr>
        <w:t xml:space="preserve"> </w:t>
      </w:r>
      <w:r>
        <w:rPr>
          <w:rFonts w:hint="default" w:ascii="Times New Roman" w:hAnsi="Times New Roman" w:cs="Times New Roman"/>
          <w:b/>
          <w:bCs/>
          <w:color w:val="auto"/>
          <w:spacing w:val="-6"/>
          <w:sz w:val="22"/>
          <w:szCs w:val="22"/>
          <w:highlight w:val="none"/>
          <w:lang w:val="en-US" w:eastAsia="zh-CN"/>
        </w:rPr>
        <w:t xml:space="preserve"> </w:t>
      </w:r>
      <w:r>
        <w:rPr>
          <w:rFonts w:hint="default" w:ascii="Times New Roman" w:hAnsi="Times New Roman" w:eastAsia="宋体" w:cs="Times New Roman"/>
          <w:b/>
          <w:bCs/>
          <w:color w:val="auto"/>
          <w:spacing w:val="-6"/>
          <w:sz w:val="22"/>
          <w:szCs w:val="22"/>
          <w:highlight w:val="none"/>
        </w:rPr>
        <w:t>违约责任</w:t>
      </w:r>
    </w:p>
    <w:p w14:paraId="59C01EBF">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第</w:t>
      </w:r>
      <w:r>
        <w:rPr>
          <w:rFonts w:hint="eastAsia" w:ascii="Times New Roman" w:hAnsi="Times New Roman" w:cs="Times New Roman"/>
          <w:b/>
          <w:bCs w:val="0"/>
          <w:color w:val="auto"/>
          <w:sz w:val="21"/>
          <w:szCs w:val="21"/>
          <w:highlight w:val="none"/>
          <w:lang w:val="en-US" w:eastAsia="zh-CN"/>
        </w:rPr>
        <w:t>七十九</w:t>
      </w:r>
      <w:r>
        <w:rPr>
          <w:rFonts w:hint="default" w:ascii="Times New Roman" w:hAnsi="Times New Roman" w:eastAsia="宋体" w:cs="Times New Roman"/>
          <w:b/>
          <w:bCs w:val="0"/>
          <w:color w:val="auto"/>
          <w:sz w:val="21"/>
          <w:szCs w:val="21"/>
          <w:highlight w:val="none"/>
        </w:rPr>
        <w:t>条</w:t>
      </w:r>
    </w:p>
    <w:p w14:paraId="1C2F7EBC">
      <w:pPr>
        <w:widowControl/>
        <w:overflowPunct w:val="0"/>
        <w:autoSpaceDE w:val="0"/>
        <w:autoSpaceDN w:val="0"/>
        <w:adjustRightInd w:val="0"/>
        <w:snapToGrid w:val="0"/>
        <w:ind w:right="-519" w:rightChars="-247" w:firstLine="420" w:firstLineChars="200"/>
        <w:textAlignment w:val="baseline"/>
        <w:rPr>
          <w:rFonts w:ascii="Times New Roman" w:hAnsi="Times New Roman" w:cs="Times New Roman"/>
        </w:rPr>
      </w:pPr>
      <w:r>
        <w:rPr>
          <w:rFonts w:ascii="Times New Roman" w:hAnsi="Times New Roman" w:cs="Times New Roman"/>
        </w:rPr>
        <w:t>甲乙双方应全面履行本合同，不履行或不完全履行的，视为违约，应承担相应的违约责任并向另一方赔偿经济损失，该损失包括但不限于为实现权利而支出的调查取证费、公证费、鉴定费、诉讼费、保全费、</w:t>
      </w:r>
      <w:r>
        <w:rPr>
          <w:rFonts w:hint="eastAsia" w:ascii="Times New Roman" w:hAnsi="Times New Roman" w:cs="Times New Roman"/>
        </w:rPr>
        <w:t>保全保险费、</w:t>
      </w:r>
      <w:r>
        <w:rPr>
          <w:rFonts w:ascii="Times New Roman" w:hAnsi="Times New Roman" w:cs="Times New Roman"/>
        </w:rPr>
        <w:t>律师费等合理费用。本合同未约定的，按照中华人民共和国有关法律法规处理。</w:t>
      </w:r>
    </w:p>
    <w:p w14:paraId="3475C2D7">
      <w:pPr>
        <w:pStyle w:val="2"/>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第八十条</w:t>
      </w:r>
    </w:p>
    <w:p w14:paraId="7172224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乙方迟延缴纳本合同项下租金、物业管理费（如有）、水、电费用或其他应付费用的，则每迟延一日，甲方有权向乙方收取相当于欠费金额1‰（千分之一）的迟延履行违约金。乙方迟延缴纳上述费用超过</w:t>
      </w:r>
      <w:r>
        <w:rPr>
          <w:rFonts w:hint="default" w:ascii="Times New Roman" w:hAnsi="Times New Roman" w:eastAsia="宋体" w:cs="Times New Roman"/>
          <w:color w:val="auto"/>
          <w:sz w:val="21"/>
          <w:szCs w:val="21"/>
          <w:highlight w:val="none"/>
          <w:u w:val="single"/>
          <w:lang w:val="en-US" w:eastAsia="zh-CN"/>
        </w:rPr>
        <w:t xml:space="preserve"> 15 </w:t>
      </w:r>
      <w:r>
        <w:rPr>
          <w:rFonts w:hint="default" w:ascii="Times New Roman" w:hAnsi="Times New Roman" w:eastAsia="宋体" w:cs="Times New Roman"/>
          <w:color w:val="auto"/>
          <w:sz w:val="21"/>
          <w:szCs w:val="21"/>
          <w:highlight w:val="none"/>
          <w:lang w:val="en-US" w:eastAsia="zh-CN"/>
        </w:rPr>
        <w:t>日，经甲方书面催告，乙方仍不缴纳的，甲方可以对该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暂停部分或全部水、电供应或物业管理服务，直至乙方履行相关付款义务为止。甲方无需因此向乙方或第三方承担任何责任。甲方因此受到第三方索赔的，则甲方有权向乙方追偿损失。</w:t>
      </w:r>
    </w:p>
    <w:p w14:paraId="039E73E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第八十</w:t>
      </w:r>
      <w:r>
        <w:rPr>
          <w:rFonts w:hint="eastAsia" w:ascii="Times New Roman" w:hAnsi="Times New Roman" w:cs="Times New Roman"/>
          <w:b/>
          <w:bCs/>
          <w:color w:val="auto"/>
          <w:sz w:val="21"/>
          <w:szCs w:val="21"/>
          <w:highlight w:val="none"/>
          <w:lang w:val="en-US" w:eastAsia="zh-CN"/>
        </w:rPr>
        <w:t>一</w:t>
      </w:r>
      <w:r>
        <w:rPr>
          <w:rFonts w:hint="default" w:ascii="Times New Roman" w:hAnsi="Times New Roman" w:eastAsia="宋体" w:cs="Times New Roman"/>
          <w:b/>
          <w:bCs/>
          <w:color w:val="auto"/>
          <w:sz w:val="21"/>
          <w:szCs w:val="21"/>
          <w:highlight w:val="none"/>
        </w:rPr>
        <w:t xml:space="preserve">条 </w:t>
      </w:r>
    </w:p>
    <w:p w14:paraId="062E8C2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有如下情形之一的，甲方有权解除合同：</w:t>
      </w:r>
    </w:p>
    <w:p w14:paraId="46A378A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1、乙方在合同签订之日起</w:t>
      </w:r>
      <w:r>
        <w:rPr>
          <w:rFonts w:hint="default" w:ascii="Times New Roman" w:hAnsi="Times New Roman" w:eastAsia="宋体" w:cs="Times New Roman"/>
          <w:color w:val="auto"/>
          <w:sz w:val="21"/>
          <w:szCs w:val="21"/>
          <w:highlight w:val="none"/>
          <w:u w:val="single"/>
          <w:lang w:val="en-US" w:eastAsia="zh-CN"/>
        </w:rPr>
        <w:t xml:space="preserve"> </w:t>
      </w:r>
      <w:r>
        <w:rPr>
          <w:rFonts w:hint="eastAsia" w:ascii="Times New Roman" w:hAnsi="Times New Roman" w:cs="Times New Roman"/>
          <w:color w:val="auto"/>
          <w:sz w:val="21"/>
          <w:szCs w:val="21"/>
          <w:highlight w:val="none"/>
          <w:u w:val="single"/>
          <w:lang w:val="en-US" w:eastAsia="zh-CN"/>
        </w:rPr>
        <w:t>1</w:t>
      </w:r>
      <w:r>
        <w:rPr>
          <w:rFonts w:hint="default" w:ascii="Times New Roman" w:hAnsi="Times New Roman" w:eastAsia="宋体" w:cs="Times New Roman"/>
          <w:color w:val="auto"/>
          <w:sz w:val="21"/>
          <w:szCs w:val="21"/>
          <w:highlight w:val="none"/>
          <w:u w:val="single"/>
          <w:lang w:val="en-US" w:eastAsia="zh-CN"/>
        </w:rPr>
        <w:t xml:space="preserve">5 </w:t>
      </w:r>
      <w:r>
        <w:rPr>
          <w:rFonts w:hint="default" w:ascii="Times New Roman" w:hAnsi="Times New Roman" w:eastAsia="宋体" w:cs="Times New Roman"/>
          <w:color w:val="auto"/>
          <w:sz w:val="21"/>
          <w:szCs w:val="21"/>
          <w:highlight w:val="none"/>
          <w:lang w:val="en-US" w:eastAsia="zh-CN"/>
        </w:rPr>
        <w:t>日内未缴纳租金、物业管理费（如有）或履约保证金的；</w:t>
      </w:r>
    </w:p>
    <w:p w14:paraId="67D44A8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2、自甲方通知乙方办理</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交接后</w:t>
      </w:r>
      <w:r>
        <w:rPr>
          <w:rFonts w:hint="default" w:ascii="Times New Roman" w:hAnsi="Times New Roman" w:eastAsia="宋体" w:cs="Times New Roman"/>
          <w:color w:val="auto"/>
          <w:sz w:val="21"/>
          <w:szCs w:val="21"/>
          <w:highlight w:val="none"/>
          <w:u w:val="single"/>
          <w:lang w:val="en-US" w:eastAsia="zh-CN"/>
        </w:rPr>
        <w:t xml:space="preserve"> 7  </w:t>
      </w:r>
      <w:r>
        <w:rPr>
          <w:rFonts w:hint="default" w:ascii="Times New Roman" w:hAnsi="Times New Roman" w:eastAsia="宋体" w:cs="Times New Roman"/>
          <w:color w:val="auto"/>
          <w:sz w:val="21"/>
          <w:szCs w:val="21"/>
          <w:highlight w:val="none"/>
          <w:lang w:val="en-US" w:eastAsia="zh-CN"/>
        </w:rPr>
        <w:t>日内，乙方未办妥收铺手续的；</w:t>
      </w:r>
    </w:p>
    <w:p w14:paraId="348D478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3、乙方在租赁期内，迟延缴纳租金、物业管理费（如有）或水、 电费用等超过 30 日的，或迟延缴纳租金、物业管理费（如有）或水、电费用等累计达 </w:t>
      </w:r>
      <w:r>
        <w:rPr>
          <w:rFonts w:hint="default" w:ascii="Times New Roman" w:hAnsi="Times New Roman" w:eastAsia="宋体" w:cs="Times New Roman"/>
          <w:color w:val="auto"/>
          <w:sz w:val="21"/>
          <w:szCs w:val="21"/>
          <w:highlight w:val="none"/>
          <w:u w:val="single"/>
          <w:lang w:val="en-US" w:eastAsia="zh-CN"/>
        </w:rPr>
        <w:t xml:space="preserve">3 </w:t>
      </w:r>
      <w:r>
        <w:rPr>
          <w:rFonts w:hint="default" w:ascii="Times New Roman" w:hAnsi="Times New Roman" w:eastAsia="宋体" w:cs="Times New Roman"/>
          <w:color w:val="auto"/>
          <w:sz w:val="21"/>
          <w:szCs w:val="21"/>
          <w:highlight w:val="none"/>
          <w:lang w:val="en-US" w:eastAsia="zh-CN"/>
        </w:rPr>
        <w:t>次以上（含</w:t>
      </w:r>
      <w:r>
        <w:rPr>
          <w:rFonts w:hint="default" w:ascii="Times New Roman" w:hAnsi="Times New Roman" w:eastAsia="宋体" w:cs="Times New Roman"/>
          <w:color w:val="auto"/>
          <w:sz w:val="21"/>
          <w:szCs w:val="21"/>
          <w:highlight w:val="none"/>
          <w:u w:val="single"/>
          <w:lang w:val="en-US" w:eastAsia="zh-CN"/>
        </w:rPr>
        <w:t xml:space="preserve"> 3 </w:t>
      </w:r>
      <w:r>
        <w:rPr>
          <w:rFonts w:hint="default" w:ascii="Times New Roman" w:hAnsi="Times New Roman" w:eastAsia="宋体" w:cs="Times New Roman"/>
          <w:color w:val="auto"/>
          <w:sz w:val="21"/>
          <w:szCs w:val="21"/>
          <w:highlight w:val="none"/>
          <w:lang w:val="en-US" w:eastAsia="zh-CN"/>
        </w:rPr>
        <w:t>次）以上的；</w:t>
      </w:r>
    </w:p>
    <w:p w14:paraId="741FE2E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4、租赁期内，甲方扣除乙方履约保证金后，乙方未按照合同约定及时补足的；</w:t>
      </w:r>
    </w:p>
    <w:p w14:paraId="1DEBADE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5、违反甲方各项管理制度并在甲方发出书面通知后</w:t>
      </w:r>
      <w:r>
        <w:rPr>
          <w:rFonts w:hint="default" w:ascii="Times New Roman" w:hAnsi="Times New Roman" w:eastAsia="宋体" w:cs="Times New Roman"/>
          <w:color w:val="auto"/>
          <w:sz w:val="21"/>
          <w:szCs w:val="21"/>
          <w:highlight w:val="none"/>
          <w:u w:val="single"/>
          <w:lang w:val="en-US" w:eastAsia="zh-CN"/>
        </w:rPr>
        <w:t xml:space="preserve"> 7  </w:t>
      </w:r>
      <w:r>
        <w:rPr>
          <w:rFonts w:hint="default" w:ascii="Times New Roman" w:hAnsi="Times New Roman" w:eastAsia="宋体" w:cs="Times New Roman"/>
          <w:color w:val="auto"/>
          <w:sz w:val="21"/>
          <w:szCs w:val="21"/>
          <w:highlight w:val="none"/>
          <w:lang w:val="en-US" w:eastAsia="zh-CN"/>
        </w:rPr>
        <w:t>日内未予以纠正的；</w:t>
      </w:r>
    </w:p>
    <w:p w14:paraId="3CB00A6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6、乙方在租赁期内收到甲方开出的《整改通知单》达</w:t>
      </w:r>
      <w:r>
        <w:rPr>
          <w:rFonts w:hint="default" w:ascii="Times New Roman" w:hAnsi="Times New Roman" w:eastAsia="宋体" w:cs="Times New Roman"/>
          <w:color w:val="auto"/>
          <w:sz w:val="21"/>
          <w:szCs w:val="21"/>
          <w:highlight w:val="none"/>
          <w:u w:val="single"/>
          <w:lang w:val="en-US" w:eastAsia="zh-CN"/>
        </w:rPr>
        <w:t xml:space="preserve"> 3 </w:t>
      </w:r>
      <w:r>
        <w:rPr>
          <w:rFonts w:hint="default" w:ascii="Times New Roman" w:hAnsi="Times New Roman" w:eastAsia="宋体" w:cs="Times New Roman"/>
          <w:color w:val="auto"/>
          <w:sz w:val="21"/>
          <w:szCs w:val="21"/>
          <w:highlight w:val="none"/>
          <w:lang w:val="en-US" w:eastAsia="zh-CN"/>
        </w:rPr>
        <w:t>次以上（含</w:t>
      </w:r>
      <w:r>
        <w:rPr>
          <w:rFonts w:hint="default" w:ascii="Times New Roman" w:hAnsi="Times New Roman" w:eastAsia="宋体" w:cs="Times New Roman"/>
          <w:color w:val="auto"/>
          <w:sz w:val="21"/>
          <w:szCs w:val="21"/>
          <w:highlight w:val="none"/>
          <w:u w:val="single"/>
          <w:lang w:val="en-US" w:eastAsia="zh-CN"/>
        </w:rPr>
        <w:t xml:space="preserve"> 3 </w:t>
      </w:r>
      <w:r>
        <w:rPr>
          <w:rFonts w:hint="default" w:ascii="Times New Roman" w:hAnsi="Times New Roman" w:eastAsia="宋体" w:cs="Times New Roman"/>
          <w:color w:val="auto"/>
          <w:sz w:val="21"/>
          <w:szCs w:val="21"/>
          <w:highlight w:val="none"/>
          <w:lang w:val="en-US" w:eastAsia="zh-CN"/>
        </w:rPr>
        <w:t>次） 的；</w:t>
      </w:r>
    </w:p>
    <w:p w14:paraId="6D3E73A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7、乙方未经甲方书面同意，对该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进行改造、装饰装修的；</w:t>
      </w:r>
    </w:p>
    <w:p w14:paraId="766B208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8、乙方未经甲方书面同意，变更经营品牌、经营项目或超范围经营的；</w:t>
      </w:r>
    </w:p>
    <w:p w14:paraId="3B5F4ED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9、乙方未经甲方书面同意，</w:t>
      </w:r>
      <w:r>
        <w:rPr>
          <w:rFonts w:hint="eastAsia" w:ascii="Times New Roman" w:hAnsi="Times New Roman" w:cs="Times New Roman"/>
          <w:color w:val="auto"/>
          <w:sz w:val="21"/>
          <w:szCs w:val="21"/>
          <w:highlight w:val="none"/>
          <w:lang w:val="en-US" w:eastAsia="zh-CN"/>
        </w:rPr>
        <w:t>擅自</w:t>
      </w:r>
      <w:r>
        <w:rPr>
          <w:rFonts w:hint="default" w:ascii="Times New Roman" w:hAnsi="Times New Roman" w:eastAsia="宋体" w:cs="Times New Roman"/>
          <w:color w:val="auto"/>
          <w:sz w:val="21"/>
          <w:szCs w:val="21"/>
          <w:highlight w:val="none"/>
          <w:lang w:val="en-US" w:eastAsia="zh-CN"/>
        </w:rPr>
        <w:t>将该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进行任何形式的转租，或将该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及设施对外实施抵押、质押等处分行为的；</w:t>
      </w:r>
    </w:p>
    <w:p w14:paraId="5381865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10、乙方从事的经营活动违反相关法律规定，被相关部门责令停业的；</w:t>
      </w:r>
    </w:p>
    <w:p w14:paraId="0F575D4E">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11、乙方因服务态度或商品质量问题被社会新闻媒体曝光，情节严重的；</w:t>
      </w:r>
    </w:p>
    <w:p w14:paraId="175BF14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12、乙方在该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内的经营活动或提供的商品或商品商标构成侵权，或被指侵权并已影响到甲方声誉及利益的；</w:t>
      </w:r>
    </w:p>
    <w:p w14:paraId="1350369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13、乙方经营产生的特殊气味（包括油烟）或者噪音干扰等严重妨碍周边经营户和公共环境，经有关部门认定或具备法定资质机构测定后的；</w:t>
      </w:r>
    </w:p>
    <w:p w14:paraId="2A6C226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内或乙方之任何财物蒙受强制征收或查封的；</w:t>
      </w:r>
    </w:p>
    <w:p w14:paraId="14C35C7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15、任何人士向法院申请对乙方进行清算且法院受理该等申请的；</w:t>
      </w:r>
    </w:p>
    <w:p w14:paraId="6962354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16、乙方无论被强迫或自愿破产、被破产管理人接管、进入破产清算程序、进行清算的（经甲方批准为了重组、合并的目的除外）； </w:t>
      </w:r>
    </w:p>
    <w:p w14:paraId="73956505">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17、乙方擅自对</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 xml:space="preserve">的结构进行改造的； </w:t>
      </w:r>
    </w:p>
    <w:p w14:paraId="5C79C13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18、乙方严重违反本合同其它约定或法律规定。 </w:t>
      </w:r>
    </w:p>
    <w:p w14:paraId="226DA19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第八十</w:t>
      </w:r>
      <w:r>
        <w:rPr>
          <w:rFonts w:hint="eastAsia" w:ascii="Times New Roman" w:hAnsi="Times New Roman" w:cs="Times New Roman"/>
          <w:b/>
          <w:bCs/>
          <w:color w:val="auto"/>
          <w:sz w:val="21"/>
          <w:szCs w:val="21"/>
          <w:highlight w:val="none"/>
          <w:lang w:val="en-US" w:eastAsia="zh-CN"/>
        </w:rPr>
        <w:t>二</w:t>
      </w:r>
      <w:r>
        <w:rPr>
          <w:rFonts w:hint="default" w:ascii="Times New Roman" w:hAnsi="Times New Roman" w:eastAsia="宋体" w:cs="Times New Roman"/>
          <w:b/>
          <w:bCs/>
          <w:color w:val="auto"/>
          <w:sz w:val="21"/>
          <w:szCs w:val="21"/>
          <w:highlight w:val="none"/>
        </w:rPr>
        <w:t>条</w:t>
      </w:r>
    </w:p>
    <w:p w14:paraId="1200A1E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当发生本合同各条款中约定的甲方有权终止本合同的情况，且甲方决定终止本合同的，自甲方决定之日，本合同终止，或乙方提出提前终止本合同的，自甲方收到乙方要求终止合同的书面通知或申请，并予以书面同意后的第</w:t>
      </w:r>
      <w:r>
        <w:rPr>
          <w:rFonts w:hint="default" w:ascii="Times New Roman" w:hAnsi="Times New Roman" w:eastAsia="宋体" w:cs="Times New Roman"/>
          <w:color w:val="auto"/>
          <w:sz w:val="21"/>
          <w:szCs w:val="21"/>
          <w:highlight w:val="none"/>
          <w:u w:val="single"/>
          <w:lang w:val="en-US" w:eastAsia="zh-CN"/>
        </w:rPr>
        <w:t xml:space="preserve"> 30 </w:t>
      </w:r>
      <w:r>
        <w:rPr>
          <w:rFonts w:hint="default" w:ascii="Times New Roman" w:hAnsi="Times New Roman" w:eastAsia="宋体" w:cs="Times New Roman"/>
          <w:color w:val="auto"/>
          <w:sz w:val="21"/>
          <w:szCs w:val="21"/>
          <w:highlight w:val="none"/>
          <w:lang w:val="en-US" w:eastAsia="zh-CN"/>
        </w:rPr>
        <w:t>日，本合同终止。乙方已经支付的履约保证金、已发生的租金、已发生的物业管理费（如有）不予退还，未发生的租金、未发生的物业管理费（如有）将予以无息退还（如租金发票已开具且无法退回税款的，乙方应同时按实承担已开具发票退票税金）。同时乙方应当按本合同约定将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恢复至相应状态。如乙方给甲方造成的损失金额超过上述扣缴金额，乙方还应赔偿不足的部分。</w:t>
      </w:r>
    </w:p>
    <w:p w14:paraId="1DDA5E2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第八十</w:t>
      </w:r>
      <w:r>
        <w:rPr>
          <w:rFonts w:hint="eastAsia" w:ascii="Times New Roman" w:hAnsi="Times New Roman" w:cs="Times New Roman"/>
          <w:b/>
          <w:bCs/>
          <w:color w:val="auto"/>
          <w:sz w:val="21"/>
          <w:szCs w:val="21"/>
          <w:highlight w:val="none"/>
          <w:lang w:val="en-US" w:eastAsia="zh-CN"/>
        </w:rPr>
        <w:t>三</w:t>
      </w:r>
      <w:r>
        <w:rPr>
          <w:rFonts w:hint="default" w:ascii="Times New Roman" w:hAnsi="Times New Roman" w:eastAsia="宋体" w:cs="Times New Roman"/>
          <w:b/>
          <w:bCs/>
          <w:color w:val="auto"/>
          <w:sz w:val="21"/>
          <w:szCs w:val="21"/>
          <w:highlight w:val="none"/>
        </w:rPr>
        <w:t>条</w:t>
      </w:r>
    </w:p>
    <w:p w14:paraId="3CAAEAF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若乙方未经甲方书面同意而提前终止合同的，乙方已支付的履约保证金、租金、物业管理费（如有）均不予退还。</w:t>
      </w:r>
    </w:p>
    <w:p w14:paraId="76C31F1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第八十</w:t>
      </w:r>
      <w:r>
        <w:rPr>
          <w:rFonts w:hint="eastAsia" w:ascii="Times New Roman" w:hAnsi="Times New Roman" w:cs="Times New Roman"/>
          <w:b/>
          <w:bCs/>
          <w:color w:val="auto"/>
          <w:sz w:val="21"/>
          <w:szCs w:val="21"/>
          <w:highlight w:val="none"/>
          <w:lang w:val="en-US" w:eastAsia="zh-CN"/>
        </w:rPr>
        <w:t>四</w:t>
      </w:r>
      <w:r>
        <w:rPr>
          <w:rFonts w:hint="default" w:ascii="Times New Roman" w:hAnsi="Times New Roman" w:eastAsia="宋体" w:cs="Times New Roman"/>
          <w:b/>
          <w:bCs/>
          <w:color w:val="auto"/>
          <w:sz w:val="21"/>
          <w:szCs w:val="21"/>
          <w:highlight w:val="none"/>
        </w:rPr>
        <w:t>条</w:t>
      </w:r>
    </w:p>
    <w:p w14:paraId="499971AD">
      <w:pPr>
        <w:widowControl/>
        <w:overflowPunct w:val="0"/>
        <w:autoSpaceDE w:val="0"/>
        <w:autoSpaceDN w:val="0"/>
        <w:adjustRightInd w:val="0"/>
        <w:snapToGrid w:val="0"/>
        <w:ind w:right="-519" w:rightChars="-247" w:firstLine="420" w:firstLineChars="200"/>
        <w:textAlignment w:val="baseline"/>
        <w:rPr>
          <w:rFonts w:ascii="Times New Roman" w:hAnsi="Times New Roman" w:cs="Times New Roman"/>
        </w:rPr>
      </w:pPr>
      <w:r>
        <w:rPr>
          <w:rFonts w:ascii="Times New Roman" w:hAnsi="Times New Roman" w:cs="Times New Roman"/>
        </w:rPr>
        <w:t>由于甲方整体经营规划的调整及需要，甲方有权单方面解除本合同，但应提前</w:t>
      </w:r>
      <w:r>
        <w:rPr>
          <w:rFonts w:ascii="Times New Roman" w:hAnsi="Times New Roman" w:cs="Times New Roman"/>
          <w:u w:val="single"/>
        </w:rPr>
        <w:t xml:space="preserve"> 30 </w:t>
      </w:r>
      <w:r>
        <w:rPr>
          <w:rFonts w:ascii="Times New Roman" w:hAnsi="Times New Roman" w:cs="Times New Roman"/>
        </w:rPr>
        <w:t>日书面通知乙方，乙方在接到甲方通知后</w:t>
      </w:r>
      <w:r>
        <w:rPr>
          <w:rFonts w:ascii="Times New Roman" w:hAnsi="Times New Roman" w:cs="Times New Roman"/>
          <w:u w:val="single"/>
        </w:rPr>
        <w:t xml:space="preserve"> 15 </w:t>
      </w:r>
      <w:r>
        <w:rPr>
          <w:rFonts w:ascii="Times New Roman" w:hAnsi="Times New Roman" w:cs="Times New Roman"/>
        </w:rPr>
        <w:t>日内予以清场。给乙方造成损失的，甲乙双方应协商处理，同时</w:t>
      </w:r>
      <w:r>
        <w:rPr>
          <w:rFonts w:hint="eastAsia" w:ascii="Times New Roman" w:hAnsi="Times New Roman" w:cs="Times New Roman"/>
        </w:rPr>
        <w:t>无息</w:t>
      </w:r>
      <w:r>
        <w:rPr>
          <w:rFonts w:ascii="Times New Roman" w:hAnsi="Times New Roman" w:cs="Times New Roman"/>
        </w:rPr>
        <w:t>退还乙方的履约保证金，但甲方的补偿数额以不超过</w:t>
      </w:r>
      <w:r>
        <w:rPr>
          <w:rFonts w:ascii="Times New Roman" w:hAnsi="Times New Roman" w:cs="Times New Roman"/>
          <w:u w:val="single"/>
        </w:rPr>
        <w:t xml:space="preserve"> 2 </w:t>
      </w:r>
      <w:r>
        <w:rPr>
          <w:rFonts w:ascii="Times New Roman" w:hAnsi="Times New Roman" w:cs="Times New Roman"/>
        </w:rPr>
        <w:t>个月租金为前提。</w:t>
      </w:r>
    </w:p>
    <w:p w14:paraId="3E6B23C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第</w:t>
      </w:r>
      <w:r>
        <w:rPr>
          <w:rFonts w:hint="eastAsia" w:ascii="Times New Roman" w:hAnsi="Times New Roman" w:cs="Times New Roman"/>
          <w:b/>
          <w:bCs/>
          <w:color w:val="auto"/>
          <w:sz w:val="21"/>
          <w:szCs w:val="21"/>
          <w:highlight w:val="none"/>
          <w:lang w:val="en-US" w:eastAsia="zh-CN"/>
        </w:rPr>
        <w:t>八十五</w:t>
      </w:r>
      <w:r>
        <w:rPr>
          <w:rFonts w:hint="default" w:ascii="Times New Roman" w:hAnsi="Times New Roman" w:eastAsia="宋体" w:cs="Times New Roman"/>
          <w:b/>
          <w:bCs/>
          <w:color w:val="auto"/>
          <w:sz w:val="21"/>
          <w:szCs w:val="21"/>
          <w:highlight w:val="none"/>
          <w:lang w:val="en-US" w:eastAsia="zh-CN"/>
        </w:rPr>
        <w:t>条</w:t>
      </w:r>
    </w:p>
    <w:p w14:paraId="4E7B9C4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经营期内，如双方协商一致均同意提前终止本合同的，可提前终止本合同。合同终止后，乙方应按本合同第</w:t>
      </w:r>
      <w:r>
        <w:rPr>
          <w:rFonts w:hint="default" w:ascii="Times New Roman" w:hAnsi="Times New Roman" w:eastAsia="宋体" w:cs="Times New Roman"/>
          <w:color w:val="auto"/>
          <w:sz w:val="21"/>
          <w:szCs w:val="21"/>
          <w:highlight w:val="none"/>
          <w:u w:val="single"/>
          <w:lang w:val="en-US" w:eastAsia="zh-CN"/>
        </w:rPr>
        <w:t xml:space="preserve"> 十 </w:t>
      </w:r>
      <w:r>
        <w:rPr>
          <w:rFonts w:hint="default" w:ascii="Times New Roman" w:hAnsi="Times New Roman" w:eastAsia="宋体" w:cs="Times New Roman"/>
          <w:color w:val="auto"/>
          <w:sz w:val="21"/>
          <w:szCs w:val="21"/>
          <w:highlight w:val="none"/>
          <w:lang w:val="en-US" w:eastAsia="zh-CN"/>
        </w:rPr>
        <w:t>章的交还条款执行。在甲方因自身的原因要求提前终止本合同的情形下，甲方只退还当期已经提前收取的部分租金</w:t>
      </w:r>
      <w:r>
        <w:rPr>
          <w:rFonts w:hint="eastAsia" w:ascii="Times New Roman" w:hAnsi="Times New Roman" w:cs="Times New Roman"/>
          <w:color w:val="auto"/>
          <w:sz w:val="21"/>
          <w:szCs w:val="21"/>
          <w:highlight w:val="none"/>
          <w:lang w:val="en-US" w:eastAsia="zh-CN"/>
        </w:rPr>
        <w:t>及履约保证金（无息退还）</w:t>
      </w:r>
      <w:r>
        <w:rPr>
          <w:rFonts w:hint="default" w:ascii="Times New Roman" w:hAnsi="Times New Roman" w:eastAsia="宋体" w:cs="Times New Roman"/>
          <w:color w:val="auto"/>
          <w:sz w:val="21"/>
          <w:szCs w:val="21"/>
          <w:highlight w:val="none"/>
          <w:lang w:val="en-US" w:eastAsia="zh-CN"/>
        </w:rPr>
        <w:t>，即按照本期实际经营的天数计取当期实际发生的租金，与已预收的当期金额之间的差额部分，由甲方退回乙方。除此甲方无须为此向乙方承担任何形式的补偿责任。</w:t>
      </w:r>
    </w:p>
    <w:p w14:paraId="026DB94A">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甲方需退还给乙方的当期已提前收取的部分租金＝甲方已预收的当期租金*【（当期自然天数－当期已实际经营天数）/当期自然天数】</w:t>
      </w:r>
    </w:p>
    <w:p w14:paraId="197C3E41">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第</w:t>
      </w:r>
      <w:r>
        <w:rPr>
          <w:rFonts w:hint="eastAsia" w:ascii="Times New Roman" w:hAnsi="Times New Roman" w:cs="Times New Roman"/>
          <w:b/>
          <w:bCs/>
          <w:color w:val="auto"/>
          <w:sz w:val="21"/>
          <w:szCs w:val="21"/>
          <w:highlight w:val="none"/>
          <w:lang w:val="en-US" w:eastAsia="zh-CN"/>
        </w:rPr>
        <w:t>八十六</w:t>
      </w:r>
      <w:r>
        <w:rPr>
          <w:rFonts w:hint="default" w:ascii="Times New Roman" w:hAnsi="Times New Roman" w:eastAsia="宋体" w:cs="Times New Roman"/>
          <w:b/>
          <w:bCs/>
          <w:color w:val="auto"/>
          <w:sz w:val="21"/>
          <w:szCs w:val="21"/>
          <w:highlight w:val="none"/>
          <w:lang w:val="en-US" w:eastAsia="zh-CN"/>
        </w:rPr>
        <w:t>条</w:t>
      </w:r>
    </w:p>
    <w:p w14:paraId="6DE448B2">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在租赁期内由于不可抗力引致租赁的</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被损毁及不能正常使用时，如甲方未能在6个月内将该损毁修复，且影响乙方正常运营时，甲乙双方任何一方可向对方发出书面通知，要求终止本合同。在此情况下，本合同将告终止，甲方将履约保证金（无息）退还给乙方（在乙方无其他违约的情况下）。甲乙双方均不可向对方要求任何赔偿。</w:t>
      </w:r>
    </w:p>
    <w:p w14:paraId="5E62695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第</w:t>
      </w:r>
      <w:r>
        <w:rPr>
          <w:rFonts w:hint="eastAsia" w:ascii="Times New Roman" w:hAnsi="Times New Roman" w:cs="Times New Roman"/>
          <w:b/>
          <w:bCs/>
          <w:color w:val="auto"/>
          <w:sz w:val="21"/>
          <w:szCs w:val="21"/>
          <w:highlight w:val="none"/>
          <w:lang w:val="en-US" w:eastAsia="zh-CN"/>
        </w:rPr>
        <w:t>八十七</w:t>
      </w:r>
      <w:r>
        <w:rPr>
          <w:rFonts w:hint="default" w:ascii="Times New Roman" w:hAnsi="Times New Roman" w:eastAsia="宋体" w:cs="Times New Roman"/>
          <w:b/>
          <w:bCs/>
          <w:color w:val="auto"/>
          <w:sz w:val="21"/>
          <w:szCs w:val="21"/>
          <w:highlight w:val="none"/>
          <w:lang w:val="en-US" w:eastAsia="zh-CN"/>
        </w:rPr>
        <w:t>条</w:t>
      </w:r>
    </w:p>
    <w:p w14:paraId="4E220B4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甲方按合同约定单方解除合同、合同自然终止或其他任何情况下的合同解除和终止后，乙方应立即交清全部合同约定费用及其他应交费用。</w:t>
      </w:r>
    </w:p>
    <w:p w14:paraId="11906DE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第</w:t>
      </w:r>
      <w:r>
        <w:rPr>
          <w:rFonts w:hint="eastAsia" w:ascii="Times New Roman" w:hAnsi="Times New Roman" w:cs="Times New Roman"/>
          <w:b/>
          <w:bCs/>
          <w:color w:val="auto"/>
          <w:sz w:val="21"/>
          <w:szCs w:val="21"/>
          <w:highlight w:val="none"/>
          <w:lang w:val="en-US" w:eastAsia="zh-CN"/>
        </w:rPr>
        <w:t>八十八</w:t>
      </w:r>
      <w:r>
        <w:rPr>
          <w:rFonts w:hint="default" w:ascii="Times New Roman" w:hAnsi="Times New Roman" w:eastAsia="宋体" w:cs="Times New Roman"/>
          <w:b/>
          <w:bCs/>
          <w:color w:val="auto"/>
          <w:sz w:val="21"/>
          <w:szCs w:val="21"/>
          <w:highlight w:val="none"/>
          <w:lang w:val="en-US" w:eastAsia="zh-CN"/>
        </w:rPr>
        <w:t>条</w:t>
      </w:r>
    </w:p>
    <w:p w14:paraId="7CB1FC4B">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甲方按合同约定单方解除合同、合同自然终止或其他任何情况下的合同解除和终止后，乙方应在甲方要求的时间内无条件交还承租</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。交还的要求为：</w:t>
      </w:r>
    </w:p>
    <w:p w14:paraId="02CE3F84">
      <w:pPr>
        <w:keepNext w:val="0"/>
        <w:keepLines w:val="0"/>
        <w:pageBreakBefore w:val="0"/>
        <w:widowControl/>
        <w:numPr>
          <w:ilvl w:val="0"/>
          <w:numId w:val="5"/>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乙方须按甲方要求将</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的所有物品全部搬出，并做好保洁工作，不能搬出的物品经甲方同意后可以保留在原地，但甲方不做任何经济补偿；</w:t>
      </w:r>
    </w:p>
    <w:p w14:paraId="2F1D96F4">
      <w:pPr>
        <w:keepNext w:val="0"/>
        <w:keepLines w:val="0"/>
        <w:pageBreakBefore w:val="0"/>
        <w:widowControl/>
        <w:numPr>
          <w:ilvl w:val="0"/>
          <w:numId w:val="5"/>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乙方应保证甲方的</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 xml:space="preserve">内的原有所有设备、设施等完好无损并能正常使用并连同钥匙一起交还甲方，如有任何损毁、损坏，应由乙方负责修复并承担相应费用；   </w:t>
      </w:r>
    </w:p>
    <w:p w14:paraId="6D6ABE38">
      <w:pPr>
        <w:keepNext w:val="0"/>
        <w:keepLines w:val="0"/>
        <w:pageBreakBefore w:val="0"/>
        <w:widowControl/>
        <w:numPr>
          <w:ilvl w:val="0"/>
          <w:numId w:val="5"/>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甲乙双方共同对《物业交接表》及清单进行确认，有争议时由有关鉴定机构审验并认定为正常使用时，甲方才接收该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，由此导致的鉴定费用由乙方承担；</w:t>
      </w:r>
    </w:p>
    <w:p w14:paraId="106B0955">
      <w:pPr>
        <w:keepNext w:val="0"/>
        <w:keepLines w:val="0"/>
        <w:pageBreakBefore w:val="0"/>
        <w:widowControl/>
        <w:numPr>
          <w:ilvl w:val="0"/>
          <w:numId w:val="5"/>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乙方未在甲方规定的时间内及时进行修复、更换后交还该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或补偿甲方损失的，在此期间乙方仍需按合同规定交纳租金和物业管理费等费用。本条所涉及的所有费用甲方按合同约定单方解除合同或合同自然终止后，无论如何甲方对乙方用于该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的任何投资或装修等不予任何补偿或赔偿。</w:t>
      </w:r>
    </w:p>
    <w:p w14:paraId="10F44CA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第</w:t>
      </w:r>
      <w:r>
        <w:rPr>
          <w:rFonts w:hint="eastAsia" w:ascii="Times New Roman" w:hAnsi="Times New Roman" w:cs="Times New Roman"/>
          <w:b/>
          <w:bCs/>
          <w:color w:val="auto"/>
          <w:sz w:val="21"/>
          <w:szCs w:val="21"/>
          <w:highlight w:val="none"/>
          <w:lang w:val="en-US" w:eastAsia="zh-CN"/>
        </w:rPr>
        <w:t>八十九</w:t>
      </w:r>
      <w:r>
        <w:rPr>
          <w:rFonts w:hint="default" w:ascii="Times New Roman" w:hAnsi="Times New Roman" w:eastAsia="宋体" w:cs="Times New Roman"/>
          <w:b/>
          <w:bCs/>
          <w:color w:val="auto"/>
          <w:sz w:val="21"/>
          <w:szCs w:val="21"/>
          <w:highlight w:val="none"/>
          <w:lang w:val="en-US" w:eastAsia="zh-CN"/>
        </w:rPr>
        <w:t>条</w:t>
      </w:r>
    </w:p>
    <w:p w14:paraId="4500727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甲方按合同约定单方解除合同、合同自然终止或其他任何情况下的合同解除和终止后，乙方不能以员工安置、存在小租户等任何原因拒绝交接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，须无条件交还甲方。如乙方未按甲方要求时间交还</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的，每逾期一日，乙方应当按照合同终止时该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租金标准的 200%向甲方支付</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使用费，并按照合同终止时该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物业管理费（如有）标准支付 物业管理费（如有）及承担相关的水、电等费用，直至乙方按照合同要求交还该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为止；在甲方发出相关《交接通知书》后仍不改正时，除按上述约定给付迟延履行金外，乙方确认并同意甲方有权采取下列任一措施：</w:t>
      </w:r>
    </w:p>
    <w:p w14:paraId="33524154">
      <w:pPr>
        <w:keepNext w:val="0"/>
        <w:keepLines w:val="0"/>
        <w:pageBreakBefore w:val="0"/>
        <w:widowControl/>
        <w:numPr>
          <w:ilvl w:val="0"/>
          <w:numId w:val="6"/>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甲方在拍摄录像记录现场情况的前提下或公证机构监督下有权自行开锁进入租赁</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，清理乙方留在该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内的财物，逐一进行清点、登记，将清点后的财物另行存放，收回该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，物品的保管费用由乙方承担，且在此期间物品发生的任何毁损、丢失甲方不承担任何责任。该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内的装修及因装修、改造产生的添附物归甲方所有。甲方在现场记录的影像作为反映乙方当时在现场留存财物及数量的唯一证据，并以本合同约定的通讯地址为准通知乙方在规定的期限内取回，逾期不取回的财物由甲方自行处理；</w:t>
      </w:r>
    </w:p>
    <w:p w14:paraId="0F8773CD">
      <w:pPr>
        <w:keepNext w:val="0"/>
        <w:keepLines w:val="0"/>
        <w:pageBreakBefore w:val="0"/>
        <w:widowControl/>
        <w:numPr>
          <w:ilvl w:val="0"/>
          <w:numId w:val="6"/>
        </w:numPr>
        <w:kinsoku/>
        <w:wordWrap/>
        <w:overflowPunct w:val="0"/>
        <w:topLinePunct w:val="0"/>
        <w:autoSpaceDE w:val="0"/>
        <w:autoSpaceDN w:val="0"/>
        <w:bidi w:val="0"/>
        <w:adjustRightInd w:val="0"/>
        <w:snapToGrid w:val="0"/>
        <w:spacing w:line="360" w:lineRule="auto"/>
        <w:ind w:left="425" w:leftChars="0" w:right="-519" w:rightChars="-247" w:hanging="425"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方实施了上述任何一种处理方式时，均不对乙方承担任何责任。如对乙方造成任何损失的，甲方均不作任何补偿或赔偿，且乙方不得以任何形式进行追偿。同时乙方仍要继续承担交纳拖欠的租金及其他应交费用的责任，并赔偿甲方所有直接、间接损失。</w:t>
      </w:r>
    </w:p>
    <w:p w14:paraId="7732F99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第九十条</w:t>
      </w:r>
    </w:p>
    <w:p w14:paraId="27419D9C">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甲方按合同约定单方解除合同、合同自然终止或其他任何情况下的合同解除和终止后，甲方有权直接从履约保证金扣除下列费用：合同约定的违约金，损害赔偿金，乙方应支付的租金、物业管理费等所有合同约定乙方应给付的费用，利息和迟延履行金等一切费用。履约保证金不够扣除的，甲方仍有权进行追偿。</w:t>
      </w:r>
    </w:p>
    <w:p w14:paraId="601A1C1B">
      <w:pPr>
        <w:keepNext w:val="0"/>
        <w:keepLines w:val="0"/>
        <w:pageBreakBefore w:val="0"/>
        <w:widowControl/>
        <w:kinsoku/>
        <w:wordWrap/>
        <w:overflowPunct w:val="0"/>
        <w:topLinePunct w:val="0"/>
        <w:autoSpaceDE w:val="0"/>
        <w:autoSpaceDN w:val="0"/>
        <w:bidi w:val="0"/>
        <w:adjustRightInd w:val="0"/>
        <w:snapToGrid w:val="0"/>
        <w:spacing w:line="360" w:lineRule="auto"/>
        <w:ind w:right="-519" w:rightChars="-247" w:firstLine="420" w:firstLineChars="200"/>
        <w:textAlignment w:val="baseline"/>
        <w:rPr>
          <w:rFonts w:hint="eastAsia" w:ascii="Times New Roman" w:hAnsi="Times New Roman" w:eastAsia="宋体" w:cs="Times New Roman"/>
          <w:color w:val="auto"/>
          <w:sz w:val="21"/>
          <w:szCs w:val="21"/>
          <w:highlight w:val="none"/>
          <w:lang w:val="en-US" w:eastAsia="zh-CN"/>
        </w:rPr>
      </w:pPr>
    </w:p>
    <w:p w14:paraId="7CE4A346">
      <w:pPr>
        <w:keepNext w:val="0"/>
        <w:keepLines w:val="0"/>
        <w:pageBreakBefore w:val="0"/>
        <w:widowControl/>
        <w:kinsoku/>
        <w:wordWrap/>
        <w:overflowPunct w:val="0"/>
        <w:topLinePunct w:val="0"/>
        <w:autoSpaceDE w:val="0"/>
        <w:autoSpaceDN w:val="0"/>
        <w:bidi w:val="0"/>
        <w:adjustRightInd w:val="0"/>
        <w:snapToGrid w:val="0"/>
        <w:spacing w:line="360" w:lineRule="auto"/>
        <w:ind w:right="-519" w:rightChars="-247" w:firstLine="420" w:firstLineChars="200"/>
        <w:textAlignment w:val="baseline"/>
        <w:rPr>
          <w:rFonts w:hint="default" w:ascii="Times New Roman" w:hAnsi="Times New Roman" w:cs="Times New Roman"/>
          <w:strike w:val="0"/>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乙方已知悉如下事项：</w:t>
      </w:r>
      <w:r>
        <w:rPr>
          <w:rFonts w:hint="eastAsia" w:ascii="Times New Roman" w:hAnsi="Times New Roman" w:cs="Times New Roman"/>
          <w:color w:val="auto"/>
          <w:sz w:val="21"/>
          <w:szCs w:val="21"/>
          <w:highlight w:val="none"/>
          <w:lang w:val="en-US" w:eastAsia="zh-CN"/>
        </w:rPr>
        <w:t>租赁房屋暂未取得不动产权证，根据建设工程规划许可证等相关文件，授权甲方对该房屋进行招商租赁和日常管理工作。</w:t>
      </w:r>
      <w:r>
        <w:rPr>
          <w:rFonts w:hint="default" w:ascii="Times New Roman" w:hAnsi="Times New Roman" w:eastAsia="宋体" w:cs="Times New Roman"/>
          <w:strike w:val="0"/>
          <w:dstrike w:val="0"/>
          <w:color w:val="auto"/>
          <w:sz w:val="21"/>
          <w:szCs w:val="21"/>
          <w:highlight w:val="none"/>
          <w:lang w:val="en-US" w:eastAsia="zh-CN"/>
        </w:rPr>
        <w:t>乙方不得</w:t>
      </w:r>
      <w:r>
        <w:rPr>
          <w:rFonts w:hint="eastAsia" w:ascii="Times New Roman" w:hAnsi="Times New Roman" w:eastAsia="宋体" w:cs="Times New Roman"/>
          <w:strike w:val="0"/>
          <w:dstrike w:val="0"/>
          <w:color w:val="auto"/>
          <w:sz w:val="21"/>
          <w:szCs w:val="21"/>
          <w:highlight w:val="none"/>
          <w:lang w:val="en-US" w:eastAsia="zh-CN"/>
        </w:rPr>
        <w:t>以此为由</w:t>
      </w:r>
      <w:r>
        <w:rPr>
          <w:rFonts w:hint="default" w:ascii="Times New Roman" w:hAnsi="Times New Roman" w:eastAsia="宋体" w:cs="Times New Roman"/>
          <w:strike w:val="0"/>
          <w:dstrike w:val="0"/>
          <w:color w:val="auto"/>
          <w:sz w:val="21"/>
          <w:szCs w:val="21"/>
          <w:highlight w:val="none"/>
          <w:lang w:val="en-US" w:eastAsia="zh-CN"/>
        </w:rPr>
        <w:t>要求解除、变更《合同》，或要求</w:t>
      </w:r>
      <w:r>
        <w:rPr>
          <w:rFonts w:hint="eastAsia" w:ascii="Times New Roman" w:hAnsi="Times New Roman" w:eastAsia="宋体" w:cs="Times New Roman"/>
          <w:strike w:val="0"/>
          <w:dstrike w:val="0"/>
          <w:color w:val="auto"/>
          <w:sz w:val="21"/>
          <w:szCs w:val="21"/>
          <w:highlight w:val="none"/>
          <w:lang w:val="en-US" w:eastAsia="zh-CN"/>
        </w:rPr>
        <w:t>甲方</w:t>
      </w:r>
      <w:r>
        <w:rPr>
          <w:rFonts w:hint="default" w:ascii="Times New Roman" w:hAnsi="Times New Roman" w:eastAsia="宋体" w:cs="Times New Roman"/>
          <w:strike w:val="0"/>
          <w:dstrike w:val="0"/>
          <w:color w:val="auto"/>
          <w:sz w:val="21"/>
          <w:szCs w:val="21"/>
          <w:highlight w:val="none"/>
          <w:lang w:val="en-US" w:eastAsia="zh-CN"/>
        </w:rPr>
        <w:t>承担赔偿责任。</w:t>
      </w:r>
    </w:p>
    <w:p w14:paraId="06504AAE">
      <w:pPr>
        <w:pStyle w:val="2"/>
        <w:rPr>
          <w:rFonts w:hint="default"/>
          <w:lang w:val="en-US" w:eastAsia="zh-CN"/>
        </w:rPr>
      </w:pPr>
    </w:p>
    <w:p w14:paraId="514C7258">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rPr>
      </w:pPr>
      <w:r>
        <w:rPr>
          <w:rFonts w:hint="default" w:ascii="Times New Roman" w:hAnsi="Times New Roman" w:eastAsia="宋体" w:cs="Times New Roman"/>
          <w:b/>
          <w:bCs/>
          <w:color w:val="auto"/>
          <w:spacing w:val="-6"/>
          <w:sz w:val="22"/>
          <w:szCs w:val="22"/>
          <w:highlight w:val="none"/>
        </w:rPr>
        <w:t>第十三章  通知及送达</w:t>
      </w:r>
    </w:p>
    <w:p w14:paraId="25E9C49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w:t>
      </w:r>
      <w:r>
        <w:rPr>
          <w:rFonts w:hint="default" w:ascii="Times New Roman" w:hAnsi="Times New Roman" w:eastAsia="宋体" w:cs="Times New Roman"/>
          <w:b/>
          <w:bCs/>
          <w:color w:val="auto"/>
          <w:sz w:val="21"/>
          <w:szCs w:val="21"/>
          <w:highlight w:val="none"/>
          <w:lang w:val="en-US" w:eastAsia="zh-CN"/>
        </w:rPr>
        <w:t>九十</w:t>
      </w:r>
      <w:r>
        <w:rPr>
          <w:rFonts w:hint="eastAsia" w:ascii="Times New Roman" w:hAnsi="Times New Roman" w:cs="Times New Roman"/>
          <w:b/>
          <w:bCs/>
          <w:color w:val="auto"/>
          <w:sz w:val="21"/>
          <w:szCs w:val="21"/>
          <w:highlight w:val="none"/>
          <w:lang w:val="en-US" w:eastAsia="zh-CN"/>
        </w:rPr>
        <w:t>一</w:t>
      </w:r>
      <w:r>
        <w:rPr>
          <w:rFonts w:hint="default" w:ascii="Times New Roman" w:hAnsi="Times New Roman" w:eastAsia="宋体" w:cs="Times New Roman"/>
          <w:b/>
          <w:bCs/>
          <w:color w:val="auto"/>
          <w:sz w:val="21"/>
          <w:szCs w:val="21"/>
          <w:highlight w:val="none"/>
        </w:rPr>
        <w:t>条</w:t>
      </w:r>
    </w:p>
    <w:p w14:paraId="7643E079">
      <w:pPr>
        <w:keepNext w:val="0"/>
        <w:keepLines w:val="0"/>
        <w:pageBreakBefore w:val="0"/>
        <w:widowControl/>
        <w:kinsoku/>
        <w:wordWrap/>
        <w:overflowPunct/>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甲方和乙方按附件2列明的地址发送通知。</w:t>
      </w:r>
    </w:p>
    <w:p w14:paraId="23154E07">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第九十</w:t>
      </w:r>
      <w:r>
        <w:rPr>
          <w:rFonts w:hint="eastAsia" w:ascii="Times New Roman" w:hAnsi="Times New Roman" w:cs="Times New Roman"/>
          <w:b/>
          <w:bCs/>
          <w:color w:val="auto"/>
          <w:sz w:val="21"/>
          <w:szCs w:val="21"/>
          <w:highlight w:val="none"/>
          <w:lang w:val="en-US" w:eastAsia="zh-CN"/>
        </w:rPr>
        <w:t>二</w:t>
      </w:r>
      <w:r>
        <w:rPr>
          <w:rFonts w:hint="default" w:ascii="Times New Roman" w:hAnsi="Times New Roman" w:eastAsia="宋体" w:cs="Times New Roman"/>
          <w:b/>
          <w:bCs/>
          <w:color w:val="auto"/>
          <w:sz w:val="21"/>
          <w:szCs w:val="21"/>
          <w:highlight w:val="none"/>
        </w:rPr>
        <w:t>条</w:t>
      </w:r>
    </w:p>
    <w:p w14:paraId="3DCF4CB0">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一方若指定其他地址或地址变更，须及时以书面形式通知另一方。怠于通知的一方应当承担对其不利的法律后果。</w:t>
      </w:r>
    </w:p>
    <w:p w14:paraId="709B0FD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第九十</w:t>
      </w:r>
      <w:r>
        <w:rPr>
          <w:rFonts w:hint="eastAsia" w:ascii="Times New Roman" w:hAnsi="Times New Roman" w:cs="Times New Roman"/>
          <w:b/>
          <w:bCs/>
          <w:color w:val="auto"/>
          <w:sz w:val="21"/>
          <w:szCs w:val="21"/>
          <w:highlight w:val="none"/>
          <w:lang w:val="en-US" w:eastAsia="zh-CN"/>
        </w:rPr>
        <w:t>三</w:t>
      </w:r>
      <w:r>
        <w:rPr>
          <w:rFonts w:hint="default" w:ascii="Times New Roman" w:hAnsi="Times New Roman" w:eastAsia="宋体" w:cs="Times New Roman"/>
          <w:b/>
          <w:bCs/>
          <w:color w:val="auto"/>
          <w:sz w:val="21"/>
          <w:szCs w:val="21"/>
          <w:highlight w:val="none"/>
        </w:rPr>
        <w:t>条</w:t>
      </w:r>
    </w:p>
    <w:p w14:paraId="428B3187">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通知可以专人手递方式、特快专递方式及挂号信方式。以专人手递方式发出的，发至指定地址之日视为收悉日，以对方的签收文据为发送凭证。以特快专递方式发出的，以对方签收之日为收悉日，最迟不超过通知交予特快专递公司后第 7 日，以交寄记录作为发送凭证。以挂号信方式发出的，以对方签收日之日为收悉日，最迟不超过寄信后第 7 日，以寄信回执作为发送凭证。通知送达对方之日依据发送凭证记载时间确定。如以电子邮件的方式送达该等文件或通告，于电子邮件发送成功将被视为已送达收件人。乙方确认，租赁期内，该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也是乙方的有效通知地址。因此，甲方有权选择将本合同项下的通知张贴于该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的门窗或墙面上，该等通知一经张贴即视为已经向乙方送达通知，乙方于通知张贴当日知悉通知内容。</w:t>
      </w:r>
    </w:p>
    <w:p w14:paraId="27A730F4">
      <w:pPr>
        <w:bidi w:val="0"/>
        <w:ind w:right="-519" w:rightChars="-247"/>
        <w:rPr>
          <w:rFonts w:hint="default" w:ascii="Times New Roman" w:hAnsi="Times New Roman" w:cs="Times New Roman"/>
          <w:sz w:val="20"/>
          <w:szCs w:val="20"/>
          <w:highlight w:val="none"/>
        </w:rPr>
      </w:pPr>
    </w:p>
    <w:p w14:paraId="4BDF95E2">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color w:val="auto"/>
          <w:sz w:val="22"/>
          <w:szCs w:val="22"/>
          <w:highlight w:val="none"/>
        </w:rPr>
      </w:pPr>
      <w:r>
        <w:rPr>
          <w:rFonts w:hint="default" w:ascii="Times New Roman" w:hAnsi="Times New Roman" w:eastAsia="宋体" w:cs="Times New Roman"/>
          <w:b/>
          <w:bCs/>
          <w:color w:val="auto"/>
          <w:spacing w:val="-6"/>
          <w:sz w:val="22"/>
          <w:szCs w:val="22"/>
          <w:highlight w:val="none"/>
        </w:rPr>
        <w:t>第十</w:t>
      </w:r>
      <w:r>
        <w:rPr>
          <w:rFonts w:hint="default" w:ascii="Times New Roman" w:hAnsi="Times New Roman" w:eastAsia="宋体" w:cs="Times New Roman"/>
          <w:b/>
          <w:bCs/>
          <w:color w:val="auto"/>
          <w:spacing w:val="-6"/>
          <w:sz w:val="22"/>
          <w:szCs w:val="22"/>
          <w:highlight w:val="none"/>
          <w:lang w:val="en-US" w:eastAsia="zh-CN"/>
        </w:rPr>
        <w:t>四</w:t>
      </w:r>
      <w:r>
        <w:rPr>
          <w:rFonts w:hint="default" w:ascii="Times New Roman" w:hAnsi="Times New Roman" w:eastAsia="宋体" w:cs="Times New Roman"/>
          <w:b/>
          <w:bCs/>
          <w:color w:val="auto"/>
          <w:spacing w:val="-6"/>
          <w:sz w:val="22"/>
          <w:szCs w:val="22"/>
          <w:highlight w:val="none"/>
        </w:rPr>
        <w:t>章  不可抗力及征迁</w:t>
      </w:r>
    </w:p>
    <w:p w14:paraId="216C5AE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第九十</w:t>
      </w:r>
      <w:r>
        <w:rPr>
          <w:rFonts w:hint="eastAsia" w:ascii="Times New Roman" w:hAnsi="Times New Roman" w:cs="Times New Roman"/>
          <w:b/>
          <w:bCs/>
          <w:color w:val="auto"/>
          <w:sz w:val="21"/>
          <w:szCs w:val="21"/>
          <w:highlight w:val="none"/>
          <w:lang w:val="en-US" w:eastAsia="zh-CN"/>
        </w:rPr>
        <w:t>四</w:t>
      </w:r>
      <w:r>
        <w:rPr>
          <w:rFonts w:hint="default" w:ascii="Times New Roman" w:hAnsi="Times New Roman" w:eastAsia="宋体" w:cs="Times New Roman"/>
          <w:b/>
          <w:bCs/>
          <w:color w:val="auto"/>
          <w:sz w:val="21"/>
          <w:szCs w:val="21"/>
          <w:highlight w:val="none"/>
        </w:rPr>
        <w:t>条</w:t>
      </w:r>
    </w:p>
    <w:p w14:paraId="4B7E7BA3">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如该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因不可抗力遭到严重损坏，导致乙方无法继续经营的，双方应当就是否继续履行本合同进行商议。如在不可抗力事件发生后</w:t>
      </w:r>
      <w:r>
        <w:rPr>
          <w:rFonts w:hint="default" w:ascii="Times New Roman" w:hAnsi="Times New Roman" w:eastAsia="宋体" w:cs="Times New Roman"/>
          <w:color w:val="auto"/>
          <w:sz w:val="21"/>
          <w:szCs w:val="21"/>
          <w:highlight w:val="none"/>
          <w:u w:val="single"/>
          <w:lang w:val="en-US" w:eastAsia="zh-CN"/>
        </w:rPr>
        <w:t xml:space="preserve"> </w:t>
      </w:r>
      <w:r>
        <w:rPr>
          <w:rFonts w:hint="eastAsia" w:ascii="Times New Roman" w:hAnsi="Times New Roman" w:cs="Times New Roman"/>
          <w:color w:val="auto"/>
          <w:sz w:val="21"/>
          <w:szCs w:val="21"/>
          <w:highlight w:val="none"/>
          <w:u w:val="single"/>
          <w:lang w:val="en-US" w:eastAsia="zh-CN"/>
        </w:rPr>
        <w:t xml:space="preserve">6个月 </w:t>
      </w:r>
      <w:r>
        <w:rPr>
          <w:rFonts w:hint="default" w:ascii="Times New Roman" w:hAnsi="Times New Roman" w:eastAsia="宋体" w:cs="Times New Roman"/>
          <w:color w:val="auto"/>
          <w:sz w:val="21"/>
          <w:szCs w:val="21"/>
          <w:highlight w:val="none"/>
          <w:lang w:val="en-US" w:eastAsia="zh-CN"/>
        </w:rPr>
        <w:t>内乙方仍无法继续经营，且双方未达成一致意见的，则任何一方均有权终止本合同，双方互不承担违约责任。</w:t>
      </w:r>
    </w:p>
    <w:p w14:paraId="41E3F2F9">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第九十</w:t>
      </w:r>
      <w:r>
        <w:rPr>
          <w:rFonts w:hint="eastAsia" w:ascii="Times New Roman" w:hAnsi="Times New Roman" w:cs="Times New Roman"/>
          <w:b/>
          <w:bCs/>
          <w:color w:val="auto"/>
          <w:sz w:val="21"/>
          <w:szCs w:val="21"/>
          <w:highlight w:val="none"/>
          <w:lang w:val="en-US" w:eastAsia="zh-CN"/>
        </w:rPr>
        <w:t>五</w:t>
      </w:r>
      <w:r>
        <w:rPr>
          <w:rFonts w:hint="default" w:ascii="Times New Roman" w:hAnsi="Times New Roman" w:eastAsia="宋体" w:cs="Times New Roman"/>
          <w:b/>
          <w:bCs/>
          <w:color w:val="auto"/>
          <w:sz w:val="21"/>
          <w:szCs w:val="21"/>
          <w:highlight w:val="none"/>
        </w:rPr>
        <w:t>条</w:t>
      </w:r>
    </w:p>
    <w:p w14:paraId="084095DD">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2"/>
          <w:szCs w:val="22"/>
          <w:highlight w:val="none"/>
          <w:lang w:val="en-US" w:eastAsia="zh-CN"/>
        </w:rPr>
      </w:pPr>
      <w:r>
        <w:rPr>
          <w:rFonts w:hint="default" w:ascii="Times New Roman" w:hAnsi="Times New Roman" w:eastAsia="宋体" w:cs="Times New Roman"/>
          <w:color w:val="auto"/>
          <w:sz w:val="21"/>
          <w:szCs w:val="21"/>
          <w:highlight w:val="none"/>
          <w:lang w:val="en-US" w:eastAsia="zh-CN"/>
        </w:rPr>
        <w:t>合同期内，如因政府部门、城市轨道交通管理部门收回租赁场地、改变场地用途、禁止进入、场地征用等原因而造成该</w:t>
      </w:r>
      <w:r>
        <w:rPr>
          <w:rFonts w:hint="eastAsia" w:ascii="Times New Roman" w:hAnsi="Times New Roman" w:cs="Times New Roman"/>
          <w:color w:val="auto"/>
          <w:sz w:val="21"/>
          <w:szCs w:val="21"/>
          <w:highlight w:val="none"/>
          <w:lang w:val="en-US" w:eastAsia="zh-CN"/>
        </w:rPr>
        <w:t>图书馆站地下附属空间</w:t>
      </w:r>
      <w:r>
        <w:rPr>
          <w:rFonts w:hint="default" w:ascii="Times New Roman" w:hAnsi="Times New Roman" w:eastAsia="宋体" w:cs="Times New Roman"/>
          <w:color w:val="auto"/>
          <w:sz w:val="21"/>
          <w:szCs w:val="21"/>
          <w:highlight w:val="none"/>
          <w:lang w:val="en-US" w:eastAsia="zh-CN"/>
        </w:rPr>
        <w:t>撤销、搬迁、基建维修或经营方式调整的，甲方应及时通知乙方，乙方应无条件接受。若因此造成乙方停业的，则停业期间甲方不向乙方收取租金。若因此造成双方无法继续履行合同的，乙方应无条件服从甲方的安排，同时本合同自行终止，双方互不承担违约责任。</w:t>
      </w:r>
    </w:p>
    <w:p w14:paraId="5BA910A9">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2"/>
          <w:szCs w:val="22"/>
          <w:highlight w:val="none"/>
        </w:rPr>
      </w:pPr>
    </w:p>
    <w:p w14:paraId="4B59966E">
      <w:pPr>
        <w:pStyle w:val="7"/>
        <w:rPr>
          <w:rFonts w:hint="default" w:ascii="Times New Roman" w:hAnsi="Times New Roman" w:eastAsia="宋体" w:cs="Times New Roman"/>
          <w:color w:val="auto"/>
          <w:sz w:val="22"/>
          <w:szCs w:val="22"/>
          <w:highlight w:val="none"/>
        </w:rPr>
      </w:pPr>
    </w:p>
    <w:p w14:paraId="0A09E6EE">
      <w:pPr>
        <w:pStyle w:val="7"/>
        <w:rPr>
          <w:rFonts w:hint="default" w:ascii="Times New Roman" w:hAnsi="Times New Roman" w:eastAsia="宋体" w:cs="Times New Roman"/>
          <w:color w:val="auto"/>
          <w:sz w:val="22"/>
          <w:szCs w:val="22"/>
          <w:highlight w:val="none"/>
        </w:rPr>
      </w:pPr>
    </w:p>
    <w:p w14:paraId="4FFA0646">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rPr>
      </w:pPr>
      <w:r>
        <w:rPr>
          <w:rFonts w:hint="default" w:ascii="Times New Roman" w:hAnsi="Times New Roman" w:eastAsia="宋体" w:cs="Times New Roman"/>
          <w:b/>
          <w:bCs/>
          <w:color w:val="auto"/>
          <w:spacing w:val="-6"/>
          <w:sz w:val="22"/>
          <w:szCs w:val="22"/>
          <w:highlight w:val="none"/>
        </w:rPr>
        <w:t xml:space="preserve">第十五章 </w:t>
      </w:r>
      <w:r>
        <w:rPr>
          <w:rFonts w:hint="default" w:ascii="Times New Roman" w:hAnsi="Times New Roman" w:cs="Times New Roman"/>
          <w:b/>
          <w:bCs/>
          <w:color w:val="auto"/>
          <w:spacing w:val="-6"/>
          <w:sz w:val="22"/>
          <w:szCs w:val="22"/>
          <w:highlight w:val="none"/>
          <w:lang w:val="en-US" w:eastAsia="zh-CN"/>
        </w:rPr>
        <w:t xml:space="preserve"> </w:t>
      </w:r>
      <w:r>
        <w:rPr>
          <w:rFonts w:hint="default" w:ascii="Times New Roman" w:hAnsi="Times New Roman" w:eastAsia="宋体" w:cs="Times New Roman"/>
          <w:b/>
          <w:bCs/>
          <w:color w:val="auto"/>
          <w:spacing w:val="-6"/>
          <w:sz w:val="22"/>
          <w:szCs w:val="22"/>
          <w:highlight w:val="none"/>
        </w:rPr>
        <w:t>争议的解决</w:t>
      </w:r>
    </w:p>
    <w:p w14:paraId="6819AA2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第九十</w:t>
      </w:r>
      <w:r>
        <w:rPr>
          <w:rFonts w:hint="eastAsia" w:ascii="Times New Roman" w:hAnsi="Times New Roman" w:cs="Times New Roman"/>
          <w:b/>
          <w:bCs/>
          <w:color w:val="auto"/>
          <w:sz w:val="21"/>
          <w:szCs w:val="21"/>
          <w:highlight w:val="none"/>
          <w:lang w:val="en-US" w:eastAsia="zh-CN"/>
        </w:rPr>
        <w:t>六</w:t>
      </w:r>
      <w:r>
        <w:rPr>
          <w:rFonts w:hint="default" w:ascii="Times New Roman" w:hAnsi="Times New Roman" w:eastAsia="宋体" w:cs="Times New Roman"/>
          <w:b/>
          <w:bCs/>
          <w:color w:val="auto"/>
          <w:sz w:val="21"/>
          <w:szCs w:val="21"/>
          <w:highlight w:val="none"/>
        </w:rPr>
        <w:t>条</w:t>
      </w:r>
    </w:p>
    <w:p w14:paraId="5654F988">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本合同履行过程中，双方如发生争议，应友好协商解决。如果经上述协商双方未能达成解决方案，双方同意提交给南通仲裁委员会仲裁解决。</w:t>
      </w:r>
    </w:p>
    <w:p w14:paraId="001A775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2"/>
          <w:szCs w:val="22"/>
          <w:highlight w:val="none"/>
        </w:rPr>
      </w:pPr>
    </w:p>
    <w:p w14:paraId="29E86AB5">
      <w:pPr>
        <w:keepNext w:val="0"/>
        <w:keepLines w:val="0"/>
        <w:pageBreakBefore w:val="0"/>
        <w:widowControl/>
        <w:numPr>
          <w:ilvl w:val="0"/>
          <w:numId w:val="0"/>
        </w:numPr>
        <w:wordWrap/>
        <w:topLinePunct w:val="0"/>
        <w:autoSpaceDE w:val="0"/>
        <w:autoSpaceDN w:val="0"/>
        <w:bidi w:val="0"/>
        <w:adjustRightInd w:val="0"/>
        <w:snapToGrid w:val="0"/>
        <w:spacing w:line="360" w:lineRule="auto"/>
        <w:ind w:left="0" w:right="-519" w:rightChars="-247" w:firstLine="0" w:firstLineChars="0"/>
        <w:jc w:val="center"/>
        <w:textAlignment w:val="baseline"/>
        <w:outlineLvl w:val="0"/>
        <w:rPr>
          <w:rFonts w:hint="default" w:ascii="Times New Roman" w:hAnsi="Times New Roman" w:eastAsia="宋体" w:cs="Times New Roman"/>
          <w:b/>
          <w:bCs/>
          <w:color w:val="auto"/>
          <w:spacing w:val="-6"/>
          <w:sz w:val="22"/>
          <w:szCs w:val="22"/>
          <w:highlight w:val="none"/>
        </w:rPr>
      </w:pPr>
      <w:r>
        <w:rPr>
          <w:rFonts w:hint="default" w:ascii="Times New Roman" w:hAnsi="Times New Roman" w:eastAsia="宋体" w:cs="Times New Roman"/>
          <w:b/>
          <w:bCs/>
          <w:color w:val="auto"/>
          <w:spacing w:val="-6"/>
          <w:sz w:val="22"/>
          <w:szCs w:val="22"/>
          <w:highlight w:val="none"/>
        </w:rPr>
        <w:t>第十六章  其他</w:t>
      </w:r>
    </w:p>
    <w:p w14:paraId="2EA56E4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第九十</w:t>
      </w:r>
      <w:r>
        <w:rPr>
          <w:rFonts w:hint="eastAsia" w:ascii="Times New Roman" w:hAnsi="Times New Roman" w:cs="Times New Roman"/>
          <w:b/>
          <w:bCs/>
          <w:color w:val="auto"/>
          <w:sz w:val="21"/>
          <w:szCs w:val="21"/>
          <w:highlight w:val="none"/>
          <w:lang w:val="en-US" w:eastAsia="zh-CN"/>
        </w:rPr>
        <w:t>七</w:t>
      </w:r>
      <w:r>
        <w:rPr>
          <w:rFonts w:hint="default" w:ascii="Times New Roman" w:hAnsi="Times New Roman" w:eastAsia="宋体" w:cs="Times New Roman"/>
          <w:b/>
          <w:bCs/>
          <w:color w:val="auto"/>
          <w:sz w:val="21"/>
          <w:szCs w:val="21"/>
          <w:highlight w:val="none"/>
        </w:rPr>
        <w:t>条</w:t>
      </w:r>
    </w:p>
    <w:p w14:paraId="3D0B97EF">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本合同未尽事宜由双方根据国家有关法律、法规的规定，共同协商订立补充协议，补充协议与本合同具有同等的法律效力。</w:t>
      </w:r>
    </w:p>
    <w:p w14:paraId="6CFE59B4">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第九十</w:t>
      </w:r>
      <w:r>
        <w:rPr>
          <w:rFonts w:hint="eastAsia" w:ascii="Times New Roman" w:hAnsi="Times New Roman" w:cs="Times New Roman"/>
          <w:b/>
          <w:bCs/>
          <w:color w:val="auto"/>
          <w:sz w:val="21"/>
          <w:szCs w:val="21"/>
          <w:highlight w:val="none"/>
          <w:lang w:val="en-US" w:eastAsia="zh-CN"/>
        </w:rPr>
        <w:t>八</w:t>
      </w:r>
      <w:r>
        <w:rPr>
          <w:rFonts w:hint="default" w:ascii="Times New Roman" w:hAnsi="Times New Roman" w:eastAsia="宋体" w:cs="Times New Roman"/>
          <w:b/>
          <w:bCs/>
          <w:color w:val="auto"/>
          <w:sz w:val="21"/>
          <w:szCs w:val="21"/>
          <w:highlight w:val="none"/>
        </w:rPr>
        <w:t>条</w:t>
      </w:r>
    </w:p>
    <w:p w14:paraId="620311C1">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本合同经双方签字及盖章之日起生效。</w:t>
      </w:r>
    </w:p>
    <w:p w14:paraId="1D84926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第九十</w:t>
      </w:r>
      <w:r>
        <w:rPr>
          <w:rFonts w:hint="eastAsia" w:ascii="Times New Roman" w:hAnsi="Times New Roman" w:cs="Times New Roman"/>
          <w:b/>
          <w:bCs/>
          <w:color w:val="auto"/>
          <w:sz w:val="21"/>
          <w:szCs w:val="21"/>
          <w:highlight w:val="none"/>
          <w:lang w:val="en-US" w:eastAsia="zh-CN"/>
        </w:rPr>
        <w:t>九</w:t>
      </w:r>
      <w:r>
        <w:rPr>
          <w:rFonts w:hint="default" w:ascii="Times New Roman" w:hAnsi="Times New Roman" w:eastAsia="宋体" w:cs="Times New Roman"/>
          <w:b/>
          <w:bCs/>
          <w:color w:val="auto"/>
          <w:sz w:val="21"/>
          <w:szCs w:val="21"/>
          <w:highlight w:val="none"/>
        </w:rPr>
        <w:t xml:space="preserve">条 </w:t>
      </w:r>
    </w:p>
    <w:p w14:paraId="79558589">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本合同附件及招商相关材料构成合同的一部分，与本合同具有同等法律效力。</w:t>
      </w:r>
    </w:p>
    <w:p w14:paraId="76379CA3">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第</w:t>
      </w:r>
      <w:r>
        <w:rPr>
          <w:rFonts w:hint="default" w:ascii="Times New Roman" w:hAnsi="Times New Roman" w:eastAsia="宋体" w:cs="Times New Roman"/>
          <w:b/>
          <w:bCs/>
          <w:color w:val="auto"/>
          <w:sz w:val="21"/>
          <w:szCs w:val="21"/>
          <w:highlight w:val="none"/>
          <w:lang w:val="en-US" w:eastAsia="zh-CN"/>
        </w:rPr>
        <w:t>一百</w:t>
      </w:r>
      <w:r>
        <w:rPr>
          <w:rFonts w:hint="default" w:ascii="Times New Roman" w:hAnsi="Times New Roman" w:eastAsia="宋体" w:cs="Times New Roman"/>
          <w:b/>
          <w:bCs/>
          <w:color w:val="auto"/>
          <w:sz w:val="21"/>
          <w:szCs w:val="21"/>
          <w:highlight w:val="none"/>
        </w:rPr>
        <w:t xml:space="preserve">条  </w:t>
      </w:r>
    </w:p>
    <w:p w14:paraId="3B50A7B4">
      <w:pPr>
        <w:keepNext w:val="0"/>
        <w:keepLines w:val="0"/>
        <w:pageBreakBefore w:val="0"/>
        <w:widowControl/>
        <w:kinsoku/>
        <w:wordWrap/>
        <w:overflowPunct w:val="0"/>
        <w:topLinePunct w:val="0"/>
        <w:autoSpaceDE w:val="0"/>
        <w:autoSpaceDN w:val="0"/>
        <w:bidi w:val="0"/>
        <w:adjustRightInd w:val="0"/>
        <w:snapToGrid w:val="0"/>
        <w:spacing w:line="360" w:lineRule="auto"/>
        <w:ind w:left="0" w:right="-519" w:rightChars="-247" w:firstLine="420" w:firstLineChars="20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本合同一式</w:t>
      </w:r>
      <w:r>
        <w:rPr>
          <w:rFonts w:hint="eastAsia" w:ascii="Times New Roman" w:hAnsi="Times New Roman" w:cs="Times New Roman"/>
          <w:color w:val="auto"/>
          <w:sz w:val="21"/>
          <w:szCs w:val="21"/>
          <w:highlight w:val="none"/>
          <w:u w:val="single"/>
          <w:lang w:val="en-US" w:eastAsia="zh-CN"/>
        </w:rPr>
        <w:t>6</w:t>
      </w:r>
      <w:r>
        <w:rPr>
          <w:rFonts w:hint="default" w:ascii="Times New Roman" w:hAnsi="Times New Roman" w:eastAsia="宋体" w:cs="Times New Roman"/>
          <w:color w:val="auto"/>
          <w:sz w:val="21"/>
          <w:szCs w:val="21"/>
          <w:highlight w:val="none"/>
          <w:lang w:val="en-US" w:eastAsia="zh-CN"/>
        </w:rPr>
        <w:t>份，</w:t>
      </w:r>
      <w:r>
        <w:rPr>
          <w:rFonts w:hint="eastAsia" w:ascii="Times New Roman" w:hAnsi="Times New Roman" w:cs="Times New Roman"/>
          <w:color w:val="auto"/>
          <w:sz w:val="21"/>
          <w:szCs w:val="21"/>
          <w:highlight w:val="none"/>
          <w:lang w:val="en-US" w:eastAsia="zh-CN"/>
        </w:rPr>
        <w:t>正本</w:t>
      </w:r>
      <w:r>
        <w:rPr>
          <w:rFonts w:hint="eastAsia" w:ascii="Times New Roman" w:hAnsi="Times New Roman" w:cs="Times New Roman"/>
          <w:color w:val="auto"/>
          <w:sz w:val="21"/>
          <w:szCs w:val="21"/>
          <w:highlight w:val="none"/>
          <w:u w:val="single"/>
          <w:lang w:val="en-US" w:eastAsia="zh-CN"/>
        </w:rPr>
        <w:t>2</w:t>
      </w:r>
      <w:r>
        <w:rPr>
          <w:rFonts w:hint="eastAsia" w:ascii="Times New Roman" w:hAnsi="Times New Roman" w:cs="Times New Roman"/>
          <w:color w:val="auto"/>
          <w:sz w:val="21"/>
          <w:szCs w:val="21"/>
          <w:highlight w:val="none"/>
          <w:lang w:val="en-US" w:eastAsia="zh-CN"/>
        </w:rPr>
        <w:t>份，甲乙各执</w:t>
      </w:r>
      <w:r>
        <w:rPr>
          <w:rFonts w:hint="eastAsia" w:ascii="Times New Roman" w:hAnsi="Times New Roman" w:cs="Times New Roman"/>
          <w:color w:val="auto"/>
          <w:sz w:val="21"/>
          <w:szCs w:val="21"/>
          <w:highlight w:val="none"/>
          <w:u w:val="single"/>
          <w:lang w:val="en-US" w:eastAsia="zh-CN"/>
        </w:rPr>
        <w:t>1</w:t>
      </w:r>
      <w:r>
        <w:rPr>
          <w:rFonts w:hint="eastAsia" w:ascii="Times New Roman" w:hAnsi="Times New Roman" w:cs="Times New Roman"/>
          <w:color w:val="auto"/>
          <w:sz w:val="21"/>
          <w:szCs w:val="21"/>
          <w:highlight w:val="none"/>
          <w:lang w:val="en-US" w:eastAsia="zh-CN"/>
        </w:rPr>
        <w:t>份，副本</w:t>
      </w:r>
      <w:r>
        <w:rPr>
          <w:rFonts w:hint="eastAsia" w:ascii="Times New Roman" w:hAnsi="Times New Roman" w:cs="Times New Roman"/>
          <w:color w:val="auto"/>
          <w:sz w:val="21"/>
          <w:szCs w:val="21"/>
          <w:highlight w:val="none"/>
          <w:u w:val="single"/>
          <w:lang w:val="en-US" w:eastAsia="zh-CN"/>
        </w:rPr>
        <w:t>4</w:t>
      </w:r>
      <w:r>
        <w:rPr>
          <w:rFonts w:hint="eastAsia" w:ascii="Times New Roman" w:hAnsi="Times New Roman" w:cs="Times New Roman"/>
          <w:color w:val="auto"/>
          <w:sz w:val="21"/>
          <w:szCs w:val="21"/>
          <w:highlight w:val="none"/>
          <w:lang w:val="en-US" w:eastAsia="zh-CN"/>
        </w:rPr>
        <w:t>份，</w:t>
      </w:r>
      <w:r>
        <w:rPr>
          <w:rFonts w:hint="default" w:ascii="Times New Roman" w:hAnsi="Times New Roman" w:eastAsia="宋体" w:cs="Times New Roman"/>
          <w:color w:val="auto"/>
          <w:sz w:val="21"/>
          <w:szCs w:val="21"/>
          <w:highlight w:val="none"/>
          <w:lang w:val="en-US" w:eastAsia="zh-CN"/>
        </w:rPr>
        <w:t>甲方执</w:t>
      </w:r>
      <w:r>
        <w:rPr>
          <w:rFonts w:hint="eastAsia" w:ascii="Times New Roman" w:hAnsi="Times New Roman" w:cs="Times New Roman"/>
          <w:color w:val="auto"/>
          <w:sz w:val="21"/>
          <w:szCs w:val="21"/>
          <w:highlight w:val="none"/>
          <w:u w:val="single"/>
          <w:lang w:val="en-US" w:eastAsia="zh-CN"/>
        </w:rPr>
        <w:t>3</w:t>
      </w:r>
      <w:r>
        <w:rPr>
          <w:rFonts w:hint="default" w:ascii="Times New Roman" w:hAnsi="Times New Roman" w:eastAsia="宋体" w:cs="Times New Roman"/>
          <w:color w:val="auto"/>
          <w:sz w:val="21"/>
          <w:szCs w:val="21"/>
          <w:highlight w:val="none"/>
          <w:lang w:val="en-US" w:eastAsia="zh-CN"/>
        </w:rPr>
        <w:t>份</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乙方执</w:t>
      </w:r>
      <w:r>
        <w:rPr>
          <w:rFonts w:hint="eastAsia" w:ascii="Times New Roman" w:hAnsi="Times New Roman" w:cs="Times New Roman"/>
          <w:color w:val="auto"/>
          <w:sz w:val="21"/>
          <w:szCs w:val="21"/>
          <w:highlight w:val="none"/>
          <w:u w:val="single"/>
          <w:lang w:val="en-US" w:eastAsia="zh-CN"/>
        </w:rPr>
        <w:t>1</w:t>
      </w:r>
      <w:r>
        <w:rPr>
          <w:rFonts w:hint="default" w:ascii="Times New Roman" w:hAnsi="Times New Roman" w:eastAsia="宋体" w:cs="Times New Roman"/>
          <w:color w:val="auto"/>
          <w:sz w:val="21"/>
          <w:szCs w:val="21"/>
          <w:highlight w:val="none"/>
          <w:lang w:val="en-US" w:eastAsia="zh-CN"/>
        </w:rPr>
        <w:t>份，具同等效力。</w:t>
      </w:r>
    </w:p>
    <w:p w14:paraId="2714190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p>
    <w:p w14:paraId="00176450">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附件：</w:t>
      </w:r>
    </w:p>
    <w:p w14:paraId="5C3E264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1.物业基本情况及租赁事项</w:t>
      </w:r>
    </w:p>
    <w:p w14:paraId="3940DF2D">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2.租金及相关费用支付</w:t>
      </w:r>
    </w:p>
    <w:p w14:paraId="77F1E53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.《南通轨道资源开发有限公司（经营、租赁类）外单位作业安全、消防、治安管理协议》</w:t>
      </w:r>
    </w:p>
    <w:p w14:paraId="13D3D3BA">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.南通轨道交通</w:t>
      </w:r>
      <w:r>
        <w:rPr>
          <w:rFonts w:hint="eastAsia" w:ascii="Times New Roman" w:hAnsi="Times New Roman" w:cs="Times New Roman"/>
          <w:color w:val="auto"/>
          <w:sz w:val="21"/>
          <w:szCs w:val="21"/>
          <w:highlight w:val="none"/>
          <w:lang w:val="en-US" w:eastAsia="zh-CN"/>
        </w:rPr>
        <w:t>图书馆站</w:t>
      </w:r>
      <w:r>
        <w:rPr>
          <w:rFonts w:hint="eastAsia" w:ascii="Times New Roman" w:hAnsi="Times New Roman" w:eastAsia="宋体" w:cs="Times New Roman"/>
          <w:color w:val="auto"/>
          <w:sz w:val="21"/>
          <w:szCs w:val="21"/>
          <w:highlight w:val="none"/>
          <w:lang w:val="en-US" w:eastAsia="zh-CN"/>
        </w:rPr>
        <w:t>地下附属空间</w:t>
      </w:r>
      <w:r>
        <w:rPr>
          <w:rFonts w:hint="default" w:ascii="Times New Roman" w:hAnsi="Times New Roman" w:eastAsia="宋体" w:cs="Times New Roman"/>
          <w:color w:val="auto"/>
          <w:sz w:val="21"/>
          <w:szCs w:val="21"/>
          <w:highlight w:val="none"/>
          <w:lang w:val="en-US" w:eastAsia="zh-CN"/>
        </w:rPr>
        <w:t>日常经营管理规定</w:t>
      </w:r>
    </w:p>
    <w:p w14:paraId="7A33B625">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5</w:t>
      </w: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物业交接表</w:t>
      </w:r>
    </w:p>
    <w:p w14:paraId="62C0800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lang w:val="en-US" w:eastAsia="zh-CN"/>
        </w:rPr>
        <w:t>.廉政合同</w:t>
      </w:r>
    </w:p>
    <w:p w14:paraId="2333BC1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（本合同正文到此结束）</w:t>
      </w:r>
      <w:r>
        <w:rPr>
          <w:rFonts w:hint="default" w:ascii="Times New Roman" w:hAnsi="Times New Roman" w:eastAsia="宋体" w:cs="Times New Roman"/>
          <w:color w:val="auto"/>
          <w:sz w:val="21"/>
          <w:szCs w:val="21"/>
          <w:highlight w:val="none"/>
        </w:rPr>
        <w:br w:type="page"/>
      </w:r>
    </w:p>
    <w:p w14:paraId="7087B789">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（本页无正文）</w:t>
      </w:r>
    </w:p>
    <w:p w14:paraId="7888FCF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p>
    <w:p w14:paraId="4E638D7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甲方（盖章）：</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乙方（盖章）：</w:t>
      </w:r>
    </w:p>
    <w:p w14:paraId="48944C1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p>
    <w:p w14:paraId="3B55BDD6">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p>
    <w:p w14:paraId="4A0821BC">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p>
    <w:p w14:paraId="72DEC0CE">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法定代表人或授权代理人（签章）：          法定代表人或授权代理人（签章）：</w:t>
      </w:r>
    </w:p>
    <w:p w14:paraId="150F145B">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p>
    <w:p w14:paraId="7703E9C8">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p>
    <w:p w14:paraId="02516FEF">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p>
    <w:p w14:paraId="11F74D32">
      <w:pPr>
        <w:keepNext w:val="0"/>
        <w:keepLines w:val="0"/>
        <w:pageBreakBefore w:val="0"/>
        <w:widowControl/>
        <w:wordWrap/>
        <w:topLinePunct w:val="0"/>
        <w:autoSpaceDE w:val="0"/>
        <w:autoSpaceDN w:val="0"/>
        <w:bidi w:val="0"/>
        <w:adjustRightInd w:val="0"/>
        <w:snapToGrid w:val="0"/>
        <w:spacing w:line="360" w:lineRule="auto"/>
        <w:ind w:left="0" w:right="-519" w:rightChars="-247"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经办人（签章）：                        经办人（签章）：</w:t>
      </w:r>
    </w:p>
    <w:p w14:paraId="0248B098">
      <w:pPr>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default" w:ascii="Times New Roman" w:hAnsi="Times New Roman" w:eastAsia="宋体" w:cs="Times New Roman"/>
          <w:color w:val="auto"/>
          <w:sz w:val="21"/>
          <w:szCs w:val="21"/>
          <w:highlight w:val="none"/>
        </w:rPr>
      </w:pPr>
    </w:p>
    <w:p w14:paraId="0D6B69FC">
      <w:pPr>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default" w:ascii="Times New Roman" w:hAnsi="Times New Roman" w:eastAsia="宋体" w:cs="Times New Roman"/>
          <w:color w:val="auto"/>
          <w:sz w:val="21"/>
          <w:szCs w:val="21"/>
          <w:highlight w:val="none"/>
        </w:rPr>
      </w:pPr>
    </w:p>
    <w:p w14:paraId="3FBE6205">
      <w:pPr>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default" w:ascii="Times New Roman" w:hAnsi="Times New Roman" w:eastAsia="宋体" w:cs="Times New Roman"/>
          <w:color w:val="auto"/>
          <w:sz w:val="21"/>
          <w:szCs w:val="21"/>
          <w:highlight w:val="none"/>
        </w:rPr>
      </w:pPr>
    </w:p>
    <w:p w14:paraId="3AEF7DDE">
      <w:pPr>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default" w:ascii="Times New Roman" w:hAnsi="Times New Roman" w:eastAsia="宋体" w:cs="Times New Roman"/>
          <w:color w:val="auto"/>
          <w:sz w:val="21"/>
          <w:szCs w:val="21"/>
          <w:highlight w:val="none"/>
        </w:rPr>
      </w:pPr>
    </w:p>
    <w:p w14:paraId="79F0A851">
      <w:pPr>
        <w:keepNext w:val="0"/>
        <w:keepLines w:val="0"/>
        <w:pageBreakBefore w:val="0"/>
        <w:widowControl/>
        <w:wordWrap/>
        <w:topLinePunct w:val="0"/>
        <w:autoSpaceDE w:val="0"/>
        <w:autoSpaceDN w:val="0"/>
        <w:bidi w:val="0"/>
        <w:adjustRightInd w:val="0"/>
        <w:snapToGrid w:val="0"/>
        <w:spacing w:before="6" w:line="360" w:lineRule="auto"/>
        <w:ind w:left="0" w:right="0" w:firstLine="0" w:firstLineChars="0"/>
        <w:textAlignment w:val="baseline"/>
        <w:rPr>
          <w:rFonts w:hint="default" w:ascii="Times New Roman" w:hAnsi="Times New Roman" w:eastAsia="宋体" w:cs="Times New Roman"/>
          <w:color w:val="auto"/>
          <w:sz w:val="21"/>
          <w:szCs w:val="21"/>
          <w:highlight w:val="none"/>
        </w:rPr>
      </w:pPr>
    </w:p>
    <w:p w14:paraId="13F8ED6A">
      <w:pPr>
        <w:keepNext w:val="0"/>
        <w:keepLines w:val="0"/>
        <w:pageBreakBefore w:val="0"/>
        <w:widowControl/>
        <w:wordWrap/>
        <w:topLinePunct w:val="0"/>
        <w:autoSpaceDE w:val="0"/>
        <w:autoSpaceDN w:val="0"/>
        <w:bidi w:val="0"/>
        <w:adjustRightInd w:val="0"/>
        <w:snapToGrid w:val="0"/>
        <w:spacing w:before="6" w:line="360" w:lineRule="auto"/>
        <w:ind w:left="0" w:right="0" w:firstLine="0" w:firstLineChars="0"/>
        <w:textAlignment w:val="baseline"/>
        <w:rPr>
          <w:rFonts w:hint="default" w:ascii="Times New Roman" w:hAnsi="Times New Roman" w:eastAsia="宋体" w:cs="Times New Roman"/>
          <w:color w:val="auto"/>
          <w:sz w:val="21"/>
          <w:szCs w:val="21"/>
          <w:highlight w:val="none"/>
        </w:rPr>
      </w:pPr>
    </w:p>
    <w:tbl>
      <w:tblPr>
        <w:tblStyle w:val="23"/>
        <w:tblW w:w="8871"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601"/>
        <w:gridCol w:w="4270"/>
      </w:tblGrid>
      <w:tr w14:paraId="0D174A3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6" w:hRule="atLeast"/>
        </w:trPr>
        <w:tc>
          <w:tcPr>
            <w:tcW w:w="4601" w:type="dxa"/>
            <w:vAlign w:val="top"/>
          </w:tcPr>
          <w:p w14:paraId="0DA0E446">
            <w:pPr>
              <w:pStyle w:val="22"/>
              <w:keepNext w:val="0"/>
              <w:keepLines w:val="0"/>
              <w:pageBreakBefore w:val="0"/>
              <w:widowControl/>
              <w:wordWrap/>
              <w:topLinePunct w:val="0"/>
              <w:autoSpaceDE w:val="0"/>
              <w:autoSpaceDN w:val="0"/>
              <w:bidi w:val="0"/>
              <w:adjustRightInd w:val="0"/>
              <w:snapToGrid w:val="0"/>
              <w:spacing w:line="360" w:lineRule="auto"/>
              <w:ind w:left="0" w:leftChars="0" w:right="0" w:rightChars="0" w:firstLine="0" w:firstLineChars="0"/>
              <w:textAlignment w:val="baseline"/>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pacing w:val="-11"/>
                <w:sz w:val="21"/>
                <w:szCs w:val="21"/>
                <w:highlight w:val="none"/>
              </w:rPr>
              <w:t>时间：</w:t>
            </w:r>
            <w:r>
              <w:rPr>
                <w:rFonts w:hint="eastAsia" w:ascii="Times New Roman" w:hAnsi="Times New Roman" w:eastAsia="宋体" w:cs="Times New Roman"/>
                <w:color w:val="auto"/>
                <w:spacing w:val="-11"/>
                <w:sz w:val="21"/>
                <w:szCs w:val="21"/>
                <w:highlight w:val="none"/>
                <w:lang w:val="en-US" w:eastAsia="zh-CN"/>
              </w:rPr>
              <w:t>2026年  月   日</w:t>
            </w:r>
          </w:p>
        </w:tc>
        <w:tc>
          <w:tcPr>
            <w:tcW w:w="4270" w:type="dxa"/>
            <w:vAlign w:val="top"/>
          </w:tcPr>
          <w:p w14:paraId="6AC3C809">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default" w:ascii="Times New Roman" w:hAnsi="Times New Roman" w:eastAsia="宋体" w:cs="Times New Roman"/>
                <w:color w:val="auto"/>
                <w:spacing w:val="-3"/>
                <w:sz w:val="21"/>
                <w:szCs w:val="21"/>
                <w:highlight w:val="none"/>
              </w:rPr>
            </w:pPr>
            <w:r>
              <w:rPr>
                <w:rFonts w:hint="default" w:ascii="Times New Roman" w:hAnsi="Times New Roman" w:eastAsia="宋体" w:cs="Times New Roman"/>
                <w:color w:val="auto"/>
                <w:spacing w:val="-3"/>
                <w:sz w:val="21"/>
                <w:szCs w:val="21"/>
                <w:highlight w:val="none"/>
              </w:rPr>
              <w:t>时间：</w:t>
            </w:r>
            <w:r>
              <w:rPr>
                <w:rFonts w:hint="eastAsia" w:ascii="Times New Roman" w:hAnsi="Times New Roman" w:eastAsia="宋体" w:cs="Times New Roman"/>
                <w:color w:val="auto"/>
                <w:spacing w:val="-3"/>
                <w:sz w:val="21"/>
                <w:szCs w:val="21"/>
                <w:highlight w:val="none"/>
                <w:lang w:val="en-US" w:eastAsia="zh-CN"/>
              </w:rPr>
              <w:t>2026年  月</w:t>
            </w:r>
            <w:r>
              <w:rPr>
                <w:rFonts w:hint="eastAsia" w:ascii="Times New Roman" w:hAnsi="Times New Roman" w:eastAsia="宋体" w:cs="Times New Roman"/>
                <w:color w:val="auto"/>
                <w:spacing w:val="-11"/>
                <w:sz w:val="21"/>
                <w:szCs w:val="21"/>
                <w:highlight w:val="none"/>
                <w:lang w:val="en-US" w:eastAsia="zh-CN"/>
              </w:rPr>
              <w:t xml:space="preserve">    日</w:t>
            </w:r>
          </w:p>
        </w:tc>
      </w:tr>
      <w:tr w14:paraId="79E0056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74" w:hRule="atLeast"/>
        </w:trPr>
        <w:tc>
          <w:tcPr>
            <w:tcW w:w="4601" w:type="dxa"/>
            <w:vAlign w:val="top"/>
          </w:tcPr>
          <w:p w14:paraId="6065C67F">
            <w:pPr>
              <w:pStyle w:val="22"/>
              <w:keepNext w:val="0"/>
              <w:keepLines w:val="0"/>
              <w:pageBreakBefore w:val="0"/>
              <w:widowControl/>
              <w:wordWrap/>
              <w:topLinePunct w:val="0"/>
              <w:autoSpaceDE w:val="0"/>
              <w:autoSpaceDN w:val="0"/>
              <w:bidi w:val="0"/>
              <w:adjustRightInd w:val="0"/>
              <w:snapToGrid w:val="0"/>
              <w:spacing w:before="112" w:line="360" w:lineRule="auto"/>
              <w:ind w:left="0" w:leftChars="0" w:right="0" w:rightChars="0"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单位地址：</w:t>
            </w:r>
            <w:r>
              <w:rPr>
                <w:rFonts w:hint="default" w:ascii="Times New Roman" w:hAnsi="Times New Roman" w:eastAsia="宋体" w:cs="Times New Roman"/>
                <w:color w:val="auto"/>
                <w:spacing w:val="-3"/>
                <w:sz w:val="21"/>
                <w:szCs w:val="21"/>
                <w:highlight w:val="none"/>
                <w:lang w:val="en-US" w:eastAsia="zh-CN"/>
              </w:rPr>
              <w:t>南通市崇川区崇川路158号地铁大厦1808室</w:t>
            </w:r>
          </w:p>
        </w:tc>
        <w:tc>
          <w:tcPr>
            <w:tcW w:w="4270" w:type="dxa"/>
            <w:vAlign w:val="top"/>
          </w:tcPr>
          <w:p w14:paraId="704671E2">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default" w:ascii="Times New Roman" w:hAnsi="Times New Roman" w:eastAsia="宋体" w:cs="Times New Roman"/>
                <w:color w:val="auto"/>
                <w:spacing w:val="-3"/>
                <w:sz w:val="21"/>
                <w:szCs w:val="21"/>
                <w:highlight w:val="none"/>
              </w:rPr>
            </w:pPr>
            <w:r>
              <w:rPr>
                <w:rFonts w:hint="default" w:ascii="Times New Roman" w:hAnsi="Times New Roman" w:eastAsia="宋体" w:cs="Times New Roman"/>
                <w:color w:val="auto"/>
                <w:spacing w:val="-3"/>
                <w:sz w:val="21"/>
                <w:szCs w:val="21"/>
                <w:highlight w:val="none"/>
              </w:rPr>
              <w:t>地址：</w:t>
            </w:r>
          </w:p>
        </w:tc>
      </w:tr>
      <w:tr w14:paraId="655C6B2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0" w:hRule="atLeast"/>
        </w:trPr>
        <w:tc>
          <w:tcPr>
            <w:tcW w:w="4601" w:type="dxa"/>
            <w:vAlign w:val="top"/>
          </w:tcPr>
          <w:p w14:paraId="3AE975F2">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电话：</w:t>
            </w:r>
            <w:r>
              <w:rPr>
                <w:rFonts w:hint="eastAsia" w:ascii="Times New Roman" w:hAnsi="Times New Roman" w:cs="Times New Roman"/>
                <w:color w:val="auto"/>
                <w:sz w:val="21"/>
                <w:szCs w:val="21"/>
                <w:highlight w:val="none"/>
                <w:lang w:val="en-US" w:eastAsia="zh-CN"/>
              </w:rPr>
              <w:t>0513-80813998</w:t>
            </w:r>
          </w:p>
        </w:tc>
        <w:tc>
          <w:tcPr>
            <w:tcW w:w="4270" w:type="dxa"/>
            <w:vAlign w:val="top"/>
          </w:tcPr>
          <w:p w14:paraId="03C11FCF">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default" w:ascii="Times New Roman" w:hAnsi="Times New Roman" w:eastAsia="宋体" w:cs="Times New Roman"/>
                <w:color w:val="auto"/>
                <w:spacing w:val="-3"/>
                <w:sz w:val="21"/>
                <w:szCs w:val="21"/>
                <w:highlight w:val="none"/>
              </w:rPr>
            </w:pPr>
            <w:r>
              <w:rPr>
                <w:rFonts w:hint="default" w:ascii="Times New Roman" w:hAnsi="Times New Roman" w:eastAsia="宋体" w:cs="Times New Roman"/>
                <w:color w:val="auto"/>
                <w:spacing w:val="-3"/>
                <w:sz w:val="21"/>
                <w:szCs w:val="21"/>
                <w:highlight w:val="none"/>
              </w:rPr>
              <w:t>电话</w:t>
            </w:r>
            <w:r>
              <w:rPr>
                <w:rFonts w:hint="eastAsia" w:ascii="Times New Roman" w:hAnsi="Times New Roman" w:eastAsia="宋体" w:cs="Times New Roman"/>
                <w:color w:val="auto"/>
                <w:spacing w:val="-3"/>
                <w:sz w:val="21"/>
                <w:szCs w:val="21"/>
                <w:highlight w:val="none"/>
                <w:lang w:eastAsia="zh-CN"/>
              </w:rPr>
              <w:t>：</w:t>
            </w:r>
          </w:p>
        </w:tc>
      </w:tr>
      <w:tr w14:paraId="2D172D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0" w:hRule="atLeast"/>
        </w:trPr>
        <w:tc>
          <w:tcPr>
            <w:tcW w:w="4601" w:type="dxa"/>
            <w:vAlign w:val="top"/>
          </w:tcPr>
          <w:p w14:paraId="1071579C">
            <w:pPr>
              <w:pStyle w:val="22"/>
              <w:keepNext w:val="0"/>
              <w:keepLines w:val="0"/>
              <w:pageBreakBefore w:val="0"/>
              <w:widowControl/>
              <w:wordWrap/>
              <w:topLinePunct w:val="0"/>
              <w:autoSpaceDE w:val="0"/>
              <w:autoSpaceDN w:val="0"/>
              <w:bidi w:val="0"/>
              <w:adjustRightInd w:val="0"/>
              <w:snapToGrid w:val="0"/>
              <w:spacing w:before="117" w:line="360" w:lineRule="auto"/>
              <w:ind w:left="0" w:leftChars="0" w:right="0" w:rightChars="0"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邮编：</w:t>
            </w:r>
            <w:r>
              <w:rPr>
                <w:rFonts w:hint="eastAsia" w:ascii="Times New Roman" w:hAnsi="Times New Roman" w:eastAsia="宋体" w:cs="Times New Roman"/>
                <w:color w:val="auto"/>
                <w:spacing w:val="-4"/>
                <w:sz w:val="21"/>
                <w:szCs w:val="21"/>
                <w:highlight w:val="none"/>
                <w:lang w:val="en-US" w:eastAsia="zh-CN"/>
              </w:rPr>
              <w:t>226000</w:t>
            </w:r>
          </w:p>
        </w:tc>
        <w:tc>
          <w:tcPr>
            <w:tcW w:w="4270" w:type="dxa"/>
            <w:vAlign w:val="top"/>
          </w:tcPr>
          <w:p w14:paraId="7DEEC12B">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default" w:ascii="Times New Roman" w:hAnsi="Times New Roman" w:eastAsia="宋体" w:cs="Times New Roman"/>
                <w:color w:val="auto"/>
                <w:spacing w:val="-3"/>
                <w:sz w:val="21"/>
                <w:szCs w:val="21"/>
                <w:highlight w:val="none"/>
                <w:lang w:val="en-US" w:eastAsia="zh-CN"/>
              </w:rPr>
            </w:pPr>
            <w:r>
              <w:rPr>
                <w:rFonts w:hint="default" w:ascii="Times New Roman" w:hAnsi="Times New Roman" w:eastAsia="宋体" w:cs="Times New Roman"/>
                <w:color w:val="auto"/>
                <w:spacing w:val="-3"/>
                <w:sz w:val="21"/>
                <w:szCs w:val="21"/>
                <w:highlight w:val="none"/>
              </w:rPr>
              <w:t>邮编：</w:t>
            </w:r>
            <w:r>
              <w:rPr>
                <w:rFonts w:hint="eastAsia" w:ascii="Times New Roman" w:hAnsi="Times New Roman" w:eastAsia="宋体" w:cs="Times New Roman"/>
                <w:color w:val="auto"/>
                <w:spacing w:val="-3"/>
                <w:sz w:val="21"/>
                <w:szCs w:val="21"/>
                <w:highlight w:val="none"/>
                <w:lang w:val="en-US" w:eastAsia="zh-CN"/>
              </w:rPr>
              <w:t xml:space="preserve"> </w:t>
            </w:r>
          </w:p>
        </w:tc>
      </w:tr>
      <w:tr w14:paraId="68AF6D3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80" w:hRule="atLeast"/>
        </w:trPr>
        <w:tc>
          <w:tcPr>
            <w:tcW w:w="4601" w:type="dxa"/>
            <w:vAlign w:val="top"/>
          </w:tcPr>
          <w:p w14:paraId="02B862E9">
            <w:pPr>
              <w:pStyle w:val="22"/>
              <w:keepNext w:val="0"/>
              <w:keepLines w:val="0"/>
              <w:pageBreakBefore w:val="0"/>
              <w:widowControl/>
              <w:wordWrap/>
              <w:topLinePunct w:val="0"/>
              <w:autoSpaceDE w:val="0"/>
              <w:autoSpaceDN w:val="0"/>
              <w:bidi w:val="0"/>
              <w:adjustRightInd w:val="0"/>
              <w:snapToGrid w:val="0"/>
              <w:spacing w:before="117" w:line="360" w:lineRule="auto"/>
              <w:ind w:left="0" w:leftChars="0" w:right="0" w:rightChars="0"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2"/>
                <w:sz w:val="21"/>
                <w:szCs w:val="21"/>
                <w:highlight w:val="none"/>
              </w:rPr>
              <w:t>开户银行：</w:t>
            </w:r>
            <w:r>
              <w:rPr>
                <w:rFonts w:hint="default" w:ascii="Times New Roman" w:hAnsi="Times New Roman" w:eastAsia="宋体" w:cs="Times New Roman"/>
                <w:color w:val="auto"/>
                <w:spacing w:val="-2"/>
                <w:sz w:val="21"/>
                <w:szCs w:val="21"/>
                <w:highlight w:val="none"/>
                <w:lang w:val="en-US" w:eastAsia="zh-CN"/>
              </w:rPr>
              <w:t>江苏南通农村商业银行股份有限公司</w:t>
            </w:r>
          </w:p>
        </w:tc>
        <w:tc>
          <w:tcPr>
            <w:tcW w:w="4270" w:type="dxa"/>
            <w:vAlign w:val="top"/>
          </w:tcPr>
          <w:p w14:paraId="25AA7AAC">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default" w:ascii="Times New Roman" w:hAnsi="Times New Roman" w:eastAsia="宋体" w:cs="Times New Roman"/>
                <w:color w:val="auto"/>
                <w:spacing w:val="-3"/>
                <w:sz w:val="21"/>
                <w:szCs w:val="21"/>
                <w:highlight w:val="none"/>
              </w:rPr>
            </w:pPr>
            <w:r>
              <w:rPr>
                <w:rFonts w:hint="default" w:ascii="Times New Roman" w:hAnsi="Times New Roman" w:eastAsia="宋体" w:cs="Times New Roman"/>
                <w:color w:val="auto"/>
                <w:spacing w:val="-3"/>
                <w:sz w:val="21"/>
                <w:szCs w:val="21"/>
                <w:highlight w:val="none"/>
              </w:rPr>
              <w:t>开户银行：</w:t>
            </w:r>
          </w:p>
        </w:tc>
      </w:tr>
      <w:tr w14:paraId="50C5E7C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6" w:hRule="atLeast"/>
        </w:trPr>
        <w:tc>
          <w:tcPr>
            <w:tcW w:w="4601" w:type="dxa"/>
            <w:vAlign w:val="top"/>
          </w:tcPr>
          <w:p w14:paraId="350F4A22">
            <w:pPr>
              <w:pStyle w:val="22"/>
              <w:keepNext w:val="0"/>
              <w:keepLines w:val="0"/>
              <w:pageBreakBefore w:val="0"/>
              <w:widowControl/>
              <w:wordWrap/>
              <w:topLinePunct w:val="0"/>
              <w:autoSpaceDE w:val="0"/>
              <w:autoSpaceDN w:val="0"/>
              <w:bidi w:val="0"/>
              <w:adjustRightInd w:val="0"/>
              <w:snapToGrid w:val="0"/>
              <w:spacing w:before="117" w:line="360" w:lineRule="auto"/>
              <w:ind w:left="0" w:leftChars="0" w:right="0" w:rightChars="0" w:firstLine="0" w:firstLineChars="0"/>
              <w:textAlignment w:val="baseline"/>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pacing w:val="-1"/>
                <w:sz w:val="21"/>
                <w:szCs w:val="21"/>
                <w:highlight w:val="none"/>
                <w:lang w:eastAsia="zh-CN"/>
              </w:rPr>
              <w:t>银行账号</w:t>
            </w:r>
            <w:r>
              <w:rPr>
                <w:rFonts w:hint="default" w:ascii="Times New Roman" w:hAnsi="Times New Roman" w:eastAsia="宋体" w:cs="Times New Roman"/>
                <w:color w:val="auto"/>
                <w:spacing w:val="-1"/>
                <w:sz w:val="21"/>
                <w:szCs w:val="21"/>
                <w:highlight w:val="none"/>
              </w:rPr>
              <w:t>：</w:t>
            </w:r>
            <w:r>
              <w:rPr>
                <w:rFonts w:hint="default" w:ascii="Times New Roman" w:hAnsi="Times New Roman" w:eastAsia="宋体" w:cs="Times New Roman"/>
                <w:color w:val="auto"/>
                <w:spacing w:val="-1"/>
                <w:sz w:val="21"/>
                <w:szCs w:val="21"/>
                <w:highlight w:val="none"/>
                <w:lang w:val="en-US" w:eastAsia="zh-CN"/>
              </w:rPr>
              <w:t>3206240011010000223177</w:t>
            </w:r>
          </w:p>
        </w:tc>
        <w:tc>
          <w:tcPr>
            <w:tcW w:w="4270" w:type="dxa"/>
            <w:vAlign w:val="top"/>
          </w:tcPr>
          <w:p w14:paraId="262C8090">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default" w:ascii="Times New Roman" w:hAnsi="Times New Roman" w:eastAsia="宋体" w:cs="Times New Roman"/>
                <w:color w:val="auto"/>
                <w:spacing w:val="-3"/>
                <w:sz w:val="21"/>
                <w:szCs w:val="21"/>
                <w:highlight w:val="none"/>
                <w:lang w:val="en-US" w:eastAsia="zh-CN"/>
              </w:rPr>
            </w:pPr>
            <w:r>
              <w:rPr>
                <w:rFonts w:hint="default" w:ascii="Times New Roman" w:hAnsi="Times New Roman" w:eastAsia="宋体" w:cs="Times New Roman"/>
                <w:color w:val="auto"/>
                <w:spacing w:val="-3"/>
                <w:sz w:val="21"/>
                <w:szCs w:val="21"/>
                <w:highlight w:val="none"/>
              </w:rPr>
              <w:t>银行</w:t>
            </w:r>
            <w:r>
              <w:rPr>
                <w:rFonts w:hint="eastAsia" w:ascii="Times New Roman" w:hAnsi="Times New Roman" w:eastAsia="宋体" w:cs="Times New Roman"/>
                <w:color w:val="auto"/>
                <w:spacing w:val="-3"/>
                <w:sz w:val="21"/>
                <w:szCs w:val="21"/>
                <w:highlight w:val="none"/>
                <w:lang w:eastAsia="zh-CN"/>
              </w:rPr>
              <w:t>账号</w:t>
            </w:r>
            <w:r>
              <w:rPr>
                <w:rFonts w:hint="default" w:ascii="Times New Roman" w:hAnsi="Times New Roman" w:eastAsia="宋体" w:cs="Times New Roman"/>
                <w:color w:val="auto"/>
                <w:spacing w:val="-3"/>
                <w:sz w:val="21"/>
                <w:szCs w:val="21"/>
                <w:highlight w:val="none"/>
              </w:rPr>
              <w:t>：</w:t>
            </w:r>
          </w:p>
        </w:tc>
      </w:tr>
      <w:tr w14:paraId="6AD6E02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7" w:hRule="atLeast"/>
        </w:trPr>
        <w:tc>
          <w:tcPr>
            <w:tcW w:w="4601" w:type="dxa"/>
            <w:vAlign w:val="top"/>
          </w:tcPr>
          <w:p w14:paraId="4D4B57DD">
            <w:pPr>
              <w:pStyle w:val="22"/>
              <w:keepNext w:val="0"/>
              <w:keepLines w:val="0"/>
              <w:pageBreakBefore w:val="0"/>
              <w:widowControl/>
              <w:wordWrap/>
              <w:topLinePunct w:val="0"/>
              <w:autoSpaceDE w:val="0"/>
              <w:autoSpaceDN w:val="0"/>
              <w:bidi w:val="0"/>
              <w:adjustRightInd w:val="0"/>
              <w:snapToGrid w:val="0"/>
              <w:spacing w:before="141" w:line="360" w:lineRule="auto"/>
              <w:ind w:left="0" w:leftChars="0" w:right="0" w:rightChars="0" w:firstLine="0" w:firstLineChars="0"/>
              <w:textAlignment w:val="baseline"/>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税务登记号：</w:t>
            </w:r>
            <w:r>
              <w:rPr>
                <w:rFonts w:hint="eastAsia" w:ascii="Times New Roman" w:hAnsi="Times New Roman" w:eastAsia="宋体" w:cs="Times New Roman"/>
                <w:color w:val="auto"/>
                <w:spacing w:val="-1"/>
                <w:sz w:val="21"/>
                <w:szCs w:val="21"/>
                <w:highlight w:val="none"/>
                <w:lang w:val="en-US" w:eastAsia="zh-CN"/>
              </w:rPr>
              <w:t>/</w:t>
            </w:r>
          </w:p>
        </w:tc>
        <w:tc>
          <w:tcPr>
            <w:tcW w:w="4270" w:type="dxa"/>
            <w:vAlign w:val="top"/>
          </w:tcPr>
          <w:p w14:paraId="249D4851">
            <w:pPr>
              <w:pStyle w:val="22"/>
              <w:keepNext w:val="0"/>
              <w:keepLines w:val="0"/>
              <w:pageBreakBefore w:val="0"/>
              <w:widowControl/>
              <w:wordWrap/>
              <w:topLinePunct w:val="0"/>
              <w:autoSpaceDE w:val="0"/>
              <w:autoSpaceDN w:val="0"/>
              <w:bidi w:val="0"/>
              <w:adjustRightInd w:val="0"/>
              <w:snapToGrid w:val="0"/>
              <w:spacing w:before="118" w:line="360" w:lineRule="auto"/>
              <w:ind w:left="0" w:leftChars="0" w:right="0" w:rightChars="0" w:firstLine="0" w:firstLineChars="0"/>
              <w:textAlignment w:val="baseline"/>
              <w:rPr>
                <w:rFonts w:hint="default" w:ascii="Times New Roman" w:hAnsi="Times New Roman" w:eastAsia="宋体" w:cs="Times New Roman"/>
                <w:color w:val="auto"/>
                <w:spacing w:val="-3"/>
                <w:sz w:val="21"/>
                <w:szCs w:val="21"/>
                <w:highlight w:val="none"/>
                <w:lang w:val="en-US" w:eastAsia="zh-CN"/>
              </w:rPr>
            </w:pPr>
            <w:r>
              <w:rPr>
                <w:rFonts w:hint="default" w:ascii="Times New Roman" w:hAnsi="Times New Roman" w:eastAsia="宋体" w:cs="Times New Roman"/>
                <w:color w:val="auto"/>
                <w:spacing w:val="-3"/>
                <w:sz w:val="21"/>
                <w:szCs w:val="21"/>
                <w:highlight w:val="none"/>
              </w:rPr>
              <w:t>税务登记号：</w:t>
            </w:r>
            <w:r>
              <w:rPr>
                <w:rFonts w:hint="eastAsia" w:ascii="Times New Roman" w:hAnsi="Times New Roman" w:eastAsia="宋体" w:cs="Times New Roman"/>
                <w:color w:val="auto"/>
                <w:spacing w:val="-3"/>
                <w:sz w:val="21"/>
                <w:szCs w:val="21"/>
                <w:highlight w:val="none"/>
                <w:lang w:val="en-US" w:eastAsia="zh-CN"/>
              </w:rPr>
              <w:t xml:space="preserve"> </w:t>
            </w:r>
          </w:p>
        </w:tc>
      </w:tr>
    </w:tbl>
    <w:p w14:paraId="6868B4B4">
      <w:pPr>
        <w:pStyle w:val="6"/>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default" w:ascii="Times New Roman" w:hAnsi="Times New Roman" w:eastAsia="宋体" w:cs="Times New Roman"/>
          <w:color w:val="auto"/>
          <w:sz w:val="22"/>
          <w:szCs w:val="22"/>
          <w:highlight w:val="none"/>
        </w:rPr>
      </w:pPr>
    </w:p>
    <w:p w14:paraId="16DC74F9">
      <w:pPr>
        <w:keepNext w:val="0"/>
        <w:keepLines w:val="0"/>
        <w:pageBreakBefore w:val="0"/>
        <w:widowControl/>
        <w:wordWrap/>
        <w:topLinePunct w:val="0"/>
        <w:autoSpaceDE w:val="0"/>
        <w:autoSpaceDN w:val="0"/>
        <w:bidi w:val="0"/>
        <w:adjustRightInd w:val="0"/>
        <w:snapToGrid w:val="0"/>
        <w:spacing w:line="360" w:lineRule="auto"/>
        <w:ind w:left="0" w:right="0" w:firstLine="0" w:firstLineChars="0"/>
        <w:textAlignment w:val="baseline"/>
        <w:rPr>
          <w:rFonts w:hint="default" w:ascii="Times New Roman" w:hAnsi="Times New Roman" w:eastAsia="宋体" w:cs="Times New Roman"/>
          <w:color w:val="auto"/>
          <w:sz w:val="22"/>
          <w:szCs w:val="22"/>
          <w:highlight w:val="none"/>
        </w:rPr>
      </w:pPr>
    </w:p>
    <w:p w14:paraId="49711C9F">
      <w:pPr>
        <w:bidi w:val="0"/>
        <w:rPr>
          <w:rFonts w:hint="default"/>
        </w:rPr>
      </w:pPr>
      <w:r>
        <w:rPr>
          <w:rFonts w:hint="default"/>
        </w:rPr>
        <w:br w:type="page"/>
      </w:r>
    </w:p>
    <w:p w14:paraId="0028654E">
      <w:pPr>
        <w:spacing w:line="400" w:lineRule="exact"/>
        <w:outlineLvl w:val="0"/>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lang w:val="en-US" w:eastAsia="zh-CN"/>
        </w:rPr>
        <w:t>合同</w:t>
      </w:r>
      <w:r>
        <w:rPr>
          <w:rFonts w:hint="default" w:ascii="Times New Roman" w:hAnsi="Times New Roman" w:cs="Times New Roman"/>
          <w:bCs/>
          <w:color w:val="auto"/>
          <w:sz w:val="24"/>
          <w:szCs w:val="24"/>
          <w:highlight w:val="none"/>
        </w:rPr>
        <w:t>附件1</w:t>
      </w:r>
    </w:p>
    <w:p w14:paraId="1201642D">
      <w:pPr>
        <w:spacing w:line="400" w:lineRule="exact"/>
        <w:ind w:right="-519" w:rightChars="-247"/>
        <w:outlineLvl w:val="0"/>
        <w:rPr>
          <w:rFonts w:hint="eastAsia"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附件1：物业基本情况及租赁事项</w:t>
      </w:r>
    </w:p>
    <w:p w14:paraId="469BF9E0">
      <w:pPr>
        <w:spacing w:line="590" w:lineRule="exact"/>
        <w:ind w:firstLine="396" w:firstLineChars="200"/>
        <w:rPr>
          <w:rFonts w:ascii="Times New Roman" w:eastAsia="黑体"/>
          <w:spacing w:val="-6"/>
          <w:sz w:val="21"/>
          <w:szCs w:val="21"/>
        </w:rPr>
      </w:pPr>
      <w:r>
        <w:rPr>
          <w:rFonts w:ascii="Times New Roman" w:eastAsia="黑体"/>
          <w:spacing w:val="-6"/>
          <w:sz w:val="21"/>
          <w:szCs w:val="21"/>
        </w:rPr>
        <w:t>第一部分</w:t>
      </w:r>
    </w:p>
    <w:p w14:paraId="350E2388">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1.位置：</w:t>
      </w:r>
    </w:p>
    <w:p w14:paraId="78743BCE">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2.租赁标的：南通轨道交通</w:t>
      </w:r>
      <w:r>
        <w:rPr>
          <w:rFonts w:hint="eastAsia" w:ascii="宋体" w:hAnsi="宋体" w:cs="宋体"/>
          <w:spacing w:val="-6"/>
          <w:sz w:val="21"/>
          <w:szCs w:val="21"/>
          <w:u w:val="single"/>
          <w:lang w:val="en-US" w:eastAsia="zh-CN"/>
        </w:rPr>
        <w:t xml:space="preserve"> 1 </w:t>
      </w:r>
      <w:r>
        <w:rPr>
          <w:rFonts w:hint="eastAsia" w:ascii="宋体" w:hAnsi="宋体" w:eastAsia="宋体" w:cs="宋体"/>
          <w:spacing w:val="-6"/>
          <w:sz w:val="21"/>
          <w:szCs w:val="21"/>
        </w:rPr>
        <w:t>号线</w:t>
      </w:r>
      <w:r>
        <w:rPr>
          <w:rFonts w:hint="eastAsia" w:ascii="宋体" w:hAnsi="宋体" w:eastAsia="宋体" w:cs="宋体"/>
          <w:spacing w:val="-6"/>
          <w:sz w:val="21"/>
          <w:szCs w:val="21"/>
          <w:u w:val="single"/>
          <w:lang w:val="en-US" w:eastAsia="zh-CN"/>
        </w:rPr>
        <w:t xml:space="preserve"> 图书馆站 </w:t>
      </w:r>
      <w:r>
        <w:rPr>
          <w:rFonts w:hint="eastAsia" w:ascii="宋体" w:hAnsi="宋体" w:cs="宋体"/>
          <w:spacing w:val="-6"/>
          <w:sz w:val="21"/>
          <w:szCs w:val="21"/>
          <w:lang w:val="en-US" w:eastAsia="zh-CN"/>
        </w:rPr>
        <w:t>地下附属空间</w:t>
      </w:r>
      <w:r>
        <w:rPr>
          <w:rFonts w:hint="eastAsia" w:ascii="宋体" w:hAnsi="宋体" w:cs="宋体"/>
          <w:spacing w:val="-6"/>
          <w:sz w:val="21"/>
          <w:szCs w:val="21"/>
          <w:u w:val="single"/>
          <w:lang w:val="en-US" w:eastAsia="zh-CN"/>
        </w:rPr>
        <w:t xml:space="preserve"> 02号 </w:t>
      </w:r>
      <w:r>
        <w:rPr>
          <w:rFonts w:hint="eastAsia" w:ascii="宋体" w:hAnsi="宋体" w:cs="宋体"/>
          <w:spacing w:val="-6"/>
          <w:sz w:val="21"/>
          <w:szCs w:val="21"/>
          <w:u w:val="none"/>
          <w:lang w:val="en-US" w:eastAsia="zh-CN"/>
        </w:rPr>
        <w:t>商铺</w:t>
      </w:r>
      <w:r>
        <w:rPr>
          <w:rFonts w:hint="eastAsia" w:ascii="宋体" w:hAnsi="宋体" w:eastAsia="宋体" w:cs="宋体"/>
          <w:spacing w:val="-6"/>
          <w:sz w:val="21"/>
          <w:szCs w:val="21"/>
          <w:u w:val="single"/>
          <w:lang w:val="en-US" w:eastAsia="zh-CN"/>
        </w:rPr>
        <w:t xml:space="preserve"> 25.76 </w:t>
      </w:r>
      <w:r>
        <w:rPr>
          <w:rFonts w:hint="eastAsia" w:ascii="宋体" w:hAnsi="宋体" w:eastAsia="宋体" w:cs="宋体"/>
          <w:spacing w:val="-6"/>
          <w:sz w:val="21"/>
          <w:szCs w:val="21"/>
        </w:rPr>
        <w:t>平方米。</w:t>
      </w:r>
    </w:p>
    <w:p w14:paraId="7B27D2BC">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租金不因实际交付时面积的变化而做相应调整。</w:t>
      </w:r>
    </w:p>
    <w:p w14:paraId="1A39AC69">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3.用途：乙方在该物业内只限经营品牌为</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，主营品类为</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w:t>
      </w:r>
    </w:p>
    <w:p w14:paraId="7EF63F3E">
      <w:pPr>
        <w:spacing w:line="590" w:lineRule="exact"/>
        <w:ind w:firstLine="396" w:firstLineChars="200"/>
        <w:rPr>
          <w:rFonts w:ascii="Times New Roman" w:eastAsia="黑体"/>
          <w:spacing w:val="-6"/>
          <w:sz w:val="21"/>
          <w:szCs w:val="21"/>
        </w:rPr>
      </w:pPr>
      <w:r>
        <w:rPr>
          <w:rFonts w:ascii="Times New Roman" w:eastAsia="黑体"/>
          <w:spacing w:val="-6"/>
          <w:sz w:val="21"/>
          <w:szCs w:val="21"/>
        </w:rPr>
        <w:t>第二部分</w:t>
      </w:r>
    </w:p>
    <w:p w14:paraId="677BDAED">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1.交付日期：甲方暂定于</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年</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月</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日前完成物业交付。</w:t>
      </w:r>
    </w:p>
    <w:p w14:paraId="42E7A5DD">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2.租赁期共计</w:t>
      </w:r>
      <w:r>
        <w:rPr>
          <w:rFonts w:hint="eastAsia" w:ascii="宋体" w:hAnsi="宋体" w:eastAsia="宋体" w:cs="宋体"/>
          <w:spacing w:val="-6"/>
          <w:sz w:val="21"/>
          <w:szCs w:val="21"/>
          <w:u w:val="single"/>
          <w:lang w:val="en-US" w:eastAsia="zh-CN"/>
        </w:rPr>
        <w:t xml:space="preserve"> </w:t>
      </w:r>
      <w:r>
        <w:rPr>
          <w:rFonts w:hint="eastAsia" w:ascii="宋体" w:hAnsi="宋体" w:cs="宋体"/>
          <w:spacing w:val="-6"/>
          <w:sz w:val="21"/>
          <w:szCs w:val="21"/>
          <w:u w:val="single"/>
          <w:lang w:val="en-US" w:eastAsia="zh-CN"/>
        </w:rPr>
        <w:t>3</w:t>
      </w:r>
      <w:r>
        <w:rPr>
          <w:rFonts w:hint="eastAsia" w:ascii="宋体" w:hAnsi="宋体" w:eastAsia="宋体" w:cs="宋体"/>
          <w:spacing w:val="-6"/>
          <w:sz w:val="21"/>
          <w:szCs w:val="21"/>
          <w:u w:val="single"/>
          <w:lang w:val="en-US" w:eastAsia="zh-CN"/>
        </w:rPr>
        <w:t xml:space="preserve"> </w:t>
      </w:r>
      <w:r>
        <w:rPr>
          <w:rFonts w:hint="eastAsia" w:ascii="宋体" w:hAnsi="宋体" w:eastAsia="宋体" w:cs="宋体"/>
          <w:spacing w:val="-6"/>
          <w:sz w:val="21"/>
          <w:szCs w:val="21"/>
        </w:rPr>
        <w:t>年，自物业交付次日起算，租赁期暂定自</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年</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月</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日起至</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年</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月</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日止。</w:t>
      </w:r>
    </w:p>
    <w:p w14:paraId="3CE0B3F9">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3.免租期：共计</w:t>
      </w:r>
      <w:r>
        <w:rPr>
          <w:rFonts w:hint="eastAsia" w:ascii="宋体" w:hAnsi="宋体" w:eastAsia="宋体" w:cs="宋体"/>
          <w:spacing w:val="-6"/>
          <w:sz w:val="21"/>
          <w:szCs w:val="21"/>
          <w:u w:val="single"/>
          <w:lang w:val="en-US" w:eastAsia="zh-CN"/>
        </w:rPr>
        <w:t xml:space="preserve"> </w:t>
      </w:r>
      <w:r>
        <w:rPr>
          <w:rFonts w:hint="eastAsia" w:ascii="宋体" w:hAnsi="宋体" w:cs="宋体"/>
          <w:spacing w:val="-6"/>
          <w:sz w:val="21"/>
          <w:szCs w:val="21"/>
          <w:u w:val="single"/>
          <w:lang w:val="en-US" w:eastAsia="zh-CN"/>
        </w:rPr>
        <w:t>3</w:t>
      </w:r>
      <w:r>
        <w:rPr>
          <w:rFonts w:hint="eastAsia" w:ascii="宋体" w:hAnsi="宋体" w:eastAsia="宋体" w:cs="宋体"/>
          <w:spacing w:val="-6"/>
          <w:sz w:val="21"/>
          <w:szCs w:val="21"/>
          <w:u w:val="single"/>
          <w:lang w:val="en-US" w:eastAsia="zh-CN"/>
        </w:rPr>
        <w:t xml:space="preserve"> </w:t>
      </w:r>
      <w:r>
        <w:rPr>
          <w:rFonts w:hint="eastAsia" w:ascii="宋体" w:hAnsi="宋体" w:cs="宋体"/>
          <w:spacing w:val="-6"/>
          <w:sz w:val="21"/>
          <w:szCs w:val="21"/>
          <w:u w:val="none"/>
          <w:lang w:val="en-US" w:eastAsia="zh-CN"/>
        </w:rPr>
        <w:t>个</w:t>
      </w:r>
      <w:r>
        <w:rPr>
          <w:rFonts w:hint="eastAsia" w:ascii="宋体" w:hAnsi="宋体" w:eastAsia="宋体" w:cs="宋体"/>
          <w:spacing w:val="-6"/>
          <w:sz w:val="21"/>
          <w:szCs w:val="21"/>
        </w:rPr>
        <w:t>月，具体自</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年</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月</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日起至</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年</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rPr>
        <w:t>月</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rPr>
        <w:t>日。</w:t>
      </w:r>
    </w:p>
    <w:p w14:paraId="0D14CE3D">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双方特别确认，甲方有权根据物业的实际情况确定、调整交付日期，租赁期自实际交付日起顺延，甲方调整交付日期不构成违约。</w:t>
      </w:r>
    </w:p>
    <w:p w14:paraId="3C2A6C20">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lang w:val="en-US" w:eastAsia="zh-CN"/>
        </w:rPr>
        <w:t>4</w:t>
      </w:r>
      <w:r>
        <w:rPr>
          <w:rFonts w:hint="default" w:ascii="宋体" w:hAnsi="宋体" w:eastAsia="宋体" w:cs="宋体"/>
          <w:spacing w:val="-6"/>
          <w:sz w:val="21"/>
          <w:szCs w:val="21"/>
          <w:lang w:val="en-US" w:eastAsia="zh-CN"/>
        </w:rPr>
        <w:t>.图书馆站</w:t>
      </w:r>
      <w:r>
        <w:rPr>
          <w:rFonts w:hint="eastAsia" w:ascii="宋体" w:hAnsi="宋体" w:cs="宋体"/>
          <w:spacing w:val="-6"/>
          <w:sz w:val="21"/>
          <w:szCs w:val="21"/>
          <w:lang w:eastAsia="zh-CN"/>
        </w:rPr>
        <w:t>地下附属空间</w:t>
      </w:r>
      <w:r>
        <w:rPr>
          <w:rFonts w:hint="default" w:ascii="宋体" w:hAnsi="宋体" w:eastAsia="宋体" w:cs="宋体"/>
          <w:spacing w:val="-6"/>
          <w:sz w:val="21"/>
          <w:szCs w:val="21"/>
        </w:rPr>
        <w:t>位置平面示意图</w:t>
      </w:r>
    </w:p>
    <w:p w14:paraId="681CF3D8">
      <w:pPr>
        <w:pStyle w:val="7"/>
        <w:rPr>
          <w:rFonts w:hint="eastAsia"/>
        </w:rPr>
        <w:sectPr>
          <w:footerReference r:id="rId12" w:type="default"/>
          <w:pgSz w:w="11906" w:h="16838"/>
          <w:pgMar w:top="2098" w:right="1474" w:bottom="1985" w:left="1588" w:header="851" w:footer="992" w:gutter="0"/>
          <w:pgNumType w:fmt="decimal" w:start="1"/>
          <w:cols w:space="720" w:num="1"/>
          <w:docGrid w:type="lines" w:linePitch="312" w:charSpace="0"/>
        </w:sectPr>
      </w:pPr>
      <w:r>
        <w:drawing>
          <wp:inline distT="0" distB="0" distL="114300" distR="114300">
            <wp:extent cx="5611495" cy="2637790"/>
            <wp:effectExtent l="0" t="0" r="825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5"/>
                    <a:stretch>
                      <a:fillRect/>
                    </a:stretch>
                  </pic:blipFill>
                  <pic:spPr>
                    <a:xfrm>
                      <a:off x="0" y="0"/>
                      <a:ext cx="5611495" cy="2637790"/>
                    </a:xfrm>
                    <a:prstGeom prst="rect">
                      <a:avLst/>
                    </a:prstGeom>
                    <a:noFill/>
                    <a:ln>
                      <a:noFill/>
                    </a:ln>
                  </pic:spPr>
                </pic:pic>
              </a:graphicData>
            </a:graphic>
          </wp:inline>
        </w:drawing>
      </w:r>
    </w:p>
    <w:p w14:paraId="4A6C5A7D">
      <w:pPr>
        <w:spacing w:line="400" w:lineRule="exact"/>
        <w:ind w:right="-519" w:rightChars="-247"/>
        <w:outlineLvl w:val="0"/>
        <w:rPr>
          <w:rFonts w:hint="eastAsia" w:ascii="Times New Roman" w:hAnsi="Times New Roman" w:cs="Times New Roman"/>
          <w:bCs/>
          <w:color w:val="auto"/>
          <w:sz w:val="24"/>
          <w:szCs w:val="24"/>
          <w:highlight w:val="none"/>
        </w:rPr>
      </w:pPr>
      <w:r>
        <w:rPr>
          <w:rFonts w:hint="eastAsia" w:ascii="Times New Roman" w:hAnsi="Times New Roman" w:cs="Times New Roman"/>
          <w:bCs/>
          <w:color w:val="auto"/>
          <w:sz w:val="24"/>
          <w:szCs w:val="24"/>
          <w:highlight w:val="none"/>
        </w:rPr>
        <w:t>附件2：租金、相关费用支付及其他</w:t>
      </w:r>
    </w:p>
    <w:p w14:paraId="260D7CB6">
      <w:pPr>
        <w:spacing w:line="590" w:lineRule="exact"/>
        <w:ind w:firstLine="456" w:firstLineChars="200"/>
        <w:rPr>
          <w:rFonts w:ascii="Times New Roman" w:eastAsia="黑体"/>
          <w:spacing w:val="-6"/>
          <w:sz w:val="24"/>
          <w:szCs w:val="28"/>
        </w:rPr>
      </w:pPr>
      <w:r>
        <w:rPr>
          <w:rFonts w:ascii="Times New Roman" w:eastAsia="黑体"/>
          <w:spacing w:val="-6"/>
          <w:sz w:val="24"/>
          <w:szCs w:val="28"/>
        </w:rPr>
        <w:t>第一部分</w:t>
      </w:r>
    </w:p>
    <w:p w14:paraId="4C8F1F2B">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1.租金：</w:t>
      </w:r>
    </w:p>
    <w:p w14:paraId="53A71EF7">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乙方所租赁的</w:t>
      </w:r>
      <w:r>
        <w:rPr>
          <w:rFonts w:hint="eastAsia" w:ascii="宋体" w:hAnsi="宋体" w:cs="宋体"/>
          <w:spacing w:val="-6"/>
          <w:sz w:val="21"/>
          <w:szCs w:val="21"/>
          <w:lang w:eastAsia="zh-CN"/>
        </w:rPr>
        <w:t>图书馆站地下附属空间</w:t>
      </w:r>
      <w:r>
        <w:rPr>
          <w:rFonts w:hint="eastAsia" w:ascii="宋体" w:hAnsi="宋体" w:eastAsia="宋体" w:cs="宋体"/>
          <w:spacing w:val="-6"/>
          <w:sz w:val="21"/>
          <w:szCs w:val="21"/>
        </w:rPr>
        <w:t>，租金标准为人民币</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none"/>
        </w:rPr>
        <w:t>元/月</w:t>
      </w:r>
      <w:r>
        <w:rPr>
          <w:rFonts w:hint="eastAsia" w:ascii="宋体" w:hAnsi="宋体" w:eastAsia="宋体" w:cs="宋体"/>
          <w:spacing w:val="-6"/>
          <w:sz w:val="21"/>
          <w:szCs w:val="21"/>
        </w:rPr>
        <w:t>。从第</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个合同年（合同年起始日为租赁期起始日）开始，租金标准</w:t>
      </w:r>
      <w:r>
        <w:rPr>
          <w:rFonts w:hint="eastAsia" w:ascii="宋体" w:hAnsi="宋体" w:eastAsia="宋体" w:cs="宋体"/>
          <w:spacing w:val="-6"/>
          <w:sz w:val="21"/>
          <w:szCs w:val="21"/>
          <w:lang w:val="en-US" w:eastAsia="zh-CN"/>
        </w:rPr>
        <w:t>每</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年递增一次，每次在上年基础上递增</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u w:val="single"/>
          <w:lang w:val="en-US" w:eastAsia="zh-CN"/>
        </w:rPr>
        <w:t xml:space="preserve"> </w:t>
      </w:r>
      <w:r>
        <w:rPr>
          <w:rFonts w:hint="eastAsia" w:ascii="宋体" w:hAnsi="宋体" w:cs="宋体"/>
          <w:spacing w:val="-6"/>
          <w:sz w:val="21"/>
          <w:szCs w:val="21"/>
          <w:u w:val="single"/>
          <w:lang w:val="en-US" w:eastAsia="zh-CN"/>
        </w:rPr>
        <w:t>/</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 。即：</w:t>
      </w:r>
    </w:p>
    <w:tbl>
      <w:tblPr>
        <w:tblStyle w:val="15"/>
        <w:tblW w:w="86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805"/>
        <w:gridCol w:w="1500"/>
        <w:gridCol w:w="1800"/>
        <w:gridCol w:w="1020"/>
        <w:gridCol w:w="1770"/>
      </w:tblGrid>
      <w:tr w14:paraId="233A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39" w:type="dxa"/>
            <w:vAlign w:val="center"/>
          </w:tcPr>
          <w:p w14:paraId="73452A01">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序号</w:t>
            </w:r>
          </w:p>
        </w:tc>
        <w:tc>
          <w:tcPr>
            <w:tcW w:w="1805" w:type="dxa"/>
            <w:vAlign w:val="center"/>
          </w:tcPr>
          <w:p w14:paraId="46A66BB3">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时间</w:t>
            </w:r>
          </w:p>
        </w:tc>
        <w:tc>
          <w:tcPr>
            <w:tcW w:w="1500" w:type="dxa"/>
            <w:vAlign w:val="center"/>
          </w:tcPr>
          <w:p w14:paraId="2B88EC45">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含税价租金（元）</w:t>
            </w:r>
          </w:p>
        </w:tc>
        <w:tc>
          <w:tcPr>
            <w:tcW w:w="1800" w:type="dxa"/>
            <w:vAlign w:val="center"/>
          </w:tcPr>
          <w:p w14:paraId="14F14498">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不含税价租金（元）</w:t>
            </w:r>
          </w:p>
        </w:tc>
        <w:tc>
          <w:tcPr>
            <w:tcW w:w="1020" w:type="dxa"/>
            <w:vAlign w:val="center"/>
          </w:tcPr>
          <w:p w14:paraId="4B17E294">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税额（元）</w:t>
            </w:r>
          </w:p>
        </w:tc>
        <w:tc>
          <w:tcPr>
            <w:tcW w:w="1770" w:type="dxa"/>
            <w:vAlign w:val="center"/>
          </w:tcPr>
          <w:p w14:paraId="7F3C40B5">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应缴时间</w:t>
            </w:r>
          </w:p>
        </w:tc>
      </w:tr>
      <w:tr w14:paraId="6EE6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39" w:type="dxa"/>
            <w:vAlign w:val="center"/>
          </w:tcPr>
          <w:p w14:paraId="2EEBED8A">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第1期</w:t>
            </w:r>
          </w:p>
        </w:tc>
        <w:tc>
          <w:tcPr>
            <w:tcW w:w="1805" w:type="dxa"/>
            <w:vAlign w:val="center"/>
          </w:tcPr>
          <w:p w14:paraId="0A3B4CF0">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c>
          <w:tcPr>
            <w:tcW w:w="1500" w:type="dxa"/>
            <w:shd w:val="clear" w:color="auto" w:fill="auto"/>
            <w:vAlign w:val="center"/>
          </w:tcPr>
          <w:p w14:paraId="3ECDAF03">
            <w:pPr>
              <w:keepNext w:val="0"/>
              <w:keepLines w:val="0"/>
              <w:widowControl/>
              <w:suppressLineNumbers w:val="0"/>
              <w:jc w:val="center"/>
              <w:rPr>
                <w:rFonts w:hint="eastAsia" w:ascii="Times New Roman" w:hAnsi="Times New Roman" w:eastAsia="宋体" w:cs="Times New Roman"/>
                <w:color w:val="auto"/>
                <w:kern w:val="2"/>
                <w:sz w:val="18"/>
                <w:szCs w:val="18"/>
                <w:highlight w:val="none"/>
                <w:vertAlign w:val="baseline"/>
                <w:lang w:val="en-US" w:eastAsia="zh-CN" w:bidi="ar-SA"/>
              </w:rPr>
            </w:pPr>
          </w:p>
        </w:tc>
        <w:tc>
          <w:tcPr>
            <w:tcW w:w="1800" w:type="dxa"/>
            <w:vAlign w:val="center"/>
          </w:tcPr>
          <w:p w14:paraId="44CEF615">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p>
        </w:tc>
        <w:tc>
          <w:tcPr>
            <w:tcW w:w="1020" w:type="dxa"/>
            <w:vAlign w:val="center"/>
          </w:tcPr>
          <w:p w14:paraId="03B405BC">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p>
        </w:tc>
        <w:tc>
          <w:tcPr>
            <w:tcW w:w="1770" w:type="dxa"/>
            <w:vAlign w:val="center"/>
          </w:tcPr>
          <w:p w14:paraId="4C274B69">
            <w:pPr>
              <w:keepNext w:val="0"/>
              <w:keepLines w:val="0"/>
              <w:widowControl/>
              <w:suppressLineNumbers w:val="0"/>
              <w:jc w:val="center"/>
              <w:rPr>
                <w:rFonts w:hint="eastAsia" w:ascii="Times New Roman" w:hAnsi="Times New Roman" w:eastAsia="宋体" w:cs="Times New Roman"/>
                <w:color w:val="auto"/>
                <w:sz w:val="18"/>
                <w:szCs w:val="18"/>
                <w:highlight w:val="none"/>
                <w:vertAlign w:val="baseline"/>
                <w:lang w:val="en-US" w:eastAsia="zh-CN"/>
              </w:rPr>
            </w:pPr>
          </w:p>
        </w:tc>
      </w:tr>
      <w:tr w14:paraId="244D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39" w:type="dxa"/>
            <w:vAlign w:val="center"/>
          </w:tcPr>
          <w:p w14:paraId="3C0F6A9B">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第2期</w:t>
            </w:r>
          </w:p>
        </w:tc>
        <w:tc>
          <w:tcPr>
            <w:tcW w:w="1805" w:type="dxa"/>
            <w:vAlign w:val="center"/>
          </w:tcPr>
          <w:p w14:paraId="1842C2F6">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c>
          <w:tcPr>
            <w:tcW w:w="1500" w:type="dxa"/>
            <w:shd w:val="clear" w:color="auto" w:fill="auto"/>
            <w:vAlign w:val="center"/>
          </w:tcPr>
          <w:p w14:paraId="236E4A59">
            <w:pPr>
              <w:keepNext w:val="0"/>
              <w:keepLines w:val="0"/>
              <w:widowControl/>
              <w:suppressLineNumbers w:val="0"/>
              <w:jc w:val="center"/>
              <w:rPr>
                <w:rFonts w:hint="eastAsia" w:ascii="Times New Roman" w:hAnsi="Times New Roman" w:eastAsia="宋体" w:cs="Times New Roman"/>
                <w:color w:val="auto"/>
                <w:kern w:val="2"/>
                <w:sz w:val="18"/>
                <w:szCs w:val="18"/>
                <w:highlight w:val="none"/>
                <w:vertAlign w:val="baseline"/>
                <w:lang w:val="en-US" w:eastAsia="zh-CN" w:bidi="ar-SA"/>
              </w:rPr>
            </w:pPr>
          </w:p>
        </w:tc>
        <w:tc>
          <w:tcPr>
            <w:tcW w:w="1800" w:type="dxa"/>
            <w:vAlign w:val="center"/>
          </w:tcPr>
          <w:p w14:paraId="06C303AA">
            <w:pPr>
              <w:keepNext w:val="0"/>
              <w:keepLines w:val="0"/>
              <w:widowControl/>
              <w:suppressLineNumbers w:val="0"/>
              <w:jc w:val="center"/>
              <w:rPr>
                <w:rFonts w:hint="eastAsia" w:ascii="Times New Roman" w:hAnsi="Times New Roman" w:cs="Times New Roman"/>
                <w:color w:val="auto"/>
                <w:sz w:val="18"/>
                <w:szCs w:val="18"/>
                <w:highlight w:val="none"/>
                <w:vertAlign w:val="baseline"/>
                <w:lang w:val="en-US" w:eastAsia="zh-CN"/>
              </w:rPr>
            </w:pPr>
          </w:p>
        </w:tc>
        <w:tc>
          <w:tcPr>
            <w:tcW w:w="1020" w:type="dxa"/>
            <w:vAlign w:val="center"/>
          </w:tcPr>
          <w:p w14:paraId="595260AF">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p>
        </w:tc>
        <w:tc>
          <w:tcPr>
            <w:tcW w:w="1770" w:type="dxa"/>
            <w:vAlign w:val="center"/>
          </w:tcPr>
          <w:p w14:paraId="795001EC">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r>
      <w:tr w14:paraId="2A59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39" w:type="dxa"/>
            <w:vAlign w:val="center"/>
          </w:tcPr>
          <w:p w14:paraId="6EB51BC9">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第3期</w:t>
            </w:r>
          </w:p>
        </w:tc>
        <w:tc>
          <w:tcPr>
            <w:tcW w:w="1805" w:type="dxa"/>
            <w:vAlign w:val="center"/>
          </w:tcPr>
          <w:p w14:paraId="4A86DAD6">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c>
          <w:tcPr>
            <w:tcW w:w="1500" w:type="dxa"/>
            <w:shd w:val="clear" w:color="auto" w:fill="auto"/>
            <w:vAlign w:val="center"/>
          </w:tcPr>
          <w:p w14:paraId="76BF5734">
            <w:pPr>
              <w:keepNext w:val="0"/>
              <w:keepLines w:val="0"/>
              <w:widowControl/>
              <w:suppressLineNumbers w:val="0"/>
              <w:jc w:val="center"/>
              <w:rPr>
                <w:rFonts w:hint="eastAsia" w:ascii="Times New Roman" w:hAnsi="Times New Roman" w:eastAsia="宋体" w:cs="Times New Roman"/>
                <w:color w:val="auto"/>
                <w:kern w:val="2"/>
                <w:sz w:val="18"/>
                <w:szCs w:val="18"/>
                <w:highlight w:val="none"/>
                <w:vertAlign w:val="baseline"/>
                <w:lang w:val="en-US" w:eastAsia="zh-CN" w:bidi="ar-SA"/>
              </w:rPr>
            </w:pPr>
          </w:p>
        </w:tc>
        <w:tc>
          <w:tcPr>
            <w:tcW w:w="1800" w:type="dxa"/>
            <w:vAlign w:val="center"/>
          </w:tcPr>
          <w:p w14:paraId="191DB28D">
            <w:pPr>
              <w:keepNext w:val="0"/>
              <w:keepLines w:val="0"/>
              <w:widowControl/>
              <w:suppressLineNumbers w:val="0"/>
              <w:jc w:val="center"/>
              <w:rPr>
                <w:rFonts w:hint="eastAsia" w:ascii="Times New Roman" w:hAnsi="Times New Roman" w:cs="Times New Roman"/>
                <w:color w:val="auto"/>
                <w:sz w:val="18"/>
                <w:szCs w:val="18"/>
                <w:highlight w:val="none"/>
                <w:vertAlign w:val="baseline"/>
                <w:lang w:val="en-US" w:eastAsia="zh-CN"/>
              </w:rPr>
            </w:pPr>
          </w:p>
        </w:tc>
        <w:tc>
          <w:tcPr>
            <w:tcW w:w="1020" w:type="dxa"/>
            <w:vAlign w:val="center"/>
          </w:tcPr>
          <w:p w14:paraId="1F43A241">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p>
        </w:tc>
        <w:tc>
          <w:tcPr>
            <w:tcW w:w="1770" w:type="dxa"/>
            <w:vAlign w:val="center"/>
          </w:tcPr>
          <w:p w14:paraId="26E283CB">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r>
      <w:tr w14:paraId="1A01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39" w:type="dxa"/>
            <w:vAlign w:val="center"/>
          </w:tcPr>
          <w:p w14:paraId="50D57614">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第4期</w:t>
            </w:r>
          </w:p>
        </w:tc>
        <w:tc>
          <w:tcPr>
            <w:tcW w:w="1805" w:type="dxa"/>
            <w:vAlign w:val="center"/>
          </w:tcPr>
          <w:p w14:paraId="59E4F803">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c>
          <w:tcPr>
            <w:tcW w:w="1500" w:type="dxa"/>
            <w:shd w:val="clear" w:color="auto" w:fill="auto"/>
            <w:vAlign w:val="center"/>
          </w:tcPr>
          <w:p w14:paraId="558FEF27">
            <w:pPr>
              <w:keepNext w:val="0"/>
              <w:keepLines w:val="0"/>
              <w:widowControl/>
              <w:suppressLineNumbers w:val="0"/>
              <w:jc w:val="center"/>
              <w:rPr>
                <w:rFonts w:hint="eastAsia" w:ascii="Times New Roman" w:hAnsi="Times New Roman" w:eastAsia="宋体" w:cs="Times New Roman"/>
                <w:color w:val="auto"/>
                <w:kern w:val="2"/>
                <w:sz w:val="18"/>
                <w:szCs w:val="18"/>
                <w:highlight w:val="none"/>
                <w:vertAlign w:val="baseline"/>
                <w:lang w:val="en-US" w:eastAsia="zh-CN" w:bidi="ar-SA"/>
              </w:rPr>
            </w:pPr>
          </w:p>
        </w:tc>
        <w:tc>
          <w:tcPr>
            <w:tcW w:w="1800" w:type="dxa"/>
            <w:vAlign w:val="center"/>
          </w:tcPr>
          <w:p w14:paraId="7022E8FB">
            <w:pPr>
              <w:keepNext w:val="0"/>
              <w:keepLines w:val="0"/>
              <w:widowControl/>
              <w:suppressLineNumbers w:val="0"/>
              <w:jc w:val="center"/>
              <w:rPr>
                <w:rFonts w:hint="eastAsia" w:ascii="Times New Roman" w:hAnsi="Times New Roman" w:cs="Times New Roman"/>
                <w:color w:val="auto"/>
                <w:sz w:val="18"/>
                <w:szCs w:val="18"/>
                <w:highlight w:val="none"/>
                <w:vertAlign w:val="baseline"/>
                <w:lang w:val="en-US" w:eastAsia="zh-CN"/>
              </w:rPr>
            </w:pPr>
          </w:p>
        </w:tc>
        <w:tc>
          <w:tcPr>
            <w:tcW w:w="1020" w:type="dxa"/>
            <w:vAlign w:val="center"/>
          </w:tcPr>
          <w:p w14:paraId="55299CFF">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rPr>
            </w:pPr>
          </w:p>
        </w:tc>
        <w:tc>
          <w:tcPr>
            <w:tcW w:w="1770" w:type="dxa"/>
            <w:vAlign w:val="center"/>
          </w:tcPr>
          <w:p w14:paraId="06E4012A">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r>
      <w:tr w14:paraId="6094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39" w:type="dxa"/>
            <w:vAlign w:val="center"/>
          </w:tcPr>
          <w:p w14:paraId="1DD35866">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第5期</w:t>
            </w:r>
          </w:p>
        </w:tc>
        <w:tc>
          <w:tcPr>
            <w:tcW w:w="1805" w:type="dxa"/>
            <w:vAlign w:val="center"/>
          </w:tcPr>
          <w:p w14:paraId="54A40ECC">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c>
          <w:tcPr>
            <w:tcW w:w="1500" w:type="dxa"/>
            <w:shd w:val="clear" w:color="auto" w:fill="auto"/>
            <w:vAlign w:val="center"/>
          </w:tcPr>
          <w:p w14:paraId="43B5B517">
            <w:pPr>
              <w:keepNext w:val="0"/>
              <w:keepLines w:val="0"/>
              <w:widowControl/>
              <w:suppressLineNumbers w:val="0"/>
              <w:jc w:val="center"/>
              <w:rPr>
                <w:rFonts w:hint="eastAsia" w:ascii="Times New Roman" w:hAnsi="Times New Roman" w:eastAsia="宋体" w:cs="Times New Roman"/>
                <w:color w:val="auto"/>
                <w:kern w:val="2"/>
                <w:sz w:val="18"/>
                <w:szCs w:val="18"/>
                <w:highlight w:val="none"/>
                <w:vertAlign w:val="baseline"/>
                <w:lang w:val="en-US" w:eastAsia="zh-CN" w:bidi="ar-SA"/>
              </w:rPr>
            </w:pPr>
          </w:p>
        </w:tc>
        <w:tc>
          <w:tcPr>
            <w:tcW w:w="1800" w:type="dxa"/>
            <w:vAlign w:val="center"/>
          </w:tcPr>
          <w:p w14:paraId="313E49EB">
            <w:pPr>
              <w:keepNext w:val="0"/>
              <w:keepLines w:val="0"/>
              <w:widowControl/>
              <w:suppressLineNumbers w:val="0"/>
              <w:jc w:val="center"/>
              <w:rPr>
                <w:rFonts w:hint="eastAsia" w:ascii="Times New Roman" w:hAnsi="Times New Roman" w:cs="Times New Roman"/>
                <w:color w:val="auto"/>
                <w:sz w:val="18"/>
                <w:szCs w:val="18"/>
                <w:highlight w:val="none"/>
                <w:vertAlign w:val="baseline"/>
                <w:lang w:val="en-US" w:eastAsia="zh-CN"/>
              </w:rPr>
            </w:pPr>
          </w:p>
        </w:tc>
        <w:tc>
          <w:tcPr>
            <w:tcW w:w="1020" w:type="dxa"/>
            <w:vAlign w:val="center"/>
          </w:tcPr>
          <w:p w14:paraId="6B941071">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rPr>
            </w:pPr>
          </w:p>
        </w:tc>
        <w:tc>
          <w:tcPr>
            <w:tcW w:w="1770" w:type="dxa"/>
            <w:vAlign w:val="center"/>
          </w:tcPr>
          <w:p w14:paraId="3BC38B63">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r>
      <w:tr w14:paraId="5C2DE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39" w:type="dxa"/>
            <w:vAlign w:val="center"/>
          </w:tcPr>
          <w:p w14:paraId="139CDC51">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r>
              <w:rPr>
                <w:rFonts w:hint="eastAsia" w:ascii="Times New Roman" w:hAnsi="Times New Roman" w:cs="Times New Roman"/>
                <w:color w:val="auto"/>
                <w:sz w:val="18"/>
                <w:szCs w:val="18"/>
                <w:highlight w:val="none"/>
                <w:vertAlign w:val="baseline"/>
                <w:lang w:val="en-US" w:eastAsia="zh-CN"/>
              </w:rPr>
              <w:t>第6期</w:t>
            </w:r>
          </w:p>
        </w:tc>
        <w:tc>
          <w:tcPr>
            <w:tcW w:w="1805" w:type="dxa"/>
            <w:vAlign w:val="center"/>
          </w:tcPr>
          <w:p w14:paraId="7FA49E43">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c>
          <w:tcPr>
            <w:tcW w:w="1500" w:type="dxa"/>
            <w:shd w:val="clear" w:color="auto" w:fill="auto"/>
            <w:vAlign w:val="center"/>
          </w:tcPr>
          <w:p w14:paraId="4E72D6DA">
            <w:pPr>
              <w:keepNext w:val="0"/>
              <w:keepLines w:val="0"/>
              <w:widowControl/>
              <w:suppressLineNumbers w:val="0"/>
              <w:jc w:val="center"/>
              <w:rPr>
                <w:rFonts w:hint="eastAsia" w:ascii="Times New Roman" w:hAnsi="Times New Roman" w:eastAsia="宋体" w:cs="Times New Roman"/>
                <w:color w:val="auto"/>
                <w:kern w:val="2"/>
                <w:sz w:val="18"/>
                <w:szCs w:val="18"/>
                <w:highlight w:val="none"/>
                <w:vertAlign w:val="baseline"/>
                <w:lang w:val="en-US" w:eastAsia="zh-CN" w:bidi="ar-SA"/>
              </w:rPr>
            </w:pPr>
          </w:p>
        </w:tc>
        <w:tc>
          <w:tcPr>
            <w:tcW w:w="1800" w:type="dxa"/>
            <w:vAlign w:val="center"/>
          </w:tcPr>
          <w:p w14:paraId="52D8CD3E">
            <w:pPr>
              <w:keepNext w:val="0"/>
              <w:keepLines w:val="0"/>
              <w:widowControl/>
              <w:suppressLineNumbers w:val="0"/>
              <w:jc w:val="center"/>
              <w:rPr>
                <w:rFonts w:hint="eastAsia" w:ascii="Times New Roman" w:hAnsi="Times New Roman" w:cs="Times New Roman"/>
                <w:color w:val="auto"/>
                <w:sz w:val="18"/>
                <w:szCs w:val="18"/>
                <w:highlight w:val="none"/>
                <w:vertAlign w:val="baseline"/>
                <w:lang w:val="en-US" w:eastAsia="zh-CN"/>
              </w:rPr>
            </w:pPr>
          </w:p>
        </w:tc>
        <w:tc>
          <w:tcPr>
            <w:tcW w:w="1020" w:type="dxa"/>
            <w:vAlign w:val="center"/>
          </w:tcPr>
          <w:p w14:paraId="6FCCE9E4">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rPr>
            </w:pPr>
          </w:p>
        </w:tc>
        <w:tc>
          <w:tcPr>
            <w:tcW w:w="1770" w:type="dxa"/>
            <w:vAlign w:val="center"/>
          </w:tcPr>
          <w:p w14:paraId="7DBB802C">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lang w:val="en-US" w:eastAsia="zh-CN"/>
              </w:rPr>
            </w:pPr>
          </w:p>
        </w:tc>
      </w:tr>
      <w:tr w14:paraId="0170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39" w:type="dxa"/>
            <w:vAlign w:val="center"/>
          </w:tcPr>
          <w:p w14:paraId="0C3BF6FE">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rPr>
            </w:pPr>
            <w:r>
              <w:rPr>
                <w:rFonts w:hint="default" w:ascii="Times New Roman" w:hAnsi="Times New Roman" w:eastAsia="宋体" w:cs="Times New Roman"/>
                <w:color w:val="auto"/>
                <w:sz w:val="18"/>
                <w:szCs w:val="18"/>
                <w:highlight w:val="none"/>
                <w:vertAlign w:val="baseline"/>
                <w:lang w:val="en-US" w:eastAsia="zh-CN"/>
              </w:rPr>
              <w:t>合计</w:t>
            </w:r>
          </w:p>
        </w:tc>
        <w:tc>
          <w:tcPr>
            <w:tcW w:w="1805" w:type="dxa"/>
            <w:vAlign w:val="center"/>
          </w:tcPr>
          <w:p w14:paraId="1BE49BA0">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rPr>
            </w:pPr>
          </w:p>
        </w:tc>
        <w:tc>
          <w:tcPr>
            <w:tcW w:w="1500" w:type="dxa"/>
            <w:shd w:val="clear" w:color="auto" w:fill="auto"/>
            <w:vAlign w:val="center"/>
          </w:tcPr>
          <w:p w14:paraId="784B2B62">
            <w:pPr>
              <w:keepNext w:val="0"/>
              <w:keepLines w:val="0"/>
              <w:widowControl/>
              <w:suppressLineNumbers w:val="0"/>
              <w:jc w:val="center"/>
              <w:rPr>
                <w:rFonts w:hint="eastAsia" w:ascii="Times New Roman" w:hAnsi="Times New Roman" w:eastAsia="宋体" w:cs="Times New Roman"/>
                <w:color w:val="auto"/>
                <w:kern w:val="2"/>
                <w:sz w:val="18"/>
                <w:szCs w:val="18"/>
                <w:highlight w:val="none"/>
                <w:vertAlign w:val="baseline"/>
                <w:lang w:val="en-US" w:eastAsia="zh-CN" w:bidi="ar-SA"/>
              </w:rPr>
            </w:pPr>
          </w:p>
        </w:tc>
        <w:tc>
          <w:tcPr>
            <w:tcW w:w="1800" w:type="dxa"/>
            <w:vAlign w:val="center"/>
          </w:tcPr>
          <w:p w14:paraId="13DF5567">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p>
        </w:tc>
        <w:tc>
          <w:tcPr>
            <w:tcW w:w="1020" w:type="dxa"/>
            <w:vAlign w:val="center"/>
          </w:tcPr>
          <w:p w14:paraId="0D2DFBDA">
            <w:pPr>
              <w:keepNext w:val="0"/>
              <w:keepLines w:val="0"/>
              <w:widowControl/>
              <w:suppressLineNumbers w:val="0"/>
              <w:jc w:val="center"/>
              <w:rPr>
                <w:rFonts w:hint="default" w:ascii="Times New Roman" w:hAnsi="Times New Roman" w:cs="Times New Roman"/>
                <w:color w:val="auto"/>
                <w:sz w:val="18"/>
                <w:szCs w:val="18"/>
                <w:highlight w:val="none"/>
                <w:vertAlign w:val="baseline"/>
                <w:lang w:val="en-US" w:eastAsia="zh-CN"/>
              </w:rPr>
            </w:pPr>
          </w:p>
        </w:tc>
        <w:tc>
          <w:tcPr>
            <w:tcW w:w="1770" w:type="dxa"/>
            <w:vAlign w:val="center"/>
          </w:tcPr>
          <w:p w14:paraId="2503EA26">
            <w:pPr>
              <w:keepNext w:val="0"/>
              <w:keepLines w:val="0"/>
              <w:widowControl/>
              <w:suppressLineNumbers w:val="0"/>
              <w:jc w:val="center"/>
              <w:rPr>
                <w:rFonts w:hint="default" w:ascii="Times New Roman" w:hAnsi="Times New Roman" w:eastAsia="宋体" w:cs="Times New Roman"/>
                <w:color w:val="auto"/>
                <w:sz w:val="18"/>
                <w:szCs w:val="18"/>
                <w:highlight w:val="none"/>
                <w:vertAlign w:val="baseline"/>
              </w:rPr>
            </w:pPr>
          </w:p>
        </w:tc>
      </w:tr>
    </w:tbl>
    <w:p w14:paraId="059B0F64">
      <w:pPr>
        <w:spacing w:line="590" w:lineRule="exact"/>
        <w:rPr>
          <w:rFonts w:hint="default" w:ascii="宋体" w:hAnsi="宋体" w:eastAsia="宋体" w:cs="宋体"/>
          <w:spacing w:val="-6"/>
          <w:sz w:val="21"/>
          <w:szCs w:val="21"/>
          <w:lang w:val="en-US" w:eastAsia="zh-CN"/>
        </w:rPr>
      </w:pPr>
      <w:r>
        <w:rPr>
          <w:rFonts w:hint="eastAsia" w:ascii="宋体" w:hAnsi="宋体" w:eastAsia="宋体" w:cs="宋体"/>
          <w:spacing w:val="-6"/>
          <w:sz w:val="21"/>
          <w:szCs w:val="21"/>
        </w:rPr>
        <w:t>合同租金总价为人民币</w:t>
      </w:r>
      <w:r>
        <w:rPr>
          <w:rFonts w:hint="eastAsia" w:ascii="宋体" w:hAnsi="宋体" w:eastAsia="宋体" w:cs="宋体"/>
          <w:spacing w:val="-6"/>
          <w:sz w:val="21"/>
          <w:szCs w:val="21"/>
          <w:u w:val="single"/>
        </w:rPr>
        <w:t xml:space="preserve"> </w:t>
      </w:r>
      <w:r>
        <w:rPr>
          <w:rFonts w:hint="eastAsia" w:ascii="Times New Roman" w:hAnsi="Times New Roman" w:cs="Times New Roman"/>
          <w:color w:val="auto"/>
          <w:sz w:val="21"/>
          <w:szCs w:val="21"/>
          <w:highlight w:val="none"/>
          <w:u w:val="single"/>
          <w:vertAlign w:val="baselin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元（大写</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 xml:space="preserve">）。以上合同价款为含税价，合同税率为 </w:t>
      </w:r>
      <w:r>
        <w:rPr>
          <w:rFonts w:hint="eastAsia" w:ascii="宋体" w:hAnsi="宋体" w:eastAsia="宋体" w:cs="宋体"/>
          <w:spacing w:val="-6"/>
          <w:sz w:val="21"/>
          <w:szCs w:val="21"/>
          <w:u w:val="single"/>
        </w:rPr>
        <w:t>9%</w:t>
      </w:r>
      <w:r>
        <w:rPr>
          <w:rFonts w:hint="eastAsia" w:ascii="宋体" w:hAnsi="宋体" w:cs="宋体"/>
          <w:spacing w:val="-6"/>
          <w:sz w:val="21"/>
          <w:szCs w:val="21"/>
          <w:u w:val="none"/>
          <w:lang w:eastAsia="zh-CN"/>
        </w:rPr>
        <w:t>，</w:t>
      </w:r>
      <w:r>
        <w:rPr>
          <w:rFonts w:hint="eastAsia" w:ascii="宋体" w:hAnsi="宋体" w:cs="宋体"/>
          <w:spacing w:val="-6"/>
          <w:sz w:val="21"/>
          <w:szCs w:val="21"/>
          <w:u w:val="none"/>
          <w:lang w:val="en-US" w:eastAsia="zh-CN"/>
        </w:rPr>
        <w:t>不含税总价为</w:t>
      </w:r>
      <w:r>
        <w:rPr>
          <w:rFonts w:hint="eastAsia" w:ascii="宋体" w:hAnsi="宋体" w:cs="宋体"/>
          <w:spacing w:val="-6"/>
          <w:sz w:val="21"/>
          <w:szCs w:val="21"/>
          <w:u w:val="single"/>
          <w:lang w:val="en-US" w:eastAsia="zh-CN"/>
        </w:rPr>
        <w:t xml:space="preserve"> </w:t>
      </w:r>
      <w:r>
        <w:rPr>
          <w:rFonts w:hint="eastAsia" w:ascii="Times New Roman" w:hAnsi="Times New Roman" w:cs="Times New Roman"/>
          <w:color w:val="auto"/>
          <w:sz w:val="21"/>
          <w:szCs w:val="21"/>
          <w:highlight w:val="none"/>
          <w:u w:val="single"/>
          <w:vertAlign w:val="baseline"/>
          <w:lang w:val="en-US" w:eastAsia="zh-CN"/>
        </w:rPr>
        <w:t xml:space="preserve">    </w:t>
      </w:r>
      <w:r>
        <w:rPr>
          <w:rFonts w:hint="eastAsia" w:ascii="宋体" w:hAnsi="宋体" w:cs="宋体"/>
          <w:spacing w:val="-6"/>
          <w:sz w:val="21"/>
          <w:szCs w:val="21"/>
          <w:u w:val="none"/>
          <w:lang w:val="en-US" w:eastAsia="zh-CN"/>
        </w:rPr>
        <w:t>元（大写</w:t>
      </w:r>
      <w:r>
        <w:rPr>
          <w:rFonts w:hint="eastAsia" w:ascii="宋体" w:hAnsi="宋体" w:cs="宋体"/>
          <w:spacing w:val="-6"/>
          <w:sz w:val="21"/>
          <w:szCs w:val="21"/>
          <w:u w:val="single"/>
          <w:lang w:val="en-US" w:eastAsia="zh-CN"/>
        </w:rPr>
        <w:t xml:space="preserve">      </w:t>
      </w:r>
      <w:r>
        <w:rPr>
          <w:rFonts w:hint="eastAsia" w:ascii="宋体" w:hAnsi="宋体" w:cs="宋体"/>
          <w:spacing w:val="-6"/>
          <w:sz w:val="21"/>
          <w:szCs w:val="21"/>
          <w:u w:val="none"/>
          <w:lang w:val="en-US" w:eastAsia="zh-CN"/>
        </w:rPr>
        <w:t>）。</w:t>
      </w:r>
    </w:p>
    <w:p w14:paraId="3851F4E4">
      <w:pPr>
        <w:spacing w:line="590" w:lineRule="exact"/>
        <w:ind w:firstLine="396" w:firstLineChars="200"/>
        <w:rPr>
          <w:rFonts w:hint="eastAsia" w:ascii="宋体" w:hAnsi="宋体" w:eastAsia="宋体" w:cs="宋体"/>
          <w:color w:val="auto"/>
          <w:spacing w:val="-6"/>
          <w:sz w:val="21"/>
          <w:szCs w:val="21"/>
          <w:lang w:eastAsia="zh-CN"/>
        </w:rPr>
      </w:pPr>
      <w:r>
        <w:rPr>
          <w:rFonts w:hint="eastAsia" w:ascii="宋体" w:hAnsi="宋体" w:eastAsia="宋体" w:cs="宋体"/>
          <w:spacing w:val="-6"/>
          <w:sz w:val="21"/>
          <w:szCs w:val="21"/>
        </w:rPr>
        <w:t>说明：免租期</w:t>
      </w:r>
      <w:r>
        <w:rPr>
          <w:rFonts w:hint="eastAsia" w:ascii="宋体" w:hAnsi="宋体" w:eastAsia="宋体" w:cs="宋体"/>
          <w:spacing w:val="-6"/>
          <w:sz w:val="21"/>
          <w:szCs w:val="21"/>
          <w:u w:val="single"/>
          <w:lang w:val="en-US" w:eastAsia="zh-CN"/>
        </w:rPr>
        <w:t xml:space="preserve"> </w:t>
      </w:r>
      <w:r>
        <w:rPr>
          <w:rFonts w:hint="eastAsia" w:ascii="宋体" w:hAnsi="宋体" w:cs="宋体"/>
          <w:spacing w:val="-6"/>
          <w:sz w:val="21"/>
          <w:szCs w:val="21"/>
          <w:u w:val="single"/>
          <w:lang w:val="en-US" w:eastAsia="zh-CN"/>
        </w:rPr>
        <w:t>3</w:t>
      </w:r>
      <w:r>
        <w:rPr>
          <w:rFonts w:hint="eastAsia" w:ascii="宋体" w:hAnsi="宋体" w:eastAsia="宋体" w:cs="宋体"/>
          <w:spacing w:val="-6"/>
          <w:sz w:val="21"/>
          <w:szCs w:val="21"/>
          <w:u w:val="single"/>
          <w:lang w:val="en-US" w:eastAsia="zh-CN"/>
        </w:rPr>
        <w:t xml:space="preserve"> </w:t>
      </w:r>
      <w:r>
        <w:rPr>
          <w:rFonts w:hint="eastAsia" w:ascii="宋体" w:hAnsi="宋体" w:eastAsia="宋体" w:cs="宋体"/>
          <w:spacing w:val="-6"/>
          <w:sz w:val="21"/>
          <w:szCs w:val="21"/>
        </w:rPr>
        <w:t>个月，若合同正常履约满一年且乙方无任何违约</w:t>
      </w:r>
      <w:r>
        <w:rPr>
          <w:rFonts w:hint="eastAsia" w:ascii="宋体" w:hAnsi="宋体" w:eastAsia="宋体" w:cs="宋体"/>
          <w:color w:val="auto"/>
          <w:spacing w:val="-6"/>
          <w:sz w:val="21"/>
          <w:szCs w:val="21"/>
        </w:rPr>
        <w:t>行为，则</w:t>
      </w:r>
      <w:r>
        <w:rPr>
          <w:rFonts w:hint="eastAsia" w:ascii="宋体" w:hAnsi="宋体" w:cs="宋体"/>
          <w:color w:val="auto"/>
          <w:spacing w:val="-6"/>
          <w:sz w:val="21"/>
          <w:szCs w:val="21"/>
          <w:lang w:val="en-US" w:eastAsia="zh-CN"/>
        </w:rPr>
        <w:t>经乙方书面申请，在第</w:t>
      </w:r>
      <w:r>
        <w:rPr>
          <w:rFonts w:hint="eastAsia" w:ascii="宋体" w:hAnsi="宋体" w:cs="宋体"/>
          <w:color w:val="auto"/>
          <w:spacing w:val="-6"/>
          <w:sz w:val="21"/>
          <w:szCs w:val="21"/>
          <w:u w:val="single"/>
          <w:lang w:val="en-US" w:eastAsia="zh-CN"/>
        </w:rPr>
        <w:t xml:space="preserve">   </w:t>
      </w:r>
      <w:r>
        <w:rPr>
          <w:rFonts w:hint="eastAsia" w:ascii="宋体" w:hAnsi="宋体" w:cs="宋体"/>
          <w:color w:val="auto"/>
          <w:spacing w:val="-6"/>
          <w:sz w:val="21"/>
          <w:szCs w:val="21"/>
          <w:lang w:val="en-US" w:eastAsia="zh-CN"/>
        </w:rPr>
        <w:t>期费用中直接减免，</w:t>
      </w:r>
      <w:r>
        <w:rPr>
          <w:rFonts w:hint="eastAsia" w:ascii="宋体" w:hAnsi="宋体" w:eastAsia="宋体" w:cs="宋体"/>
          <w:color w:val="auto"/>
          <w:spacing w:val="-6"/>
          <w:sz w:val="21"/>
          <w:szCs w:val="21"/>
        </w:rPr>
        <w:t>否则按</w:t>
      </w:r>
      <w:r>
        <w:rPr>
          <w:rFonts w:hint="eastAsia" w:ascii="宋体" w:hAnsi="宋体" w:cs="宋体"/>
          <w:color w:val="auto"/>
          <w:spacing w:val="-6"/>
          <w:sz w:val="21"/>
          <w:szCs w:val="21"/>
          <w:lang w:val="en-US" w:eastAsia="zh-CN"/>
        </w:rPr>
        <w:t>原</w:t>
      </w:r>
      <w:r>
        <w:rPr>
          <w:rFonts w:hint="eastAsia" w:ascii="宋体" w:hAnsi="宋体" w:eastAsia="宋体" w:cs="宋体"/>
          <w:color w:val="auto"/>
          <w:spacing w:val="-6"/>
          <w:sz w:val="21"/>
          <w:szCs w:val="21"/>
        </w:rPr>
        <w:t>租金金额全额计取。若交付日期有调整，上表租赁期、应缴时间同步调整</w:t>
      </w:r>
      <w:r>
        <w:rPr>
          <w:rFonts w:hint="eastAsia" w:ascii="宋体" w:hAnsi="宋体" w:cs="宋体"/>
          <w:color w:val="auto"/>
          <w:spacing w:val="-6"/>
          <w:sz w:val="21"/>
          <w:szCs w:val="21"/>
          <w:lang w:eastAsia="zh-CN"/>
        </w:rPr>
        <w:t>。</w:t>
      </w:r>
    </w:p>
    <w:p w14:paraId="7A778E64">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2.支付时间和方式：</w:t>
      </w:r>
    </w:p>
    <w:p w14:paraId="54777746">
      <w:pPr>
        <w:keepNext w:val="0"/>
        <w:keepLines w:val="0"/>
        <w:pageBreakBefore w:val="0"/>
        <w:widowControl w:val="0"/>
        <w:kinsoku/>
        <w:wordWrap/>
        <w:overflowPunct/>
        <w:topLinePunct w:val="0"/>
        <w:autoSpaceDE/>
        <w:autoSpaceDN/>
        <w:bidi w:val="0"/>
        <w:spacing w:line="590" w:lineRule="exact"/>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 xml:space="preserve">租金根据“先付后用”原则，按每期租金账单支付。乙方须在本合同签订后 </w:t>
      </w:r>
      <w:r>
        <w:rPr>
          <w:rFonts w:hint="eastAsia" w:ascii="宋体" w:hAnsi="宋体" w:cs="宋体"/>
          <w:spacing w:val="-6"/>
          <w:sz w:val="21"/>
          <w:szCs w:val="21"/>
          <w:lang w:val="en-US" w:eastAsia="zh-CN"/>
        </w:rPr>
        <w:t>10</w:t>
      </w:r>
      <w:r>
        <w:rPr>
          <w:rFonts w:hint="eastAsia" w:ascii="宋体" w:hAnsi="宋体" w:eastAsia="宋体" w:cs="宋体"/>
          <w:spacing w:val="-6"/>
          <w:sz w:val="21"/>
          <w:szCs w:val="21"/>
        </w:rPr>
        <w:t>日内向甲方缴付第一期租金人民币</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元（大写</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）。乙方须在每期租金届</w:t>
      </w:r>
      <w:r>
        <w:rPr>
          <w:rFonts w:hint="eastAsia" w:ascii="宋体" w:hAnsi="宋体" w:eastAsia="宋体" w:cs="宋体"/>
          <w:color w:val="auto"/>
          <w:spacing w:val="-6"/>
          <w:sz w:val="21"/>
          <w:szCs w:val="21"/>
          <w:highlight w:val="none"/>
        </w:rPr>
        <w:t>满的</w:t>
      </w:r>
      <w:r>
        <w:rPr>
          <w:rFonts w:hint="eastAsia" w:ascii="宋体" w:hAnsi="宋体" w:cs="宋体"/>
          <w:color w:val="auto"/>
          <w:spacing w:val="-6"/>
          <w:sz w:val="21"/>
          <w:szCs w:val="21"/>
          <w:highlight w:val="none"/>
          <w:lang w:val="en-US" w:eastAsia="zh-CN"/>
        </w:rPr>
        <w:t>60</w:t>
      </w:r>
      <w:r>
        <w:rPr>
          <w:rFonts w:hint="eastAsia" w:ascii="宋体" w:hAnsi="宋体" w:eastAsia="宋体" w:cs="宋体"/>
          <w:color w:val="auto"/>
          <w:spacing w:val="-6"/>
          <w:sz w:val="21"/>
          <w:szCs w:val="21"/>
          <w:highlight w:val="none"/>
        </w:rPr>
        <w:t>日</w:t>
      </w:r>
      <w:r>
        <w:rPr>
          <w:rFonts w:hint="eastAsia" w:ascii="宋体" w:hAnsi="宋体" w:eastAsia="宋体" w:cs="宋体"/>
          <w:spacing w:val="-6"/>
          <w:sz w:val="21"/>
          <w:szCs w:val="21"/>
        </w:rPr>
        <w:t>前，预付下期租金。每次支付租金后，甲方应出具相应的票据。</w:t>
      </w:r>
    </w:p>
    <w:p w14:paraId="1CFBCBE8">
      <w:pPr>
        <w:pStyle w:val="7"/>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396" w:firstLineChars="200"/>
        <w:textAlignment w:val="auto"/>
        <w:rPr>
          <w:rFonts w:hint="eastAsia" w:ascii="宋体" w:hAnsi="宋体" w:eastAsia="宋体" w:cs="宋体"/>
          <w:spacing w:val="-6"/>
          <w:kern w:val="2"/>
          <w:sz w:val="21"/>
          <w:szCs w:val="21"/>
          <w:lang w:val="en-US" w:eastAsia="zh-CN" w:bidi="ar-SA"/>
          <w14:ligatures w14:val="none"/>
        </w:rPr>
      </w:pPr>
      <w:r>
        <w:rPr>
          <w:rFonts w:hint="eastAsia" w:ascii="宋体" w:hAnsi="宋体" w:cs="宋体"/>
          <w:spacing w:val="-6"/>
          <w:kern w:val="2"/>
          <w:sz w:val="21"/>
          <w:szCs w:val="21"/>
          <w:lang w:val="en-US" w:eastAsia="zh-CN" w:bidi="ar-SA"/>
          <w14:ligatures w14:val="none"/>
        </w:rPr>
        <w:t>3.物业</w:t>
      </w:r>
      <w:r>
        <w:rPr>
          <w:rFonts w:hint="eastAsia" w:ascii="宋体" w:hAnsi="宋体" w:eastAsia="宋体" w:cs="宋体"/>
          <w:spacing w:val="-6"/>
          <w:kern w:val="2"/>
          <w:sz w:val="21"/>
          <w:szCs w:val="21"/>
          <w:lang w:val="en-US" w:eastAsia="zh-CN" w:bidi="ar-SA"/>
          <w14:ligatures w14:val="none"/>
        </w:rPr>
        <w:t>费标准及支付时间和方式：</w:t>
      </w:r>
    </w:p>
    <w:p w14:paraId="394E8B49">
      <w:pPr>
        <w:keepNext w:val="0"/>
        <w:keepLines w:val="0"/>
        <w:pageBreakBefore w:val="0"/>
        <w:widowControl w:val="0"/>
        <w:kinsoku/>
        <w:wordWrap/>
        <w:overflowPunct/>
        <w:topLinePunct w:val="0"/>
        <w:autoSpaceDE/>
        <w:autoSpaceDN/>
        <w:bidi w:val="0"/>
        <w:adjustRightInd w:val="0"/>
        <w:snapToGrid w:val="0"/>
        <w:spacing w:line="590" w:lineRule="exact"/>
        <w:ind w:firstLine="396" w:firstLineChars="200"/>
        <w:textAlignment w:val="auto"/>
        <w:rPr>
          <w:rFonts w:hint="default" w:ascii="宋体" w:hAnsi="宋体" w:eastAsia="宋体" w:cs="宋体"/>
          <w:spacing w:val="-6"/>
          <w:kern w:val="2"/>
          <w:sz w:val="21"/>
          <w:szCs w:val="21"/>
          <w:lang w:val="en-US" w:eastAsia="zh-CN" w:bidi="ar-SA"/>
          <w14:ligatures w14:val="none"/>
        </w:rPr>
      </w:pPr>
      <w:r>
        <w:rPr>
          <w:rFonts w:hint="default" w:ascii="宋体" w:hAnsi="宋体" w:eastAsia="宋体" w:cs="宋体"/>
          <w:spacing w:val="-6"/>
          <w:kern w:val="2"/>
          <w:sz w:val="21"/>
          <w:szCs w:val="21"/>
          <w:lang w:val="en-US" w:eastAsia="zh-CN" w:bidi="ar-SA"/>
          <w14:ligatures w14:val="none"/>
        </w:rPr>
        <w:t>【</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】年【</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】月【</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】日起至【</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】年【</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】月【</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】日期间，每月每平方米为人民币【</w:t>
      </w:r>
      <w:r>
        <w:rPr>
          <w:rFonts w:hint="eastAsia" w:ascii="宋体" w:hAnsi="宋体" w:cs="宋体"/>
          <w:spacing w:val="-6"/>
          <w:kern w:val="2"/>
          <w:sz w:val="21"/>
          <w:szCs w:val="21"/>
          <w:lang w:val="en-US" w:eastAsia="zh-CN" w:bidi="ar-SA"/>
          <w14:ligatures w14:val="none"/>
        </w:rPr>
        <w:t>7</w:t>
      </w:r>
      <w:r>
        <w:rPr>
          <w:rFonts w:hint="default" w:ascii="宋体" w:hAnsi="宋体" w:eastAsia="宋体" w:cs="宋体"/>
          <w:spacing w:val="-6"/>
          <w:kern w:val="2"/>
          <w:sz w:val="21"/>
          <w:szCs w:val="21"/>
          <w:lang w:val="en-US" w:eastAsia="zh-CN" w:bidi="ar-SA"/>
          <w14:ligatures w14:val="none"/>
        </w:rPr>
        <w:t>】元，每月人民币【</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】元；</w:t>
      </w:r>
      <w:r>
        <w:rPr>
          <w:rFonts w:hint="eastAsia" w:ascii="宋体" w:hAnsi="宋体" w:cs="宋体"/>
          <w:spacing w:val="-6"/>
          <w:kern w:val="2"/>
          <w:sz w:val="21"/>
          <w:szCs w:val="21"/>
          <w:lang w:val="en-US" w:eastAsia="zh-CN" w:bidi="ar-SA"/>
          <w14:ligatures w14:val="none"/>
        </w:rPr>
        <w:t>物业费</w:t>
      </w:r>
      <w:r>
        <w:rPr>
          <w:rFonts w:hint="default" w:ascii="宋体" w:hAnsi="宋体" w:eastAsia="宋体" w:cs="宋体"/>
          <w:spacing w:val="-6"/>
          <w:kern w:val="2"/>
          <w:sz w:val="21"/>
          <w:szCs w:val="21"/>
          <w:lang w:val="en-US" w:eastAsia="zh-CN" w:bidi="ar-SA"/>
          <w14:ligatures w14:val="none"/>
        </w:rPr>
        <w:t>采用先付后用的原则，按</w:t>
      </w:r>
      <w:r>
        <w:rPr>
          <w:rFonts w:hint="eastAsia" w:ascii="宋体" w:hAnsi="宋体" w:cs="宋体"/>
          <w:spacing w:val="-6"/>
          <w:kern w:val="2"/>
          <w:sz w:val="21"/>
          <w:szCs w:val="21"/>
          <w:lang w:val="en-US" w:eastAsia="zh-CN" w:bidi="ar-SA"/>
          <w14:ligatures w14:val="none"/>
        </w:rPr>
        <w:t>半年</w:t>
      </w:r>
      <w:r>
        <w:rPr>
          <w:rFonts w:hint="default" w:ascii="宋体" w:hAnsi="宋体" w:eastAsia="宋体" w:cs="宋体"/>
          <w:spacing w:val="-6"/>
          <w:kern w:val="2"/>
          <w:sz w:val="21"/>
          <w:szCs w:val="21"/>
          <w:lang w:val="en-US" w:eastAsia="zh-CN" w:bidi="ar-SA"/>
          <w14:ligatures w14:val="none"/>
        </w:rPr>
        <w:t>度支付。</w:t>
      </w:r>
      <w:r>
        <w:rPr>
          <w:rFonts w:hint="eastAsia" w:ascii="宋体" w:hAnsi="宋体" w:eastAsia="宋体" w:cs="宋体"/>
          <w:spacing w:val="-6"/>
          <w:sz w:val="21"/>
          <w:szCs w:val="21"/>
        </w:rPr>
        <w:t xml:space="preserve">乙方须在本合同签订后 </w:t>
      </w:r>
      <w:r>
        <w:rPr>
          <w:rFonts w:hint="eastAsia" w:ascii="宋体" w:hAnsi="宋体" w:cs="宋体"/>
          <w:spacing w:val="-6"/>
          <w:sz w:val="21"/>
          <w:szCs w:val="21"/>
          <w:lang w:val="en-US" w:eastAsia="zh-CN"/>
        </w:rPr>
        <w:t>10</w:t>
      </w:r>
      <w:r>
        <w:rPr>
          <w:rFonts w:hint="eastAsia" w:ascii="宋体" w:hAnsi="宋体" w:eastAsia="宋体" w:cs="宋体"/>
          <w:spacing w:val="-6"/>
          <w:sz w:val="21"/>
          <w:szCs w:val="21"/>
        </w:rPr>
        <w:t>日内</w:t>
      </w:r>
      <w:r>
        <w:rPr>
          <w:rFonts w:hint="default" w:ascii="宋体" w:hAnsi="宋体" w:eastAsia="宋体" w:cs="宋体"/>
          <w:spacing w:val="-6"/>
          <w:kern w:val="2"/>
          <w:sz w:val="21"/>
          <w:szCs w:val="21"/>
          <w:lang w:val="en-US" w:eastAsia="zh-CN" w:bidi="ar-SA"/>
          <w14:ligatures w14:val="none"/>
        </w:rPr>
        <w:t>向甲方支付首期</w:t>
      </w:r>
      <w:r>
        <w:rPr>
          <w:rFonts w:hint="eastAsia" w:ascii="宋体" w:hAnsi="宋体" w:cs="宋体"/>
          <w:spacing w:val="-6"/>
          <w:kern w:val="2"/>
          <w:sz w:val="21"/>
          <w:szCs w:val="21"/>
          <w:lang w:val="en-US" w:eastAsia="zh-CN" w:bidi="ar-SA"/>
          <w14:ligatures w14:val="none"/>
        </w:rPr>
        <w:t>物业费</w:t>
      </w:r>
      <w:r>
        <w:rPr>
          <w:rFonts w:hint="default" w:ascii="宋体" w:hAnsi="宋体" w:eastAsia="宋体" w:cs="宋体"/>
          <w:spacing w:val="-6"/>
          <w:kern w:val="2"/>
          <w:sz w:val="21"/>
          <w:szCs w:val="21"/>
          <w:lang w:val="en-US" w:eastAsia="zh-CN" w:bidi="ar-SA"/>
          <w14:ligatures w14:val="none"/>
        </w:rPr>
        <w:t>（即自【</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】年【</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】月【</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】日起至【</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】年【</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】月【</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】日的</w:t>
      </w:r>
      <w:r>
        <w:rPr>
          <w:rFonts w:hint="eastAsia" w:ascii="宋体" w:hAnsi="宋体" w:cs="宋体"/>
          <w:spacing w:val="-6"/>
          <w:kern w:val="2"/>
          <w:sz w:val="21"/>
          <w:szCs w:val="21"/>
          <w:lang w:val="en-US" w:eastAsia="zh-CN" w:bidi="ar-SA"/>
          <w14:ligatures w14:val="none"/>
        </w:rPr>
        <w:t>物业费</w:t>
      </w:r>
      <w:r>
        <w:rPr>
          <w:rFonts w:hint="default" w:ascii="宋体" w:hAnsi="宋体" w:eastAsia="宋体" w:cs="宋体"/>
          <w:spacing w:val="-6"/>
          <w:kern w:val="2"/>
          <w:sz w:val="21"/>
          <w:szCs w:val="21"/>
          <w:lang w:val="en-US" w:eastAsia="zh-CN" w:bidi="ar-SA"/>
          <w14:ligatures w14:val="none"/>
        </w:rPr>
        <w:t>）计人民币【</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】元，第二期</w:t>
      </w:r>
      <w:r>
        <w:rPr>
          <w:rFonts w:hint="eastAsia" w:ascii="宋体" w:hAnsi="宋体" w:cs="宋体"/>
          <w:spacing w:val="-6"/>
          <w:kern w:val="2"/>
          <w:sz w:val="21"/>
          <w:szCs w:val="21"/>
          <w:lang w:val="en-US" w:eastAsia="zh-CN" w:bidi="ar-SA"/>
          <w14:ligatures w14:val="none"/>
        </w:rPr>
        <w:t>物业费</w:t>
      </w:r>
      <w:r>
        <w:rPr>
          <w:rFonts w:hint="default" w:ascii="宋体" w:hAnsi="宋体" w:eastAsia="宋体" w:cs="宋体"/>
          <w:spacing w:val="-6"/>
          <w:kern w:val="2"/>
          <w:sz w:val="21"/>
          <w:szCs w:val="21"/>
          <w:lang w:val="en-US" w:eastAsia="zh-CN" w:bidi="ar-SA"/>
          <w14:ligatures w14:val="none"/>
        </w:rPr>
        <w:t>（【</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】年【</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】月【</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】日起至【</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】年【</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】月【</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】日）计人民币【</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】元应于【</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】年【</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】月【</w:t>
      </w:r>
      <w:r>
        <w:rPr>
          <w:rFonts w:hint="eastAsia" w:ascii="宋体" w:hAnsi="宋体" w:cs="宋体"/>
          <w:spacing w:val="-6"/>
          <w:kern w:val="2"/>
          <w:sz w:val="21"/>
          <w:szCs w:val="21"/>
          <w:lang w:val="en-US" w:eastAsia="zh-CN" w:bidi="ar-SA"/>
          <w14:ligatures w14:val="none"/>
        </w:rPr>
        <w:t xml:space="preserve">  </w:t>
      </w:r>
      <w:r>
        <w:rPr>
          <w:rFonts w:hint="default" w:ascii="宋体" w:hAnsi="宋体" w:eastAsia="宋体" w:cs="宋体"/>
          <w:spacing w:val="-6"/>
          <w:kern w:val="2"/>
          <w:sz w:val="21"/>
          <w:szCs w:val="21"/>
          <w:lang w:val="en-US" w:eastAsia="zh-CN" w:bidi="ar-SA"/>
          <w14:ligatures w14:val="none"/>
        </w:rPr>
        <w:t>】日前支付，以后各期</w:t>
      </w:r>
      <w:r>
        <w:rPr>
          <w:rFonts w:hint="eastAsia" w:ascii="宋体" w:hAnsi="宋体" w:cs="宋体"/>
          <w:spacing w:val="-6"/>
          <w:kern w:val="2"/>
          <w:sz w:val="21"/>
          <w:szCs w:val="21"/>
          <w:lang w:val="en-US" w:eastAsia="zh-CN" w:bidi="ar-SA"/>
          <w14:ligatures w14:val="none"/>
        </w:rPr>
        <w:t>物业费</w:t>
      </w:r>
      <w:r>
        <w:rPr>
          <w:rFonts w:hint="default" w:ascii="宋体" w:hAnsi="宋体" w:eastAsia="宋体" w:cs="宋体"/>
          <w:spacing w:val="-6"/>
          <w:kern w:val="2"/>
          <w:sz w:val="21"/>
          <w:szCs w:val="21"/>
          <w:lang w:val="en-US" w:eastAsia="zh-CN" w:bidi="ar-SA"/>
          <w14:ligatures w14:val="none"/>
        </w:rPr>
        <w:t>每期提前支付一次，具体应于每期届满</w:t>
      </w:r>
      <w:r>
        <w:rPr>
          <w:rFonts w:hint="eastAsia" w:ascii="宋体" w:hAnsi="宋体" w:cs="宋体"/>
          <w:spacing w:val="-6"/>
          <w:kern w:val="2"/>
          <w:sz w:val="21"/>
          <w:szCs w:val="21"/>
          <w:lang w:val="en-US" w:eastAsia="zh-CN" w:bidi="ar-SA"/>
          <w14:ligatures w14:val="none"/>
        </w:rPr>
        <w:t>的60日前</w:t>
      </w:r>
      <w:r>
        <w:rPr>
          <w:rFonts w:hint="default" w:ascii="宋体" w:hAnsi="宋体" w:eastAsia="宋体" w:cs="宋体"/>
          <w:spacing w:val="-6"/>
          <w:kern w:val="2"/>
          <w:sz w:val="21"/>
          <w:szCs w:val="21"/>
          <w:lang w:val="en-US" w:eastAsia="zh-CN" w:bidi="ar-SA"/>
          <w14:ligatures w14:val="none"/>
        </w:rPr>
        <w:t>支付下一期</w:t>
      </w:r>
      <w:r>
        <w:rPr>
          <w:rFonts w:hint="eastAsia" w:ascii="宋体" w:hAnsi="宋体" w:cs="宋体"/>
          <w:spacing w:val="-6"/>
          <w:kern w:val="2"/>
          <w:sz w:val="21"/>
          <w:szCs w:val="21"/>
          <w:lang w:val="en-US" w:eastAsia="zh-CN" w:bidi="ar-SA"/>
          <w14:ligatures w14:val="none"/>
        </w:rPr>
        <w:t>物业费</w:t>
      </w:r>
      <w:r>
        <w:rPr>
          <w:rFonts w:hint="default" w:ascii="宋体" w:hAnsi="宋体" w:eastAsia="宋体" w:cs="宋体"/>
          <w:spacing w:val="-6"/>
          <w:kern w:val="2"/>
          <w:sz w:val="21"/>
          <w:szCs w:val="21"/>
          <w:lang w:val="en-US" w:eastAsia="zh-CN" w:bidi="ar-SA"/>
          <w14:ligatures w14:val="none"/>
        </w:rPr>
        <w:t>。</w:t>
      </w:r>
    </w:p>
    <w:p w14:paraId="6A4A15D5">
      <w:pPr>
        <w:spacing w:line="590" w:lineRule="exact"/>
        <w:ind w:firstLine="396" w:firstLineChars="200"/>
        <w:rPr>
          <w:rFonts w:ascii="Times New Roman" w:eastAsia="黑体"/>
          <w:spacing w:val="-6"/>
          <w:sz w:val="21"/>
          <w:szCs w:val="21"/>
        </w:rPr>
      </w:pPr>
      <w:r>
        <w:rPr>
          <w:rFonts w:ascii="Times New Roman" w:eastAsia="黑体"/>
          <w:spacing w:val="-6"/>
          <w:sz w:val="21"/>
          <w:szCs w:val="21"/>
        </w:rPr>
        <w:t>第二部分</w:t>
      </w:r>
    </w:p>
    <w:p w14:paraId="5C5D114B">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1.履约保证金：人民币</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元（大写</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rPr>
        <w:t>）。</w:t>
      </w:r>
    </w:p>
    <w:p w14:paraId="7A003619">
      <w:pPr>
        <w:spacing w:line="590" w:lineRule="exact"/>
        <w:ind w:firstLine="396" w:firstLineChars="200"/>
        <w:rPr>
          <w:rFonts w:hint="eastAsia" w:ascii="宋体" w:hAnsi="宋体" w:eastAsia="宋体" w:cs="宋体"/>
          <w:spacing w:val="-6"/>
          <w:sz w:val="21"/>
          <w:szCs w:val="21"/>
        </w:rPr>
      </w:pPr>
      <w:r>
        <w:rPr>
          <w:rFonts w:hint="eastAsia" w:ascii="宋体" w:hAnsi="宋体" w:eastAsia="宋体" w:cs="宋体"/>
          <w:spacing w:val="-6"/>
          <w:sz w:val="21"/>
          <w:szCs w:val="21"/>
        </w:rPr>
        <w:t>2.支付时间和方式：乙方须在</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年</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月</w:t>
      </w:r>
      <w:r>
        <w:rPr>
          <w:rFonts w:hint="eastAsia" w:ascii="宋体" w:hAnsi="宋体" w:eastAsia="宋体" w:cs="宋体"/>
          <w:spacing w:val="-6"/>
          <w:sz w:val="21"/>
          <w:szCs w:val="21"/>
          <w:u w:val="single"/>
        </w:rPr>
        <w:t xml:space="preserve"> </w:t>
      </w:r>
      <w:r>
        <w:rPr>
          <w:rFonts w:hint="eastAsia" w:ascii="宋体" w:hAnsi="宋体" w:cs="宋体"/>
          <w:spacing w:val="-6"/>
          <w:sz w:val="21"/>
          <w:szCs w:val="21"/>
          <w:u w:val="single"/>
          <w:lang w:val="en-US" w:eastAsia="zh-CN"/>
        </w:rPr>
        <w:t xml:space="preserve">  </w:t>
      </w:r>
      <w:r>
        <w:rPr>
          <w:rFonts w:hint="eastAsia" w:ascii="宋体" w:hAnsi="宋体" w:eastAsia="宋体" w:cs="宋体"/>
          <w:spacing w:val="-6"/>
          <w:sz w:val="21"/>
          <w:szCs w:val="21"/>
          <w:u w:val="single"/>
        </w:rPr>
        <w:t xml:space="preserve"> </w:t>
      </w:r>
      <w:r>
        <w:rPr>
          <w:rFonts w:hint="eastAsia" w:ascii="宋体" w:hAnsi="宋体" w:eastAsia="宋体" w:cs="宋体"/>
          <w:spacing w:val="-6"/>
          <w:sz w:val="21"/>
          <w:szCs w:val="21"/>
        </w:rPr>
        <w:t>日前向甲方缴付履约保证金。</w:t>
      </w:r>
    </w:p>
    <w:p w14:paraId="7BA58CBC">
      <w:pPr>
        <w:spacing w:line="590" w:lineRule="exact"/>
        <w:ind w:firstLine="396" w:firstLineChars="200"/>
        <w:rPr>
          <w:rFonts w:hint="eastAsia" w:ascii="Times New Roman" w:eastAsia="黑体"/>
          <w:spacing w:val="-6"/>
          <w:sz w:val="21"/>
          <w:szCs w:val="21"/>
          <w:lang w:val="en-US" w:eastAsia="zh-CN"/>
        </w:rPr>
      </w:pPr>
      <w:r>
        <w:rPr>
          <w:rFonts w:hint="eastAsia" w:ascii="Times New Roman" w:eastAsia="黑体"/>
          <w:spacing w:val="-6"/>
          <w:sz w:val="21"/>
          <w:szCs w:val="21"/>
          <w:lang w:val="en-US" w:eastAsia="zh-CN"/>
        </w:rPr>
        <w:t>第三部分</w:t>
      </w:r>
    </w:p>
    <w:p w14:paraId="6A3073EC">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cs="宋体"/>
          <w:spacing w:val="-6"/>
          <w:sz w:val="21"/>
          <w:szCs w:val="21"/>
          <w:lang w:val="en-US" w:eastAsia="zh-CN"/>
        </w:rPr>
      </w:pPr>
      <w:r>
        <w:rPr>
          <w:rFonts w:hint="eastAsia" w:ascii="宋体" w:hAnsi="宋体" w:eastAsia="宋体" w:cs="宋体"/>
          <w:spacing w:val="-6"/>
          <w:sz w:val="21"/>
          <w:szCs w:val="21"/>
          <w:lang w:val="en-US" w:eastAsia="zh-CN"/>
        </w:rPr>
        <w:t>1.标准：</w:t>
      </w:r>
      <w:r>
        <w:rPr>
          <w:rFonts w:hint="eastAsia" w:ascii="宋体" w:hAnsi="宋体" w:eastAsia="宋体" w:cs="宋体"/>
          <w:spacing w:val="-6"/>
          <w:sz w:val="21"/>
          <w:szCs w:val="21"/>
        </w:rPr>
        <w:t>水费</w:t>
      </w:r>
      <w:r>
        <w:rPr>
          <w:rFonts w:hint="eastAsia" w:ascii="宋体" w:hAnsi="宋体" w:eastAsia="宋体" w:cs="宋体"/>
          <w:spacing w:val="-6"/>
          <w:sz w:val="21"/>
          <w:szCs w:val="21"/>
          <w:lang w:val="en-US" w:eastAsia="zh-CN"/>
        </w:rPr>
        <w:t>暂定</w:t>
      </w:r>
      <w:r>
        <w:rPr>
          <w:rFonts w:hint="eastAsia" w:ascii="宋体" w:hAnsi="宋体" w:eastAsia="宋体" w:cs="宋体"/>
          <w:spacing w:val="-6"/>
          <w:sz w:val="21"/>
          <w:szCs w:val="21"/>
        </w:rPr>
        <w:t>3.5元/立方米，电费</w:t>
      </w:r>
      <w:r>
        <w:rPr>
          <w:rFonts w:hint="eastAsia" w:ascii="宋体" w:hAnsi="宋体" w:eastAsia="宋体" w:cs="宋体"/>
          <w:spacing w:val="-6"/>
          <w:sz w:val="21"/>
          <w:szCs w:val="21"/>
          <w:lang w:val="en-US" w:eastAsia="zh-CN"/>
        </w:rPr>
        <w:t>暂定</w:t>
      </w:r>
      <w:r>
        <w:rPr>
          <w:rFonts w:hint="eastAsia" w:ascii="宋体" w:hAnsi="宋体" w:eastAsia="宋体" w:cs="宋体"/>
          <w:spacing w:val="-6"/>
          <w:sz w:val="21"/>
          <w:szCs w:val="21"/>
        </w:rPr>
        <w:t>0.</w:t>
      </w:r>
      <w:r>
        <w:rPr>
          <w:rFonts w:hint="eastAsia" w:ascii="宋体" w:hAnsi="宋体" w:eastAsia="宋体" w:cs="宋体"/>
          <w:spacing w:val="-6"/>
          <w:sz w:val="21"/>
          <w:szCs w:val="21"/>
          <w:lang w:val="en-US" w:eastAsia="zh-CN"/>
        </w:rPr>
        <w:t>8</w:t>
      </w:r>
      <w:r>
        <w:rPr>
          <w:rFonts w:hint="eastAsia" w:ascii="宋体" w:hAnsi="宋体" w:eastAsia="宋体" w:cs="宋体"/>
          <w:spacing w:val="-6"/>
          <w:sz w:val="21"/>
          <w:szCs w:val="21"/>
        </w:rPr>
        <w:t>元/度，具体以政府相关部门定价为准（以上水电</w:t>
      </w:r>
      <w:r>
        <w:rPr>
          <w:rFonts w:hint="eastAsia" w:ascii="宋体" w:hAnsi="宋体" w:eastAsia="宋体" w:cs="宋体"/>
          <w:spacing w:val="-6"/>
          <w:sz w:val="21"/>
          <w:szCs w:val="21"/>
          <w:lang w:val="en-US" w:eastAsia="zh-CN"/>
        </w:rPr>
        <w:t>价格包含代收代缴服务费）</w:t>
      </w:r>
      <w:r>
        <w:rPr>
          <w:rFonts w:hint="eastAsia" w:ascii="宋体" w:hAnsi="宋体" w:cs="宋体"/>
          <w:spacing w:val="-6"/>
          <w:sz w:val="21"/>
          <w:szCs w:val="21"/>
          <w:lang w:val="en-US" w:eastAsia="zh-CN"/>
        </w:rPr>
        <w:t>。</w:t>
      </w:r>
    </w:p>
    <w:p w14:paraId="7753C2F5">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2.支付周期：</w:t>
      </w:r>
      <w:r>
        <w:rPr>
          <w:rFonts w:hint="eastAsia" w:ascii="宋体" w:hAnsi="宋体" w:cs="宋体"/>
          <w:spacing w:val="-6"/>
          <w:sz w:val="21"/>
          <w:szCs w:val="21"/>
          <w:lang w:val="en-US" w:eastAsia="zh-CN"/>
        </w:rPr>
        <w:t>电表为预充值电表，先付后用，如若因乙方不及时充值导致断电及相关损失，均由乙方自行承担。水费每半年抄表后进行结算</w:t>
      </w:r>
      <w:r>
        <w:rPr>
          <w:rFonts w:hint="eastAsia" w:ascii="宋体" w:hAnsi="宋体" w:eastAsia="宋体" w:cs="宋体"/>
          <w:spacing w:val="-6"/>
          <w:sz w:val="21"/>
          <w:szCs w:val="21"/>
          <w:lang w:val="en-US" w:eastAsia="zh-CN"/>
        </w:rPr>
        <w:t>。</w:t>
      </w:r>
    </w:p>
    <w:p w14:paraId="7B8EC2ED">
      <w:pPr>
        <w:spacing w:line="590" w:lineRule="exact"/>
        <w:ind w:firstLine="396" w:firstLineChars="200"/>
        <w:rPr>
          <w:rFonts w:ascii="Times New Roman" w:eastAsia="黑体"/>
          <w:spacing w:val="-6"/>
          <w:sz w:val="21"/>
          <w:szCs w:val="21"/>
        </w:rPr>
      </w:pPr>
      <w:r>
        <w:rPr>
          <w:rFonts w:ascii="Times New Roman" w:eastAsia="黑体"/>
          <w:spacing w:val="-6"/>
          <w:sz w:val="21"/>
          <w:szCs w:val="21"/>
        </w:rPr>
        <w:t>第</w:t>
      </w:r>
      <w:r>
        <w:rPr>
          <w:rFonts w:hint="eastAsia" w:ascii="Times New Roman" w:eastAsia="黑体"/>
          <w:spacing w:val="-6"/>
          <w:sz w:val="21"/>
          <w:szCs w:val="21"/>
          <w:lang w:val="en-US" w:eastAsia="zh-CN"/>
        </w:rPr>
        <w:t>四</w:t>
      </w:r>
      <w:r>
        <w:rPr>
          <w:rFonts w:ascii="Times New Roman" w:eastAsia="黑体"/>
          <w:spacing w:val="-6"/>
          <w:sz w:val="21"/>
          <w:szCs w:val="21"/>
        </w:rPr>
        <w:t>部分</w:t>
      </w:r>
    </w:p>
    <w:p w14:paraId="0A1995A7">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1.支付币种：本合同项下的相关价款、费用均以人民币支付。</w:t>
      </w:r>
    </w:p>
    <w:p w14:paraId="3E37CDEB">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2.支付账户：乙方应该将租金、</w:t>
      </w:r>
      <w:r>
        <w:rPr>
          <w:rFonts w:hint="eastAsia" w:ascii="宋体" w:hAnsi="宋体" w:cs="宋体"/>
          <w:spacing w:val="-6"/>
          <w:sz w:val="21"/>
          <w:szCs w:val="21"/>
          <w:lang w:val="en-US" w:eastAsia="zh-CN"/>
        </w:rPr>
        <w:t>履约保证金等费用支付</w:t>
      </w:r>
      <w:r>
        <w:rPr>
          <w:rFonts w:hint="eastAsia" w:ascii="宋体" w:hAnsi="宋体" w:eastAsia="宋体" w:cs="宋体"/>
          <w:spacing w:val="-6"/>
          <w:sz w:val="21"/>
          <w:szCs w:val="21"/>
        </w:rPr>
        <w:t>到甲方开立的以下账户：</w:t>
      </w:r>
    </w:p>
    <w:p w14:paraId="6B91E86F">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户名：南通轨道资源开发有限公司</w:t>
      </w:r>
    </w:p>
    <w:p w14:paraId="06F12F50">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账号：326008602011000291381</w:t>
      </w:r>
    </w:p>
    <w:p w14:paraId="22AD5543">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开户银行：交通银行南通分行营业部</w:t>
      </w:r>
    </w:p>
    <w:p w14:paraId="2AF98A88">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合同期内，甲方有权根据实际需要即时更新上述账户信息，但应当提前书面通知乙方，乙方同意按照甲方通知更新的账户进行付款。</w:t>
      </w:r>
    </w:p>
    <w:p w14:paraId="3AD16D94">
      <w:pPr>
        <w:spacing w:line="590" w:lineRule="exact"/>
        <w:ind w:firstLine="396" w:firstLineChars="200"/>
        <w:rPr>
          <w:rFonts w:ascii="Times New Roman" w:eastAsia="黑体"/>
          <w:spacing w:val="-6"/>
          <w:sz w:val="21"/>
          <w:szCs w:val="21"/>
        </w:rPr>
      </w:pPr>
      <w:r>
        <w:rPr>
          <w:rFonts w:ascii="Times New Roman" w:eastAsia="黑体"/>
          <w:spacing w:val="-6"/>
          <w:sz w:val="21"/>
          <w:szCs w:val="21"/>
        </w:rPr>
        <w:t>第</w:t>
      </w:r>
      <w:r>
        <w:rPr>
          <w:rFonts w:hint="eastAsia" w:ascii="Times New Roman" w:eastAsia="黑体"/>
          <w:spacing w:val="-6"/>
          <w:sz w:val="21"/>
          <w:szCs w:val="21"/>
          <w:lang w:val="en-US" w:eastAsia="zh-CN"/>
        </w:rPr>
        <w:t>五</w:t>
      </w:r>
      <w:r>
        <w:rPr>
          <w:rFonts w:ascii="Times New Roman" w:eastAsia="黑体"/>
          <w:spacing w:val="-6"/>
          <w:sz w:val="21"/>
          <w:szCs w:val="21"/>
        </w:rPr>
        <w:t>部分</w:t>
      </w:r>
    </w:p>
    <w:p w14:paraId="5BA274B3">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甲方和乙方按以下列明的地址发送通知：</w:t>
      </w:r>
    </w:p>
    <w:p w14:paraId="1586F4FC">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1.甲方地址：南通市崇川区崇川路158号地铁大厦1808室</w:t>
      </w:r>
    </w:p>
    <w:p w14:paraId="6DD71898">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收 件 人：南通轨道资源开发有限公司</w:t>
      </w:r>
    </w:p>
    <w:p w14:paraId="318DC836">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邮政编码：226000</w:t>
      </w:r>
    </w:p>
    <w:p w14:paraId="127B9CBC">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联系电话：0513-80813998</w:t>
      </w:r>
    </w:p>
    <w:p w14:paraId="3259D9F6">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传 真：/</w:t>
      </w:r>
    </w:p>
    <w:p w14:paraId="3FA9EEC0">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default" w:ascii="Times New Roman" w:hAnsi="Times New Roman" w:eastAsia="宋体" w:cs="Times New Roman"/>
          <w:color w:val="auto"/>
          <w:spacing w:val="-3"/>
          <w:sz w:val="21"/>
          <w:szCs w:val="21"/>
          <w:highlight w:val="none"/>
        </w:rPr>
      </w:pPr>
      <w:r>
        <w:rPr>
          <w:rFonts w:hint="eastAsia" w:ascii="宋体" w:hAnsi="宋体" w:eastAsia="宋体" w:cs="宋体"/>
          <w:spacing w:val="-6"/>
          <w:sz w:val="21"/>
          <w:szCs w:val="21"/>
        </w:rPr>
        <w:t>2.乙方地址：</w:t>
      </w:r>
    </w:p>
    <w:p w14:paraId="78851551">
      <w:pPr>
        <w:adjustRightInd w:val="0"/>
        <w:snapToGrid w:val="0"/>
        <w:spacing w:line="360" w:lineRule="auto"/>
        <w:ind w:firstLine="396" w:firstLineChars="200"/>
        <w:rPr>
          <w:rFonts w:hint="eastAsia" w:ascii="Times New Roman" w:hAnsi="Times New Roman" w:eastAsia="宋体" w:cs="Times New Roman"/>
          <w:sz w:val="21"/>
          <w:szCs w:val="21"/>
          <w:lang w:eastAsia="zh-CN"/>
          <w14:ligatures w14:val="none"/>
        </w:rPr>
      </w:pPr>
      <w:r>
        <w:rPr>
          <w:rFonts w:hint="eastAsia" w:ascii="宋体" w:hAnsi="宋体" w:eastAsia="宋体" w:cs="宋体"/>
          <w:spacing w:val="-6"/>
          <w:sz w:val="21"/>
          <w:szCs w:val="21"/>
        </w:rPr>
        <w:t>收 件 人：</w:t>
      </w:r>
      <w:r>
        <w:rPr>
          <w:rFonts w:hint="eastAsia" w:ascii="Times New Roman" w:hAnsi="Times New Roman" w:eastAsia="宋体" w:cs="Times New Roman"/>
          <w:sz w:val="21"/>
          <w:szCs w:val="21"/>
          <w:lang w:val="en-US" w:eastAsia="zh-CN"/>
          <w14:ligatures w14:val="none"/>
        </w:rPr>
        <w:t xml:space="preserve"> </w:t>
      </w:r>
    </w:p>
    <w:p w14:paraId="7DBDD305">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邮政编码：</w:t>
      </w:r>
    </w:p>
    <w:p w14:paraId="7E291072">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rPr>
      </w:pPr>
      <w:r>
        <w:rPr>
          <w:rFonts w:hint="eastAsia" w:ascii="宋体" w:hAnsi="宋体" w:eastAsia="宋体" w:cs="宋体"/>
          <w:spacing w:val="-6"/>
          <w:sz w:val="21"/>
          <w:szCs w:val="21"/>
        </w:rPr>
        <w:t>联系电话：</w:t>
      </w:r>
    </w:p>
    <w:p w14:paraId="50EED3F2">
      <w:pPr>
        <w:keepNext w:val="0"/>
        <w:keepLines w:val="0"/>
        <w:pageBreakBefore w:val="0"/>
        <w:widowControl w:val="0"/>
        <w:kinsoku/>
        <w:wordWrap/>
        <w:overflowPunct/>
        <w:topLinePunct w:val="0"/>
        <w:autoSpaceDE/>
        <w:autoSpaceDN/>
        <w:bidi w:val="0"/>
        <w:adjustRightInd/>
        <w:snapToGrid/>
        <w:spacing w:line="360" w:lineRule="auto"/>
        <w:ind w:firstLine="396" w:firstLineChars="200"/>
        <w:textAlignment w:val="auto"/>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rPr>
        <w:t>传 真：</w:t>
      </w:r>
      <w:r>
        <w:rPr>
          <w:rFonts w:hint="eastAsia" w:ascii="宋体" w:hAnsi="宋体" w:cs="宋体"/>
          <w:spacing w:val="-6"/>
          <w:sz w:val="21"/>
          <w:szCs w:val="21"/>
          <w:lang w:val="en-US" w:eastAsia="zh-CN"/>
        </w:rPr>
        <w:t>/</w:t>
      </w:r>
    </w:p>
    <w:p w14:paraId="7C05E2B2">
      <w:pPr>
        <w:pStyle w:val="2"/>
        <w:rPr>
          <w:rFonts w:hint="default"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 xml:space="preserve">    电子邮箱：</w:t>
      </w:r>
      <w:r>
        <w:rPr>
          <w:rFonts w:hint="eastAsia" w:ascii="宋体" w:hAnsi="宋体" w:cs="宋体"/>
          <w:spacing w:val="-6"/>
          <w:sz w:val="21"/>
          <w:szCs w:val="21"/>
          <w:lang w:val="en-US" w:eastAsia="zh-CN"/>
        </w:rPr>
        <w:t>/</w:t>
      </w:r>
    </w:p>
    <w:p w14:paraId="3F76F0AC">
      <w:pPr>
        <w:pStyle w:val="2"/>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 xml:space="preserve"> </w:t>
      </w:r>
    </w:p>
    <w:p w14:paraId="2369836A">
      <w:pPr>
        <w:pStyle w:val="2"/>
        <w:rPr>
          <w:rFonts w:hint="eastAsia" w:ascii="宋体" w:hAnsi="宋体" w:eastAsia="宋体" w:cs="宋体"/>
          <w:spacing w:val="-6"/>
          <w:sz w:val="21"/>
          <w:szCs w:val="21"/>
          <w:lang w:val="en-US" w:eastAsia="zh-CN"/>
        </w:rPr>
      </w:pPr>
    </w:p>
    <w:p w14:paraId="37FBA566">
      <w:pPr>
        <w:pStyle w:val="2"/>
        <w:rPr>
          <w:rFonts w:hint="eastAsia" w:ascii="宋体" w:hAnsi="宋体" w:eastAsia="宋体" w:cs="宋体"/>
          <w:spacing w:val="-6"/>
          <w:sz w:val="21"/>
          <w:szCs w:val="21"/>
          <w:lang w:val="en-US" w:eastAsia="zh-CN"/>
        </w:rPr>
      </w:pPr>
    </w:p>
    <w:p w14:paraId="1D4049CE">
      <w:pPr>
        <w:pStyle w:val="2"/>
        <w:rPr>
          <w:rFonts w:hint="eastAsia" w:ascii="宋体" w:hAnsi="宋体" w:eastAsia="宋体" w:cs="宋体"/>
          <w:spacing w:val="-6"/>
          <w:sz w:val="21"/>
          <w:szCs w:val="21"/>
          <w:lang w:val="en-US" w:eastAsia="zh-CN"/>
        </w:rPr>
      </w:pPr>
    </w:p>
    <w:p w14:paraId="08689572">
      <w:pPr>
        <w:pStyle w:val="2"/>
        <w:rPr>
          <w:rFonts w:hint="eastAsia" w:ascii="宋体" w:hAnsi="宋体" w:eastAsia="宋体" w:cs="宋体"/>
          <w:spacing w:val="-6"/>
          <w:sz w:val="21"/>
          <w:szCs w:val="21"/>
          <w:lang w:val="en-US" w:eastAsia="zh-CN"/>
        </w:rPr>
      </w:pPr>
    </w:p>
    <w:p w14:paraId="3858BB64">
      <w:pPr>
        <w:pStyle w:val="2"/>
        <w:rPr>
          <w:rFonts w:hint="eastAsia" w:ascii="宋体" w:hAnsi="宋体" w:eastAsia="宋体" w:cs="宋体"/>
          <w:spacing w:val="-6"/>
          <w:sz w:val="21"/>
          <w:szCs w:val="21"/>
          <w:lang w:val="en-US" w:eastAsia="zh-CN"/>
        </w:rPr>
      </w:pPr>
    </w:p>
    <w:p w14:paraId="696ACE43">
      <w:pPr>
        <w:pStyle w:val="2"/>
        <w:rPr>
          <w:rFonts w:hint="eastAsia" w:ascii="宋体" w:hAnsi="宋体" w:eastAsia="宋体" w:cs="宋体"/>
          <w:spacing w:val="-6"/>
          <w:sz w:val="21"/>
          <w:szCs w:val="21"/>
          <w:lang w:val="en-US" w:eastAsia="zh-CN"/>
        </w:rPr>
      </w:pPr>
    </w:p>
    <w:p w14:paraId="1B433370">
      <w:pPr>
        <w:pStyle w:val="2"/>
        <w:rPr>
          <w:rFonts w:hint="eastAsia" w:ascii="宋体" w:hAnsi="宋体" w:eastAsia="宋体" w:cs="宋体"/>
          <w:spacing w:val="-6"/>
          <w:sz w:val="21"/>
          <w:szCs w:val="21"/>
          <w:lang w:val="en-US" w:eastAsia="zh-CN"/>
        </w:rPr>
      </w:pPr>
    </w:p>
    <w:p w14:paraId="0744F82B">
      <w:pPr>
        <w:pStyle w:val="2"/>
        <w:rPr>
          <w:rFonts w:hint="eastAsia" w:ascii="宋体" w:hAnsi="宋体" w:eastAsia="宋体" w:cs="宋体"/>
          <w:spacing w:val="-6"/>
          <w:sz w:val="21"/>
          <w:szCs w:val="21"/>
          <w:lang w:val="en-US" w:eastAsia="zh-CN"/>
        </w:rPr>
      </w:pPr>
    </w:p>
    <w:p w14:paraId="5EEDB966">
      <w:pPr>
        <w:pStyle w:val="2"/>
        <w:rPr>
          <w:rFonts w:hint="eastAsia" w:ascii="宋体" w:hAnsi="宋体" w:eastAsia="宋体" w:cs="宋体"/>
          <w:spacing w:val="-6"/>
          <w:sz w:val="21"/>
          <w:szCs w:val="21"/>
          <w:lang w:val="en-US" w:eastAsia="zh-CN"/>
        </w:rPr>
      </w:pPr>
    </w:p>
    <w:p w14:paraId="1EE3C647">
      <w:pPr>
        <w:pStyle w:val="2"/>
        <w:rPr>
          <w:rFonts w:hint="eastAsia" w:ascii="宋体" w:hAnsi="宋体" w:eastAsia="宋体" w:cs="宋体"/>
          <w:spacing w:val="-6"/>
          <w:sz w:val="21"/>
          <w:szCs w:val="21"/>
          <w:lang w:val="en-US" w:eastAsia="zh-CN"/>
        </w:rPr>
      </w:pPr>
    </w:p>
    <w:p w14:paraId="44E4E7B4">
      <w:pPr>
        <w:pStyle w:val="2"/>
        <w:rPr>
          <w:rFonts w:hint="eastAsia" w:ascii="宋体" w:hAnsi="宋体" w:eastAsia="宋体" w:cs="宋体"/>
          <w:spacing w:val="-6"/>
          <w:sz w:val="21"/>
          <w:szCs w:val="21"/>
          <w:lang w:val="en-US" w:eastAsia="zh-CN"/>
        </w:rPr>
      </w:pPr>
    </w:p>
    <w:p w14:paraId="64CF4934">
      <w:pPr>
        <w:pStyle w:val="2"/>
        <w:rPr>
          <w:rFonts w:hint="eastAsia" w:ascii="宋体" w:hAnsi="宋体" w:eastAsia="宋体" w:cs="宋体"/>
          <w:spacing w:val="-6"/>
          <w:sz w:val="21"/>
          <w:szCs w:val="21"/>
          <w:lang w:val="en-US" w:eastAsia="zh-CN"/>
        </w:rPr>
      </w:pPr>
    </w:p>
    <w:p w14:paraId="19A1533F">
      <w:pPr>
        <w:pStyle w:val="2"/>
        <w:rPr>
          <w:rFonts w:hint="eastAsia" w:ascii="宋体" w:hAnsi="宋体" w:eastAsia="宋体" w:cs="宋体"/>
          <w:spacing w:val="-6"/>
          <w:sz w:val="21"/>
          <w:szCs w:val="21"/>
          <w:lang w:val="en-US" w:eastAsia="zh-CN"/>
        </w:rPr>
      </w:pPr>
    </w:p>
    <w:p w14:paraId="6AB186F1">
      <w:pPr>
        <w:pStyle w:val="2"/>
        <w:rPr>
          <w:rFonts w:hint="eastAsia" w:ascii="宋体" w:hAnsi="宋体" w:eastAsia="宋体" w:cs="宋体"/>
          <w:spacing w:val="-6"/>
          <w:sz w:val="21"/>
          <w:szCs w:val="21"/>
          <w:lang w:val="en-US" w:eastAsia="zh-CN"/>
        </w:rPr>
      </w:pPr>
    </w:p>
    <w:p w14:paraId="79F15C25">
      <w:pPr>
        <w:pStyle w:val="2"/>
        <w:rPr>
          <w:rFonts w:hint="eastAsia" w:ascii="宋体" w:hAnsi="宋体" w:eastAsia="宋体" w:cs="宋体"/>
          <w:spacing w:val="-6"/>
          <w:sz w:val="21"/>
          <w:szCs w:val="21"/>
          <w:lang w:val="en-US" w:eastAsia="zh-CN"/>
        </w:rPr>
      </w:pPr>
    </w:p>
    <w:p w14:paraId="70046789">
      <w:pPr>
        <w:pStyle w:val="2"/>
        <w:rPr>
          <w:rFonts w:hint="eastAsia" w:ascii="宋体" w:hAnsi="宋体" w:eastAsia="宋体" w:cs="宋体"/>
          <w:spacing w:val="-6"/>
          <w:sz w:val="21"/>
          <w:szCs w:val="21"/>
          <w:lang w:val="en-US" w:eastAsia="zh-CN"/>
        </w:rPr>
      </w:pPr>
    </w:p>
    <w:p w14:paraId="5779B0BC">
      <w:pPr>
        <w:pStyle w:val="2"/>
        <w:rPr>
          <w:rFonts w:hint="eastAsia" w:ascii="宋体" w:hAnsi="宋体" w:eastAsia="宋体" w:cs="宋体"/>
          <w:spacing w:val="-6"/>
          <w:sz w:val="21"/>
          <w:szCs w:val="21"/>
          <w:lang w:val="en-US" w:eastAsia="zh-CN"/>
        </w:rPr>
      </w:pPr>
    </w:p>
    <w:p w14:paraId="6E60A940">
      <w:pPr>
        <w:pStyle w:val="2"/>
        <w:rPr>
          <w:rFonts w:hint="eastAsia" w:ascii="宋体" w:hAnsi="宋体" w:eastAsia="宋体" w:cs="宋体"/>
          <w:spacing w:val="-6"/>
          <w:sz w:val="21"/>
          <w:szCs w:val="21"/>
          <w:lang w:val="en-US" w:eastAsia="zh-CN"/>
        </w:rPr>
      </w:pPr>
    </w:p>
    <w:p w14:paraId="230BAAEC">
      <w:pPr>
        <w:spacing w:line="400" w:lineRule="exact"/>
        <w:ind w:right="-519" w:rightChars="-247"/>
        <w:outlineLvl w:val="0"/>
        <w:rPr>
          <w:rFonts w:hint="default" w:ascii="Times New Roman" w:hAnsi="Times New Roman" w:eastAsia="宋体" w:cs="Times New Roman"/>
          <w:color w:val="auto"/>
          <w:sz w:val="20"/>
          <w:szCs w:val="20"/>
          <w:highlight w:val="none"/>
          <w:lang w:val="en-US" w:eastAsia="zh-CN"/>
        </w:rPr>
      </w:pPr>
      <w:r>
        <w:rPr>
          <w:rFonts w:hint="default" w:ascii="Times New Roman" w:hAnsi="Times New Roman" w:cs="Times New Roman"/>
          <w:bCs/>
          <w:color w:val="auto"/>
          <w:sz w:val="24"/>
          <w:szCs w:val="24"/>
          <w:highlight w:val="none"/>
        </w:rPr>
        <w:t>附件</w:t>
      </w:r>
      <w:r>
        <w:rPr>
          <w:rFonts w:hint="eastAsia" w:ascii="Times New Roman" w:hAnsi="Times New Roman" w:cs="Times New Roman"/>
          <w:bCs/>
          <w:color w:val="auto"/>
          <w:sz w:val="24"/>
          <w:szCs w:val="24"/>
          <w:highlight w:val="none"/>
          <w:lang w:val="en-US" w:eastAsia="zh-CN"/>
        </w:rPr>
        <w:t>3</w:t>
      </w:r>
    </w:p>
    <w:p w14:paraId="0C465E87">
      <w:pPr>
        <w:pStyle w:val="7"/>
        <w:spacing w:line="360" w:lineRule="auto"/>
        <w:ind w:firstLine="0" w:firstLineChars="0"/>
        <w:jc w:val="center"/>
        <w:rPr>
          <w:rFonts w:asciiTheme="minorHAnsi" w:hAnsiTheme="minorHAnsi" w:eastAsiaTheme="minorEastAsia" w:cstheme="minorBidi"/>
          <w:b/>
          <w:bCs/>
          <w:sz w:val="44"/>
          <w:szCs w:val="44"/>
          <w14:ligatures w14:val="standardContextual"/>
        </w:rPr>
      </w:pPr>
      <w:r>
        <w:rPr>
          <w:rFonts w:asciiTheme="minorHAnsi" w:hAnsiTheme="minorHAnsi" w:eastAsiaTheme="minorEastAsia" w:cstheme="minorBidi"/>
          <w:b/>
          <w:bCs/>
          <w:sz w:val="44"/>
          <w:szCs w:val="44"/>
          <w14:ligatures w14:val="standardContextual"/>
        </w:rPr>
        <w:t>南通轨道资源开发有限公司</w:t>
      </w:r>
      <w:r>
        <w:rPr>
          <w:rFonts w:hint="eastAsia" w:asciiTheme="minorHAnsi" w:hAnsiTheme="minorHAnsi" w:eastAsiaTheme="minorEastAsia" w:cstheme="minorBidi"/>
          <w:b/>
          <w:bCs/>
          <w:sz w:val="44"/>
          <w:szCs w:val="44"/>
          <w:lang w:eastAsia="zh-CN"/>
          <w14:ligatures w14:val="standardContextual"/>
        </w:rPr>
        <w:t>（</w:t>
      </w:r>
      <w:r>
        <w:rPr>
          <w:rFonts w:hint="eastAsia" w:asciiTheme="minorHAnsi" w:hAnsiTheme="minorHAnsi" w:eastAsiaTheme="minorEastAsia" w:cstheme="minorBidi"/>
          <w:b/>
          <w:bCs/>
          <w:sz w:val="44"/>
          <w:szCs w:val="44"/>
          <w:lang w:val="en-US" w:eastAsia="zh-CN"/>
          <w14:ligatures w14:val="standardContextual"/>
        </w:rPr>
        <w:t>经营、租赁类</w:t>
      </w:r>
      <w:r>
        <w:rPr>
          <w:rFonts w:hint="eastAsia" w:asciiTheme="minorHAnsi" w:hAnsiTheme="minorHAnsi" w:eastAsiaTheme="minorEastAsia" w:cstheme="minorBidi"/>
          <w:b/>
          <w:bCs/>
          <w:sz w:val="44"/>
          <w:szCs w:val="44"/>
          <w:lang w:eastAsia="zh-CN"/>
          <w14:ligatures w14:val="standardContextual"/>
        </w:rPr>
        <w:t>）</w:t>
      </w:r>
    </w:p>
    <w:p w14:paraId="1CA7C6BC">
      <w:pPr>
        <w:pStyle w:val="7"/>
        <w:spacing w:line="360" w:lineRule="auto"/>
        <w:ind w:firstLine="0" w:firstLineChars="0"/>
        <w:jc w:val="center"/>
        <w:rPr>
          <w:rFonts w:eastAsia="方正仿宋_GBK"/>
          <w:sz w:val="32"/>
        </w:rPr>
      </w:pPr>
      <w:r>
        <w:rPr>
          <w:rFonts w:hint="eastAsia" w:asciiTheme="minorHAnsi" w:hAnsiTheme="minorHAnsi" w:eastAsiaTheme="minorEastAsia" w:cstheme="minorBidi"/>
          <w:b/>
          <w:bCs/>
          <w:sz w:val="44"/>
          <w:szCs w:val="44"/>
          <w14:ligatures w14:val="standardContextual"/>
        </w:rPr>
        <w:t>外单位作业安全、消防、治安管理协议</w:t>
      </w:r>
    </w:p>
    <w:p w14:paraId="3860EBDA">
      <w:pPr>
        <w:adjustRightInd w:val="0"/>
        <w:snapToGrid w:val="0"/>
        <w:spacing w:line="360" w:lineRule="auto"/>
        <w:ind w:firstLine="480" w:firstLineChars="200"/>
        <w:rPr>
          <w:rFonts w:hint="eastAsia" w:ascii="Times New Roman" w:hAnsi="Times New Roman" w:eastAsia="宋体" w:cs="Times New Roman"/>
          <w:sz w:val="24"/>
          <w:szCs w:val="24"/>
          <w14:ligatures w14:val="none"/>
        </w:rPr>
      </w:pPr>
    </w:p>
    <w:p w14:paraId="52EF9EB8">
      <w:pPr>
        <w:adjustRightInd w:val="0"/>
        <w:snapToGrid w:val="0"/>
        <w:spacing w:line="360" w:lineRule="auto"/>
        <w:ind w:firstLine="420" w:firstLineChars="200"/>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甲方：南通轨道资源开发有限公司</w:t>
      </w:r>
    </w:p>
    <w:p w14:paraId="1CDC12B0">
      <w:pPr>
        <w:adjustRightInd w:val="0"/>
        <w:snapToGrid w:val="0"/>
        <w:spacing w:line="360" w:lineRule="auto"/>
        <w:ind w:firstLine="420" w:firstLineChars="200"/>
        <w:rPr>
          <w:rFonts w:hint="eastAsia" w:ascii="Times New Roman" w:hAnsi="Times New Roman" w:eastAsia="宋体" w:cs="Times New Roman"/>
          <w:sz w:val="21"/>
          <w:szCs w:val="21"/>
          <w:lang w:eastAsia="zh-CN"/>
          <w14:ligatures w14:val="none"/>
        </w:rPr>
      </w:pPr>
      <w:r>
        <w:rPr>
          <w:rFonts w:hint="eastAsia" w:ascii="Times New Roman" w:hAnsi="Times New Roman" w:eastAsia="宋体" w:cs="Times New Roman"/>
          <w:sz w:val="21"/>
          <w:szCs w:val="21"/>
          <w14:ligatures w14:val="none"/>
        </w:rPr>
        <w:t>乙方：</w:t>
      </w:r>
    </w:p>
    <w:p w14:paraId="16F9C87C">
      <w:pPr>
        <w:adjustRightInd w:val="0"/>
        <w:snapToGrid w:val="0"/>
        <w:spacing w:line="360" w:lineRule="auto"/>
        <w:ind w:firstLine="420" w:firstLineChars="200"/>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 xml:space="preserve">                    </w:t>
      </w:r>
    </w:p>
    <w:p w14:paraId="1AC3DAA0">
      <w:pPr>
        <w:adjustRightInd w:val="0"/>
        <w:snapToGrid w:val="0"/>
        <w:spacing w:line="360" w:lineRule="auto"/>
        <w:ind w:firstLine="420" w:firstLineChars="200"/>
        <w:rPr>
          <w:rFonts w:hint="eastAsia" w:ascii="Times New Roman" w:hAnsi="Times New Roman" w:eastAsia="宋体" w:cs="Times New Roman"/>
          <w:sz w:val="21"/>
          <w:szCs w:val="21"/>
          <w14:ligatures w14:val="none"/>
        </w:rPr>
      </w:pPr>
    </w:p>
    <w:p w14:paraId="4C7625B3">
      <w:pPr>
        <w:adjustRightInd w:val="0"/>
        <w:snapToGrid w:val="0"/>
        <w:spacing w:line="360" w:lineRule="auto"/>
        <w:ind w:firstLine="420" w:firstLineChars="200"/>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为了进一步贯彻落实“安全第一、预防为主”的安全工作方针，严格执行国家和地方有关安全生产、劳动保护的法律法规和</w:t>
      </w:r>
      <w:r>
        <w:rPr>
          <w:rFonts w:hint="eastAsia" w:ascii="Times New Roman" w:hAnsi="Times New Roman" w:eastAsia="宋体" w:cs="Times New Roman"/>
          <w:sz w:val="21"/>
          <w:szCs w:val="21"/>
          <w:lang w:val="en-US" w:eastAsia="zh-CN"/>
          <w14:ligatures w14:val="none"/>
        </w:rPr>
        <w:t>南通轨道资源开发有限</w:t>
      </w:r>
      <w:r>
        <w:rPr>
          <w:rFonts w:hint="eastAsia" w:ascii="Times New Roman" w:hAnsi="Times New Roman" w:eastAsia="宋体" w:cs="Times New Roman"/>
          <w:sz w:val="21"/>
          <w:szCs w:val="21"/>
          <w14:ligatures w14:val="none"/>
        </w:rPr>
        <w:t>公司各项安全生产管理制度，强化安全生产管理，落实安全生产责任制，规范作业安全管理，保障地铁安全生产，创造安全的经营环境，经双方协商一致，特签订本协议。</w:t>
      </w:r>
    </w:p>
    <w:p w14:paraId="37CED4E8">
      <w:pPr>
        <w:numPr>
          <w:ilvl w:val="0"/>
          <w:numId w:val="7"/>
        </w:numPr>
        <w:adjustRightInd w:val="0"/>
        <w:snapToGrid w:val="0"/>
        <w:spacing w:line="360" w:lineRule="auto"/>
        <w:ind w:left="0" w:leftChars="0" w:firstLine="420" w:firstLineChars="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项目概况：</w:t>
      </w:r>
    </w:p>
    <w:p w14:paraId="4FEF4CDF">
      <w:pPr>
        <w:adjustRightInd w:val="0"/>
        <w:snapToGrid w:val="0"/>
        <w:spacing w:line="360" w:lineRule="auto"/>
        <w:ind w:firstLine="420" w:firstLineChars="200"/>
        <w:rPr>
          <w:rFonts w:hint="default" w:ascii="Times New Roman" w:hAnsi="Times New Roman" w:eastAsia="宋体" w:cs="Times New Roman"/>
          <w:szCs w:val="21"/>
          <w:highlight w:val="none"/>
          <w:lang w:val="en-US" w:eastAsia="zh-CN"/>
        </w:rPr>
      </w:pPr>
      <w:r>
        <w:rPr>
          <w:rFonts w:ascii="Times New Roman" w:hAnsi="Times New Roman" w:eastAsia="宋体" w:cs="Times New Roman"/>
          <w:sz w:val="21"/>
          <w:szCs w:val="21"/>
          <w14:ligatures w14:val="none"/>
        </w:rPr>
        <w:t>项目名称：</w:t>
      </w:r>
      <w:r>
        <w:rPr>
          <w:rFonts w:hint="default" w:ascii="Times New Roman" w:hAnsi="Times New Roman" w:cs="Times New Roman"/>
          <w:szCs w:val="21"/>
          <w:highlight w:val="none"/>
        </w:rPr>
        <w:t>南通轨道交通1号线一期工程</w:t>
      </w:r>
      <w:r>
        <w:rPr>
          <w:rFonts w:hint="eastAsia" w:ascii="Times New Roman" w:hAnsi="Times New Roman" w:cs="Times New Roman"/>
          <w:sz w:val="21"/>
          <w:szCs w:val="21"/>
          <w:lang w:val="en-US" w:eastAsia="zh-CN"/>
          <w14:ligatures w14:val="none"/>
        </w:rPr>
        <w:t>图书馆站地下</w:t>
      </w:r>
      <w:r>
        <w:rPr>
          <w:rFonts w:hint="eastAsia" w:ascii="Times New Roman" w:hAnsi="Times New Roman" w:cs="Times New Roman"/>
          <w:szCs w:val="21"/>
          <w:highlight w:val="none"/>
          <w:lang w:val="en-US" w:eastAsia="zh-CN"/>
        </w:rPr>
        <w:t>附属空间项目</w:t>
      </w:r>
    </w:p>
    <w:p w14:paraId="6D0DE04E">
      <w:pPr>
        <w:adjustRightInd w:val="0"/>
        <w:snapToGrid w:val="0"/>
        <w:spacing w:line="360" w:lineRule="auto"/>
        <w:ind w:firstLine="420" w:firstLineChars="200"/>
        <w:rPr>
          <w:rFonts w:hint="eastAsia" w:ascii="Times New Roman" w:hAnsi="Times New Roman" w:eastAsia="宋体" w:cs="Times New Roman"/>
          <w:sz w:val="21"/>
          <w:szCs w:val="21"/>
          <w:lang w:eastAsia="zh-CN"/>
          <w14:ligatures w14:val="none"/>
        </w:rPr>
      </w:pPr>
      <w:r>
        <w:rPr>
          <w:rFonts w:ascii="Times New Roman" w:hAnsi="Times New Roman" w:eastAsia="宋体" w:cs="Times New Roman"/>
          <w:sz w:val="21"/>
          <w:szCs w:val="21"/>
          <w14:ligatures w14:val="none"/>
        </w:rPr>
        <w:t>项目负责人：</w:t>
      </w:r>
      <w:r>
        <w:rPr>
          <w:rFonts w:hint="eastAsia" w:ascii="Times New Roman" w:hAnsi="Times New Roman" w:eastAsia="宋体" w:cs="Times New Roman"/>
          <w:sz w:val="21"/>
          <w:szCs w:val="21"/>
          <w:lang w:val="en-US" w:eastAsia="zh-CN"/>
          <w14:ligatures w14:val="none"/>
        </w:rPr>
        <w:t xml:space="preserve"> </w:t>
      </w:r>
    </w:p>
    <w:p w14:paraId="54E69343">
      <w:pPr>
        <w:adjustRightInd w:val="0"/>
        <w:snapToGrid w:val="0"/>
        <w:spacing w:line="360" w:lineRule="auto"/>
        <w:ind w:firstLine="420" w:firstLineChars="200"/>
        <w:rPr>
          <w:rFonts w:hint="default" w:ascii="Times New Roman" w:hAnsi="Times New Roman" w:eastAsia="宋体" w:cs="Times New Roman"/>
          <w:sz w:val="21"/>
          <w:szCs w:val="21"/>
          <w:lang w:val="en-US" w:eastAsia="zh-CN"/>
          <w14:ligatures w14:val="none"/>
        </w:rPr>
      </w:pPr>
      <w:r>
        <w:rPr>
          <w:rFonts w:ascii="Times New Roman" w:hAnsi="Times New Roman" w:eastAsia="宋体" w:cs="Times New Roman"/>
          <w:sz w:val="21"/>
          <w:szCs w:val="21"/>
          <w14:ligatures w14:val="none"/>
        </w:rPr>
        <w:t>项目地点：</w:t>
      </w:r>
      <w:r>
        <w:rPr>
          <w:rFonts w:hint="eastAsia" w:ascii="Times New Roman" w:hAnsi="Times New Roman" w:cs="Times New Roman"/>
          <w:sz w:val="21"/>
          <w:szCs w:val="21"/>
          <w:lang w:val="en-US" w:eastAsia="zh-CN"/>
          <w14:ligatures w14:val="none"/>
        </w:rPr>
        <w:t>图书馆站2号商铺</w:t>
      </w:r>
    </w:p>
    <w:p w14:paraId="07079709">
      <w:pPr>
        <w:adjustRightInd w:val="0"/>
        <w:snapToGrid w:val="0"/>
        <w:spacing w:line="360" w:lineRule="auto"/>
        <w:ind w:firstLine="420" w:firstLineChars="200"/>
        <w:rPr>
          <w:rFonts w:hint="default" w:ascii="Times New Roman" w:hAnsi="Times New Roman" w:eastAsia="宋体" w:cs="Times New Roman"/>
          <w:sz w:val="21"/>
          <w:szCs w:val="21"/>
          <w:lang w:val="en-US" w:eastAsia="zh-CN"/>
          <w14:ligatures w14:val="none"/>
        </w:rPr>
      </w:pPr>
      <w:r>
        <w:rPr>
          <w:rFonts w:hint="eastAsia" w:ascii="Times New Roman" w:hAnsi="Times New Roman" w:eastAsia="宋体" w:cs="Times New Roman"/>
          <w:sz w:val="21"/>
          <w:szCs w:val="21"/>
          <w:lang w:val="en-US" w:eastAsia="zh-CN"/>
          <w14:ligatures w14:val="none"/>
        </w:rPr>
        <w:t>作业内容：</w:t>
      </w:r>
      <w:r>
        <w:rPr>
          <w:rFonts w:hint="eastAsia" w:ascii="Times New Roman" w:hAnsi="Times New Roman" w:cs="Times New Roman"/>
          <w:sz w:val="21"/>
          <w:szCs w:val="21"/>
          <w:lang w:val="en-US" w:eastAsia="zh-CN"/>
          <w14:ligatures w14:val="none"/>
        </w:rPr>
        <w:t>经营</w:t>
      </w:r>
    </w:p>
    <w:p w14:paraId="0381329F">
      <w:pPr>
        <w:adjustRightInd w:val="0"/>
        <w:snapToGrid w:val="0"/>
        <w:spacing w:line="360" w:lineRule="auto"/>
        <w:ind w:firstLine="420" w:firstLineChars="200"/>
        <w:rPr>
          <w:rFonts w:hint="default" w:ascii="Times New Roman" w:hAnsi="Times New Roman" w:eastAsia="宋体" w:cs="Times New Roman"/>
          <w:sz w:val="21"/>
          <w:szCs w:val="21"/>
          <w:lang w:val="en-US" w:eastAsia="zh-CN"/>
          <w14:ligatures w14:val="none"/>
        </w:rPr>
      </w:pPr>
      <w:r>
        <w:rPr>
          <w:rFonts w:hint="eastAsia" w:ascii="Times New Roman" w:hAnsi="Times New Roman" w:eastAsia="宋体" w:cs="Times New Roman"/>
          <w:sz w:val="21"/>
          <w:szCs w:val="21"/>
          <w:lang w:val="en-US" w:eastAsia="zh-CN"/>
          <w14:ligatures w14:val="none"/>
        </w:rPr>
        <w:t>作业范围：</w:t>
      </w:r>
      <w:r>
        <w:rPr>
          <w:rFonts w:hint="eastAsia" w:ascii="Times New Roman" w:hAnsi="Times New Roman" w:cs="Times New Roman"/>
          <w:sz w:val="21"/>
          <w:szCs w:val="21"/>
          <w:lang w:val="en-US" w:eastAsia="zh-CN"/>
          <w14:ligatures w14:val="none"/>
        </w:rPr>
        <w:t>/</w:t>
      </w:r>
    </w:p>
    <w:p w14:paraId="1D5A2F94">
      <w:pPr>
        <w:adjustRightInd w:val="0"/>
        <w:snapToGrid w:val="0"/>
        <w:spacing w:line="360" w:lineRule="auto"/>
        <w:ind w:firstLine="420" w:firstLineChars="200"/>
        <w:rPr>
          <w:rFonts w:hint="default" w:ascii="Times New Roman" w:hAnsi="Times New Roman" w:eastAsia="宋体" w:cs="Times New Roman"/>
          <w:sz w:val="21"/>
          <w:szCs w:val="21"/>
          <w:lang w:val="en-US" w:eastAsia="zh-CN"/>
          <w14:ligatures w14:val="none"/>
        </w:rPr>
      </w:pPr>
      <w:r>
        <w:rPr>
          <w:rFonts w:hint="eastAsia" w:ascii="Times New Roman" w:hAnsi="Times New Roman" w:eastAsia="宋体" w:cs="Times New Roman"/>
          <w:sz w:val="21"/>
          <w:szCs w:val="21"/>
          <w:lang w:val="en-US" w:eastAsia="zh-CN"/>
          <w14:ligatures w14:val="none"/>
        </w:rPr>
        <w:t>作业期限：</w:t>
      </w:r>
      <w:r>
        <w:rPr>
          <w:rFonts w:hint="eastAsia" w:ascii="Times New Roman" w:hAnsi="Times New Roman" w:cs="Times New Roman"/>
          <w:sz w:val="21"/>
          <w:szCs w:val="21"/>
          <w:lang w:val="en-US" w:eastAsia="zh-CN"/>
          <w14:ligatures w14:val="none"/>
        </w:rPr>
        <w:t>3年</w:t>
      </w:r>
    </w:p>
    <w:p w14:paraId="4C7FE457">
      <w:pPr>
        <w:numPr>
          <w:ilvl w:val="0"/>
          <w:numId w:val="7"/>
        </w:numPr>
        <w:adjustRightInd w:val="0"/>
        <w:snapToGrid w:val="0"/>
        <w:spacing w:line="360" w:lineRule="auto"/>
        <w:ind w:left="0" w:leftChars="0" w:firstLine="420" w:firstLineChars="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安全目标：</w:t>
      </w:r>
    </w:p>
    <w:p w14:paraId="556622F8">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不发生生产安全死亡事故及重伤事故。</w:t>
      </w:r>
    </w:p>
    <w:p w14:paraId="1FAFCA7A">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不发生由政府相关部门负责调查处理的火灾（爆炸）事故。</w:t>
      </w:r>
    </w:p>
    <w:p w14:paraId="5C7463A4">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不发生中毒、污染事故。</w:t>
      </w:r>
    </w:p>
    <w:p w14:paraId="12A24877">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不发生产生重大影响的社会安全事件和公共卫生事件。</w:t>
      </w:r>
    </w:p>
    <w:p w14:paraId="5113BDDA">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lang w:val="en-US" w:eastAsia="zh-CN"/>
          <w14:ligatures w14:val="none"/>
        </w:rPr>
        <w:t>杜绝严重违章违纪行为。</w:t>
      </w:r>
    </w:p>
    <w:p w14:paraId="67D1019D">
      <w:pPr>
        <w:numPr>
          <w:ilvl w:val="0"/>
          <w:numId w:val="7"/>
        </w:numPr>
        <w:adjustRightInd w:val="0"/>
        <w:snapToGrid w:val="0"/>
        <w:spacing w:line="360" w:lineRule="auto"/>
        <w:ind w:left="0" w:leftChars="0" w:firstLine="420" w:firstLineChars="0"/>
        <w:rPr>
          <w:rFonts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甲方安全责任和义务</w:t>
      </w:r>
    </w:p>
    <w:p w14:paraId="406804C6">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甲方应向乙方提供必要的技术或相关资料</w:t>
      </w:r>
      <w:r>
        <w:rPr>
          <w:rFonts w:hint="eastAsia" w:ascii="Times New Roman" w:hAnsi="Times New Roman" w:eastAsia="宋体" w:cs="Times New Roman"/>
          <w:sz w:val="21"/>
          <w:szCs w:val="21"/>
          <w:lang w:eastAsia="zh-CN"/>
          <w14:ligatures w14:val="none"/>
        </w:rPr>
        <w:t>。</w:t>
      </w:r>
    </w:p>
    <w:p w14:paraId="15A83581">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甲方应对乙方的安全生产工作统一协调、管理，定期进行安全检查并记录。</w:t>
      </w:r>
    </w:p>
    <w:p w14:paraId="017F387B">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甲方</w:t>
      </w:r>
      <w:r>
        <w:rPr>
          <w:rFonts w:hint="eastAsia" w:ascii="Times New Roman" w:hAnsi="Times New Roman" w:eastAsia="宋体" w:cs="Times New Roman"/>
          <w:sz w:val="21"/>
          <w:szCs w:val="21"/>
          <w:lang w:val="en-US" w:eastAsia="zh-CN"/>
          <w14:ligatures w14:val="none"/>
        </w:rPr>
        <w:t>有权</w:t>
      </w:r>
      <w:r>
        <w:rPr>
          <w:rFonts w:hint="eastAsia" w:ascii="Times New Roman" w:hAnsi="Times New Roman" w:eastAsia="宋体" w:cs="Times New Roman"/>
          <w:sz w:val="21"/>
          <w:szCs w:val="21"/>
          <w14:ligatures w14:val="none"/>
        </w:rPr>
        <w:t>督促乙方开展安全</w:t>
      </w:r>
      <w:r>
        <w:rPr>
          <w:rFonts w:hint="eastAsia" w:ascii="Times New Roman" w:hAnsi="Times New Roman" w:eastAsia="宋体" w:cs="Times New Roman"/>
          <w:sz w:val="21"/>
          <w:szCs w:val="21"/>
          <w:lang w:val="en-US" w:eastAsia="zh-CN"/>
          <w14:ligatures w14:val="none"/>
        </w:rPr>
        <w:t>生产</w:t>
      </w:r>
      <w:r>
        <w:rPr>
          <w:rFonts w:hint="eastAsia" w:ascii="Times New Roman" w:hAnsi="Times New Roman" w:eastAsia="宋体" w:cs="Times New Roman"/>
          <w:sz w:val="21"/>
          <w:szCs w:val="21"/>
          <w14:ligatures w14:val="none"/>
        </w:rPr>
        <w:t>活动，及时传达和部署上级的有关安全生产精神和要求，加强安全生产的指导和协调。</w:t>
      </w:r>
    </w:p>
    <w:p w14:paraId="7B795981">
      <w:pPr>
        <w:keepNext w:val="0"/>
        <w:keepLines w:val="0"/>
        <w:pageBreakBefore w:val="0"/>
        <w:widowControl w:val="0"/>
        <w:numPr>
          <w:ilvl w:val="0"/>
          <w:numId w:val="9"/>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甲方</w:t>
      </w:r>
      <w:r>
        <w:rPr>
          <w:rFonts w:hint="eastAsia" w:ascii="Times New Roman" w:hAnsi="Times New Roman" w:eastAsia="宋体" w:cs="Times New Roman"/>
          <w:sz w:val="21"/>
          <w:szCs w:val="21"/>
          <w:lang w:val="en-US" w:eastAsia="zh-CN"/>
          <w14:ligatures w14:val="none"/>
        </w:rPr>
        <w:t>有权</w:t>
      </w:r>
      <w:r>
        <w:rPr>
          <w:rFonts w:hint="eastAsia" w:ascii="Times New Roman" w:hAnsi="Times New Roman" w:eastAsia="宋体" w:cs="Times New Roman"/>
          <w:sz w:val="21"/>
          <w:szCs w:val="21"/>
          <w14:ligatures w14:val="none"/>
        </w:rPr>
        <w:t>对乙方安全</w:t>
      </w:r>
      <w:r>
        <w:rPr>
          <w:rFonts w:hint="eastAsia" w:ascii="Times New Roman" w:hAnsi="Times New Roman" w:eastAsia="宋体" w:cs="Times New Roman"/>
          <w:sz w:val="21"/>
          <w:szCs w:val="21"/>
          <w:lang w:val="en-US" w:eastAsia="zh-CN"/>
          <w14:ligatures w14:val="none"/>
        </w:rPr>
        <w:t>生产</w:t>
      </w:r>
      <w:r>
        <w:rPr>
          <w:rFonts w:hint="eastAsia" w:ascii="Times New Roman" w:hAnsi="Times New Roman" w:eastAsia="宋体" w:cs="Times New Roman"/>
          <w:sz w:val="21"/>
          <w:szCs w:val="21"/>
          <w14:ligatures w14:val="none"/>
        </w:rPr>
        <w:t>管理情况进行监督检查，对发现的不合格项甲方有权制止、责成其限期整改。因乙方的过失造成的经济损失由乙方承担。</w:t>
      </w:r>
    </w:p>
    <w:p w14:paraId="461A3298">
      <w:pPr>
        <w:numPr>
          <w:ilvl w:val="0"/>
          <w:numId w:val="7"/>
        </w:numPr>
        <w:adjustRightInd w:val="0"/>
        <w:snapToGrid w:val="0"/>
        <w:spacing w:line="360" w:lineRule="auto"/>
        <w:ind w:left="0" w:leftChars="0" w:firstLine="420" w:firstLineChars="0"/>
        <w:rPr>
          <w:rFonts w:ascii="Times New Roman" w:hAnsi="Times New Roman" w:eastAsia="宋体" w:cs="Times New Roman"/>
          <w:b/>
          <w:bCs/>
          <w:sz w:val="21"/>
          <w:szCs w:val="21"/>
          <w14:ligatures w14:val="none"/>
        </w:rPr>
      </w:pPr>
      <w:r>
        <w:rPr>
          <w:rFonts w:ascii="Times New Roman" w:hAnsi="Times New Roman" w:eastAsia="宋体" w:cs="Times New Roman"/>
          <w:b/>
          <w:bCs/>
          <w:sz w:val="21"/>
          <w:szCs w:val="21"/>
          <w14:ligatures w14:val="none"/>
        </w:rPr>
        <w:t>乙方安全责任和义务</w:t>
      </w:r>
    </w:p>
    <w:p w14:paraId="45F239D2">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lang w:val="en-US" w:eastAsia="zh-CN"/>
          <w14:ligatures w14:val="none"/>
        </w:rPr>
        <w:t>乙方明确项目安全负责人为：</w:t>
      </w:r>
      <w:r>
        <w:rPr>
          <w:rFonts w:hint="eastAsia" w:ascii="Times New Roman" w:hAnsi="Times New Roman" w:cs="Times New Roman"/>
          <w:sz w:val="21"/>
          <w:szCs w:val="21"/>
          <w:u w:val="single"/>
          <w:lang w:val="en-US" w:eastAsia="zh-CN"/>
          <w14:ligatures w14:val="none"/>
        </w:rPr>
        <w:t xml:space="preserve">    </w:t>
      </w:r>
      <w:r>
        <w:rPr>
          <w:rFonts w:hint="eastAsia" w:ascii="Times New Roman" w:hAnsi="Times New Roman" w:eastAsia="宋体" w:cs="Times New Roman"/>
          <w:sz w:val="21"/>
          <w:szCs w:val="21"/>
          <w:lang w:val="en-US" w:eastAsia="zh-CN"/>
          <w14:ligatures w14:val="none"/>
        </w:rPr>
        <w:t>，身份证号码：</w:t>
      </w:r>
      <w:r>
        <w:rPr>
          <w:rFonts w:hint="eastAsia" w:ascii="Times New Roman" w:hAnsi="Times New Roman" w:eastAsia="宋体" w:cs="Times New Roman"/>
          <w:sz w:val="21"/>
          <w:szCs w:val="21"/>
          <w:u w:val="single"/>
          <w:lang w:val="en-US" w:eastAsia="zh-CN"/>
          <w14:ligatures w14:val="none"/>
        </w:rPr>
        <w:t xml:space="preserve"> </w:t>
      </w:r>
      <w:r>
        <w:rPr>
          <w:rFonts w:hint="eastAsia" w:ascii="Times New Roman" w:hAnsi="Times New Roman" w:cs="Times New Roman"/>
          <w:sz w:val="21"/>
          <w:szCs w:val="21"/>
          <w:u w:val="single"/>
          <w:lang w:val="en-US" w:eastAsia="zh-CN"/>
          <w14:ligatures w14:val="none"/>
        </w:rPr>
        <w:t xml:space="preserve">      </w:t>
      </w:r>
      <w:r>
        <w:rPr>
          <w:rFonts w:hint="eastAsia" w:ascii="Times New Roman" w:hAnsi="Times New Roman" w:eastAsia="宋体" w:cs="Times New Roman"/>
          <w:sz w:val="21"/>
          <w:szCs w:val="21"/>
          <w:lang w:val="en-US" w:eastAsia="zh-CN"/>
          <w14:ligatures w14:val="none"/>
        </w:rPr>
        <w:t>。电话：</w:t>
      </w:r>
      <w:r>
        <w:rPr>
          <w:rFonts w:hint="eastAsia" w:ascii="Times New Roman" w:hAnsi="Times New Roman" w:eastAsia="宋体" w:cs="Times New Roman"/>
          <w:sz w:val="21"/>
          <w:szCs w:val="21"/>
          <w:u w:val="single"/>
          <w:lang w:val="en-US" w:eastAsia="zh-CN"/>
          <w14:ligatures w14:val="none"/>
        </w:rPr>
        <w:t xml:space="preserve"> </w:t>
      </w:r>
      <w:r>
        <w:rPr>
          <w:rFonts w:hint="eastAsia" w:ascii="Times New Roman" w:hAnsi="Times New Roman" w:cs="Times New Roman"/>
          <w:sz w:val="21"/>
          <w:szCs w:val="21"/>
          <w:u w:val="single"/>
          <w:lang w:val="en-US" w:eastAsia="zh-CN"/>
          <w14:ligatures w14:val="none"/>
        </w:rPr>
        <w:t xml:space="preserve">      </w:t>
      </w:r>
      <w:r>
        <w:rPr>
          <w:rFonts w:hint="eastAsia" w:ascii="Times New Roman" w:hAnsi="Times New Roman" w:eastAsia="宋体" w:cs="Times New Roman"/>
          <w:sz w:val="21"/>
          <w:szCs w:val="21"/>
          <w:lang w:val="en-US" w:eastAsia="zh-CN"/>
          <w14:ligatures w14:val="none"/>
        </w:rPr>
        <w:t>。</w:t>
      </w:r>
    </w:p>
    <w:p w14:paraId="4EAAC848">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安全生产坚持“谁主管，谁负责”的原则，乙方必须履行甲方各项安全生产管理规章制度，对违反相关安全管理制度和规章，造成事件和不良事件的，乙方承担相应责任。</w:t>
      </w:r>
    </w:p>
    <w:p w14:paraId="5117E842">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乙方在作业前须认真学习《</w:t>
      </w:r>
      <w:r>
        <w:rPr>
          <w:rFonts w:hint="eastAsia" w:ascii="Times New Roman" w:hAnsi="Times New Roman" w:eastAsia="宋体" w:cs="Times New Roman"/>
          <w:sz w:val="21"/>
          <w:szCs w:val="21"/>
          <w:lang w:val="en-US" w:eastAsia="zh-CN"/>
          <w14:ligatures w14:val="none"/>
        </w:rPr>
        <w:t>南通轨道资源开发有限公司安全生产</w:t>
      </w:r>
      <w:r>
        <w:rPr>
          <w:rFonts w:hint="eastAsia" w:ascii="Times New Roman" w:hAnsi="Times New Roman" w:eastAsia="宋体" w:cs="Times New Roman"/>
          <w:sz w:val="21"/>
          <w:szCs w:val="21"/>
          <w14:ligatures w14:val="none"/>
        </w:rPr>
        <w:t>管理办法》《南通轨道资源开发有限公司外单位作业安全管理办法》</w:t>
      </w:r>
      <w:r>
        <w:rPr>
          <w:rFonts w:hint="eastAsia" w:ascii="Times New Roman" w:hAnsi="Times New Roman" w:eastAsia="宋体" w:cs="Times New Roman"/>
          <w:sz w:val="21"/>
          <w:szCs w:val="21"/>
          <w:lang w:eastAsia="zh-CN"/>
          <w14:ligatures w14:val="none"/>
        </w:rPr>
        <w:t>《南通轨道资源开发有限公司特种作业管理制度》</w:t>
      </w:r>
      <w:r>
        <w:rPr>
          <w:rFonts w:hint="eastAsia" w:ascii="Times New Roman" w:hAnsi="Times New Roman" w:eastAsia="宋体" w:cs="Times New Roman"/>
          <w:sz w:val="21"/>
          <w:szCs w:val="21"/>
          <w14:ligatures w14:val="none"/>
        </w:rPr>
        <w:t>以及相关安全生产管理规定，并遵照规定要求执行</w:t>
      </w:r>
      <w:r>
        <w:rPr>
          <w:rFonts w:hint="eastAsia" w:ascii="Times New Roman" w:hAnsi="Times New Roman" w:eastAsia="宋体" w:cs="Times New Roman"/>
          <w:sz w:val="21"/>
          <w:szCs w:val="21"/>
          <w:lang w:eastAsia="zh-CN"/>
          <w14:ligatures w14:val="none"/>
        </w:rPr>
        <w:t>，</w:t>
      </w:r>
      <w:r>
        <w:rPr>
          <w:rFonts w:ascii="Times New Roman" w:hAnsi="Times New Roman" w:eastAsia="宋体" w:cs="Times New Roman"/>
          <w:sz w:val="21"/>
          <w:szCs w:val="21"/>
          <w14:ligatures w14:val="none"/>
        </w:rPr>
        <w:t>及时宣贯落实甲方管理要求，加强自身安全生产管理，履行自身的安全义务。</w:t>
      </w:r>
    </w:p>
    <w:p w14:paraId="44277488">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乙方应自觉遵守国家</w:t>
      </w:r>
      <w:r>
        <w:rPr>
          <w:rFonts w:hint="eastAsia" w:ascii="Times New Roman" w:hAnsi="Times New Roman" w:eastAsia="宋体" w:cs="Times New Roman"/>
          <w:sz w:val="21"/>
          <w:szCs w:val="21"/>
          <w:lang w:val="en-US" w:eastAsia="zh-CN"/>
          <w14:ligatures w14:val="none"/>
        </w:rPr>
        <w:t>和地方</w:t>
      </w:r>
      <w:r>
        <w:rPr>
          <w:rFonts w:ascii="Times New Roman" w:hAnsi="Times New Roman" w:eastAsia="宋体" w:cs="Times New Roman"/>
          <w:sz w:val="21"/>
          <w:szCs w:val="21"/>
          <w14:ligatures w14:val="none"/>
        </w:rPr>
        <w:t>有关安全生产的各项</w:t>
      </w:r>
      <w:r>
        <w:rPr>
          <w:rFonts w:hint="eastAsia" w:ascii="Times New Roman" w:hAnsi="Times New Roman" w:eastAsia="宋体" w:cs="Times New Roman"/>
          <w:sz w:val="21"/>
          <w:szCs w:val="21"/>
          <w:lang w:val="en-US" w:eastAsia="zh-CN"/>
          <w14:ligatures w14:val="none"/>
        </w:rPr>
        <w:t>规定和有关安全生产的法律法规，加强作业安全管理，履行安全管理责任，切实保障安全。</w:t>
      </w:r>
    </w:p>
    <w:p w14:paraId="099A5662">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lang w:val="en-US" w:eastAsia="zh-CN"/>
          <w14:ligatures w14:val="none"/>
        </w:rPr>
        <w:t>乙方承诺其具备符合本项目需要的安全生产相关资质和条件，在签订本协议前书面提交相关资质、安全生产条件、特种作业人员资格等信息至甲方审核。</w:t>
      </w:r>
    </w:p>
    <w:p w14:paraId="41B85870">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lang w:val="en-US" w:eastAsia="zh-CN"/>
          <w14:ligatures w14:val="none"/>
        </w:rPr>
        <w:t>乙方</w:t>
      </w:r>
      <w:r>
        <w:rPr>
          <w:rFonts w:hint="eastAsia" w:ascii="Times New Roman" w:hAnsi="Times New Roman" w:eastAsia="宋体" w:cs="Times New Roman"/>
          <w:sz w:val="21"/>
          <w:szCs w:val="21"/>
          <w14:ligatures w14:val="none"/>
        </w:rPr>
        <w:t>安全管理人员应经</w:t>
      </w:r>
      <w:r>
        <w:rPr>
          <w:rFonts w:hint="eastAsia" w:ascii="Times New Roman" w:hAnsi="Times New Roman" w:eastAsia="宋体" w:cs="Times New Roman"/>
          <w:sz w:val="21"/>
          <w:szCs w:val="21"/>
          <w:lang w:eastAsia="zh-CN"/>
          <w14:ligatures w14:val="none"/>
        </w:rPr>
        <w:t>南通轨道资源开发有限公司</w:t>
      </w:r>
      <w:r>
        <w:rPr>
          <w:rFonts w:hint="eastAsia" w:ascii="Times New Roman" w:hAnsi="Times New Roman" w:eastAsia="宋体" w:cs="Times New Roman"/>
          <w:sz w:val="21"/>
          <w:szCs w:val="21"/>
          <w14:ligatures w14:val="none"/>
        </w:rPr>
        <w:t>的安全管理培训</w:t>
      </w:r>
      <w:r>
        <w:rPr>
          <w:rFonts w:hint="eastAsia" w:ascii="Times New Roman" w:hAnsi="Times New Roman" w:eastAsia="宋体" w:cs="Times New Roman"/>
          <w:sz w:val="21"/>
          <w:szCs w:val="21"/>
          <w:lang w:eastAsia="zh-CN"/>
          <w14:ligatures w14:val="none"/>
        </w:rPr>
        <w:t>。</w:t>
      </w:r>
    </w:p>
    <w:p w14:paraId="65FC4D9C">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乙方必须对乙方各岗位人员进行安全教育培训</w:t>
      </w:r>
      <w:r>
        <w:rPr>
          <w:rFonts w:hint="eastAsia" w:ascii="Times New Roman" w:hAnsi="Times New Roman" w:eastAsia="宋体" w:cs="Times New Roman"/>
          <w:sz w:val="21"/>
          <w:szCs w:val="21"/>
          <w:lang w:val="en-US" w:eastAsia="zh-CN"/>
          <w14:ligatures w14:val="none"/>
        </w:rPr>
        <w:t>和演练</w:t>
      </w:r>
      <w:r>
        <w:rPr>
          <w:rFonts w:ascii="Times New Roman" w:hAnsi="Times New Roman" w:eastAsia="宋体" w:cs="Times New Roman"/>
          <w:sz w:val="21"/>
          <w:szCs w:val="21"/>
          <w14:ligatures w14:val="none"/>
        </w:rPr>
        <w:t>，</w:t>
      </w:r>
      <w:r>
        <w:rPr>
          <w:rFonts w:hint="eastAsia" w:ascii="Times New Roman" w:hAnsi="Times New Roman" w:eastAsia="宋体" w:cs="Times New Roman"/>
          <w:sz w:val="21"/>
          <w:szCs w:val="21"/>
          <w:lang w:val="en-US" w:eastAsia="zh-CN"/>
          <w14:ligatures w14:val="none"/>
        </w:rPr>
        <w:t>并做好记录，</w:t>
      </w:r>
      <w:r>
        <w:rPr>
          <w:rFonts w:ascii="Times New Roman" w:hAnsi="Times New Roman" w:eastAsia="宋体" w:cs="Times New Roman"/>
          <w:sz w:val="21"/>
          <w:szCs w:val="21"/>
          <w14:ligatures w14:val="none"/>
        </w:rPr>
        <w:t>保证相关人员具备安全生产知识，熟悉安全生产规章制度和安全操作规程，掌握本岗位的安全操作技能</w:t>
      </w:r>
      <w:r>
        <w:rPr>
          <w:rFonts w:hint="eastAsia" w:ascii="Times New Roman" w:hAnsi="Times New Roman" w:eastAsia="宋体" w:cs="Times New Roman"/>
          <w:sz w:val="21"/>
          <w:szCs w:val="21"/>
          <w:lang w:eastAsia="zh-CN"/>
          <w14:ligatures w14:val="none"/>
        </w:rPr>
        <w:t>、</w:t>
      </w:r>
      <w:r>
        <w:rPr>
          <w:rFonts w:hint="eastAsia" w:ascii="Times New Roman" w:hAnsi="Times New Roman" w:eastAsia="宋体" w:cs="Times New Roman"/>
          <w:sz w:val="21"/>
          <w:szCs w:val="21"/>
          <w:lang w:val="en-US" w:eastAsia="zh-CN"/>
          <w14:ligatures w14:val="none"/>
        </w:rPr>
        <w:t>应急处理和疏散能力</w:t>
      </w:r>
      <w:r>
        <w:rPr>
          <w:rFonts w:ascii="Times New Roman" w:hAnsi="Times New Roman" w:eastAsia="宋体" w:cs="Times New Roman"/>
          <w:sz w:val="21"/>
          <w:szCs w:val="21"/>
          <w14:ligatures w14:val="none"/>
        </w:rPr>
        <w:t>，了解事故（事件）应急处理措施。</w:t>
      </w:r>
    </w:p>
    <w:p w14:paraId="371EE8C2">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lang w:val="en-US" w:eastAsia="zh-CN"/>
          <w14:ligatures w14:val="none"/>
        </w:rPr>
        <w:t>乙方</w:t>
      </w:r>
      <w:r>
        <w:rPr>
          <w:rFonts w:hint="eastAsia" w:ascii="Times New Roman" w:hAnsi="Times New Roman" w:eastAsia="宋体" w:cs="Times New Roman"/>
          <w:sz w:val="21"/>
          <w:szCs w:val="21"/>
          <w14:ligatures w14:val="none"/>
        </w:rPr>
        <w:t>在签订安全协议前应提交经甲方确认的作业方案</w:t>
      </w:r>
      <w:r>
        <w:rPr>
          <w:rFonts w:hint="eastAsia" w:ascii="Times New Roman" w:hAnsi="Times New Roman" w:eastAsia="宋体" w:cs="Times New Roman"/>
          <w:sz w:val="21"/>
          <w:szCs w:val="21"/>
          <w:lang w:eastAsia="zh-CN"/>
          <w14:ligatures w14:val="none"/>
        </w:rPr>
        <w:t>。</w:t>
      </w:r>
    </w:p>
    <w:p w14:paraId="49951DB8">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lang w:val="en-US" w:eastAsia="zh-CN"/>
          <w14:ligatures w14:val="none"/>
        </w:rPr>
      </w:pPr>
      <w:r>
        <w:rPr>
          <w:rFonts w:hint="eastAsia" w:ascii="Times New Roman" w:hAnsi="Times New Roman" w:eastAsia="宋体" w:cs="Times New Roman"/>
          <w:sz w:val="21"/>
          <w:szCs w:val="21"/>
          <w:lang w:val="en-US" w:eastAsia="zh-CN"/>
          <w14:ligatures w14:val="none"/>
        </w:rPr>
        <w:t>对</w:t>
      </w:r>
      <w:r>
        <w:rPr>
          <w:rFonts w:hint="eastAsia" w:ascii="Times New Roman" w:hAnsi="Times New Roman" w:eastAsia="宋体" w:cs="Times New Roman"/>
          <w:sz w:val="21"/>
          <w:szCs w:val="21"/>
          <w14:ligatures w14:val="none"/>
        </w:rPr>
        <w:t>甲方检查</w:t>
      </w:r>
      <w:r>
        <w:rPr>
          <w:rFonts w:hint="eastAsia" w:ascii="Times New Roman" w:hAnsi="Times New Roman" w:eastAsia="宋体" w:cs="Times New Roman"/>
          <w:sz w:val="21"/>
          <w:szCs w:val="21"/>
          <w:lang w:val="en-US" w:eastAsia="zh-CN"/>
          <w14:ligatures w14:val="none"/>
        </w:rPr>
        <w:t>发现的</w:t>
      </w:r>
      <w:r>
        <w:rPr>
          <w:rFonts w:hint="eastAsia" w:ascii="Times New Roman" w:hAnsi="Times New Roman" w:eastAsia="宋体" w:cs="Times New Roman"/>
          <w:sz w:val="21"/>
          <w:szCs w:val="21"/>
          <w14:ligatures w14:val="none"/>
        </w:rPr>
        <w:t>安全</w:t>
      </w:r>
      <w:r>
        <w:rPr>
          <w:rFonts w:hint="eastAsia" w:ascii="Times New Roman" w:hAnsi="Times New Roman" w:eastAsia="宋体" w:cs="Times New Roman"/>
          <w:sz w:val="21"/>
          <w:szCs w:val="21"/>
          <w:lang w:val="en-US" w:eastAsia="zh-CN"/>
          <w14:ligatures w14:val="none"/>
        </w:rPr>
        <w:t>生产、安全</w:t>
      </w:r>
      <w:r>
        <w:rPr>
          <w:rFonts w:hint="eastAsia" w:ascii="Times New Roman" w:hAnsi="Times New Roman" w:eastAsia="宋体" w:cs="Times New Roman"/>
          <w:sz w:val="21"/>
          <w:szCs w:val="21"/>
          <w14:ligatures w14:val="none"/>
        </w:rPr>
        <w:t>措施落实情况</w:t>
      </w:r>
      <w:r>
        <w:rPr>
          <w:rFonts w:hint="eastAsia" w:ascii="Times New Roman" w:hAnsi="Times New Roman" w:eastAsia="宋体" w:cs="Times New Roman"/>
          <w:sz w:val="21"/>
          <w:szCs w:val="21"/>
          <w:lang w:eastAsia="zh-CN"/>
          <w14:ligatures w14:val="none"/>
        </w:rPr>
        <w:t>的</w:t>
      </w:r>
      <w:r>
        <w:rPr>
          <w:rFonts w:hint="eastAsia" w:ascii="Times New Roman" w:hAnsi="Times New Roman" w:eastAsia="宋体" w:cs="Times New Roman"/>
          <w:sz w:val="21"/>
          <w:szCs w:val="21"/>
          <w:lang w:val="en-US" w:eastAsia="zh-CN"/>
          <w14:ligatures w14:val="none"/>
        </w:rPr>
        <w:t>相关问题</w:t>
      </w:r>
      <w:r>
        <w:rPr>
          <w:rFonts w:hint="eastAsia" w:ascii="Times New Roman" w:hAnsi="Times New Roman" w:eastAsia="宋体" w:cs="Times New Roman"/>
          <w:sz w:val="21"/>
          <w:szCs w:val="21"/>
          <w14:ligatures w14:val="none"/>
        </w:rPr>
        <w:t>，乙方应根据甲方的要求落实整改</w:t>
      </w:r>
      <w:r>
        <w:rPr>
          <w:rFonts w:hint="eastAsia" w:ascii="Times New Roman" w:hAnsi="Times New Roman" w:eastAsia="宋体" w:cs="Times New Roman"/>
          <w:sz w:val="21"/>
          <w:szCs w:val="21"/>
          <w:lang w:eastAsia="zh-CN"/>
          <w14:ligatures w14:val="none"/>
        </w:rPr>
        <w:t>。</w:t>
      </w:r>
    </w:p>
    <w:p w14:paraId="225C5BC4">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lang w:val="en-US" w:eastAsia="zh-CN"/>
          <w14:ligatures w14:val="none"/>
        </w:rPr>
      </w:pPr>
      <w:r>
        <w:rPr>
          <w:rFonts w:hint="eastAsia" w:ascii="Times New Roman" w:hAnsi="Times New Roman" w:eastAsia="宋体" w:cs="Times New Roman"/>
          <w:sz w:val="21"/>
          <w:szCs w:val="21"/>
          <w:lang w:val="en-US" w:eastAsia="zh-CN"/>
          <w14:ligatures w14:val="none"/>
        </w:rPr>
        <w:t>乙方应负责本项目承租部分的安全风险辨识、评估、管控和报告工作，并将较大以上安全风险有关信息向甲方书面通报，应当在本项目醒目位置公示较大以上安全风险信息，严格落实《南通轨道资源开发有限公司安全风险分级管控和隐患排查治理管理制度》相关要求。</w:t>
      </w:r>
    </w:p>
    <w:p w14:paraId="0E62BD0D">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lang w:val="en-US" w:eastAsia="zh-CN"/>
          <w14:ligatures w14:val="none"/>
        </w:rPr>
      </w:pPr>
      <w:r>
        <w:rPr>
          <w:rFonts w:hint="eastAsia" w:ascii="Times New Roman" w:hAnsi="Times New Roman" w:eastAsia="宋体" w:cs="Times New Roman"/>
          <w:sz w:val="21"/>
          <w:szCs w:val="21"/>
          <w:lang w:val="en-US" w:eastAsia="zh-CN"/>
          <w14:ligatures w14:val="none"/>
        </w:rPr>
        <w:t>乙方应建立应急救援管理机制，明确职责和任务，制定应急预案，储备相关应急物资，定期开展应急救援培训，发生突发事件时及时启动相关预案。</w:t>
      </w:r>
    </w:p>
    <w:p w14:paraId="3C7AFE90">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乙方的特种作业人员应按国家有关规定，持证上岗。</w:t>
      </w:r>
    </w:p>
    <w:p w14:paraId="37BFFFDA">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因乙方责任造成的甲方一切损失和负面影响，由乙方全部承担</w:t>
      </w:r>
      <w:r>
        <w:rPr>
          <w:rFonts w:hint="eastAsia" w:ascii="Times New Roman" w:hAnsi="Times New Roman" w:eastAsia="宋体" w:cs="Times New Roman"/>
          <w:sz w:val="21"/>
          <w:szCs w:val="21"/>
          <w:lang w:eastAsia="zh-CN"/>
          <w14:ligatures w14:val="none"/>
        </w:rPr>
        <w:t>。</w:t>
      </w:r>
    </w:p>
    <w:p w14:paraId="4721A565">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发生对甲方造成影响的事故，乙方必须立即向甲方报告。报告的内容主要有：时间、地点、事故性质、人员伤亡、初步处理情况及报告人的单位、姓名、电话号码等，事故的损失按责论处。</w:t>
      </w:r>
    </w:p>
    <w:p w14:paraId="4ACEE0D6">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乙方应主动及时完成经营所需的工商登记、税务登记、食品卫生等证照，以及必要的环保、治安、消防等手续，严格执行政府职能部门有关商品质量、物价、安全、消防、卫生、环保等方面的法律、法规。</w:t>
      </w:r>
    </w:p>
    <w:p w14:paraId="19FD7FD2">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乙方须规范用工，遵从国家劳动人事法律法规，确保任何情况下不因其经济纠纷或与员工的任何纠纷，导致经营期间发生群体性事件，影响地铁的整体形象。</w:t>
      </w:r>
    </w:p>
    <w:p w14:paraId="4984DFCF">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对于占用公共空间的乙方物品，甲方有权移去并对物品遗失概不负责，并有权向乙方收取因此产生的一切费用，若因乙方物品占用公共空间导致安全事故，相关责任及费用由乙方承担。</w:t>
      </w:r>
    </w:p>
    <w:p w14:paraId="2D6F965B">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运送各类用具、货物、设备、装置或大件物品的时间须避开地铁运营高峰时段（以甲方指定的时间为准），仅可使用指定的设备及路线运送上述物件，不得妨碍交通、消防通道，不得影响地铁的正常运营。严禁擅自使用客用手扶电梯和电梯运送货物或大件物品。</w:t>
      </w:r>
    </w:p>
    <w:p w14:paraId="017E829E">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甲方、地铁公安部门相关人员出示证件后有权进入本项目场地，对治安、消防、卫生及商品进行检查。乙方有责任配合工商、税务、公安等部门依法处理各种违法违纪事件。</w:t>
      </w:r>
    </w:p>
    <w:p w14:paraId="0697C762">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乙方须定期对线路、</w:t>
      </w:r>
      <w:r>
        <w:rPr>
          <w:rFonts w:hint="eastAsia" w:ascii="Times New Roman" w:hAnsi="Times New Roman" w:eastAsia="宋体" w:cs="Times New Roman"/>
          <w:sz w:val="21"/>
          <w:szCs w:val="21"/>
          <w:lang w:val="en-US" w:eastAsia="zh-CN"/>
          <w14:ligatures w14:val="none"/>
        </w:rPr>
        <w:t>设施</w:t>
      </w:r>
      <w:r>
        <w:rPr>
          <w:rFonts w:hint="eastAsia" w:ascii="Times New Roman" w:hAnsi="Times New Roman" w:eastAsia="宋体" w:cs="Times New Roman"/>
          <w:sz w:val="21"/>
          <w:szCs w:val="21"/>
          <w14:ligatures w14:val="none"/>
        </w:rPr>
        <w:t>设备使用情况进行检查，发现故障、隐患须立即排除。</w:t>
      </w:r>
    </w:p>
    <w:p w14:paraId="75155538">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须保持本项目设施及其附属物，包括所有的卷帘门、电动装置、电线、水管等处于正常、良好、清洁及妥当的修缮状态；不得妨碍任何消防设备的正常操作，严禁占用或堵塞消防通道，保持消防区及楼梯通道和出口畅通无阻。</w:t>
      </w:r>
    </w:p>
    <w:p w14:paraId="6B187910">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每日营业时间结束后，乙方及其员工须对本项目进行彻底检查，清除安全隐患，关闭不必要的用电设备，做好防火、防盗工作，检查无误后方可离开；乙方员工不允许在本项目内留宿，或利用其室内作住宿用途。</w:t>
      </w:r>
    </w:p>
    <w:p w14:paraId="49D40C5E">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发生治安、火灾等突发案件或发现可疑对象，乙方须及时报告地铁车站、车站派出所和甲方。</w:t>
      </w:r>
    </w:p>
    <w:p w14:paraId="3D53BE99">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乙方严格执行《南通轨道资源开发有限公司外单位作业安全管理办法》。</w:t>
      </w:r>
    </w:p>
    <w:p w14:paraId="11C2DC85">
      <w:pPr>
        <w:numPr>
          <w:ilvl w:val="0"/>
          <w:numId w:val="7"/>
        </w:numPr>
        <w:adjustRightInd w:val="0"/>
        <w:snapToGrid w:val="0"/>
        <w:spacing w:line="360" w:lineRule="auto"/>
        <w:ind w:left="0" w:leftChars="0" w:firstLine="420" w:firstLineChars="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治安消防工作要求</w:t>
      </w:r>
    </w:p>
    <w:p w14:paraId="5297EE26">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乙方必须认真遵守国家和地方的有关法律、法规。</w:t>
      </w:r>
    </w:p>
    <w:p w14:paraId="0B41E935">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乙方须配备至少一名专（兼）职治安消防管理人员，负责本作业区域的治安消防工作</w:t>
      </w:r>
      <w:r>
        <w:rPr>
          <w:rFonts w:hint="eastAsia" w:ascii="Times New Roman" w:hAnsi="Times New Roman" w:eastAsia="宋体" w:cs="Times New Roman"/>
          <w:sz w:val="21"/>
          <w:szCs w:val="21"/>
          <w:lang w:eastAsia="zh-CN"/>
          <w14:ligatures w14:val="none"/>
        </w:rPr>
        <w:t>。</w:t>
      </w:r>
    </w:p>
    <w:p w14:paraId="114672CE">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因乙方责任造成影响</w:t>
      </w:r>
      <w:r>
        <w:rPr>
          <w:rFonts w:hint="eastAsia" w:ascii="Times New Roman" w:hAnsi="Times New Roman" w:eastAsia="宋体" w:cs="Times New Roman"/>
          <w:sz w:val="21"/>
          <w:szCs w:val="21"/>
          <w:lang w:val="en-US" w:eastAsia="zh-CN"/>
          <w14:ligatures w14:val="none"/>
        </w:rPr>
        <w:t>南通</w:t>
      </w:r>
      <w:r>
        <w:rPr>
          <w:rFonts w:hint="eastAsia" w:ascii="Times New Roman" w:hAnsi="Times New Roman" w:eastAsia="宋体" w:cs="Times New Roman"/>
          <w:sz w:val="21"/>
          <w:szCs w:val="21"/>
          <w14:ligatures w14:val="none"/>
        </w:rPr>
        <w:t>地铁的案件如：火灾、治安事件等，事故经济责任、事故法律责任以及事故的善后处理均由乙方独自承担，因此给甲方造成的经济损失由乙方全部承担。</w:t>
      </w:r>
    </w:p>
    <w:p w14:paraId="6397E4D5">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乙方须根据消防规范要求在本项目内配备合格的灭火器，并定期检查、更换，确保各种消防器材和装置处于良好状态。灭火器应放置于容易取用的地方并遵守地铁属地管理单位提出的管理规定。</w:t>
      </w:r>
    </w:p>
    <w:p w14:paraId="62588626">
      <w:pPr>
        <w:keepNext w:val="0"/>
        <w:keepLines w:val="0"/>
        <w:pageBreakBefore w:val="0"/>
        <w:widowControl w:val="0"/>
        <w:numPr>
          <w:ilvl w:val="0"/>
          <w:numId w:val="11"/>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乙方应维护本项目持续稳定经营的经营氛围与良好环境。严禁在本项目内起哄闹事，打架斗殴和聚赌等。</w:t>
      </w:r>
    </w:p>
    <w:p w14:paraId="22031623">
      <w:pPr>
        <w:numPr>
          <w:ilvl w:val="0"/>
          <w:numId w:val="7"/>
        </w:numPr>
        <w:adjustRightInd w:val="0"/>
        <w:snapToGrid w:val="0"/>
        <w:spacing w:line="360" w:lineRule="auto"/>
        <w:ind w:left="0" w:leftChars="0" w:firstLine="420" w:firstLineChars="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环保工作要求</w:t>
      </w:r>
    </w:p>
    <w:p w14:paraId="1B0CBA39">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不得将油类、化学品类等污染物倾倒丢弃在地铁管辖范围内</w:t>
      </w:r>
      <w:r>
        <w:rPr>
          <w:rFonts w:hint="eastAsia" w:ascii="Times New Roman" w:hAnsi="Times New Roman" w:eastAsia="宋体" w:cs="Times New Roman"/>
          <w:sz w:val="21"/>
          <w:szCs w:val="21"/>
          <w:lang w:eastAsia="zh-CN"/>
          <w14:ligatures w14:val="none"/>
        </w:rPr>
        <w:t>。</w:t>
      </w:r>
    </w:p>
    <w:p w14:paraId="22E1265D">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作业结束后应清理作业涉及的所有物料、垃圾</w:t>
      </w:r>
      <w:r>
        <w:rPr>
          <w:rFonts w:hint="eastAsia" w:ascii="Times New Roman" w:hAnsi="Times New Roman" w:eastAsia="宋体" w:cs="Times New Roman"/>
          <w:sz w:val="21"/>
          <w:szCs w:val="21"/>
          <w:lang w:eastAsia="zh-CN"/>
          <w14:ligatures w14:val="none"/>
        </w:rPr>
        <w:t>。</w:t>
      </w:r>
    </w:p>
    <w:p w14:paraId="1D2A46F6">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严格控制作业过程中“噪音、灰尘、振动、污水”等产生及排放。</w:t>
      </w:r>
    </w:p>
    <w:p w14:paraId="60097065">
      <w:pPr>
        <w:keepNext w:val="0"/>
        <w:keepLines w:val="0"/>
        <w:pageBreakBefore w:val="0"/>
        <w:widowControl w:val="0"/>
        <w:numPr>
          <w:ilvl w:val="0"/>
          <w:numId w:val="12"/>
        </w:numPr>
        <w:kinsoku/>
        <w:wordWrap/>
        <w:overflowPunct/>
        <w:topLinePunct w:val="0"/>
        <w:autoSpaceDE/>
        <w:autoSpaceDN/>
        <w:bidi w:val="0"/>
        <w:adjustRightInd w:val="0"/>
        <w:snapToGrid w:val="0"/>
        <w:spacing w:line="360" w:lineRule="auto"/>
        <w:ind w:left="0" w:leftChars="0" w:firstLine="420" w:firstLineChars="200"/>
        <w:textAlignment w:val="auto"/>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乙方应确保</w:t>
      </w:r>
      <w:r>
        <w:rPr>
          <w:rFonts w:hint="eastAsia" w:ascii="Times New Roman" w:hAnsi="Times New Roman" w:eastAsia="宋体" w:cs="Times New Roman"/>
          <w:sz w:val="21"/>
          <w:szCs w:val="21"/>
          <w14:ligatures w14:val="none"/>
        </w:rPr>
        <w:t>经营期间</w:t>
      </w:r>
      <w:r>
        <w:rPr>
          <w:rFonts w:ascii="Times New Roman" w:hAnsi="Times New Roman" w:eastAsia="宋体" w:cs="Times New Roman"/>
          <w:sz w:val="21"/>
          <w:szCs w:val="21"/>
          <w14:ligatures w14:val="none"/>
        </w:rPr>
        <w:t>不出售或存放任何危险性、易燃易爆性、腐蚀性、毒性物品和所有管制物品</w:t>
      </w:r>
      <w:r>
        <w:rPr>
          <w:rFonts w:hint="eastAsia" w:ascii="Times New Roman" w:hAnsi="Times New Roman" w:eastAsia="宋体" w:cs="Times New Roman"/>
          <w:sz w:val="21"/>
          <w:szCs w:val="21"/>
          <w14:ligatures w14:val="none"/>
        </w:rPr>
        <w:t>；</w:t>
      </w:r>
      <w:r>
        <w:rPr>
          <w:rFonts w:ascii="Times New Roman" w:hAnsi="Times New Roman" w:eastAsia="宋体" w:cs="Times New Roman"/>
          <w:sz w:val="21"/>
          <w:szCs w:val="21"/>
          <w14:ligatures w14:val="none"/>
        </w:rPr>
        <w:t>应确保</w:t>
      </w:r>
      <w:r>
        <w:rPr>
          <w:rFonts w:hint="eastAsia" w:ascii="Times New Roman" w:hAnsi="Times New Roman" w:eastAsia="宋体" w:cs="Times New Roman"/>
          <w:sz w:val="21"/>
          <w:szCs w:val="21"/>
          <w14:ligatures w14:val="none"/>
        </w:rPr>
        <w:t>经营期间</w:t>
      </w:r>
      <w:r>
        <w:rPr>
          <w:rFonts w:ascii="Times New Roman" w:hAnsi="Times New Roman" w:eastAsia="宋体" w:cs="Times New Roman"/>
          <w:sz w:val="21"/>
          <w:szCs w:val="21"/>
          <w14:ligatures w14:val="none"/>
        </w:rPr>
        <w:t>不使用明火等同类性质的产品，不产生明烟、异味等干扰或有可能干扰地铁正常运营的因素。</w:t>
      </w:r>
    </w:p>
    <w:p w14:paraId="759423C6">
      <w:pPr>
        <w:numPr>
          <w:ilvl w:val="0"/>
          <w:numId w:val="7"/>
        </w:numPr>
        <w:adjustRightInd w:val="0"/>
        <w:snapToGrid w:val="0"/>
        <w:spacing w:line="360" w:lineRule="auto"/>
        <w:ind w:left="0" w:leftChars="0" w:firstLine="420" w:firstLineChars="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安全保证费用（性质属于违约金）</w:t>
      </w:r>
    </w:p>
    <w:p w14:paraId="0F65DA2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根据《南通轨道资源开发有限公司外单位作业安全管理办法》的规定，作业安全协议签订时，乙方应按审批意见向甲方一次性交纳作业履约保证金、安全保证金，按项目合同确定安全保证费用</w:t>
      </w:r>
      <w:r>
        <w:rPr>
          <w:rFonts w:hint="eastAsia" w:ascii="Times New Roman" w:hAnsi="Times New Roman" w:eastAsia="宋体" w:cs="Times New Roman"/>
          <w:sz w:val="21"/>
          <w:szCs w:val="21"/>
          <w:lang w:eastAsia="zh-CN"/>
          <w14:ligatures w14:val="none"/>
        </w:rPr>
        <w:t>（</w:t>
      </w:r>
      <w:r>
        <w:rPr>
          <w:rFonts w:hint="eastAsia" w:ascii="Times New Roman" w:hAnsi="Times New Roman" w:eastAsia="宋体" w:cs="Times New Roman"/>
          <w:sz w:val="21"/>
          <w:szCs w:val="21"/>
          <w14:ligatures w14:val="none"/>
        </w:rPr>
        <w:t>履约保证金</w:t>
      </w:r>
      <w:r>
        <w:rPr>
          <w:rFonts w:hint="eastAsia" w:ascii="Times New Roman" w:hAnsi="Times New Roman" w:eastAsia="宋体" w:cs="Times New Roman"/>
          <w:sz w:val="21"/>
          <w:szCs w:val="21"/>
          <w:lang w:eastAsia="zh-CN"/>
          <w14:ligatures w14:val="none"/>
        </w:rPr>
        <w:t>）</w:t>
      </w:r>
      <w:r>
        <w:rPr>
          <w:rFonts w:hint="eastAsia" w:ascii="Times New Roman" w:hAnsi="Times New Roman" w:eastAsia="宋体" w:cs="Times New Roman"/>
          <w:sz w:val="21"/>
          <w:szCs w:val="21"/>
          <w14:ligatures w14:val="none"/>
        </w:rPr>
        <w:t>金额。如有违反本协议或不服从管理，根据《南通轨道资源开发有限公司外单位作业安全管理办法》规定扣除部分或全部安全保证费用。安全保证费用在项目结束后，乙方凭由甲方最终确认的《作业安全评定表》及相关资料到南通轨道资源开发有限公司办理安全保证费用支付或返回手续。</w:t>
      </w:r>
    </w:p>
    <w:p w14:paraId="65100B78">
      <w:pPr>
        <w:numPr>
          <w:ilvl w:val="0"/>
          <w:numId w:val="7"/>
        </w:numPr>
        <w:adjustRightInd w:val="0"/>
        <w:snapToGrid w:val="0"/>
        <w:spacing w:line="360" w:lineRule="auto"/>
        <w:ind w:left="0" w:leftChars="0" w:firstLine="420" w:firstLineChars="0"/>
        <w:rPr>
          <w:rFonts w:hint="eastAsia" w:ascii="Times New Roman" w:hAnsi="Times New Roman" w:eastAsia="宋体" w:cs="Times New Roman"/>
          <w:b/>
          <w:bCs/>
          <w:sz w:val="21"/>
          <w:szCs w:val="21"/>
          <w14:ligatures w14:val="none"/>
        </w:rPr>
      </w:pPr>
      <w:r>
        <w:rPr>
          <w:rFonts w:hint="eastAsia" w:ascii="Times New Roman" w:hAnsi="Times New Roman" w:eastAsia="宋体" w:cs="Times New Roman"/>
          <w:b/>
          <w:bCs/>
          <w:sz w:val="21"/>
          <w:szCs w:val="21"/>
          <w14:ligatures w14:val="none"/>
        </w:rPr>
        <w:t>争议的处理</w:t>
      </w:r>
    </w:p>
    <w:p w14:paraId="06DF113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eastAsia="zh-CN"/>
          <w14:ligatures w14:val="none"/>
        </w:rPr>
      </w:pPr>
      <w:r>
        <w:rPr>
          <w:rFonts w:hint="eastAsia" w:ascii="Times New Roman" w:hAnsi="Times New Roman" w:eastAsia="宋体" w:cs="Times New Roman"/>
          <w:sz w:val="21"/>
          <w:szCs w:val="21"/>
          <w14:ligatures w14:val="none"/>
        </w:rPr>
        <w:t>协议双方发生争议时，可以通过协商解决</w:t>
      </w:r>
      <w:r>
        <w:rPr>
          <w:rFonts w:hint="eastAsia" w:ascii="Times New Roman" w:hAnsi="Times New Roman" w:eastAsia="宋体" w:cs="Times New Roman"/>
          <w:sz w:val="21"/>
          <w:szCs w:val="21"/>
          <w:lang w:eastAsia="zh-CN"/>
          <w14:ligatures w14:val="none"/>
        </w:rPr>
        <w:t>。如果经上述协商双方未能达成解决方案，双方同意提交给南通仲裁委员会仲裁解决。</w:t>
      </w:r>
    </w:p>
    <w:p w14:paraId="794070C5">
      <w:pPr>
        <w:keepNext w:val="0"/>
        <w:keepLines w:val="0"/>
        <w:pageBreakBefore w:val="0"/>
        <w:widowControl w:val="0"/>
        <w:numPr>
          <w:ilvl w:val="0"/>
          <w:numId w:val="7"/>
        </w:numPr>
        <w:kinsoku/>
        <w:wordWrap/>
        <w:overflowPunct/>
        <w:topLinePunct w:val="0"/>
        <w:autoSpaceDE/>
        <w:autoSpaceDN/>
        <w:bidi w:val="0"/>
        <w:adjustRightInd w:val="0"/>
        <w:snapToGrid w:val="0"/>
        <w:spacing w:line="360" w:lineRule="auto"/>
        <w:ind w:left="0" w:leftChars="0" w:firstLine="420" w:firstLineChars="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本合同一式</w:t>
      </w:r>
      <w:r>
        <w:rPr>
          <w:rFonts w:hint="eastAsia" w:ascii="Times New Roman" w:hAnsi="Times New Roman" w:cs="Times New Roman"/>
          <w:sz w:val="21"/>
          <w:szCs w:val="21"/>
          <w:lang w:val="en-US" w:eastAsia="zh-CN"/>
          <w14:ligatures w14:val="none"/>
        </w:rPr>
        <w:t>6</w:t>
      </w:r>
      <w:r>
        <w:rPr>
          <w:rFonts w:hint="eastAsia" w:ascii="Times New Roman" w:hAnsi="Times New Roman" w:eastAsia="宋体" w:cs="Times New Roman"/>
          <w:sz w:val="21"/>
          <w:szCs w:val="21"/>
          <w14:ligatures w14:val="none"/>
        </w:rPr>
        <w:t>份，甲方执4份，乙方执</w:t>
      </w:r>
      <w:r>
        <w:rPr>
          <w:rFonts w:hint="eastAsia" w:ascii="Times New Roman" w:hAnsi="Times New Roman" w:cs="Times New Roman"/>
          <w:sz w:val="21"/>
          <w:szCs w:val="21"/>
          <w:lang w:val="en-US" w:eastAsia="zh-CN"/>
          <w14:ligatures w14:val="none"/>
        </w:rPr>
        <w:t>2</w:t>
      </w:r>
      <w:r>
        <w:rPr>
          <w:rFonts w:hint="eastAsia" w:ascii="Times New Roman" w:hAnsi="Times New Roman" w:eastAsia="宋体" w:cs="Times New Roman"/>
          <w:sz w:val="21"/>
          <w:szCs w:val="21"/>
          <w14:ligatures w14:val="none"/>
        </w:rPr>
        <w:t>份，具有同等效力。</w:t>
      </w:r>
    </w:p>
    <w:p w14:paraId="25E086B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420" w:leftChars="0"/>
        <w:textAlignment w:val="auto"/>
        <w:rPr>
          <w:rFonts w:hint="eastAsia" w:ascii="Times New Roman" w:hAnsi="Times New Roman" w:eastAsia="宋体" w:cs="Times New Roman"/>
          <w:sz w:val="21"/>
          <w:szCs w:val="21"/>
          <w14:ligatures w14:val="none"/>
        </w:rPr>
      </w:pPr>
      <w:r>
        <w:rPr>
          <w:rFonts w:hint="eastAsia" w:ascii="Times New Roman" w:hAnsi="Times New Roman" w:eastAsia="宋体" w:cs="Times New Roman"/>
          <w:sz w:val="21"/>
          <w:szCs w:val="21"/>
          <w14:ligatures w14:val="none"/>
        </w:rPr>
        <w:t>自</w:t>
      </w:r>
      <w:r>
        <w:rPr>
          <w:rFonts w:hint="eastAsia" w:ascii="Times New Roman" w:hAnsi="Times New Roman" w:eastAsia="宋体" w:cs="Times New Roman"/>
          <w:sz w:val="21"/>
          <w:szCs w:val="21"/>
          <w:u w:val="single"/>
          <w14:ligatures w14:val="none"/>
        </w:rPr>
        <w:t xml:space="preserve"> </w:t>
      </w:r>
      <w:r>
        <w:rPr>
          <w:rFonts w:hint="eastAsia" w:ascii="Times New Roman" w:hAnsi="Times New Roman" w:eastAsia="宋体" w:cs="Times New Roman"/>
          <w:sz w:val="21"/>
          <w:szCs w:val="21"/>
          <w:u w:val="single"/>
          <w:lang w:val="en-US" w:eastAsia="zh-CN"/>
          <w14:ligatures w14:val="none"/>
        </w:rPr>
        <w:t xml:space="preserve">   </w:t>
      </w:r>
      <w:r>
        <w:rPr>
          <w:rFonts w:hint="eastAsia" w:ascii="Times New Roman" w:hAnsi="Times New Roman" w:eastAsia="宋体" w:cs="Times New Roman"/>
          <w:sz w:val="21"/>
          <w:szCs w:val="21"/>
          <w:u w:val="single"/>
          <w14:ligatures w14:val="none"/>
        </w:rPr>
        <w:t xml:space="preserve">   </w:t>
      </w:r>
      <w:r>
        <w:rPr>
          <w:rFonts w:hint="eastAsia" w:ascii="Times New Roman" w:hAnsi="Times New Roman" w:eastAsia="宋体" w:cs="Times New Roman"/>
          <w:sz w:val="21"/>
          <w:szCs w:val="21"/>
          <w14:ligatures w14:val="none"/>
        </w:rPr>
        <w:t>年</w:t>
      </w:r>
      <w:r>
        <w:rPr>
          <w:rFonts w:hint="eastAsia" w:ascii="Times New Roman" w:hAnsi="Times New Roman" w:eastAsia="宋体" w:cs="Times New Roman"/>
          <w:sz w:val="21"/>
          <w:szCs w:val="21"/>
          <w:u w:val="single"/>
          <w14:ligatures w14:val="none"/>
        </w:rPr>
        <w:t xml:space="preserve">    </w:t>
      </w:r>
      <w:r>
        <w:rPr>
          <w:rFonts w:hint="eastAsia" w:ascii="Times New Roman" w:hAnsi="Times New Roman" w:eastAsia="宋体" w:cs="Times New Roman"/>
          <w:sz w:val="21"/>
          <w:szCs w:val="21"/>
          <w14:ligatures w14:val="none"/>
        </w:rPr>
        <w:t>月</w:t>
      </w:r>
      <w:r>
        <w:rPr>
          <w:rFonts w:hint="eastAsia" w:ascii="Times New Roman" w:hAnsi="Times New Roman" w:eastAsia="宋体" w:cs="Times New Roman"/>
          <w:sz w:val="21"/>
          <w:szCs w:val="21"/>
          <w:u w:val="single"/>
          <w14:ligatures w14:val="none"/>
        </w:rPr>
        <w:t xml:space="preserve">    </w:t>
      </w:r>
      <w:r>
        <w:rPr>
          <w:rFonts w:hint="eastAsia" w:ascii="Times New Roman" w:hAnsi="Times New Roman" w:eastAsia="宋体" w:cs="Times New Roman"/>
          <w:sz w:val="21"/>
          <w:szCs w:val="21"/>
          <w14:ligatures w14:val="none"/>
        </w:rPr>
        <w:t>日生效至项目完成同时废止。</w:t>
      </w:r>
    </w:p>
    <w:p w14:paraId="65A0BEC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Times New Roman" w:hAnsi="Times New Roman" w:eastAsia="宋体" w:cs="Times New Roman"/>
          <w:sz w:val="21"/>
          <w:szCs w:val="21"/>
          <w:lang w:eastAsia="zh-CN"/>
          <w14:ligatures w14:val="none"/>
        </w:rPr>
      </w:pPr>
    </w:p>
    <w:p w14:paraId="54019FD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ascii="Times New Roman" w:hAnsi="Times New Roman" w:eastAsia="宋体" w:cs="Times New Roman"/>
          <w:sz w:val="21"/>
          <w:szCs w:val="21"/>
          <w14:ligatures w14:val="none"/>
        </w:rPr>
      </w:pPr>
    </w:p>
    <w:p w14:paraId="0064069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ascii="Times New Roman" w:hAnsi="Times New Roman" w:eastAsia="宋体" w:cs="Times New Roman"/>
          <w:sz w:val="21"/>
          <w:szCs w:val="21"/>
          <w14:ligatures w14:val="none"/>
        </w:rPr>
      </w:pPr>
    </w:p>
    <w:p w14:paraId="30A773D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ascii="Times New Roman" w:hAnsi="Times New Roman" w:eastAsia="宋体" w:cs="Times New Roman"/>
          <w:sz w:val="21"/>
          <w:szCs w:val="21"/>
          <w14:ligatures w14:val="none"/>
        </w:rPr>
      </w:pPr>
    </w:p>
    <w:p w14:paraId="3DAED3BA">
      <w:pPr>
        <w:adjustRightInd w:val="0"/>
        <w:snapToGrid w:val="0"/>
        <w:spacing w:line="360" w:lineRule="auto"/>
        <w:rPr>
          <w:rFonts w:ascii="Times New Roman" w:hAnsi="Times New Roman" w:eastAsia="宋体" w:cs="Times New Roman"/>
          <w:sz w:val="21"/>
          <w:szCs w:val="21"/>
          <w14:ligatures w14:val="none"/>
        </w:rPr>
      </w:pP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0"/>
        <w:gridCol w:w="4256"/>
      </w:tblGrid>
      <w:tr w14:paraId="50026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vAlign w:val="center"/>
          </w:tcPr>
          <w:p w14:paraId="1F386F66">
            <w:pPr>
              <w:adjustRightInd w:val="0"/>
              <w:snapToGrid w:val="0"/>
              <w:spacing w:line="480" w:lineRule="auto"/>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甲方(公章)：</w:t>
            </w:r>
          </w:p>
        </w:tc>
        <w:tc>
          <w:tcPr>
            <w:tcW w:w="4419" w:type="dxa"/>
            <w:vAlign w:val="center"/>
          </w:tcPr>
          <w:p w14:paraId="2B1B4475">
            <w:pPr>
              <w:adjustRightInd w:val="0"/>
              <w:snapToGrid w:val="0"/>
              <w:spacing w:line="480" w:lineRule="auto"/>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乙方(公章):</w:t>
            </w:r>
          </w:p>
        </w:tc>
      </w:tr>
      <w:tr w14:paraId="5B113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vAlign w:val="center"/>
          </w:tcPr>
          <w:p w14:paraId="28EF3507">
            <w:pPr>
              <w:adjustRightInd w:val="0"/>
              <w:snapToGrid w:val="0"/>
              <w:spacing w:line="480" w:lineRule="auto"/>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法定代表人：</w:t>
            </w:r>
          </w:p>
        </w:tc>
        <w:tc>
          <w:tcPr>
            <w:tcW w:w="4419" w:type="dxa"/>
            <w:vAlign w:val="center"/>
          </w:tcPr>
          <w:p w14:paraId="7C8C232C">
            <w:pPr>
              <w:adjustRightInd w:val="0"/>
              <w:snapToGrid w:val="0"/>
              <w:spacing w:line="480" w:lineRule="auto"/>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法定代表人：</w:t>
            </w:r>
          </w:p>
        </w:tc>
      </w:tr>
      <w:tr w14:paraId="7EA29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vAlign w:val="center"/>
          </w:tcPr>
          <w:p w14:paraId="5A52CBE3">
            <w:pPr>
              <w:adjustRightInd w:val="0"/>
              <w:snapToGrid w:val="0"/>
              <w:spacing w:line="480" w:lineRule="auto"/>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或委托代表人：</w:t>
            </w:r>
          </w:p>
        </w:tc>
        <w:tc>
          <w:tcPr>
            <w:tcW w:w="4419" w:type="dxa"/>
            <w:vAlign w:val="center"/>
          </w:tcPr>
          <w:p w14:paraId="49FFB3F2">
            <w:pPr>
              <w:adjustRightInd w:val="0"/>
              <w:snapToGrid w:val="0"/>
              <w:spacing w:line="480" w:lineRule="auto"/>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或委托代表人：</w:t>
            </w:r>
          </w:p>
        </w:tc>
      </w:tr>
      <w:tr w14:paraId="38BB8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419" w:type="dxa"/>
            <w:vAlign w:val="center"/>
          </w:tcPr>
          <w:p w14:paraId="1D8FC8DC">
            <w:pPr>
              <w:adjustRightInd w:val="0"/>
              <w:snapToGrid w:val="0"/>
              <w:spacing w:line="480" w:lineRule="auto"/>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日期：      年     月     日</w:t>
            </w:r>
          </w:p>
        </w:tc>
        <w:tc>
          <w:tcPr>
            <w:tcW w:w="4419" w:type="dxa"/>
            <w:vAlign w:val="center"/>
          </w:tcPr>
          <w:p w14:paraId="336E18F6">
            <w:pPr>
              <w:adjustRightInd w:val="0"/>
              <w:snapToGrid w:val="0"/>
              <w:spacing w:line="480" w:lineRule="auto"/>
              <w:jc w:val="both"/>
              <w:rPr>
                <w:rFonts w:ascii="Times New Roman" w:hAnsi="Times New Roman" w:eastAsia="宋体" w:cs="Times New Roman"/>
                <w:sz w:val="21"/>
                <w:szCs w:val="21"/>
                <w14:ligatures w14:val="none"/>
              </w:rPr>
            </w:pPr>
            <w:r>
              <w:rPr>
                <w:rFonts w:ascii="Times New Roman" w:hAnsi="Times New Roman" w:eastAsia="宋体" w:cs="Times New Roman"/>
                <w:sz w:val="21"/>
                <w:szCs w:val="21"/>
                <w14:ligatures w14:val="none"/>
              </w:rPr>
              <w:t>日期：      年     月     日</w:t>
            </w:r>
          </w:p>
        </w:tc>
      </w:tr>
    </w:tbl>
    <w:p w14:paraId="0E1A7457">
      <w:pPr>
        <w:adjustRightInd w:val="0"/>
        <w:snapToGrid w:val="0"/>
        <w:spacing w:line="360" w:lineRule="auto"/>
        <w:rPr>
          <w:rFonts w:ascii="Times New Roman" w:hAnsi="Times New Roman" w:eastAsia="宋体" w:cs="Times New Roman"/>
          <w:sz w:val="24"/>
          <w:szCs w:val="24"/>
          <w14:ligatures w14:val="none"/>
        </w:rPr>
      </w:pPr>
    </w:p>
    <w:p w14:paraId="64AF5180">
      <w:pPr>
        <w:spacing w:line="420" w:lineRule="exact"/>
        <w:rPr>
          <w:rFonts w:ascii="仿宋" w:hAnsi="仿宋" w:eastAsia="仿宋"/>
          <w:b/>
          <w:sz w:val="24"/>
          <w:szCs w:val="22"/>
        </w:rPr>
      </w:pPr>
      <w:r>
        <w:rPr>
          <w:rFonts w:ascii="仿宋" w:hAnsi="仿宋" w:eastAsia="仿宋"/>
          <w:b/>
          <w:sz w:val="24"/>
          <w:szCs w:val="22"/>
        </w:rPr>
        <w:t>注：乙方是法定代表人签署协议的，应当将法定代表人的身份证明附于本协议的后页；是委托代理人代理签署协议的，则应将授权委托书附于本协议的后页。</w:t>
      </w:r>
    </w:p>
    <w:p w14:paraId="546534D3">
      <w:pPr>
        <w:adjustRightInd w:val="0"/>
        <w:snapToGrid w:val="0"/>
        <w:spacing w:line="360" w:lineRule="auto"/>
        <w:rPr>
          <w:rFonts w:ascii="Times New Roman" w:hAnsi="Times New Roman" w:eastAsia="宋体" w:cs="Times New Roman"/>
          <w:sz w:val="24"/>
          <w:szCs w:val="24"/>
          <w14:ligatures w14:val="none"/>
        </w:rPr>
      </w:pPr>
      <w:r>
        <w:rPr>
          <w:rFonts w:hint="eastAsia" w:ascii="Times New Roman" w:hAnsi="Times New Roman" w:eastAsia="宋体" w:cs="Times New Roman"/>
          <w:sz w:val="24"/>
          <w:szCs w:val="24"/>
          <w14:ligatures w14:val="none"/>
        </w:rPr>
        <w:t xml:space="preserve">                  </w:t>
      </w:r>
      <w:r>
        <w:rPr>
          <w:rFonts w:ascii="Times New Roman" w:hAnsi="Times New Roman" w:eastAsia="宋体" w:cs="Times New Roman"/>
          <w:sz w:val="24"/>
          <w:szCs w:val="24"/>
          <w14:ligatures w14:val="none"/>
        </w:rPr>
        <w:t xml:space="preserve">       </w:t>
      </w:r>
    </w:p>
    <w:p w14:paraId="7A2524AE">
      <w:pPr>
        <w:bidi w:val="0"/>
      </w:pPr>
      <w:r>
        <w:rPr>
          <w:rFonts w:hint="eastAsia" w:ascii="Times New Roman" w:hAnsi="Times New Roman" w:eastAsia="宋体" w:cs="Times New Roman"/>
          <w:szCs w:val="24"/>
          <w14:ligatures w14:val="none"/>
        </w:rPr>
        <w:t xml:space="preserve"> </w:t>
      </w:r>
      <w:r>
        <w:rPr>
          <w:rFonts w:hint="eastAsia"/>
        </w:rPr>
        <w:t xml:space="preserve">                </w:t>
      </w:r>
    </w:p>
    <w:p w14:paraId="39A605E7">
      <w:pPr>
        <w:bidi w:val="0"/>
        <w:rPr>
          <w:rFonts w:hint="default"/>
          <w:lang w:val="en-US" w:eastAsia="zh-CN"/>
        </w:rPr>
      </w:pPr>
    </w:p>
    <w:p w14:paraId="4A1512C4">
      <w:pPr>
        <w:bidi w:val="0"/>
        <w:rPr>
          <w:rFonts w:hint="default"/>
          <w:lang w:val="en-US" w:eastAsia="zh-CN"/>
        </w:rPr>
      </w:pPr>
    </w:p>
    <w:p w14:paraId="61E1B11B">
      <w:pPr>
        <w:rPr>
          <w:rFonts w:hint="default" w:ascii="Times New Roman" w:hAnsi="Times New Roman"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br w:type="page"/>
      </w:r>
    </w:p>
    <w:p w14:paraId="3B8420B7">
      <w:pPr>
        <w:spacing w:line="400" w:lineRule="exact"/>
        <w:ind w:right="-519" w:rightChars="-247"/>
        <w:outlineLvl w:val="0"/>
        <w:rPr>
          <w:rFonts w:hint="default" w:ascii="Times New Roman" w:hAnsi="Times New Roman"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附件</w:t>
      </w:r>
      <w:r>
        <w:rPr>
          <w:rFonts w:hint="eastAsia" w:ascii="Times New Roman" w:hAnsi="Times New Roman" w:cs="Times New Roman"/>
          <w:bCs/>
          <w:color w:val="auto"/>
          <w:sz w:val="24"/>
          <w:szCs w:val="24"/>
          <w:highlight w:val="none"/>
          <w:lang w:val="en-US" w:eastAsia="zh-CN"/>
        </w:rPr>
        <w:t>4</w:t>
      </w:r>
    </w:p>
    <w:p w14:paraId="31920AEE">
      <w:pPr>
        <w:spacing w:line="360" w:lineRule="auto"/>
        <w:ind w:right="-519" w:rightChars="-247"/>
        <w:jc w:val="center"/>
        <w:rPr>
          <w:rFonts w:hint="default" w:ascii="Times New Roman" w:hAnsi="Times New Roman"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南通轨道交通</w:t>
      </w:r>
      <w:r>
        <w:rPr>
          <w:rFonts w:hint="eastAsia" w:ascii="Times New Roman" w:hAnsi="Times New Roman" w:cs="Times New Roman"/>
          <w:b/>
          <w:color w:val="auto"/>
          <w:sz w:val="24"/>
          <w:szCs w:val="24"/>
          <w:highlight w:val="none"/>
          <w:lang w:val="en-US" w:eastAsia="zh-CN"/>
        </w:rPr>
        <w:t>图书馆站地下附属空间</w:t>
      </w:r>
      <w:r>
        <w:rPr>
          <w:rFonts w:hint="default" w:ascii="Times New Roman" w:hAnsi="Times New Roman" w:cs="Times New Roman"/>
          <w:b/>
          <w:color w:val="auto"/>
          <w:sz w:val="24"/>
          <w:szCs w:val="24"/>
          <w:highlight w:val="none"/>
          <w:lang w:val="en-US" w:eastAsia="zh-CN"/>
        </w:rPr>
        <w:t>日常经营管理规定</w:t>
      </w:r>
    </w:p>
    <w:p w14:paraId="10DC05BE">
      <w:pPr>
        <w:spacing w:line="400" w:lineRule="exact"/>
        <w:ind w:right="-519" w:rightChars="-247" w:firstLine="440" w:firstLineChars="200"/>
        <w:rPr>
          <w:rFonts w:hint="default" w:ascii="Times New Roman" w:hAnsi="Times New Roman" w:eastAsia="宋体" w:cs="Times New Roman"/>
          <w:color w:val="auto"/>
          <w:sz w:val="22"/>
          <w:szCs w:val="22"/>
          <w:highlight w:val="none"/>
        </w:rPr>
      </w:pPr>
    </w:p>
    <w:p w14:paraId="194DBB8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为确保</w:t>
      </w:r>
      <w:r>
        <w:rPr>
          <w:rFonts w:hint="default" w:ascii="Times New Roman" w:hAnsi="Times New Roman" w:eastAsia="宋体" w:cs="Times New Roman"/>
          <w:color w:val="auto"/>
          <w:sz w:val="21"/>
          <w:szCs w:val="21"/>
          <w:highlight w:val="none"/>
          <w:lang w:eastAsia="zh-CN"/>
        </w:rPr>
        <w:t>南通</w:t>
      </w:r>
      <w:r>
        <w:rPr>
          <w:rFonts w:hint="default" w:ascii="Times New Roman" w:hAnsi="Times New Roman" w:cs="Times New Roman"/>
          <w:color w:val="auto"/>
          <w:sz w:val="21"/>
          <w:szCs w:val="21"/>
          <w:highlight w:val="none"/>
          <w:lang w:eastAsia="zh-CN"/>
        </w:rPr>
        <w:t>轨道交通</w:t>
      </w:r>
      <w:r>
        <w:rPr>
          <w:rFonts w:hint="default" w:ascii="Times New Roman" w:hAnsi="Times New Roman" w:eastAsia="宋体" w:cs="Times New Roman"/>
          <w:color w:val="auto"/>
          <w:sz w:val="21"/>
          <w:szCs w:val="21"/>
          <w:highlight w:val="none"/>
        </w:rPr>
        <w:t>运营安全与秩序良好，维护</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整体形象并营造</w:t>
      </w:r>
      <w:r>
        <w:rPr>
          <w:rFonts w:hint="default" w:ascii="Times New Roman" w:hAnsi="Times New Roman" w:cs="Times New Roman"/>
          <w:color w:val="auto"/>
          <w:sz w:val="21"/>
          <w:szCs w:val="21"/>
          <w:highlight w:val="none"/>
          <w:lang w:eastAsia="zh-CN"/>
        </w:rPr>
        <w:t>城市轨道交通</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规范有序、持续稳定的经营环境，根据相关法律规定、《南通市轨道交通条例》、《南通市城市轨道交通1号线一期工程站厅</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租赁合同书》</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运营管理规范</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的约定等，制订本管理规定。</w:t>
      </w:r>
    </w:p>
    <w:p w14:paraId="43E1D3C2">
      <w:pPr>
        <w:pStyle w:val="19"/>
        <w:pageBreakBefore w:val="0"/>
        <w:widowControl w:val="0"/>
        <w:kinsoku/>
        <w:wordWrap/>
        <w:overflowPunct/>
        <w:topLinePunct w:val="0"/>
        <w:autoSpaceDE/>
        <w:autoSpaceDN/>
        <w:bidi w:val="0"/>
        <w:adjustRightInd/>
        <w:snapToGrid/>
        <w:spacing w:line="480" w:lineRule="exact"/>
        <w:ind w:left="0" w:leftChars="0" w:right="-519" w:rightChars="-247"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一、</w:t>
      </w:r>
      <w:r>
        <w:rPr>
          <w:rFonts w:hint="eastAsia" w:cs="Times New Roman"/>
          <w:b/>
          <w:bCs/>
          <w:color w:val="auto"/>
          <w:sz w:val="21"/>
          <w:szCs w:val="21"/>
          <w:highlight w:val="none"/>
          <w:lang w:eastAsia="zh-CN"/>
        </w:rPr>
        <w:t>图书馆站</w:t>
      </w:r>
      <w:r>
        <w:rPr>
          <w:rFonts w:hint="eastAsia" w:ascii="Times New Roman" w:hAnsi="Times New Roman" w:eastAsia="宋体" w:cs="Times New Roman"/>
          <w:b/>
          <w:bCs/>
          <w:color w:val="auto"/>
          <w:sz w:val="21"/>
          <w:szCs w:val="21"/>
          <w:highlight w:val="none"/>
          <w:lang w:eastAsia="zh-CN"/>
        </w:rPr>
        <w:t>地下附属空间</w:t>
      </w:r>
      <w:r>
        <w:rPr>
          <w:rFonts w:hint="default" w:ascii="Times New Roman" w:hAnsi="Times New Roman" w:eastAsia="宋体" w:cs="Times New Roman"/>
          <w:b/>
          <w:bCs/>
          <w:color w:val="auto"/>
          <w:sz w:val="21"/>
          <w:szCs w:val="21"/>
          <w:highlight w:val="none"/>
        </w:rPr>
        <w:t>基本经营规范</w:t>
      </w:r>
    </w:p>
    <w:p w14:paraId="17224BBE">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1、经营户应遵守政府相关法律法规及各项规定，严禁从事下列经营活动：</w:t>
      </w:r>
    </w:p>
    <w:p w14:paraId="650194A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（1）销售假冒伪劣、“三无”、侵犯他人权利的商品；</w:t>
      </w:r>
    </w:p>
    <w:p w14:paraId="699F446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（2）投机诈骗，走私贩私；</w:t>
      </w:r>
    </w:p>
    <w:p w14:paraId="3E37E45E">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（3）欺行霸市，哄抬物价，强买强卖；</w:t>
      </w:r>
    </w:p>
    <w:p w14:paraId="3E66B16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（4）掺杂使假，短斤缺两；</w:t>
      </w:r>
    </w:p>
    <w:p w14:paraId="640767E1">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（5）出售法律法规禁止出售的食品；</w:t>
      </w:r>
    </w:p>
    <w:p w14:paraId="5E18FFB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（6）出售反动、暴力、荒诞、淫秽、有碍社会风化的书刊、图片、音像制品等；</w:t>
      </w:r>
    </w:p>
    <w:p w14:paraId="44AE8F1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（7）打卦、测字、算命及其他封建迷信活动；</w:t>
      </w:r>
    </w:p>
    <w:p w14:paraId="000034E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（8）出售或存放任何危险性、易燃易爆性、腐蚀性、毒性物品和所有管制物品；</w:t>
      </w:r>
    </w:p>
    <w:p w14:paraId="6C7C22F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通道、站厅层、站台层、商业层</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不得使用明火等同类性质的产品，不得产生明烟、异味，</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内不得销售开口饮料；</w:t>
      </w:r>
    </w:p>
    <w:p w14:paraId="268DF671">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（10）用作任何非法或不道德的用途。</w:t>
      </w:r>
    </w:p>
    <w:p w14:paraId="601DF13D">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遵守职业道德，树立顾客至上、信誉第一的经营观念，奉行文明经商，礼貌待客的经营作风，善待顾客，不让顾客吃亏、上当、受气。一旦遇到客户退货、换货等特殊情况，经营户应礼貌、文明接待，按照法律法规等规定双方协商解决。</w:t>
      </w:r>
    </w:p>
    <w:p w14:paraId="1AD584C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3、严格遵守国家物价政策，合理定价、买卖公平，销售的商品须明码标价，做到一货一价，标价无误。</w:t>
      </w:r>
    </w:p>
    <w:p w14:paraId="1CB9322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使用的衡量器具须准确，并定期或不定期由计量部门进行校验。</w:t>
      </w:r>
    </w:p>
    <w:p w14:paraId="141C6CD3">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5、凡拾到顾客遗忘的钱物，应及时上缴</w:t>
      </w:r>
      <w:r>
        <w:rPr>
          <w:rFonts w:hint="default" w:ascii="Times New Roman" w:hAnsi="Times New Roman" w:eastAsia="宋体" w:cs="Times New Roman"/>
          <w:color w:val="auto"/>
          <w:sz w:val="21"/>
          <w:szCs w:val="21"/>
          <w:highlight w:val="none"/>
          <w:lang w:eastAsia="zh-CN"/>
        </w:rPr>
        <w:t>南通</w:t>
      </w:r>
      <w:r>
        <w:rPr>
          <w:rFonts w:hint="default" w:ascii="Times New Roman" w:hAnsi="Times New Roman" w:cs="Times New Roman"/>
          <w:color w:val="auto"/>
          <w:sz w:val="21"/>
          <w:szCs w:val="21"/>
          <w:highlight w:val="none"/>
          <w:lang w:eastAsia="zh-CN"/>
        </w:rPr>
        <w:t>轨道交通</w:t>
      </w:r>
      <w:r>
        <w:rPr>
          <w:rFonts w:hint="default" w:ascii="Times New Roman" w:hAnsi="Times New Roman" w:eastAsia="宋体" w:cs="Times New Roman"/>
          <w:color w:val="auto"/>
          <w:sz w:val="21"/>
          <w:szCs w:val="21"/>
          <w:highlight w:val="none"/>
        </w:rPr>
        <w:t>相关管理部门，不得隐瞒。</w:t>
      </w:r>
    </w:p>
    <w:p w14:paraId="1A490D43">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6、经营户须自行及时办理</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经营所需的工商登记、税务登记、食品卫生等证照，以及环保、治安、消防等手续，严格执行政府职能部门有关商品质量、物价、安全、消防、卫生、环保等方面的政策、法令和法规。</w:t>
      </w:r>
    </w:p>
    <w:p w14:paraId="54872CB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7、经营户须规范用工，遵从国家劳动人事法律法规，所有员工须持证上岗（个人健康证、上岗证等）。</w:t>
      </w:r>
    </w:p>
    <w:p w14:paraId="1FFA4897">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8、经营户须确保任何情况下，不因其经济纠纷或与员工的任何纠纷，导致</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发生群体性事件，影响</w:t>
      </w:r>
      <w:r>
        <w:rPr>
          <w:rFonts w:hint="default" w:ascii="Times New Roman" w:hAnsi="Times New Roman" w:cs="Times New Roman"/>
          <w:color w:val="auto"/>
          <w:sz w:val="21"/>
          <w:szCs w:val="21"/>
          <w:highlight w:val="none"/>
          <w:lang w:eastAsia="zh-CN"/>
        </w:rPr>
        <w:t>城市轨道交通</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的整体形象。</w:t>
      </w:r>
    </w:p>
    <w:p w14:paraId="1D1973B5">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经营项目、经营品牌及经营品种须与租赁合同约定相一致。未经同意，不得超出租赁合同约定的经营范围或将</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用作非商业用途。</w:t>
      </w:r>
    </w:p>
    <w:p w14:paraId="1F43ACA1">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10、未经经营管理方同意，经营户不得转移、转让、转租、分租、特许他人使用租赁</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，不得利用租赁</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与第三方进行合作、承包、联营或其他方式的合作。</w:t>
      </w:r>
    </w:p>
    <w:p w14:paraId="31B370F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11、经营户拥有的使用权仅限于</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租赁范围内的地域和相应空间，严禁任何超出</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租赁范围的使用行为。经营范围及物品以不得超越</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卷帘门为标准，不可侵占公共空间。对于占用公共空间的物品，经营管理方有权移去并对物品遗失概不负责，并有权向经营户收取因此产生的一切费用。</w:t>
      </w:r>
      <w:r>
        <w:rPr>
          <w:rFonts w:hint="eastAsia" w:cs="Times New Roman"/>
          <w:color w:val="auto"/>
          <w:sz w:val="21"/>
          <w:szCs w:val="21"/>
          <w:highlight w:val="none"/>
          <w:lang w:val="en-US" w:eastAsia="zh-CN"/>
        </w:rPr>
        <w:t>一经发现3次以上，甲方有权单方解除协议。</w:t>
      </w:r>
    </w:p>
    <w:p w14:paraId="15B96FF1">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营业时间应在经营管理方指定的时间范围内，不得擅自停业、延迟开业、中途闭铺、关灯及提前打烊等。</w:t>
      </w:r>
    </w:p>
    <w:p w14:paraId="2FFE6A1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13、经营户若需在经营时间之外对商品进行盘点，须向经营管理方提出申请，得到批准后方可根据规定的时间进行盘点。</w:t>
      </w:r>
    </w:p>
    <w:p w14:paraId="6BCEF5D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14、因</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线路改造、</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安全或</w:t>
      </w:r>
      <w:r>
        <w:rPr>
          <w:rFonts w:hint="default" w:ascii="Times New Roman" w:hAnsi="Times New Roman" w:cs="Times New Roman"/>
          <w:color w:val="auto"/>
          <w:sz w:val="21"/>
          <w:szCs w:val="21"/>
          <w:highlight w:val="none"/>
          <w:lang w:eastAsia="zh-CN"/>
        </w:rPr>
        <w:t>城市轨道交通</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的整体调整等原因，需拆除或调整</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时，经营户须无条件服从，不得以任何理由拒绝配合。</w:t>
      </w:r>
    </w:p>
    <w:p w14:paraId="142292AB">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及</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车站内严禁吸烟，携带宠物。经营户若发现顾客在本</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内有吸烟、携带宠物行为，须及时阻止。</w:t>
      </w:r>
    </w:p>
    <w:p w14:paraId="34C6F2C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16、经营户或其员工不允许在</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内留宿，或利用其室内作住宿用途。</w:t>
      </w:r>
    </w:p>
    <w:p w14:paraId="71221CC7">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17、经营户不得制造或容许制造可能影响其它经营户之噪音、音乐、气味等滋扰。</w:t>
      </w:r>
    </w:p>
    <w:p w14:paraId="1BDEE6A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18、除餐饮类业态</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外，经营户在</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内不得使用器具烹煮加热任何食物。</w:t>
      </w:r>
    </w:p>
    <w:p w14:paraId="52F212AB">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19、经营户经营项目如包含餐饮类业态，须安装独立隔油池、油烟净化器等，所排放的污水、油烟须经过处理后方可排入</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主管道，并须定期自行负责清理。</w:t>
      </w:r>
    </w:p>
    <w:p w14:paraId="634D176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20、经营户须按照租赁合同规定购买相应保险。</w:t>
      </w:r>
    </w:p>
    <w:p w14:paraId="15BD87D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21、经营户运送营业用具、货物、设备、装置或大件物品的时间须避开</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运营高峰时段（以经营管理方指定的时间为准），仅可使用指定的设备及路线运送上述物件，不得妨碍交通、消防通道，不得影响</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的正常运营。严禁擅自使用客用手扶电梯和残疾人电梯运送货物或大件物品。</w:t>
      </w:r>
    </w:p>
    <w:p w14:paraId="6BE3493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22、经营管理方、</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管理部门及</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公安部门相关人员出示证件后有权进入经营户经营场地，对治安、消防、卫生及商品进行检查。经营户有责任配合工商、税务、公安等部门依法处理各种违法违纪事件。</w:t>
      </w:r>
    </w:p>
    <w:p w14:paraId="6CF0FC28">
      <w:pPr>
        <w:pStyle w:val="19"/>
        <w:pageBreakBefore w:val="0"/>
        <w:widowControl w:val="0"/>
        <w:kinsoku/>
        <w:wordWrap/>
        <w:overflowPunct/>
        <w:topLinePunct w:val="0"/>
        <w:autoSpaceDE/>
        <w:autoSpaceDN/>
        <w:bidi w:val="0"/>
        <w:adjustRightInd/>
        <w:snapToGrid/>
        <w:spacing w:line="480" w:lineRule="exact"/>
        <w:ind w:left="0" w:leftChars="0" w:right="-519" w:rightChars="-247"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二、清洁卫生规范</w:t>
      </w:r>
    </w:p>
    <w:p w14:paraId="3A86798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1、经营户须共同维护公共区域的清洁卫生，不得随地吐痰，乱丢果皮、瓜壳等杂物。</w:t>
      </w:r>
    </w:p>
    <w:p w14:paraId="0BCA733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2、经营户须每日对</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内地面、墙壁、货架、商品、设备、店招、卷帘门等进行清洁，要求无尘、无杂物、无积水、无异味。</w:t>
      </w:r>
    </w:p>
    <w:p w14:paraId="2EF389E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3、经营户应确保经营场所空气清新，及时清除或妥善处理散发异味、腥味等的物品。</w:t>
      </w:r>
    </w:p>
    <w:p w14:paraId="0BB7F45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4、从事食品、餐饮类的</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应符合卫生要求，自觉接受食品卫生等部门的监督和管理。</w:t>
      </w:r>
    </w:p>
    <w:p w14:paraId="7E4F48BD">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5、经营户须参加经营管理方定期安排的清扫活动。若有特殊任务，须服从</w:t>
      </w:r>
      <w:r>
        <w:rPr>
          <w:rFonts w:hint="default" w:ascii="Times New Roman" w:hAnsi="Times New Roman" w:eastAsia="宋体" w:cs="Times New Roman"/>
          <w:color w:val="auto"/>
          <w:sz w:val="21"/>
          <w:szCs w:val="21"/>
          <w:highlight w:val="none"/>
          <w:lang w:eastAsia="zh-CN"/>
        </w:rPr>
        <w:t>南通</w:t>
      </w:r>
      <w:r>
        <w:rPr>
          <w:rFonts w:hint="default" w:ascii="Times New Roman" w:hAnsi="Times New Roman" w:cs="Times New Roman"/>
          <w:color w:val="auto"/>
          <w:sz w:val="21"/>
          <w:szCs w:val="21"/>
          <w:highlight w:val="none"/>
          <w:lang w:eastAsia="zh-CN"/>
        </w:rPr>
        <w:t>轨道交通</w:t>
      </w:r>
      <w:r>
        <w:rPr>
          <w:rFonts w:hint="default" w:ascii="Times New Roman" w:hAnsi="Times New Roman" w:eastAsia="宋体" w:cs="Times New Roman"/>
          <w:color w:val="auto"/>
          <w:sz w:val="21"/>
          <w:szCs w:val="21"/>
          <w:highlight w:val="none"/>
        </w:rPr>
        <w:t>有关部门、经营管理方安排，及时清扫。经营户拒不履行环境卫生责任制，未做好保洁区内保洁工作的，经营管理方将责令其立即整改。逾期未做整改或整改不力的，经营管理方将采取代为整改措施，措施费用由责任者（经营户）承担。</w:t>
      </w:r>
    </w:p>
    <w:p w14:paraId="137BB4DB">
      <w:pPr>
        <w:pStyle w:val="19"/>
        <w:pageBreakBefore w:val="0"/>
        <w:widowControl w:val="0"/>
        <w:kinsoku/>
        <w:wordWrap/>
        <w:overflowPunct/>
        <w:topLinePunct w:val="0"/>
        <w:autoSpaceDE/>
        <w:autoSpaceDN/>
        <w:bidi w:val="0"/>
        <w:adjustRightInd/>
        <w:snapToGrid/>
        <w:spacing w:line="480" w:lineRule="exact"/>
        <w:ind w:left="0" w:leftChars="0" w:right="-519" w:rightChars="-247"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三、垃圾、废弃物处理规范</w:t>
      </w:r>
    </w:p>
    <w:p w14:paraId="1C8965F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的垃圾（含废弃物）以干、湿区分，分别袋装及桶装化，及时送至经营管理方指定的地点。</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废弃的包装箱应及时清理，不得随意占用公共空间。</w:t>
      </w:r>
    </w:p>
    <w:p w14:paraId="5782CB4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2、严禁在</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车站内及</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车站外随意堆积或倾倒垃圾。严禁在卫生间、</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结构渗水沟等公共区域倾倒污水。</w:t>
      </w:r>
    </w:p>
    <w:p w14:paraId="3EFFF31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经营如产生油烟、雾气的，须自行加装防火油烟净化器和足够功率的排油烟设备，不得造成空气污染及消防系统报警。一旦发生消防系统报警，经营管理方有权立即停止该</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经营。设备应定期进行清洁维护保养，及时排除消防安全隐患，保证正常运行。</w:t>
      </w:r>
    </w:p>
    <w:p w14:paraId="2F38B49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4、对于有下水管口的</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，经营户须在下水管口上自行安装过滤网，过滤网格间距须小于2mm。</w:t>
      </w:r>
    </w:p>
    <w:p w14:paraId="6953B28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5、对于有下水管口且需向下水管口排放含油污水的</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，经营户须在下水管口上自行安装隔油池。对于含油污水中的固体杂质，经营户须进行一次过滤。</w:t>
      </w:r>
    </w:p>
    <w:p w14:paraId="3CB594D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6、对于有下水管口但未安装隔油池的</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，经营户严禁向下水管口倾倒含油污水。</w:t>
      </w:r>
    </w:p>
    <w:p w14:paraId="585DD72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7、对于无下水管口但车站内有总隔油设施的</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，经营户须将含油污水进行一次过滤后，收集于密封容器内，在经营管理方监督下将含油污水倾倒入总隔油池。</w:t>
      </w:r>
    </w:p>
    <w:p w14:paraId="33CAA76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8、对于无下水管口且车站内无总隔油池的</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，经营户须收集含油污水于密闭容器内，清运至</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站之外的合法地点处理。</w:t>
      </w:r>
    </w:p>
    <w:p w14:paraId="52A0465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9、隔油池应须定期清洁维护保养，保证正常运行，隔油池废弃物须日产日清。</w:t>
      </w:r>
    </w:p>
    <w:p w14:paraId="267D1F5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color w:val="auto"/>
          <w:sz w:val="21"/>
          <w:szCs w:val="21"/>
          <w:highlight w:val="none"/>
        </w:rPr>
        <w:t>10、</w:t>
      </w:r>
      <w:r>
        <w:rPr>
          <w:rFonts w:hint="default" w:ascii="Times New Roman" w:hAnsi="Times New Roman" w:eastAsia="宋体" w:cs="Times New Roman"/>
          <w:color w:val="auto"/>
          <w:sz w:val="21"/>
          <w:szCs w:val="21"/>
          <w:highlight w:val="none"/>
        </w:rPr>
        <w:t>隔油池、油烟净化器、排油烟风机设备须符合相关污水排放、油烟排放标准，上述设备须由正规厂家生产，经营户须提供设备的产品检测报告、合格证书等相关证明材料。</w:t>
      </w:r>
    </w:p>
    <w:p w14:paraId="21B7A7C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11、餐厨废弃物须由标有“餐厨废弃物”字样的密闭容器存放，日产日清，清除后的容器应及时清洗、消毒。</w:t>
      </w:r>
    </w:p>
    <w:p w14:paraId="131B38A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12、经营户应遵守《江苏省餐厨废弃物管理办法》等相关规定：</w:t>
      </w:r>
    </w:p>
    <w:p w14:paraId="7FC76EE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（1）对餐余废弃物设专人管理，建立处理档案并长期保存、备查（详细记录销售时间、种类、数量、收到单位、联系人姓名、电话、收货人签字等）；</w:t>
      </w:r>
    </w:p>
    <w:p w14:paraId="6C56564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（2）只能销售给具有资质的餐余废弃物和废弃油脂加工单位，不得销售给其它单位和个人，不得随意处置餐余废弃物；</w:t>
      </w:r>
    </w:p>
    <w:p w14:paraId="26D6A39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（3）如有违反政府相关规定的，由经营户承担全部责任。</w:t>
      </w:r>
    </w:p>
    <w:p w14:paraId="73A1256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13、经营户在装修过程中应保持公共环境清洁，装修垃圾须袋装化，按照</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经营管理方指定地点清理废弃物。</w:t>
      </w:r>
    </w:p>
    <w:p w14:paraId="1ED0E8A6">
      <w:pPr>
        <w:pStyle w:val="19"/>
        <w:pageBreakBefore w:val="0"/>
        <w:widowControl w:val="0"/>
        <w:kinsoku/>
        <w:wordWrap/>
        <w:overflowPunct/>
        <w:topLinePunct w:val="0"/>
        <w:autoSpaceDE/>
        <w:autoSpaceDN/>
        <w:bidi w:val="0"/>
        <w:adjustRightInd/>
        <w:snapToGrid/>
        <w:spacing w:line="480" w:lineRule="exact"/>
        <w:ind w:left="0" w:leftChars="0" w:right="-519" w:rightChars="-247"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四、宣传推广规范</w:t>
      </w:r>
    </w:p>
    <w:p w14:paraId="55B5B16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1、经营户如需安装店招，须向经营管理方提交书面申请及效果图，符合经营管理方的各项技术要求，在经营管理方指定区域安装，有关费用由经营户负担。</w:t>
      </w:r>
    </w:p>
    <w:p w14:paraId="22B5E604">
      <w:pPr>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2、所有招牌（包括临时招牌、LED显示屏等电子显示屏）均须经过经营管理方书面批准，方可安装。所安装的招牌不能妨碍</w:t>
      </w:r>
      <w:r>
        <w:rPr>
          <w:rFonts w:hint="eastAsia" w:ascii="Times New Roman" w:hAnsi="Times New Roman"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的出入口及妨碍视线。</w:t>
      </w:r>
    </w:p>
    <w:p w14:paraId="733E91BB">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3、未经经营管理方批准，经营户不得摆放、张贴任何招牌、宣传招贴纸及其他宣传物品于公共区域、铺门、橱窗或外墙上，不得在</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外及公共区域做出任何兜售行为及派发传单、广告、赠品及招工等。</w:t>
      </w:r>
    </w:p>
    <w:p w14:paraId="1A61ACB1">
      <w:pPr>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4、宣传招贴不得出现类似“清场、清仓、甩卖”等用语。</w:t>
      </w:r>
    </w:p>
    <w:p w14:paraId="27C852D8">
      <w:pPr>
        <w:pStyle w:val="20"/>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5、对于</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内任何图案文字，经营管理方保留否决权。如确实设计制作低劣有碍美观，经营</w:t>
      </w:r>
      <w:r>
        <w:rPr>
          <w:rFonts w:hint="default" w:ascii="Times New Roman" w:hAnsi="Times New Roman" w:eastAsia="宋体" w:cs="Times New Roman"/>
          <w:color w:val="auto"/>
          <w:sz w:val="21"/>
          <w:szCs w:val="21"/>
          <w:highlight w:val="none"/>
        </w:rPr>
        <w:fldChar w:fldCharType="begin"/>
      </w:r>
      <w:r>
        <w:rPr>
          <w:rFonts w:hint="default" w:ascii="Times New Roman" w:hAnsi="Times New Roman" w:eastAsia="宋体" w:cs="Times New Roman"/>
          <w:color w:val="auto"/>
          <w:sz w:val="21"/>
          <w:szCs w:val="21"/>
          <w:highlight w:val="none"/>
        </w:rPr>
        <w:instrText xml:space="preserve"> HYPERLINK "http://www.gongwen123.com/Article/zongjie/nianzhong/index.htm" </w:instrText>
      </w:r>
      <w:r>
        <w:rPr>
          <w:rFonts w:hint="default" w:ascii="Times New Roman" w:hAnsi="Times New Roman" w:eastAsia="宋体" w:cs="Times New Roman"/>
          <w:color w:val="auto"/>
          <w:sz w:val="21"/>
          <w:szCs w:val="21"/>
          <w:highlight w:val="none"/>
        </w:rPr>
        <w:fldChar w:fldCharType="separate"/>
      </w:r>
      <w:r>
        <w:rPr>
          <w:rFonts w:hint="default" w:ascii="Times New Roman" w:hAnsi="Times New Roman" w:eastAsia="宋体" w:cs="Times New Roman"/>
          <w:color w:val="auto"/>
          <w:sz w:val="21"/>
          <w:szCs w:val="21"/>
          <w:highlight w:val="none"/>
        </w:rPr>
        <w:t>管理</w:t>
      </w:r>
      <w:r>
        <w:rPr>
          <w:rFonts w:hint="default" w:ascii="Times New Roman" w:hAnsi="Times New Roman" w:eastAsia="宋体" w:cs="Times New Roman"/>
          <w:color w:val="auto"/>
          <w:sz w:val="21"/>
          <w:szCs w:val="21"/>
          <w:highlight w:val="none"/>
        </w:rPr>
        <w:fldChar w:fldCharType="end"/>
      </w:r>
      <w:r>
        <w:rPr>
          <w:rFonts w:hint="default" w:ascii="Times New Roman" w:hAnsi="Times New Roman" w:eastAsia="宋体" w:cs="Times New Roman"/>
          <w:color w:val="auto"/>
          <w:sz w:val="21"/>
          <w:szCs w:val="21"/>
          <w:highlight w:val="none"/>
        </w:rPr>
        <w:t>方有权要求经营户更改或拆除。</w:t>
      </w:r>
    </w:p>
    <w:p w14:paraId="6074F3E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6、未经经营管理方批准，经营户不得擅自举办任何形式的促销活动等，包括邀请名人莅临、邀请媒体宣传报道等。</w:t>
      </w:r>
    </w:p>
    <w:p w14:paraId="7D0B418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7、经营户不得在</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内开展与本</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租赁合同约定经营范围无关的广告宣传。</w:t>
      </w:r>
    </w:p>
    <w:p w14:paraId="678BC255">
      <w:pPr>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8、经营户在</w:t>
      </w:r>
      <w:r>
        <w:rPr>
          <w:rFonts w:hint="eastAsia" w:ascii="Times New Roman" w:hAnsi="Times New Roman"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内播放音乐须经过经营管理方同意，音量须调低至不影响其它</w:t>
      </w:r>
      <w:r>
        <w:rPr>
          <w:rFonts w:hint="eastAsia" w:ascii="Times New Roman" w:hAnsi="Times New Roman"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及公共环境。音乐包括电视、音响系统及其它器材播放的音乐。</w:t>
      </w:r>
    </w:p>
    <w:p w14:paraId="6E96A682">
      <w:pPr>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w:t>
      </w:r>
      <w:r>
        <w:rPr>
          <w:rFonts w:hint="eastAsia" w:ascii="Times New Roman" w:hAnsi="Times New Roman"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内闪灯应不致从铺外看到。</w:t>
      </w:r>
    </w:p>
    <w:p w14:paraId="08C5DF0A">
      <w:pPr>
        <w:pStyle w:val="19"/>
        <w:pageBreakBefore w:val="0"/>
        <w:widowControl w:val="0"/>
        <w:kinsoku/>
        <w:wordWrap/>
        <w:overflowPunct/>
        <w:topLinePunct w:val="0"/>
        <w:autoSpaceDE/>
        <w:autoSpaceDN/>
        <w:bidi w:val="0"/>
        <w:adjustRightInd/>
        <w:snapToGrid/>
        <w:spacing w:line="480" w:lineRule="exact"/>
        <w:ind w:left="0" w:leftChars="0" w:right="-519" w:rightChars="-247"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五、装修、日常维护管理规范</w:t>
      </w:r>
    </w:p>
    <w:p w14:paraId="66AEEB2A">
      <w:pPr>
        <w:pStyle w:val="21"/>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1、经营户在装饰装修</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时，须遵守《</w:t>
      </w:r>
      <w:r>
        <w:rPr>
          <w:rFonts w:hint="default" w:ascii="Times New Roman" w:hAnsi="Times New Roman" w:eastAsia="宋体" w:cs="Times New Roman"/>
          <w:color w:val="auto"/>
          <w:sz w:val="21"/>
          <w:szCs w:val="21"/>
          <w:highlight w:val="none"/>
          <w:lang w:eastAsia="zh-CN"/>
        </w:rPr>
        <w:t>南通</w:t>
      </w:r>
      <w:r>
        <w:rPr>
          <w:rFonts w:hint="default" w:ascii="Times New Roman" w:hAnsi="Times New Roman" w:cs="Times New Roman"/>
          <w:color w:val="auto"/>
          <w:sz w:val="21"/>
          <w:szCs w:val="21"/>
          <w:highlight w:val="none"/>
          <w:lang w:eastAsia="zh-CN"/>
        </w:rPr>
        <w:t>轨道交通</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装修管理规定》等规定，装修方案须经经营管理方等部门书面审核通过后方可施工。经营户须严格按照经营管理方批准的装修方案进行施工，不得擅自变更。装修结束后，须经经营管理方等部门验收合格后，方可开业经营。</w:t>
      </w:r>
    </w:p>
    <w:p w14:paraId="1202446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2、未经经营管理方书面批准，经营户不得擅自改变</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原有结构、公共设施、消防设备，不得违章装修和私自设置附加装置。</w:t>
      </w:r>
    </w:p>
    <w:p w14:paraId="035649C7">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装修用材，须符合消防管理部门以及国家相关标准、法规的要求。</w:t>
      </w:r>
    </w:p>
    <w:p w14:paraId="2EE3496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所有电线须使用阻燃或耐火铜芯导线。敷设管线时须使用金属穿线管。</w:t>
      </w:r>
    </w:p>
    <w:p w14:paraId="6DBBCBB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照明须使用冷光源灯具，严禁使用小太阳灯、碘钨灯或大于100W以上的灯具照明，照明灯具与货物之间应保持不少于0.5米的间距。店招光源须采用“白色冷光源”设计。</w:t>
      </w:r>
    </w:p>
    <w:p w14:paraId="4CC02FA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严禁私拉电线，严禁使用电加热器等大功率电器，严禁超负荷用电。</w:t>
      </w:r>
    </w:p>
    <w:p w14:paraId="1C375AB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所有电器（包括接线板）须是经3C认证的产品，严禁使用“三无”产品。</w:t>
      </w:r>
    </w:p>
    <w:p w14:paraId="66AC47F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接线板不得串接，接线板上不得使用大功率电器，接线板接驳的电器累计功率须小于等于2000w）。</w:t>
      </w:r>
    </w:p>
    <w:p w14:paraId="71C50DB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9、经营户须定期对线路、设备使用情况进行检查，发现故障、隐患须立即排除。</w:t>
      </w:r>
    </w:p>
    <w:p w14:paraId="2550F367">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10、经营户须保持</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内部的地板、墙壁、天花板、结构、其他设施及其附属物，包括所有的卷帘门、电动装置、电线、水管等处于正常、良好、清洁及妥当的修缮状态。</w:t>
      </w:r>
    </w:p>
    <w:p w14:paraId="2A6A18C6">
      <w:pPr>
        <w:pStyle w:val="19"/>
        <w:pageBreakBefore w:val="0"/>
        <w:widowControl w:val="0"/>
        <w:kinsoku/>
        <w:wordWrap/>
        <w:overflowPunct/>
        <w:topLinePunct w:val="0"/>
        <w:autoSpaceDE/>
        <w:autoSpaceDN/>
        <w:bidi w:val="0"/>
        <w:adjustRightInd/>
        <w:snapToGrid/>
        <w:spacing w:line="480" w:lineRule="exact"/>
        <w:ind w:left="0" w:leftChars="0" w:right="-519" w:rightChars="-247"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六、消防及安全管理规范</w:t>
      </w:r>
    </w:p>
    <w:p w14:paraId="2A0D4A8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1、每日营业时间结束后，经营户及其员工须对</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进行彻底检查，清除安全隐患，关闭不必要的用电设备，做好防火、防盗工作，检查无误后方可关门落锁离开。</w:t>
      </w:r>
    </w:p>
    <w:p w14:paraId="27054292">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2、经营户应加强承租</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的治安保卫工作，自行妥善保管商品和钱物。</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内不得存放贵重物品及现金。</w:t>
      </w:r>
    </w:p>
    <w:p w14:paraId="7E8BEB3F">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须根据消防规范要求配备合格的灭火器，并定期检查、更换，确保各种消防器材和装置处于良好状态。灭火器应放置于容易取用的地方。</w:t>
      </w:r>
    </w:p>
    <w:p w14:paraId="5571C955">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4、经营户须严格遵守有关消防管理规定，不得妨碍任何消防设备的正常操作，严禁占用或堵塞消防通道，保持消防区及楼梯通道和出口畅通无阻。</w:t>
      </w:r>
    </w:p>
    <w:p w14:paraId="49FBF6D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5、经营户须加强对所有员工进行</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管理规定宣传、安全教育培训和管理，积极参加由经营管理方组织的教育活动，增强消防安全意识。经营户及员工须掌握消防器材使用，熟知突发事件处理的相应流程，</w:t>
      </w:r>
      <w:r>
        <w:rPr>
          <w:rFonts w:hint="eastAsia" w:cs="Times New Roman"/>
          <w:color w:val="auto"/>
          <w:sz w:val="21"/>
          <w:szCs w:val="21"/>
          <w:highlight w:val="none"/>
          <w:lang w:eastAsia="zh-CN"/>
        </w:rPr>
        <w:t>防止</w:t>
      </w:r>
      <w:r>
        <w:rPr>
          <w:rFonts w:hint="default" w:ascii="Times New Roman" w:hAnsi="Times New Roman" w:eastAsia="宋体" w:cs="Times New Roman"/>
          <w:color w:val="auto"/>
          <w:sz w:val="21"/>
          <w:szCs w:val="21"/>
          <w:highlight w:val="none"/>
        </w:rPr>
        <w:t>违反治安管理、安全管理行为发生。</w:t>
      </w:r>
    </w:p>
    <w:p w14:paraId="4A586EA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6、友好处理经营户之间的关系，相互协商共同利用好现有物业条件，维护</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持续稳定经营的经营氛围与良好环境。严禁在</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内起哄闹事，打架斗殴和聚赌等。</w:t>
      </w:r>
    </w:p>
    <w:p w14:paraId="74FA502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7、发生治安、火灾等突发案件或发现可疑对象，经营户须及时报告</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车站派出所和经营管理方。</w:t>
      </w:r>
    </w:p>
    <w:p w14:paraId="5213806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8、经营户须服从</w:t>
      </w:r>
      <w:r>
        <w:rPr>
          <w:rFonts w:hint="default" w:ascii="Times New Roman" w:hAnsi="Times New Roman" w:cs="Times New Roman"/>
          <w:color w:val="auto"/>
          <w:sz w:val="21"/>
          <w:szCs w:val="21"/>
          <w:highlight w:val="none"/>
          <w:lang w:eastAsia="zh-CN"/>
        </w:rPr>
        <w:t>城市轨道交通</w:t>
      </w:r>
      <w:r>
        <w:rPr>
          <w:rFonts w:hint="default" w:ascii="Times New Roman" w:hAnsi="Times New Roman" w:eastAsia="宋体" w:cs="Times New Roman"/>
          <w:color w:val="auto"/>
          <w:sz w:val="21"/>
          <w:szCs w:val="21"/>
          <w:highlight w:val="none"/>
        </w:rPr>
        <w:t>管理部门及公安部门的治安管理并依法缴纳相关治安管理费用。</w:t>
      </w:r>
    </w:p>
    <w:p w14:paraId="623B1F8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9、经营户有义务维护顾客的人身、财产安全，并有义务提醒顾客注意保管好自己的财物。</w:t>
      </w:r>
    </w:p>
    <w:p w14:paraId="72D9DCB7">
      <w:pPr>
        <w:pStyle w:val="19"/>
        <w:pageBreakBefore w:val="0"/>
        <w:widowControl w:val="0"/>
        <w:kinsoku/>
        <w:wordWrap/>
        <w:overflowPunct/>
        <w:topLinePunct w:val="0"/>
        <w:autoSpaceDE/>
        <w:autoSpaceDN/>
        <w:bidi w:val="0"/>
        <w:adjustRightInd/>
        <w:snapToGrid/>
        <w:spacing w:line="480" w:lineRule="exact"/>
        <w:ind w:left="0" w:leftChars="0" w:right="-519" w:rightChars="-247"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七、处罚办法</w:t>
      </w:r>
    </w:p>
    <w:p w14:paraId="31D8CB9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经营户在日常经营过程中，应接受出租方的监督管理，对于日常经营中存在的问题，经营户应积极予以整改。</w:t>
      </w:r>
    </w:p>
    <w:p w14:paraId="42BE056C">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1、对于占道经营、环境卫生等问题，应立即整改。否则，对于占道经营物品予以暂扣，开具整改通知单，并处以当年合同年</w:t>
      </w:r>
      <w:r>
        <w:rPr>
          <w:rFonts w:hint="eastAsia" w:cs="Times New Roman"/>
          <w:color w:val="auto"/>
          <w:sz w:val="21"/>
          <w:szCs w:val="21"/>
          <w:highlight w:val="none"/>
          <w:lang w:val="en-US" w:eastAsia="zh-CN"/>
        </w:rPr>
        <w:t>租金</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的违约金。</w:t>
      </w:r>
    </w:p>
    <w:p w14:paraId="7E71BFD0">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2、对于不能立即整改的问题：</w:t>
      </w:r>
    </w:p>
    <w:p w14:paraId="250925A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一经发现，由出租方、委托管理方、运营公司开具《整改通知单》，给予一定的整改期限，并处以当年合同年</w:t>
      </w:r>
      <w:r>
        <w:rPr>
          <w:rFonts w:hint="eastAsia" w:cs="Times New Roman"/>
          <w:color w:val="auto"/>
          <w:sz w:val="21"/>
          <w:szCs w:val="21"/>
          <w:highlight w:val="none"/>
          <w:lang w:val="en-US" w:eastAsia="zh-CN"/>
        </w:rPr>
        <w:t>租金</w:t>
      </w: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的违约金。</w:t>
      </w:r>
    </w:p>
    <w:p w14:paraId="3E6B7EA6">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逾期未整改到位或未进行整改的，处以当年合同年</w:t>
      </w:r>
      <w:r>
        <w:rPr>
          <w:rFonts w:hint="eastAsia" w:cs="Times New Roman"/>
          <w:color w:val="auto"/>
          <w:sz w:val="21"/>
          <w:szCs w:val="21"/>
          <w:highlight w:val="none"/>
          <w:lang w:val="en-US" w:eastAsia="zh-CN"/>
        </w:rPr>
        <w:t>租金</w:t>
      </w:r>
      <w:r>
        <w:rPr>
          <w:rFonts w:hint="default" w:ascii="Times New Roman" w:hAnsi="Times New Roman" w:eastAsia="宋体" w:cs="Times New Roman"/>
          <w:color w:val="auto"/>
          <w:sz w:val="21"/>
          <w:szCs w:val="21"/>
          <w:highlight w:val="none"/>
        </w:rPr>
        <w:t>2%的违约金，并再次开具整改通知单。</w:t>
      </w:r>
    </w:p>
    <w:p w14:paraId="4CB50404">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拒不整改的，出租方有权无条件提前终止</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租赁合同，并追究相应违约责任。</w:t>
      </w:r>
    </w:p>
    <w:p w14:paraId="4092EF4A">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3、同一类问题，发现两次以上的，出租方有权无条件提前终止</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租赁合同，并追究相应违约责任。</w:t>
      </w:r>
    </w:p>
    <w:p w14:paraId="2338435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（二）安全事故（事件）处罚措施</w:t>
      </w:r>
    </w:p>
    <w:p w14:paraId="1E205D0D">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经营户在</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经营过程中发生责任冒烟、火灾、伤人等安全事故（事件）时，出租方有权根据情节的严重性采取相关处罚措施。</w:t>
      </w:r>
    </w:p>
    <w:p w14:paraId="7453D711">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1、发生责任冒烟、轻微伤人等事件</w:t>
      </w:r>
    </w:p>
    <w:p w14:paraId="0BF684F9">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第一次，发放整改通知单，进行停业整顿，停业整顿不少于7日，并处以合同当年年</w:t>
      </w:r>
      <w:r>
        <w:rPr>
          <w:rFonts w:hint="default" w:ascii="Times New Roman" w:hAnsi="Times New Roman" w:eastAsia="宋体" w:cs="Times New Roman"/>
          <w:color w:val="auto"/>
          <w:sz w:val="21"/>
          <w:szCs w:val="21"/>
          <w:highlight w:val="none"/>
          <w:lang w:val="en-US" w:eastAsia="zh-CN"/>
        </w:rPr>
        <w:t>经营权费</w:t>
      </w:r>
      <w:r>
        <w:rPr>
          <w:rFonts w:hint="default" w:ascii="Times New Roman" w:hAnsi="Times New Roman" w:eastAsia="宋体" w:cs="Times New Roman"/>
          <w:color w:val="auto"/>
          <w:sz w:val="21"/>
          <w:szCs w:val="21"/>
          <w:highlight w:val="none"/>
        </w:rPr>
        <w:t>1‰的违约金（不低于2000元），给出租方或任何第三方造成损失，将由经营户承担全部赔偿责任。</w:t>
      </w:r>
    </w:p>
    <w:p w14:paraId="70601C65">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第二次，发放整改通知单，进行停业整顿，停业整顿不少于1个月，并处以合同当年</w:t>
      </w:r>
      <w:r>
        <w:rPr>
          <w:rFonts w:hint="default" w:ascii="Times New Roman" w:hAnsi="Times New Roman" w:eastAsia="宋体" w:cs="Times New Roman"/>
          <w:color w:val="auto"/>
          <w:sz w:val="21"/>
          <w:szCs w:val="21"/>
          <w:highlight w:val="none"/>
          <w:lang w:val="en-US" w:eastAsia="zh-CN"/>
        </w:rPr>
        <w:t>经营权费4</w:t>
      </w:r>
      <w:r>
        <w:rPr>
          <w:rFonts w:hint="default" w:ascii="Times New Roman" w:hAnsi="Times New Roman" w:eastAsia="宋体" w:cs="Times New Roman"/>
          <w:color w:val="auto"/>
          <w:sz w:val="21"/>
          <w:szCs w:val="21"/>
          <w:highlight w:val="none"/>
        </w:rPr>
        <w:t>‰的违约金（不低于10000元）。出租方有权提前终止合同，给出租方或任何第三方造成损失，将由经营户承担全部赔偿责任。</w:t>
      </w:r>
    </w:p>
    <w:p w14:paraId="3EE75C75">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2、发生责任火灾、重伤他人等安全事故</w:t>
      </w:r>
    </w:p>
    <w:p w14:paraId="566FBC71">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（1）出租方有权提前终止合同，并追究相应违约责任，给出租方或任何第三方造成损失，将由经营户承担全部赔偿责任。</w:t>
      </w:r>
    </w:p>
    <w:p w14:paraId="2DF07B9D">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（2）列入黑名单，经营户不得参与</w:t>
      </w:r>
      <w:r>
        <w:rPr>
          <w:rFonts w:hint="default" w:ascii="Times New Roman" w:hAnsi="Times New Roman" w:eastAsia="宋体" w:cs="Times New Roman"/>
          <w:color w:val="auto"/>
          <w:sz w:val="21"/>
          <w:szCs w:val="21"/>
          <w:highlight w:val="none"/>
          <w:lang w:eastAsia="zh-CN"/>
        </w:rPr>
        <w:t>南通</w:t>
      </w:r>
      <w:r>
        <w:rPr>
          <w:rFonts w:hint="default" w:ascii="Times New Roman" w:hAnsi="Times New Roman" w:cs="Times New Roman"/>
          <w:color w:val="auto"/>
          <w:sz w:val="21"/>
          <w:szCs w:val="21"/>
          <w:highlight w:val="none"/>
          <w:lang w:eastAsia="zh-CN"/>
        </w:rPr>
        <w:t>轨道交通</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招商</w:t>
      </w:r>
      <w:r>
        <w:rPr>
          <w:rFonts w:hint="default" w:ascii="Times New Roman" w:hAnsi="Times New Roman" w:cs="Times New Roman"/>
          <w:color w:val="auto"/>
          <w:sz w:val="21"/>
          <w:szCs w:val="21"/>
          <w:highlight w:val="none"/>
          <w:lang w:val="en-US" w:eastAsia="zh-CN"/>
        </w:rPr>
        <w:t>或招租</w:t>
      </w:r>
      <w:r>
        <w:rPr>
          <w:rFonts w:hint="default" w:ascii="Times New Roman" w:hAnsi="Times New Roman" w:eastAsia="宋体" w:cs="Times New Roman"/>
          <w:color w:val="auto"/>
          <w:sz w:val="21"/>
          <w:szCs w:val="21"/>
          <w:highlight w:val="none"/>
        </w:rPr>
        <w:t>。</w:t>
      </w:r>
    </w:p>
    <w:p w14:paraId="1E541B5B">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综上所述，如因乙方管理不善造成的一切安全事故，人员伤亡等；赔偿金额不包括在违约金范围内，乙方应另行承担相应的赔偿、法律责任、刑事责任等。</w:t>
      </w:r>
    </w:p>
    <w:p w14:paraId="59D55CDA">
      <w:pPr>
        <w:pStyle w:val="19"/>
        <w:pageBreakBefore w:val="0"/>
        <w:widowControl w:val="0"/>
        <w:kinsoku/>
        <w:wordWrap/>
        <w:overflowPunct/>
        <w:topLinePunct w:val="0"/>
        <w:autoSpaceDE/>
        <w:autoSpaceDN/>
        <w:bidi w:val="0"/>
        <w:adjustRightInd/>
        <w:snapToGrid/>
        <w:spacing w:line="480" w:lineRule="exact"/>
        <w:ind w:left="0" w:leftChars="0" w:right="-519" w:rightChars="-247" w:firstLine="422" w:firstLineChars="200"/>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八、其它</w:t>
      </w:r>
    </w:p>
    <w:p w14:paraId="769FC378">
      <w:pPr>
        <w:pStyle w:val="19"/>
        <w:pageBreakBefore w:val="0"/>
        <w:widowControl w:val="0"/>
        <w:kinsoku/>
        <w:wordWrap/>
        <w:overflowPunct/>
        <w:topLinePunct w:val="0"/>
        <w:autoSpaceDE/>
        <w:autoSpaceDN/>
        <w:bidi w:val="0"/>
        <w:adjustRightInd/>
        <w:snapToGrid/>
        <w:spacing w:line="480" w:lineRule="exact"/>
        <w:ind w:left="0" w:leftChars="0" w:right="-519" w:rightChars="-247"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本管理规定条款如与</w:t>
      </w:r>
      <w:r>
        <w:rPr>
          <w:rFonts w:hint="eastAsia" w:cs="Times New Roman"/>
          <w:color w:val="auto"/>
          <w:sz w:val="21"/>
          <w:szCs w:val="21"/>
          <w:highlight w:val="none"/>
          <w:lang w:eastAsia="zh-CN"/>
        </w:rPr>
        <w:t>图书馆站地下附属空间</w:t>
      </w:r>
      <w:r>
        <w:rPr>
          <w:rFonts w:hint="default" w:ascii="Times New Roman" w:hAnsi="Times New Roman" w:eastAsia="宋体" w:cs="Times New Roman"/>
          <w:color w:val="auto"/>
          <w:sz w:val="21"/>
          <w:szCs w:val="21"/>
          <w:highlight w:val="none"/>
        </w:rPr>
        <w:t>租赁合同有冲突时，以租赁合同为准</w:t>
      </w:r>
      <w:r>
        <w:rPr>
          <w:rFonts w:hint="default" w:ascii="Times New Roman" w:hAnsi="Times New Roman" w:eastAsia="宋体" w:cs="Times New Roman"/>
          <w:color w:val="auto"/>
          <w:sz w:val="21"/>
          <w:szCs w:val="21"/>
          <w:highlight w:val="none"/>
          <w:lang w:eastAsia="zh-CN"/>
        </w:rPr>
        <w:t>。</w:t>
      </w:r>
    </w:p>
    <w:p w14:paraId="748AD3A8">
      <w:pPr>
        <w:ind w:right="-519" w:rightChars="-247"/>
        <w:rPr>
          <w:rFonts w:hint="default" w:ascii="Times New Roman" w:hAnsi="Times New Roman" w:eastAsia="宋体" w:cs="Times New Roman"/>
          <w:color w:val="auto"/>
          <w:sz w:val="22"/>
          <w:szCs w:val="22"/>
          <w:highlight w:val="none"/>
          <w:lang w:val="en-US" w:eastAsia="zh-CN"/>
        </w:rPr>
      </w:pPr>
      <w:r>
        <w:rPr>
          <w:rFonts w:hint="default" w:ascii="Times New Roman" w:hAnsi="Times New Roman" w:eastAsia="宋体" w:cs="Times New Roman"/>
          <w:color w:val="auto"/>
          <w:sz w:val="22"/>
          <w:szCs w:val="22"/>
          <w:highlight w:val="none"/>
          <w:lang w:val="en-US" w:eastAsia="zh-CN"/>
        </w:rPr>
        <w:br w:type="page"/>
      </w:r>
    </w:p>
    <w:p w14:paraId="7DD452CE">
      <w:pPr>
        <w:spacing w:line="400" w:lineRule="exact"/>
        <w:ind w:right="-519" w:rightChars="-247"/>
        <w:outlineLvl w:val="0"/>
        <w:rPr>
          <w:rFonts w:hint="default" w:ascii="Times New Roman" w:hAnsi="Times New Roman"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附件</w:t>
      </w:r>
      <w:r>
        <w:rPr>
          <w:rFonts w:hint="eastAsia" w:ascii="Times New Roman" w:hAnsi="Times New Roman" w:cs="Times New Roman"/>
          <w:bCs/>
          <w:color w:val="auto"/>
          <w:sz w:val="24"/>
          <w:szCs w:val="24"/>
          <w:highlight w:val="none"/>
          <w:lang w:val="en-US" w:eastAsia="zh-CN"/>
        </w:rPr>
        <w:t>5</w:t>
      </w:r>
    </w:p>
    <w:p w14:paraId="70905910">
      <w:pPr>
        <w:spacing w:line="360" w:lineRule="auto"/>
        <w:ind w:left="0" w:leftChars="0" w:right="-519" w:rightChars="-247" w:firstLine="0" w:firstLineChars="0"/>
        <w:jc w:val="center"/>
        <w:rPr>
          <w:rFonts w:hint="default" w:ascii="Times New Roman" w:hAnsi="Times New Roman" w:eastAsia="宋体" w:cs="Times New Roman"/>
          <w:b/>
          <w:color w:val="auto"/>
          <w:sz w:val="24"/>
          <w:szCs w:val="24"/>
          <w:highlight w:val="none"/>
          <w:lang w:val="en-US" w:eastAsia="zh-CN"/>
        </w:rPr>
      </w:pPr>
      <w:r>
        <w:rPr>
          <w:rFonts w:hint="eastAsia" w:ascii="Times New Roman" w:hAnsi="Times New Roman" w:eastAsia="宋体" w:cs="Times New Roman"/>
          <w:b/>
          <w:color w:val="auto"/>
          <w:sz w:val="24"/>
          <w:szCs w:val="24"/>
          <w:highlight w:val="none"/>
          <w:lang w:val="en-US" w:eastAsia="zh-CN"/>
        </w:rPr>
        <w:t>物业交接表</w:t>
      </w:r>
    </w:p>
    <w:p w14:paraId="7387873C">
      <w:pPr>
        <w:spacing w:line="360" w:lineRule="auto"/>
        <w:ind w:left="630" w:leftChars="300" w:firstLine="110" w:firstLineChars="50"/>
        <w:rPr>
          <w:rFonts w:hint="default" w:ascii="Times New Roman" w:hAnsi="Times New Roman" w:cs="Times New Roman"/>
          <w:bCs/>
          <w:color w:val="000000"/>
          <w:sz w:val="22"/>
          <w:szCs w:val="22"/>
        </w:rPr>
      </w:pPr>
      <w:r>
        <w:rPr>
          <w:rFonts w:hint="default" w:ascii="Times New Roman" w:hAnsi="Times New Roman" w:cs="Times New Roman"/>
          <w:bCs/>
          <w:color w:val="000000"/>
          <w:sz w:val="22"/>
          <w:szCs w:val="22"/>
        </w:rPr>
        <w:t>以现场实际交付状况为准，后附照片</w:t>
      </w:r>
    </w:p>
    <w:p w14:paraId="24075446">
      <w:pPr>
        <w:spacing w:line="360" w:lineRule="auto"/>
        <w:ind w:left="630" w:leftChars="300" w:firstLine="110" w:firstLineChars="50"/>
        <w:rPr>
          <w:rFonts w:hint="default" w:ascii="Times New Roman" w:hAnsi="Times New Roman" w:cs="Times New Roman"/>
          <w:b/>
          <w:bCs/>
          <w:color w:val="000000"/>
          <w:sz w:val="22"/>
          <w:szCs w:val="22"/>
        </w:rPr>
      </w:pPr>
      <w:r>
        <w:rPr>
          <w:rFonts w:hint="default" w:ascii="Times New Roman" w:hAnsi="Times New Roman" w:cs="Times New Roman"/>
          <w:b/>
          <w:bCs/>
          <w:color w:val="000000"/>
          <w:sz w:val="22"/>
          <w:szCs w:val="22"/>
        </w:rPr>
        <w:t>店铺设备清单</w:t>
      </w:r>
    </w:p>
    <w:tbl>
      <w:tblPr>
        <w:tblStyle w:val="14"/>
        <w:tblpPr w:leftFromText="180" w:rightFromText="180" w:vertAnchor="text" w:horzAnchor="margin" w:tblpY="751"/>
        <w:tblOverlap w:val="never"/>
        <w:tblW w:w="87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659"/>
        <w:gridCol w:w="1248"/>
        <w:gridCol w:w="1248"/>
        <w:gridCol w:w="1249"/>
        <w:gridCol w:w="1249"/>
        <w:gridCol w:w="1249"/>
      </w:tblGrid>
      <w:tr w14:paraId="31C0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838" w:type="dxa"/>
            <w:tcBorders>
              <w:top w:val="single" w:color="auto" w:sz="4" w:space="0"/>
              <w:left w:val="single" w:color="auto" w:sz="4" w:space="0"/>
            </w:tcBorders>
            <w:noWrap/>
            <w:vAlign w:val="center"/>
          </w:tcPr>
          <w:p w14:paraId="4B558DC6">
            <w:pPr>
              <w:jc w:val="center"/>
              <w:rPr>
                <w:rFonts w:hint="default" w:ascii="Times New Roman" w:hAnsi="Times New Roman" w:cs="Times New Roman"/>
              </w:rPr>
            </w:pPr>
            <w:r>
              <w:rPr>
                <w:rFonts w:hint="default" w:ascii="Times New Roman" w:hAnsi="Times New Roman" w:cs="Times New Roman"/>
              </w:rPr>
              <w:t>序号</w:t>
            </w:r>
          </w:p>
        </w:tc>
        <w:tc>
          <w:tcPr>
            <w:tcW w:w="1659" w:type="dxa"/>
            <w:tcBorders>
              <w:top w:val="single" w:color="auto" w:sz="4" w:space="0"/>
            </w:tcBorders>
            <w:noWrap/>
            <w:vAlign w:val="center"/>
          </w:tcPr>
          <w:p w14:paraId="0BF8DABD">
            <w:pPr>
              <w:jc w:val="center"/>
              <w:rPr>
                <w:rFonts w:hint="default" w:ascii="Times New Roman" w:hAnsi="Times New Roman" w:cs="Times New Roman"/>
              </w:rPr>
            </w:pPr>
            <w:r>
              <w:rPr>
                <w:rFonts w:hint="default" w:ascii="Times New Roman" w:hAnsi="Times New Roman" w:cs="Times New Roman"/>
              </w:rPr>
              <w:t>项目</w:t>
            </w:r>
          </w:p>
        </w:tc>
        <w:tc>
          <w:tcPr>
            <w:tcW w:w="1248" w:type="dxa"/>
            <w:tcBorders>
              <w:top w:val="single" w:color="auto" w:sz="4" w:space="0"/>
            </w:tcBorders>
            <w:noWrap/>
            <w:vAlign w:val="center"/>
          </w:tcPr>
          <w:p w14:paraId="4C96DB3F">
            <w:pPr>
              <w:jc w:val="center"/>
              <w:rPr>
                <w:rFonts w:hint="default" w:ascii="Times New Roman" w:hAnsi="Times New Roman" w:cs="Times New Roman"/>
              </w:rPr>
            </w:pPr>
            <w:r>
              <w:rPr>
                <w:rFonts w:hint="default" w:ascii="Times New Roman" w:hAnsi="Times New Roman" w:cs="Times New Roman"/>
              </w:rPr>
              <w:t>内容</w:t>
            </w:r>
          </w:p>
        </w:tc>
        <w:tc>
          <w:tcPr>
            <w:tcW w:w="1248" w:type="dxa"/>
            <w:tcBorders>
              <w:top w:val="single" w:color="auto" w:sz="4" w:space="0"/>
            </w:tcBorders>
            <w:noWrap/>
            <w:vAlign w:val="center"/>
          </w:tcPr>
          <w:p w14:paraId="4C2BE3BF">
            <w:pPr>
              <w:jc w:val="center"/>
              <w:rPr>
                <w:rFonts w:hint="default" w:ascii="Times New Roman" w:hAnsi="Times New Roman" w:cs="Times New Roman"/>
              </w:rPr>
            </w:pPr>
            <w:r>
              <w:rPr>
                <w:rFonts w:hint="default" w:ascii="Times New Roman" w:hAnsi="Times New Roman" w:cs="Times New Roman"/>
              </w:rPr>
              <w:t>单位</w:t>
            </w:r>
          </w:p>
        </w:tc>
        <w:tc>
          <w:tcPr>
            <w:tcW w:w="1249" w:type="dxa"/>
            <w:tcBorders>
              <w:top w:val="single" w:color="auto" w:sz="4" w:space="0"/>
            </w:tcBorders>
            <w:noWrap/>
            <w:vAlign w:val="center"/>
          </w:tcPr>
          <w:p w14:paraId="5A6C63DB">
            <w:pPr>
              <w:jc w:val="center"/>
              <w:rPr>
                <w:rFonts w:hint="default" w:ascii="Times New Roman" w:hAnsi="Times New Roman" w:cs="Times New Roman"/>
              </w:rPr>
            </w:pPr>
            <w:r>
              <w:rPr>
                <w:rFonts w:hint="default" w:ascii="Times New Roman" w:hAnsi="Times New Roman" w:cs="Times New Roman"/>
              </w:rPr>
              <w:t>数量</w:t>
            </w:r>
          </w:p>
        </w:tc>
        <w:tc>
          <w:tcPr>
            <w:tcW w:w="1249" w:type="dxa"/>
            <w:tcBorders>
              <w:top w:val="single" w:color="auto" w:sz="4" w:space="0"/>
            </w:tcBorders>
            <w:noWrap/>
            <w:vAlign w:val="center"/>
          </w:tcPr>
          <w:p w14:paraId="4BA2359E">
            <w:pPr>
              <w:jc w:val="center"/>
              <w:rPr>
                <w:rFonts w:hint="default" w:ascii="Times New Roman" w:hAnsi="Times New Roman" w:cs="Times New Roman"/>
              </w:rPr>
            </w:pPr>
            <w:r>
              <w:rPr>
                <w:rFonts w:hint="default" w:ascii="Times New Roman" w:hAnsi="Times New Roman" w:cs="Times New Roman"/>
              </w:rPr>
              <w:t>型号</w:t>
            </w:r>
          </w:p>
        </w:tc>
        <w:tc>
          <w:tcPr>
            <w:tcW w:w="1249" w:type="dxa"/>
            <w:tcBorders>
              <w:top w:val="single" w:color="auto" w:sz="4" w:space="0"/>
              <w:right w:val="single" w:color="auto" w:sz="4" w:space="0"/>
            </w:tcBorders>
            <w:noWrap/>
            <w:vAlign w:val="center"/>
          </w:tcPr>
          <w:p w14:paraId="47585726">
            <w:pPr>
              <w:jc w:val="center"/>
              <w:rPr>
                <w:rFonts w:hint="default" w:ascii="Times New Roman" w:hAnsi="Times New Roman" w:cs="Times New Roman"/>
              </w:rPr>
            </w:pPr>
            <w:r>
              <w:rPr>
                <w:rFonts w:hint="default" w:ascii="Times New Roman" w:hAnsi="Times New Roman" w:cs="Times New Roman"/>
              </w:rPr>
              <w:t>备注</w:t>
            </w:r>
          </w:p>
        </w:tc>
      </w:tr>
      <w:tr w14:paraId="6DEC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38" w:type="dxa"/>
            <w:tcBorders>
              <w:left w:val="single" w:color="auto" w:sz="4" w:space="0"/>
            </w:tcBorders>
            <w:noWrap/>
            <w:vAlign w:val="center"/>
          </w:tcPr>
          <w:p w14:paraId="0AA52174">
            <w:pPr>
              <w:jc w:val="center"/>
              <w:rPr>
                <w:rFonts w:hint="default" w:ascii="Times New Roman" w:hAnsi="Times New Roman" w:cs="Times New Roman"/>
              </w:rPr>
            </w:pPr>
            <w:r>
              <w:rPr>
                <w:rFonts w:hint="default" w:ascii="Times New Roman" w:hAnsi="Times New Roman" w:cs="Times New Roman"/>
              </w:rPr>
              <w:t>1</w:t>
            </w:r>
          </w:p>
        </w:tc>
        <w:tc>
          <w:tcPr>
            <w:tcW w:w="1659" w:type="dxa"/>
            <w:noWrap/>
            <w:vAlign w:val="center"/>
          </w:tcPr>
          <w:p w14:paraId="3508B38A">
            <w:pPr>
              <w:jc w:val="center"/>
              <w:rPr>
                <w:rFonts w:hint="default" w:ascii="Times New Roman" w:hAnsi="Times New Roman" w:cs="Times New Roman"/>
              </w:rPr>
            </w:pPr>
            <w:r>
              <w:rPr>
                <w:rFonts w:hint="default" w:ascii="Times New Roman" w:hAnsi="Times New Roman" w:cs="Times New Roman"/>
              </w:rPr>
              <w:t>电气</w:t>
            </w:r>
          </w:p>
        </w:tc>
        <w:tc>
          <w:tcPr>
            <w:tcW w:w="1248" w:type="dxa"/>
            <w:noWrap/>
            <w:vAlign w:val="center"/>
          </w:tcPr>
          <w:p w14:paraId="10193D44">
            <w:pPr>
              <w:jc w:val="center"/>
              <w:rPr>
                <w:rFonts w:hint="default" w:ascii="Times New Roman" w:hAnsi="Times New Roman" w:cs="Times New Roman"/>
              </w:rPr>
            </w:pPr>
            <w:r>
              <w:rPr>
                <w:rFonts w:hint="default" w:ascii="Times New Roman" w:hAnsi="Times New Roman" w:cs="Times New Roman"/>
              </w:rPr>
              <w:t>隔离箱</w:t>
            </w:r>
          </w:p>
        </w:tc>
        <w:tc>
          <w:tcPr>
            <w:tcW w:w="1248" w:type="dxa"/>
            <w:noWrap/>
            <w:vAlign w:val="center"/>
          </w:tcPr>
          <w:p w14:paraId="4AB065FA">
            <w:pPr>
              <w:jc w:val="center"/>
              <w:rPr>
                <w:rFonts w:hint="default" w:ascii="Times New Roman" w:hAnsi="Times New Roman" w:cs="Times New Roman"/>
              </w:rPr>
            </w:pPr>
          </w:p>
        </w:tc>
        <w:tc>
          <w:tcPr>
            <w:tcW w:w="1249" w:type="dxa"/>
            <w:noWrap/>
            <w:vAlign w:val="center"/>
          </w:tcPr>
          <w:p w14:paraId="5514BB23">
            <w:pPr>
              <w:jc w:val="center"/>
              <w:rPr>
                <w:rFonts w:hint="default" w:ascii="Times New Roman" w:hAnsi="Times New Roman" w:cs="Times New Roman"/>
              </w:rPr>
            </w:pPr>
          </w:p>
        </w:tc>
        <w:tc>
          <w:tcPr>
            <w:tcW w:w="1249" w:type="dxa"/>
            <w:noWrap/>
            <w:vAlign w:val="center"/>
          </w:tcPr>
          <w:p w14:paraId="3984DFDD">
            <w:pPr>
              <w:jc w:val="center"/>
              <w:rPr>
                <w:rFonts w:hint="default" w:ascii="Times New Roman" w:hAnsi="Times New Roman" w:cs="Times New Roman"/>
              </w:rPr>
            </w:pPr>
          </w:p>
        </w:tc>
        <w:tc>
          <w:tcPr>
            <w:tcW w:w="1249" w:type="dxa"/>
            <w:tcBorders>
              <w:right w:val="single" w:color="auto" w:sz="4" w:space="0"/>
            </w:tcBorders>
            <w:noWrap/>
            <w:vAlign w:val="center"/>
          </w:tcPr>
          <w:p w14:paraId="4652DDC3">
            <w:pPr>
              <w:jc w:val="center"/>
              <w:rPr>
                <w:rFonts w:hint="default" w:ascii="Times New Roman" w:hAnsi="Times New Roman" w:cs="Times New Roman"/>
              </w:rPr>
            </w:pPr>
          </w:p>
        </w:tc>
      </w:tr>
      <w:tr w14:paraId="527B8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838" w:type="dxa"/>
            <w:vMerge w:val="restart"/>
            <w:tcBorders>
              <w:left w:val="single" w:color="auto" w:sz="4" w:space="0"/>
            </w:tcBorders>
            <w:noWrap/>
            <w:vAlign w:val="center"/>
          </w:tcPr>
          <w:p w14:paraId="12224F61">
            <w:pPr>
              <w:jc w:val="center"/>
              <w:rPr>
                <w:rFonts w:hint="default" w:ascii="Times New Roman" w:hAnsi="Times New Roman" w:cs="Times New Roman"/>
              </w:rPr>
            </w:pPr>
            <w:r>
              <w:rPr>
                <w:rFonts w:hint="default" w:ascii="Times New Roman" w:hAnsi="Times New Roman" w:cs="Times New Roman"/>
              </w:rPr>
              <w:t>2</w:t>
            </w:r>
          </w:p>
        </w:tc>
        <w:tc>
          <w:tcPr>
            <w:tcW w:w="1659" w:type="dxa"/>
            <w:vMerge w:val="restart"/>
            <w:noWrap/>
            <w:vAlign w:val="center"/>
          </w:tcPr>
          <w:p w14:paraId="15AA28A6">
            <w:pPr>
              <w:jc w:val="center"/>
              <w:rPr>
                <w:rFonts w:hint="default" w:ascii="Times New Roman" w:hAnsi="Times New Roman" w:cs="Times New Roman"/>
              </w:rPr>
            </w:pPr>
            <w:r>
              <w:rPr>
                <w:rFonts w:hint="default" w:ascii="Times New Roman" w:hAnsi="Times New Roman" w:cs="Times New Roman"/>
              </w:rPr>
              <w:t>消防</w:t>
            </w:r>
          </w:p>
        </w:tc>
        <w:tc>
          <w:tcPr>
            <w:tcW w:w="1248" w:type="dxa"/>
            <w:noWrap/>
            <w:vAlign w:val="center"/>
          </w:tcPr>
          <w:p w14:paraId="04F2221C">
            <w:pPr>
              <w:jc w:val="center"/>
              <w:rPr>
                <w:rFonts w:hint="default" w:ascii="Times New Roman" w:hAnsi="Times New Roman" w:cs="Times New Roman"/>
              </w:rPr>
            </w:pPr>
            <w:r>
              <w:rPr>
                <w:rFonts w:hint="default" w:ascii="Times New Roman" w:hAnsi="Times New Roman" w:cs="Times New Roman"/>
              </w:rPr>
              <w:t>喷淋头</w:t>
            </w:r>
          </w:p>
        </w:tc>
        <w:tc>
          <w:tcPr>
            <w:tcW w:w="1248" w:type="dxa"/>
            <w:noWrap/>
            <w:vAlign w:val="center"/>
          </w:tcPr>
          <w:p w14:paraId="73F1BF2F">
            <w:pPr>
              <w:jc w:val="center"/>
              <w:rPr>
                <w:rFonts w:hint="default" w:ascii="Times New Roman" w:hAnsi="Times New Roman" w:cs="Times New Roman"/>
              </w:rPr>
            </w:pPr>
          </w:p>
        </w:tc>
        <w:tc>
          <w:tcPr>
            <w:tcW w:w="1249" w:type="dxa"/>
            <w:noWrap/>
            <w:vAlign w:val="center"/>
          </w:tcPr>
          <w:p w14:paraId="3B894810">
            <w:pPr>
              <w:jc w:val="center"/>
              <w:rPr>
                <w:rFonts w:hint="default" w:ascii="Times New Roman" w:hAnsi="Times New Roman" w:cs="Times New Roman"/>
              </w:rPr>
            </w:pPr>
          </w:p>
        </w:tc>
        <w:tc>
          <w:tcPr>
            <w:tcW w:w="1249" w:type="dxa"/>
            <w:noWrap/>
            <w:vAlign w:val="center"/>
          </w:tcPr>
          <w:p w14:paraId="1CE76B11">
            <w:pPr>
              <w:jc w:val="center"/>
              <w:rPr>
                <w:rFonts w:hint="default" w:ascii="Times New Roman" w:hAnsi="Times New Roman" w:cs="Times New Roman"/>
              </w:rPr>
            </w:pPr>
          </w:p>
        </w:tc>
        <w:tc>
          <w:tcPr>
            <w:tcW w:w="1249" w:type="dxa"/>
            <w:tcBorders>
              <w:right w:val="single" w:color="auto" w:sz="4" w:space="0"/>
            </w:tcBorders>
            <w:noWrap/>
            <w:vAlign w:val="center"/>
          </w:tcPr>
          <w:p w14:paraId="466FBFE3">
            <w:pPr>
              <w:jc w:val="center"/>
              <w:rPr>
                <w:rFonts w:hint="default" w:ascii="Times New Roman" w:hAnsi="Times New Roman" w:cs="Times New Roman"/>
              </w:rPr>
            </w:pPr>
          </w:p>
        </w:tc>
      </w:tr>
      <w:tr w14:paraId="3C017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838" w:type="dxa"/>
            <w:vMerge w:val="continue"/>
            <w:tcBorders>
              <w:left w:val="single" w:color="auto" w:sz="4" w:space="0"/>
            </w:tcBorders>
            <w:noWrap/>
            <w:vAlign w:val="center"/>
          </w:tcPr>
          <w:p w14:paraId="14A2E46E">
            <w:pPr>
              <w:jc w:val="center"/>
              <w:rPr>
                <w:rFonts w:hint="default" w:ascii="Times New Roman" w:hAnsi="Times New Roman" w:cs="Times New Roman"/>
              </w:rPr>
            </w:pPr>
          </w:p>
        </w:tc>
        <w:tc>
          <w:tcPr>
            <w:tcW w:w="1659" w:type="dxa"/>
            <w:vMerge w:val="continue"/>
            <w:noWrap/>
            <w:vAlign w:val="center"/>
          </w:tcPr>
          <w:p w14:paraId="3F9B3C91">
            <w:pPr>
              <w:jc w:val="center"/>
              <w:rPr>
                <w:rFonts w:hint="default" w:ascii="Times New Roman" w:hAnsi="Times New Roman" w:cs="Times New Roman"/>
              </w:rPr>
            </w:pPr>
          </w:p>
        </w:tc>
        <w:tc>
          <w:tcPr>
            <w:tcW w:w="1248" w:type="dxa"/>
            <w:noWrap/>
            <w:vAlign w:val="center"/>
          </w:tcPr>
          <w:p w14:paraId="6B2A5C44">
            <w:pPr>
              <w:jc w:val="center"/>
              <w:rPr>
                <w:rFonts w:hint="default" w:ascii="Times New Roman" w:hAnsi="Times New Roman" w:cs="Times New Roman"/>
              </w:rPr>
            </w:pPr>
            <w:r>
              <w:rPr>
                <w:rFonts w:hint="default" w:ascii="Times New Roman" w:hAnsi="Times New Roman" w:cs="Times New Roman"/>
              </w:rPr>
              <w:t>消防栓</w:t>
            </w:r>
          </w:p>
        </w:tc>
        <w:tc>
          <w:tcPr>
            <w:tcW w:w="1248" w:type="dxa"/>
            <w:noWrap/>
            <w:vAlign w:val="center"/>
          </w:tcPr>
          <w:p w14:paraId="0EF90578">
            <w:pPr>
              <w:jc w:val="center"/>
              <w:rPr>
                <w:rFonts w:hint="default" w:ascii="Times New Roman" w:hAnsi="Times New Roman" w:cs="Times New Roman"/>
              </w:rPr>
            </w:pPr>
          </w:p>
        </w:tc>
        <w:tc>
          <w:tcPr>
            <w:tcW w:w="1249" w:type="dxa"/>
            <w:noWrap/>
            <w:vAlign w:val="center"/>
          </w:tcPr>
          <w:p w14:paraId="2A29D4C9">
            <w:pPr>
              <w:jc w:val="center"/>
              <w:rPr>
                <w:rFonts w:hint="default" w:ascii="Times New Roman" w:hAnsi="Times New Roman" w:cs="Times New Roman"/>
              </w:rPr>
            </w:pPr>
          </w:p>
        </w:tc>
        <w:tc>
          <w:tcPr>
            <w:tcW w:w="1249" w:type="dxa"/>
            <w:noWrap/>
            <w:vAlign w:val="center"/>
          </w:tcPr>
          <w:p w14:paraId="189A5A11">
            <w:pPr>
              <w:jc w:val="center"/>
              <w:rPr>
                <w:rFonts w:hint="default" w:ascii="Times New Roman" w:hAnsi="Times New Roman" w:cs="Times New Roman"/>
              </w:rPr>
            </w:pPr>
          </w:p>
        </w:tc>
        <w:tc>
          <w:tcPr>
            <w:tcW w:w="1249" w:type="dxa"/>
            <w:tcBorders>
              <w:right w:val="single" w:color="auto" w:sz="4" w:space="0"/>
            </w:tcBorders>
            <w:noWrap/>
            <w:vAlign w:val="center"/>
          </w:tcPr>
          <w:p w14:paraId="74F31B8F">
            <w:pPr>
              <w:jc w:val="center"/>
              <w:rPr>
                <w:rFonts w:hint="default" w:ascii="Times New Roman" w:hAnsi="Times New Roman" w:cs="Times New Roman"/>
              </w:rPr>
            </w:pPr>
          </w:p>
        </w:tc>
      </w:tr>
      <w:tr w14:paraId="7C173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38" w:type="dxa"/>
            <w:vMerge w:val="continue"/>
            <w:tcBorders>
              <w:left w:val="single" w:color="auto" w:sz="4" w:space="0"/>
            </w:tcBorders>
            <w:noWrap/>
            <w:vAlign w:val="center"/>
          </w:tcPr>
          <w:p w14:paraId="0266DB13">
            <w:pPr>
              <w:jc w:val="center"/>
              <w:rPr>
                <w:rFonts w:hint="default" w:ascii="Times New Roman" w:hAnsi="Times New Roman" w:cs="Times New Roman"/>
              </w:rPr>
            </w:pPr>
          </w:p>
        </w:tc>
        <w:tc>
          <w:tcPr>
            <w:tcW w:w="1659" w:type="dxa"/>
            <w:vMerge w:val="continue"/>
            <w:noWrap/>
            <w:vAlign w:val="center"/>
          </w:tcPr>
          <w:p w14:paraId="467AD326">
            <w:pPr>
              <w:jc w:val="center"/>
              <w:rPr>
                <w:rFonts w:hint="default" w:ascii="Times New Roman" w:hAnsi="Times New Roman" w:cs="Times New Roman"/>
              </w:rPr>
            </w:pPr>
          </w:p>
        </w:tc>
        <w:tc>
          <w:tcPr>
            <w:tcW w:w="1248" w:type="dxa"/>
            <w:noWrap/>
            <w:vAlign w:val="center"/>
          </w:tcPr>
          <w:p w14:paraId="7EEF8A56">
            <w:pPr>
              <w:jc w:val="center"/>
              <w:rPr>
                <w:rFonts w:hint="default" w:ascii="Times New Roman" w:hAnsi="Times New Roman" w:cs="Times New Roman"/>
              </w:rPr>
            </w:pPr>
            <w:r>
              <w:rPr>
                <w:rFonts w:hint="default" w:ascii="Times New Roman" w:hAnsi="Times New Roman" w:cs="Times New Roman"/>
              </w:rPr>
              <w:t>烟感探头</w:t>
            </w:r>
          </w:p>
        </w:tc>
        <w:tc>
          <w:tcPr>
            <w:tcW w:w="1248" w:type="dxa"/>
            <w:noWrap/>
            <w:vAlign w:val="center"/>
          </w:tcPr>
          <w:p w14:paraId="12FA3F20">
            <w:pPr>
              <w:jc w:val="center"/>
              <w:rPr>
                <w:rFonts w:hint="default" w:ascii="Times New Roman" w:hAnsi="Times New Roman" w:cs="Times New Roman"/>
              </w:rPr>
            </w:pPr>
          </w:p>
        </w:tc>
        <w:tc>
          <w:tcPr>
            <w:tcW w:w="1249" w:type="dxa"/>
            <w:noWrap/>
            <w:vAlign w:val="center"/>
          </w:tcPr>
          <w:p w14:paraId="38D50575">
            <w:pPr>
              <w:jc w:val="center"/>
              <w:rPr>
                <w:rFonts w:hint="default" w:ascii="Times New Roman" w:hAnsi="Times New Roman" w:cs="Times New Roman"/>
              </w:rPr>
            </w:pPr>
          </w:p>
        </w:tc>
        <w:tc>
          <w:tcPr>
            <w:tcW w:w="1249" w:type="dxa"/>
            <w:noWrap/>
            <w:vAlign w:val="center"/>
          </w:tcPr>
          <w:p w14:paraId="31995116">
            <w:pPr>
              <w:jc w:val="center"/>
              <w:rPr>
                <w:rFonts w:hint="default" w:ascii="Times New Roman" w:hAnsi="Times New Roman" w:cs="Times New Roman"/>
              </w:rPr>
            </w:pPr>
          </w:p>
        </w:tc>
        <w:tc>
          <w:tcPr>
            <w:tcW w:w="1249" w:type="dxa"/>
            <w:tcBorders>
              <w:right w:val="single" w:color="auto" w:sz="4" w:space="0"/>
            </w:tcBorders>
            <w:noWrap/>
            <w:vAlign w:val="center"/>
          </w:tcPr>
          <w:p w14:paraId="2509885E">
            <w:pPr>
              <w:jc w:val="center"/>
              <w:rPr>
                <w:rFonts w:hint="default" w:ascii="Times New Roman" w:hAnsi="Times New Roman" w:cs="Times New Roman"/>
              </w:rPr>
            </w:pPr>
          </w:p>
        </w:tc>
      </w:tr>
      <w:tr w14:paraId="3D1E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838" w:type="dxa"/>
            <w:vMerge w:val="continue"/>
            <w:tcBorders>
              <w:left w:val="single" w:color="auto" w:sz="4" w:space="0"/>
            </w:tcBorders>
            <w:noWrap/>
            <w:vAlign w:val="center"/>
          </w:tcPr>
          <w:p w14:paraId="6716910A">
            <w:pPr>
              <w:jc w:val="center"/>
              <w:rPr>
                <w:rFonts w:hint="default" w:ascii="Times New Roman" w:hAnsi="Times New Roman" w:cs="Times New Roman"/>
              </w:rPr>
            </w:pPr>
          </w:p>
        </w:tc>
        <w:tc>
          <w:tcPr>
            <w:tcW w:w="1659" w:type="dxa"/>
            <w:vMerge w:val="continue"/>
            <w:noWrap/>
            <w:vAlign w:val="center"/>
          </w:tcPr>
          <w:p w14:paraId="1A64545C">
            <w:pPr>
              <w:jc w:val="center"/>
              <w:rPr>
                <w:rFonts w:hint="default" w:ascii="Times New Roman" w:hAnsi="Times New Roman" w:cs="Times New Roman"/>
              </w:rPr>
            </w:pPr>
          </w:p>
        </w:tc>
        <w:tc>
          <w:tcPr>
            <w:tcW w:w="1248" w:type="dxa"/>
            <w:noWrap/>
            <w:vAlign w:val="center"/>
          </w:tcPr>
          <w:p w14:paraId="5665EB16">
            <w:pPr>
              <w:jc w:val="center"/>
              <w:rPr>
                <w:rFonts w:hint="default" w:ascii="Times New Roman" w:hAnsi="Times New Roman" w:cs="Times New Roman"/>
              </w:rPr>
            </w:pPr>
            <w:r>
              <w:rPr>
                <w:rFonts w:hint="default" w:ascii="Times New Roman" w:hAnsi="Times New Roman" w:cs="Times New Roman"/>
              </w:rPr>
              <w:t>消防排烟</w:t>
            </w:r>
          </w:p>
        </w:tc>
        <w:tc>
          <w:tcPr>
            <w:tcW w:w="1248" w:type="dxa"/>
            <w:noWrap/>
            <w:vAlign w:val="center"/>
          </w:tcPr>
          <w:p w14:paraId="38D57D46">
            <w:pPr>
              <w:jc w:val="center"/>
              <w:rPr>
                <w:rFonts w:hint="default" w:ascii="Times New Roman" w:hAnsi="Times New Roman" w:cs="Times New Roman"/>
              </w:rPr>
            </w:pPr>
          </w:p>
        </w:tc>
        <w:tc>
          <w:tcPr>
            <w:tcW w:w="1249" w:type="dxa"/>
            <w:noWrap/>
            <w:vAlign w:val="center"/>
          </w:tcPr>
          <w:p w14:paraId="7BE76776">
            <w:pPr>
              <w:jc w:val="center"/>
              <w:rPr>
                <w:rFonts w:hint="default" w:ascii="Times New Roman" w:hAnsi="Times New Roman" w:cs="Times New Roman"/>
              </w:rPr>
            </w:pPr>
          </w:p>
        </w:tc>
        <w:tc>
          <w:tcPr>
            <w:tcW w:w="1249" w:type="dxa"/>
            <w:noWrap/>
            <w:vAlign w:val="center"/>
          </w:tcPr>
          <w:p w14:paraId="11A39BD5">
            <w:pPr>
              <w:jc w:val="center"/>
              <w:rPr>
                <w:rFonts w:hint="default" w:ascii="Times New Roman" w:hAnsi="Times New Roman" w:cs="Times New Roman"/>
              </w:rPr>
            </w:pPr>
          </w:p>
        </w:tc>
        <w:tc>
          <w:tcPr>
            <w:tcW w:w="1249" w:type="dxa"/>
            <w:tcBorders>
              <w:right w:val="single" w:color="auto" w:sz="4" w:space="0"/>
            </w:tcBorders>
            <w:noWrap/>
            <w:vAlign w:val="center"/>
          </w:tcPr>
          <w:p w14:paraId="65912CBD">
            <w:pPr>
              <w:jc w:val="center"/>
              <w:rPr>
                <w:rFonts w:hint="default" w:ascii="Times New Roman" w:hAnsi="Times New Roman" w:cs="Times New Roman"/>
              </w:rPr>
            </w:pPr>
          </w:p>
        </w:tc>
      </w:tr>
      <w:tr w14:paraId="5E3A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38" w:type="dxa"/>
            <w:vMerge w:val="continue"/>
            <w:tcBorders>
              <w:left w:val="single" w:color="auto" w:sz="4" w:space="0"/>
            </w:tcBorders>
            <w:noWrap/>
            <w:vAlign w:val="center"/>
          </w:tcPr>
          <w:p w14:paraId="63BA59D4">
            <w:pPr>
              <w:jc w:val="center"/>
              <w:rPr>
                <w:rFonts w:hint="default" w:ascii="Times New Roman" w:hAnsi="Times New Roman" w:cs="Times New Roman"/>
              </w:rPr>
            </w:pPr>
          </w:p>
        </w:tc>
        <w:tc>
          <w:tcPr>
            <w:tcW w:w="1659" w:type="dxa"/>
            <w:vMerge w:val="continue"/>
            <w:noWrap/>
            <w:vAlign w:val="center"/>
          </w:tcPr>
          <w:p w14:paraId="13904587">
            <w:pPr>
              <w:jc w:val="center"/>
              <w:rPr>
                <w:rFonts w:hint="default" w:ascii="Times New Roman" w:hAnsi="Times New Roman" w:cs="Times New Roman"/>
              </w:rPr>
            </w:pPr>
          </w:p>
        </w:tc>
        <w:tc>
          <w:tcPr>
            <w:tcW w:w="1248" w:type="dxa"/>
            <w:noWrap/>
            <w:vAlign w:val="center"/>
          </w:tcPr>
          <w:p w14:paraId="05EF19AC">
            <w:pPr>
              <w:jc w:val="center"/>
              <w:rPr>
                <w:rFonts w:hint="default" w:ascii="Times New Roman" w:hAnsi="Times New Roman" w:cs="Times New Roman"/>
              </w:rPr>
            </w:pPr>
            <w:r>
              <w:rPr>
                <w:rFonts w:hint="default" w:ascii="Times New Roman" w:hAnsi="Times New Roman" w:cs="Times New Roman"/>
              </w:rPr>
              <w:t>消防补风</w:t>
            </w:r>
          </w:p>
        </w:tc>
        <w:tc>
          <w:tcPr>
            <w:tcW w:w="1248" w:type="dxa"/>
            <w:noWrap/>
            <w:vAlign w:val="center"/>
          </w:tcPr>
          <w:p w14:paraId="5A8C6CA4">
            <w:pPr>
              <w:jc w:val="center"/>
              <w:rPr>
                <w:rFonts w:hint="default" w:ascii="Times New Roman" w:hAnsi="Times New Roman" w:cs="Times New Roman"/>
              </w:rPr>
            </w:pPr>
          </w:p>
        </w:tc>
        <w:tc>
          <w:tcPr>
            <w:tcW w:w="1249" w:type="dxa"/>
            <w:noWrap/>
            <w:vAlign w:val="center"/>
          </w:tcPr>
          <w:p w14:paraId="459FB4BE">
            <w:pPr>
              <w:jc w:val="center"/>
              <w:rPr>
                <w:rFonts w:hint="default" w:ascii="Times New Roman" w:hAnsi="Times New Roman" w:cs="Times New Roman"/>
              </w:rPr>
            </w:pPr>
          </w:p>
        </w:tc>
        <w:tc>
          <w:tcPr>
            <w:tcW w:w="1249" w:type="dxa"/>
            <w:noWrap/>
            <w:vAlign w:val="center"/>
          </w:tcPr>
          <w:p w14:paraId="77215EAC">
            <w:pPr>
              <w:jc w:val="center"/>
              <w:rPr>
                <w:rFonts w:hint="default" w:ascii="Times New Roman" w:hAnsi="Times New Roman" w:cs="Times New Roman"/>
              </w:rPr>
            </w:pPr>
          </w:p>
        </w:tc>
        <w:tc>
          <w:tcPr>
            <w:tcW w:w="1249" w:type="dxa"/>
            <w:tcBorders>
              <w:right w:val="single" w:color="auto" w:sz="4" w:space="0"/>
            </w:tcBorders>
            <w:noWrap/>
            <w:vAlign w:val="center"/>
          </w:tcPr>
          <w:p w14:paraId="0E4676C8">
            <w:pPr>
              <w:jc w:val="center"/>
              <w:rPr>
                <w:rFonts w:hint="default" w:ascii="Times New Roman" w:hAnsi="Times New Roman" w:cs="Times New Roman"/>
              </w:rPr>
            </w:pPr>
          </w:p>
        </w:tc>
      </w:tr>
      <w:tr w14:paraId="580D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38" w:type="dxa"/>
            <w:vMerge w:val="continue"/>
            <w:tcBorders>
              <w:left w:val="single" w:color="auto" w:sz="4" w:space="0"/>
            </w:tcBorders>
            <w:noWrap/>
            <w:vAlign w:val="center"/>
          </w:tcPr>
          <w:p w14:paraId="1BBE2917">
            <w:pPr>
              <w:jc w:val="center"/>
              <w:rPr>
                <w:rFonts w:hint="default" w:ascii="Times New Roman" w:hAnsi="Times New Roman" w:cs="Times New Roman"/>
              </w:rPr>
            </w:pPr>
          </w:p>
        </w:tc>
        <w:tc>
          <w:tcPr>
            <w:tcW w:w="1659" w:type="dxa"/>
            <w:vMerge w:val="continue"/>
            <w:noWrap/>
            <w:vAlign w:val="center"/>
          </w:tcPr>
          <w:p w14:paraId="3A9E2A30">
            <w:pPr>
              <w:jc w:val="center"/>
              <w:rPr>
                <w:rFonts w:hint="default" w:ascii="Times New Roman" w:hAnsi="Times New Roman" w:cs="Times New Roman"/>
              </w:rPr>
            </w:pPr>
          </w:p>
        </w:tc>
        <w:tc>
          <w:tcPr>
            <w:tcW w:w="1248" w:type="dxa"/>
            <w:noWrap/>
            <w:vAlign w:val="center"/>
          </w:tcPr>
          <w:p w14:paraId="173ED928">
            <w:pPr>
              <w:jc w:val="center"/>
              <w:rPr>
                <w:rFonts w:hint="default" w:ascii="Times New Roman" w:hAnsi="Times New Roman" w:cs="Times New Roman"/>
              </w:rPr>
            </w:pPr>
            <w:r>
              <w:rPr>
                <w:rFonts w:hint="default" w:ascii="Times New Roman" w:hAnsi="Times New Roman" w:cs="Times New Roman"/>
              </w:rPr>
              <w:t>消防广播</w:t>
            </w:r>
          </w:p>
        </w:tc>
        <w:tc>
          <w:tcPr>
            <w:tcW w:w="1248" w:type="dxa"/>
            <w:noWrap/>
            <w:vAlign w:val="center"/>
          </w:tcPr>
          <w:p w14:paraId="06114478">
            <w:pPr>
              <w:jc w:val="center"/>
              <w:rPr>
                <w:rFonts w:hint="default" w:ascii="Times New Roman" w:hAnsi="Times New Roman" w:cs="Times New Roman"/>
              </w:rPr>
            </w:pPr>
          </w:p>
        </w:tc>
        <w:tc>
          <w:tcPr>
            <w:tcW w:w="1249" w:type="dxa"/>
            <w:noWrap/>
            <w:vAlign w:val="center"/>
          </w:tcPr>
          <w:p w14:paraId="3393845F">
            <w:pPr>
              <w:jc w:val="center"/>
              <w:rPr>
                <w:rFonts w:hint="default" w:ascii="Times New Roman" w:hAnsi="Times New Roman" w:cs="Times New Roman"/>
              </w:rPr>
            </w:pPr>
          </w:p>
        </w:tc>
        <w:tc>
          <w:tcPr>
            <w:tcW w:w="1249" w:type="dxa"/>
            <w:noWrap/>
            <w:vAlign w:val="center"/>
          </w:tcPr>
          <w:p w14:paraId="3A1D17EA">
            <w:pPr>
              <w:jc w:val="center"/>
              <w:rPr>
                <w:rFonts w:hint="default" w:ascii="Times New Roman" w:hAnsi="Times New Roman" w:cs="Times New Roman"/>
              </w:rPr>
            </w:pPr>
          </w:p>
        </w:tc>
        <w:tc>
          <w:tcPr>
            <w:tcW w:w="1249" w:type="dxa"/>
            <w:tcBorders>
              <w:right w:val="single" w:color="auto" w:sz="4" w:space="0"/>
            </w:tcBorders>
            <w:noWrap/>
            <w:vAlign w:val="center"/>
          </w:tcPr>
          <w:p w14:paraId="43F0BC2D">
            <w:pPr>
              <w:jc w:val="center"/>
              <w:rPr>
                <w:rFonts w:hint="default" w:ascii="Times New Roman" w:hAnsi="Times New Roman" w:cs="Times New Roman"/>
              </w:rPr>
            </w:pPr>
          </w:p>
        </w:tc>
      </w:tr>
      <w:tr w14:paraId="14EB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38" w:type="dxa"/>
            <w:vMerge w:val="restart"/>
            <w:tcBorders>
              <w:left w:val="single" w:color="auto" w:sz="4" w:space="0"/>
            </w:tcBorders>
            <w:noWrap/>
            <w:vAlign w:val="center"/>
          </w:tcPr>
          <w:p w14:paraId="6B1D3F39">
            <w:pPr>
              <w:jc w:val="center"/>
              <w:rPr>
                <w:rFonts w:hint="default" w:ascii="Times New Roman" w:hAnsi="Times New Roman" w:cs="Times New Roman"/>
              </w:rPr>
            </w:pPr>
            <w:r>
              <w:rPr>
                <w:rFonts w:hint="default" w:ascii="Times New Roman" w:hAnsi="Times New Roman" w:cs="Times New Roman"/>
              </w:rPr>
              <w:t>3</w:t>
            </w:r>
          </w:p>
        </w:tc>
        <w:tc>
          <w:tcPr>
            <w:tcW w:w="1659" w:type="dxa"/>
            <w:vMerge w:val="restart"/>
            <w:tcBorders>
              <w:right w:val="single" w:color="auto" w:sz="4" w:space="0"/>
            </w:tcBorders>
            <w:noWrap/>
            <w:vAlign w:val="center"/>
          </w:tcPr>
          <w:p w14:paraId="0A9A54A6">
            <w:pPr>
              <w:jc w:val="center"/>
              <w:rPr>
                <w:rFonts w:hint="default" w:ascii="Times New Roman" w:hAnsi="Times New Roman" w:cs="Times New Roman"/>
              </w:rPr>
            </w:pPr>
            <w:r>
              <w:rPr>
                <w:rFonts w:hint="default" w:ascii="Times New Roman" w:hAnsi="Times New Roman" w:cs="Times New Roman"/>
              </w:rPr>
              <w:t>空调</w:t>
            </w:r>
          </w:p>
        </w:tc>
        <w:tc>
          <w:tcPr>
            <w:tcW w:w="1248" w:type="dxa"/>
            <w:tcBorders>
              <w:left w:val="single" w:color="auto" w:sz="4" w:space="0"/>
            </w:tcBorders>
            <w:noWrap/>
            <w:vAlign w:val="center"/>
          </w:tcPr>
          <w:p w14:paraId="24357359">
            <w:pPr>
              <w:jc w:val="center"/>
              <w:rPr>
                <w:rFonts w:hint="default" w:ascii="Times New Roman" w:hAnsi="Times New Roman" w:cs="Times New Roman"/>
              </w:rPr>
            </w:pPr>
            <w:r>
              <w:rPr>
                <w:rFonts w:hint="default" w:ascii="Times New Roman" w:hAnsi="Times New Roman" w:cs="Times New Roman"/>
              </w:rPr>
              <w:t>空调箱</w:t>
            </w:r>
          </w:p>
        </w:tc>
        <w:tc>
          <w:tcPr>
            <w:tcW w:w="1248" w:type="dxa"/>
            <w:noWrap/>
            <w:vAlign w:val="center"/>
          </w:tcPr>
          <w:p w14:paraId="31D39AEF">
            <w:pPr>
              <w:jc w:val="center"/>
              <w:rPr>
                <w:rFonts w:hint="default" w:ascii="Times New Roman" w:hAnsi="Times New Roman" w:cs="Times New Roman"/>
              </w:rPr>
            </w:pPr>
          </w:p>
        </w:tc>
        <w:tc>
          <w:tcPr>
            <w:tcW w:w="1249" w:type="dxa"/>
            <w:noWrap/>
            <w:vAlign w:val="center"/>
          </w:tcPr>
          <w:p w14:paraId="69313825">
            <w:pPr>
              <w:jc w:val="center"/>
              <w:rPr>
                <w:rFonts w:hint="default" w:ascii="Times New Roman" w:hAnsi="Times New Roman" w:cs="Times New Roman"/>
              </w:rPr>
            </w:pPr>
          </w:p>
        </w:tc>
        <w:tc>
          <w:tcPr>
            <w:tcW w:w="1249" w:type="dxa"/>
            <w:noWrap/>
            <w:vAlign w:val="center"/>
          </w:tcPr>
          <w:p w14:paraId="57662E29">
            <w:pPr>
              <w:jc w:val="center"/>
              <w:rPr>
                <w:rFonts w:hint="default" w:ascii="Times New Roman" w:hAnsi="Times New Roman" w:cs="Times New Roman"/>
              </w:rPr>
            </w:pPr>
          </w:p>
        </w:tc>
        <w:tc>
          <w:tcPr>
            <w:tcW w:w="1249" w:type="dxa"/>
            <w:tcBorders>
              <w:right w:val="single" w:color="auto" w:sz="4" w:space="0"/>
            </w:tcBorders>
            <w:noWrap/>
            <w:vAlign w:val="center"/>
          </w:tcPr>
          <w:p w14:paraId="1C566E53">
            <w:pPr>
              <w:jc w:val="center"/>
              <w:rPr>
                <w:rFonts w:hint="default" w:ascii="Times New Roman" w:hAnsi="Times New Roman" w:cs="Times New Roman"/>
              </w:rPr>
            </w:pPr>
          </w:p>
        </w:tc>
      </w:tr>
      <w:tr w14:paraId="2CB5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838" w:type="dxa"/>
            <w:vMerge w:val="continue"/>
            <w:tcBorders>
              <w:left w:val="single" w:color="auto" w:sz="4" w:space="0"/>
            </w:tcBorders>
            <w:noWrap/>
            <w:vAlign w:val="center"/>
          </w:tcPr>
          <w:p w14:paraId="2F1F7BE2">
            <w:pPr>
              <w:jc w:val="center"/>
              <w:rPr>
                <w:rFonts w:hint="default" w:ascii="Times New Roman" w:hAnsi="Times New Roman" w:cs="Times New Roman"/>
              </w:rPr>
            </w:pPr>
          </w:p>
        </w:tc>
        <w:tc>
          <w:tcPr>
            <w:tcW w:w="1659" w:type="dxa"/>
            <w:vMerge w:val="continue"/>
            <w:tcBorders>
              <w:right w:val="single" w:color="auto" w:sz="4" w:space="0"/>
            </w:tcBorders>
            <w:noWrap/>
            <w:vAlign w:val="center"/>
          </w:tcPr>
          <w:p w14:paraId="09A75F61">
            <w:pPr>
              <w:jc w:val="center"/>
              <w:rPr>
                <w:rFonts w:hint="default" w:ascii="Times New Roman" w:hAnsi="Times New Roman" w:cs="Times New Roman"/>
              </w:rPr>
            </w:pPr>
          </w:p>
        </w:tc>
        <w:tc>
          <w:tcPr>
            <w:tcW w:w="1248" w:type="dxa"/>
            <w:tcBorders>
              <w:left w:val="single" w:color="auto" w:sz="4" w:space="0"/>
            </w:tcBorders>
            <w:noWrap/>
            <w:vAlign w:val="center"/>
          </w:tcPr>
          <w:p w14:paraId="7BF61072">
            <w:pPr>
              <w:jc w:val="center"/>
              <w:rPr>
                <w:rFonts w:hint="default" w:ascii="Times New Roman" w:hAnsi="Times New Roman" w:cs="Times New Roman"/>
              </w:rPr>
            </w:pPr>
            <w:r>
              <w:rPr>
                <w:rFonts w:hint="default" w:ascii="Times New Roman" w:hAnsi="Times New Roman" w:cs="Times New Roman"/>
              </w:rPr>
              <w:t>新风机</w:t>
            </w:r>
          </w:p>
        </w:tc>
        <w:tc>
          <w:tcPr>
            <w:tcW w:w="1248" w:type="dxa"/>
            <w:noWrap/>
            <w:vAlign w:val="center"/>
          </w:tcPr>
          <w:p w14:paraId="6A106400">
            <w:pPr>
              <w:jc w:val="center"/>
              <w:rPr>
                <w:rFonts w:hint="default" w:ascii="Times New Roman" w:hAnsi="Times New Roman" w:cs="Times New Roman"/>
              </w:rPr>
            </w:pPr>
          </w:p>
        </w:tc>
        <w:tc>
          <w:tcPr>
            <w:tcW w:w="1249" w:type="dxa"/>
            <w:noWrap/>
            <w:vAlign w:val="center"/>
          </w:tcPr>
          <w:p w14:paraId="758119F9">
            <w:pPr>
              <w:jc w:val="center"/>
              <w:rPr>
                <w:rFonts w:hint="default" w:ascii="Times New Roman" w:hAnsi="Times New Roman" w:cs="Times New Roman"/>
              </w:rPr>
            </w:pPr>
          </w:p>
        </w:tc>
        <w:tc>
          <w:tcPr>
            <w:tcW w:w="1249" w:type="dxa"/>
            <w:noWrap/>
            <w:vAlign w:val="center"/>
          </w:tcPr>
          <w:p w14:paraId="7B707941">
            <w:pPr>
              <w:jc w:val="center"/>
              <w:rPr>
                <w:rFonts w:hint="default" w:ascii="Times New Roman" w:hAnsi="Times New Roman" w:cs="Times New Roman"/>
              </w:rPr>
            </w:pPr>
          </w:p>
        </w:tc>
        <w:tc>
          <w:tcPr>
            <w:tcW w:w="1249" w:type="dxa"/>
            <w:tcBorders>
              <w:right w:val="single" w:color="auto" w:sz="4" w:space="0"/>
            </w:tcBorders>
            <w:noWrap/>
            <w:vAlign w:val="center"/>
          </w:tcPr>
          <w:p w14:paraId="381DB47B">
            <w:pPr>
              <w:jc w:val="center"/>
              <w:rPr>
                <w:rFonts w:hint="default" w:ascii="Times New Roman" w:hAnsi="Times New Roman" w:cs="Times New Roman"/>
              </w:rPr>
            </w:pPr>
          </w:p>
        </w:tc>
      </w:tr>
      <w:tr w14:paraId="513AA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838" w:type="dxa"/>
            <w:tcBorders>
              <w:left w:val="single" w:color="auto" w:sz="4" w:space="0"/>
            </w:tcBorders>
            <w:noWrap/>
            <w:vAlign w:val="center"/>
          </w:tcPr>
          <w:p w14:paraId="2F23697A">
            <w:pPr>
              <w:jc w:val="center"/>
              <w:rPr>
                <w:rFonts w:hint="default" w:ascii="Times New Roman" w:hAnsi="Times New Roman" w:cs="Times New Roman"/>
              </w:rPr>
            </w:pPr>
            <w:r>
              <w:rPr>
                <w:rFonts w:hint="default" w:ascii="Times New Roman" w:hAnsi="Times New Roman" w:cs="Times New Roman"/>
              </w:rPr>
              <w:t>4</w:t>
            </w:r>
          </w:p>
        </w:tc>
        <w:tc>
          <w:tcPr>
            <w:tcW w:w="1659" w:type="dxa"/>
            <w:noWrap/>
            <w:vAlign w:val="center"/>
          </w:tcPr>
          <w:p w14:paraId="06E9B33D">
            <w:pPr>
              <w:jc w:val="center"/>
              <w:rPr>
                <w:rFonts w:hint="default" w:ascii="Times New Roman" w:hAnsi="Times New Roman" w:cs="Times New Roman"/>
              </w:rPr>
            </w:pPr>
            <w:r>
              <w:rPr>
                <w:rFonts w:hint="default" w:ascii="Times New Roman" w:hAnsi="Times New Roman" w:cs="Times New Roman"/>
              </w:rPr>
              <w:t>其他</w:t>
            </w:r>
          </w:p>
        </w:tc>
        <w:tc>
          <w:tcPr>
            <w:tcW w:w="1248" w:type="dxa"/>
            <w:noWrap/>
            <w:vAlign w:val="center"/>
          </w:tcPr>
          <w:p w14:paraId="514F3002">
            <w:pPr>
              <w:jc w:val="center"/>
              <w:rPr>
                <w:rFonts w:hint="default" w:ascii="Times New Roman" w:hAnsi="Times New Roman" w:cs="Times New Roman"/>
              </w:rPr>
            </w:pPr>
          </w:p>
        </w:tc>
        <w:tc>
          <w:tcPr>
            <w:tcW w:w="1248" w:type="dxa"/>
            <w:noWrap/>
            <w:vAlign w:val="center"/>
          </w:tcPr>
          <w:p w14:paraId="3B5E49A0">
            <w:pPr>
              <w:jc w:val="center"/>
              <w:rPr>
                <w:rFonts w:hint="default" w:ascii="Times New Roman" w:hAnsi="Times New Roman" w:cs="Times New Roman"/>
              </w:rPr>
            </w:pPr>
          </w:p>
        </w:tc>
        <w:tc>
          <w:tcPr>
            <w:tcW w:w="1249" w:type="dxa"/>
            <w:noWrap/>
            <w:vAlign w:val="center"/>
          </w:tcPr>
          <w:p w14:paraId="300EA464">
            <w:pPr>
              <w:jc w:val="center"/>
              <w:rPr>
                <w:rFonts w:hint="default" w:ascii="Times New Roman" w:hAnsi="Times New Roman" w:cs="Times New Roman"/>
              </w:rPr>
            </w:pPr>
          </w:p>
        </w:tc>
        <w:tc>
          <w:tcPr>
            <w:tcW w:w="1249" w:type="dxa"/>
            <w:noWrap/>
            <w:vAlign w:val="center"/>
          </w:tcPr>
          <w:p w14:paraId="59878470">
            <w:pPr>
              <w:jc w:val="center"/>
              <w:rPr>
                <w:rFonts w:hint="default" w:ascii="Times New Roman" w:hAnsi="Times New Roman" w:cs="Times New Roman"/>
              </w:rPr>
            </w:pPr>
          </w:p>
        </w:tc>
        <w:tc>
          <w:tcPr>
            <w:tcW w:w="1249" w:type="dxa"/>
            <w:tcBorders>
              <w:right w:val="single" w:color="auto" w:sz="4" w:space="0"/>
            </w:tcBorders>
            <w:noWrap/>
            <w:vAlign w:val="center"/>
          </w:tcPr>
          <w:p w14:paraId="43DF3BC4">
            <w:pPr>
              <w:jc w:val="center"/>
              <w:rPr>
                <w:rFonts w:hint="default" w:ascii="Times New Roman" w:hAnsi="Times New Roman" w:cs="Times New Roman"/>
              </w:rPr>
            </w:pPr>
          </w:p>
        </w:tc>
      </w:tr>
    </w:tbl>
    <w:p w14:paraId="19B995EC">
      <w:pPr>
        <w:widowControl/>
        <w:tabs>
          <w:tab w:val="left" w:pos="720"/>
          <w:tab w:val="left" w:pos="1260"/>
        </w:tabs>
        <w:spacing w:line="500" w:lineRule="exact"/>
        <w:jc w:val="left"/>
        <w:rPr>
          <w:rFonts w:hint="default" w:ascii="Times New Roman" w:hAnsi="Times New Roman" w:cs="Times New Roman"/>
          <w:b/>
          <w:bCs/>
          <w:color w:val="000000"/>
        </w:rPr>
      </w:pPr>
      <w:r>
        <w:rPr>
          <w:rFonts w:hint="default" w:ascii="Times New Roman" w:hAnsi="Times New Roman" w:cs="Times New Roman"/>
          <w:b/>
          <w:bCs/>
          <w:color w:val="000000"/>
        </w:rPr>
        <w:br w:type="page"/>
      </w:r>
    </w:p>
    <w:p w14:paraId="27BBA323">
      <w:pPr>
        <w:spacing w:line="400" w:lineRule="exact"/>
        <w:ind w:right="-519" w:rightChars="-247"/>
        <w:outlineLvl w:val="0"/>
        <w:rPr>
          <w:rFonts w:hint="default" w:ascii="Times New Roman" w:hAnsi="Times New Roman"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附件</w:t>
      </w:r>
      <w:r>
        <w:rPr>
          <w:rFonts w:hint="eastAsia" w:ascii="Times New Roman" w:hAnsi="Times New Roman" w:cs="Times New Roman"/>
          <w:bCs/>
          <w:color w:val="auto"/>
          <w:sz w:val="24"/>
          <w:szCs w:val="24"/>
          <w:highlight w:val="none"/>
          <w:lang w:val="en-US" w:eastAsia="zh-CN"/>
        </w:rPr>
        <w:t>6</w:t>
      </w:r>
    </w:p>
    <w:p w14:paraId="0442428D">
      <w:pPr>
        <w:spacing w:line="360" w:lineRule="auto"/>
        <w:ind w:left="0" w:leftChars="0" w:right="-519" w:rightChars="-247" w:firstLine="0" w:firstLineChars="0"/>
        <w:jc w:val="center"/>
        <w:rPr>
          <w:rFonts w:hint="default" w:ascii="Times New Roman" w:hAnsi="Times New Roman" w:eastAsia="宋体" w:cs="Times New Roman"/>
          <w:b/>
          <w:color w:val="auto"/>
          <w:sz w:val="24"/>
          <w:szCs w:val="24"/>
          <w:highlight w:val="none"/>
        </w:rPr>
      </w:pPr>
      <w:r>
        <w:rPr>
          <w:rFonts w:hint="default" w:ascii="Times New Roman" w:hAnsi="Times New Roman" w:eastAsia="宋体" w:cs="Times New Roman"/>
          <w:b/>
          <w:color w:val="auto"/>
          <w:sz w:val="24"/>
          <w:szCs w:val="24"/>
          <w:highlight w:val="none"/>
        </w:rPr>
        <w:t>廉政合同</w:t>
      </w:r>
    </w:p>
    <w:p w14:paraId="372535EF">
      <w:pPr>
        <w:adjustRightInd w:val="0"/>
        <w:snapToGrid w:val="0"/>
        <w:spacing w:line="360" w:lineRule="auto"/>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根据国家法律、法规以及有关工程建设、廉政建设的规定，为做好工程建设中的党风廉政建设，保证工程建设高效优质，保证建设资金的安全和有效使用以及投资效益，</w:t>
      </w:r>
      <w:r>
        <w:rPr>
          <w:rFonts w:hint="eastAsia" w:ascii="宋体" w:hAnsi="宋体" w:cs="宋体"/>
          <w:sz w:val="21"/>
          <w:szCs w:val="21"/>
          <w:u w:val="single"/>
          <w:lang w:val="en-US" w:eastAsia="zh-CN"/>
        </w:rPr>
        <w:t>南通轨道交通1号线图书馆站地下附属空间（02号商铺）出租项目</w:t>
      </w:r>
      <w:r>
        <w:rPr>
          <w:rFonts w:hint="default" w:ascii="Times New Roman" w:hAnsi="Times New Roman" w:eastAsia="宋体" w:cs="Times New Roman"/>
          <w:color w:val="auto"/>
          <w:sz w:val="21"/>
          <w:szCs w:val="21"/>
          <w:highlight w:val="none"/>
        </w:rPr>
        <w:t>的项目法人</w:t>
      </w:r>
      <w:r>
        <w:rPr>
          <w:rFonts w:hint="default" w:ascii="Times New Roman" w:hAnsi="Times New Roman" w:cs="Times New Roman"/>
          <w:bCs/>
          <w:color w:val="auto"/>
          <w:sz w:val="21"/>
          <w:szCs w:val="21"/>
          <w:highlight w:val="none"/>
          <w:u w:val="single" w:color="000000"/>
          <w:lang w:eastAsia="zh-CN"/>
        </w:rPr>
        <w:t>南通轨道资源开发有限公司</w:t>
      </w:r>
      <w:r>
        <w:rPr>
          <w:rFonts w:hint="default" w:ascii="Times New Roman" w:hAnsi="Times New Roman" w:eastAsia="宋体" w:cs="Times New Roman"/>
          <w:color w:val="auto"/>
          <w:sz w:val="21"/>
          <w:szCs w:val="21"/>
          <w:highlight w:val="none"/>
          <w:u w:val="single"/>
        </w:rPr>
        <w:t>(以下称甲方)</w:t>
      </w:r>
      <w:r>
        <w:rPr>
          <w:rFonts w:hint="default" w:ascii="Times New Roman" w:hAnsi="Times New Roman" w:eastAsia="宋体" w:cs="Times New Roman"/>
          <w:color w:val="auto"/>
          <w:sz w:val="21"/>
          <w:szCs w:val="21"/>
          <w:highlight w:val="none"/>
        </w:rPr>
        <w:t>与</w:t>
      </w:r>
      <w:r>
        <w:rPr>
          <w:rFonts w:hint="eastAsia" w:ascii="Times New Roman" w:hAnsi="Times New Roman" w:cs="Times New Roman"/>
          <w:color w:val="auto"/>
          <w:sz w:val="21"/>
          <w:szCs w:val="21"/>
          <w:highlight w:val="none"/>
          <w:u w:val="single"/>
          <w:lang w:val="en-US" w:eastAsia="zh-CN"/>
        </w:rPr>
        <w:t xml:space="preserve"> </w:t>
      </w:r>
      <w:r>
        <w:rPr>
          <w:rFonts w:hint="eastAsia" w:ascii="Times New Roman" w:hAnsi="Times New Roman" w:cs="Times New Roman"/>
          <w:sz w:val="21"/>
          <w:szCs w:val="21"/>
          <w:u w:val="single"/>
          <w:lang w:val="en-US" w:eastAsia="zh-CN"/>
          <w14:ligatures w14:val="none"/>
        </w:rPr>
        <w:t xml:space="preserve">          </w:t>
      </w:r>
      <w:r>
        <w:rPr>
          <w:rFonts w:hint="eastAsia" w:ascii="Times New Roman" w:hAnsi="Times New Roman" w:cs="Times New Roman"/>
          <w:color w:val="auto"/>
          <w:sz w:val="21"/>
          <w:szCs w:val="21"/>
          <w:highlight w:val="none"/>
          <w:u w:val="single"/>
          <w:lang w:val="en-US" w:eastAsia="zh-CN"/>
        </w:rPr>
        <w:t xml:space="preserve"> </w:t>
      </w:r>
      <w:r>
        <w:rPr>
          <w:rFonts w:hint="default" w:ascii="Times New Roman" w:hAnsi="Times New Roman" w:eastAsia="宋体" w:cs="Times New Roman"/>
          <w:color w:val="auto"/>
          <w:sz w:val="21"/>
          <w:szCs w:val="21"/>
          <w:highlight w:val="none"/>
          <w:u w:val="single"/>
        </w:rPr>
        <w:t>（以下称乙方）</w:t>
      </w:r>
      <w:r>
        <w:rPr>
          <w:rFonts w:hint="default" w:ascii="Times New Roman" w:hAnsi="Times New Roman" w:eastAsia="宋体" w:cs="Times New Roman"/>
          <w:color w:val="auto"/>
          <w:sz w:val="21"/>
          <w:szCs w:val="21"/>
          <w:highlight w:val="none"/>
        </w:rPr>
        <w:t>，特订立如下合同。</w:t>
      </w:r>
    </w:p>
    <w:p w14:paraId="3F7323A5">
      <w:pPr>
        <w:spacing w:line="480" w:lineRule="exact"/>
        <w:ind w:right="-519" w:rightChars="-247" w:firstLine="422" w:firstLineChars="200"/>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第一条 甲乙双方的权利和义务</w:t>
      </w:r>
    </w:p>
    <w:p w14:paraId="6CF009FA">
      <w:pPr>
        <w:tabs>
          <w:tab w:val="left" w:pos="2115"/>
        </w:tabs>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（一）严格遵守党和国家有关法律法规及江苏省、南通市的有关规定，遵守南通轨道交通有限公司六不准则。</w:t>
      </w:r>
    </w:p>
    <w:p w14:paraId="3313B867">
      <w:pPr>
        <w:tabs>
          <w:tab w:val="left" w:pos="2115"/>
        </w:tabs>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（二）严格执行</w:t>
      </w:r>
      <w:r>
        <w:rPr>
          <w:rFonts w:hint="eastAsia" w:ascii="Times New Roman" w:hAnsi="Times New Roman" w:cs="Times New Roman"/>
          <w:color w:val="auto"/>
          <w:sz w:val="21"/>
          <w:szCs w:val="21"/>
          <w:highlight w:val="none"/>
          <w:u w:val="single"/>
          <w:lang w:val="en-US" w:eastAsia="zh-CN"/>
        </w:rPr>
        <w:t>南通轨道交通1号线图书馆站地下附属空间（02号商铺）出租项目</w:t>
      </w:r>
      <w:r>
        <w:rPr>
          <w:rFonts w:hint="default" w:ascii="Times New Roman" w:hAnsi="Times New Roman" w:eastAsia="宋体" w:cs="Times New Roman"/>
          <w:color w:val="auto"/>
          <w:sz w:val="21"/>
          <w:szCs w:val="21"/>
          <w:highlight w:val="none"/>
        </w:rPr>
        <w:t>的合同文件，自觉按合同办事。</w:t>
      </w:r>
    </w:p>
    <w:p w14:paraId="4A06EAE1">
      <w:pPr>
        <w:tabs>
          <w:tab w:val="left" w:pos="2115"/>
        </w:tabs>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（三）双方的业务活动坚持公开、公正、诚信、透明的原则（除法律认定的商业秘密和合同文件另有规定之外），不得损害国家和集体利益，违反工程建设规章制度。</w:t>
      </w:r>
    </w:p>
    <w:p w14:paraId="0C693FD3">
      <w:pPr>
        <w:tabs>
          <w:tab w:val="left" w:pos="2115"/>
        </w:tabs>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（四）建立健全廉政制度，开展廉政教育，设立廉政告示牌，公布举报电话，监督并认真查处违法违纪行为。</w:t>
      </w:r>
    </w:p>
    <w:p w14:paraId="54E028BA">
      <w:pPr>
        <w:tabs>
          <w:tab w:val="left" w:pos="2115"/>
        </w:tabs>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（五）发现对方在业务活动中有违反廉政规定的行为，有及时提醒对方纠正的权利和义务。</w:t>
      </w:r>
    </w:p>
    <w:p w14:paraId="755D6965">
      <w:pPr>
        <w:tabs>
          <w:tab w:val="left" w:pos="2115"/>
        </w:tabs>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（六）发现对方严重违反本合同义务条款的行为，有向其上级有关部门举报、建议给予处理并要求告知处理结果的权利。</w:t>
      </w:r>
    </w:p>
    <w:p w14:paraId="16899288">
      <w:pPr>
        <w:spacing w:line="480" w:lineRule="exact"/>
        <w:ind w:right="-519" w:rightChars="-247" w:firstLine="422" w:firstLineChars="200"/>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第二条 甲方的义务</w:t>
      </w:r>
    </w:p>
    <w:p w14:paraId="5BFE3D3F">
      <w:pPr>
        <w:tabs>
          <w:tab w:val="left" w:pos="0"/>
          <w:tab w:val="left" w:pos="2115"/>
        </w:tabs>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（一）甲方及其工作人员不得索要或接受乙方的礼金、有价证券和贵重物品，不得在乙方报销任何应由甲方或个人支付的费用等。</w:t>
      </w:r>
    </w:p>
    <w:p w14:paraId="175FCB67">
      <w:pPr>
        <w:tabs>
          <w:tab w:val="left" w:pos="0"/>
          <w:tab w:val="left" w:pos="2115"/>
        </w:tabs>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（二）甲方工作人员不得参加乙方安排的超标准宴请和娱乐活动；不得接受乙方提供的通讯工具、交通工具和高档办公用品等。</w:t>
      </w:r>
    </w:p>
    <w:p w14:paraId="2E958BDF">
      <w:pPr>
        <w:tabs>
          <w:tab w:val="left" w:pos="0"/>
          <w:tab w:val="left" w:pos="2115"/>
        </w:tabs>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（三）甲方及其工作人员不得要求或者接受乙方为其住房装修、婚丧嫁娶活动、配偶子女的工作安排以及出国出境、旅游等提供方便等。</w:t>
      </w:r>
    </w:p>
    <w:p w14:paraId="2ADB1B7D">
      <w:pPr>
        <w:spacing w:line="480" w:lineRule="exact"/>
        <w:ind w:right="-519" w:rightChars="-247" w:firstLine="422" w:firstLineChars="200"/>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第三条 乙方义务</w:t>
      </w:r>
    </w:p>
    <w:p w14:paraId="6BAD5634">
      <w:pPr>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（一）乙方不得以任何理由向甲方及其工作人员行贿或馈赠礼金、有价证券、贵重礼品。</w:t>
      </w:r>
    </w:p>
    <w:p w14:paraId="405B6E0F">
      <w:pPr>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（二）乙方不得以任何名义为甲方及其工作人员报销应由甲方单位或个人支付的任何费用。</w:t>
      </w:r>
    </w:p>
    <w:p w14:paraId="71DF13FC">
      <w:pPr>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（三）乙方不得以任何理由安排甲方工作人员参加超标准宴请及娱乐活动。</w:t>
      </w:r>
    </w:p>
    <w:p w14:paraId="5BA2BF0D">
      <w:pPr>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（四）乙方不得为甲方单位和个人购置或提供通讯工具、交通工具和高档办公用品等。</w:t>
      </w:r>
    </w:p>
    <w:p w14:paraId="60CD4D79">
      <w:pPr>
        <w:spacing w:line="480" w:lineRule="exact"/>
        <w:ind w:right="-519" w:rightChars="-247" w:firstLine="422" w:firstLineChars="200"/>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第四条 违约责任</w:t>
      </w:r>
    </w:p>
    <w:p w14:paraId="5E41B271">
      <w:pPr>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（一）甲方及其工作人员违反本合同第一、二条，按管理权限，依据有关规定给予党纪、政纪或组织处理，调离其工作岗位；涉嫌犯罪的，移交司法机关追究刑事责任；给乙方单位造成经济损失的，应予以赔偿。</w:t>
      </w:r>
    </w:p>
    <w:p w14:paraId="368CD380">
      <w:pPr>
        <w:spacing w:line="480" w:lineRule="exact"/>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乙方及其工作人员违反本合同第一、三条，按管理权限，依据有关规定，给予党纪、政纪或组织处理；给甲方单位造成经济损失的，应予以赔偿；情节严重的，甲方可以单方终止与乙方的合同，并给予乙方三年内不得对甲方组织建设的工程项目进行投标的处罚。</w:t>
      </w:r>
    </w:p>
    <w:p w14:paraId="3B45A571">
      <w:pPr>
        <w:spacing w:line="480" w:lineRule="exact"/>
        <w:ind w:right="-519" w:rightChars="-247" w:firstLine="422"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第五条</w:t>
      </w:r>
      <w:r>
        <w:rPr>
          <w:rFonts w:hint="default" w:ascii="Times New Roman" w:hAnsi="Times New Roman" w:eastAsia="宋体" w:cs="Times New Roman"/>
          <w:color w:val="auto"/>
          <w:sz w:val="21"/>
          <w:szCs w:val="21"/>
          <w:highlight w:val="none"/>
        </w:rPr>
        <w:t xml:space="preserve"> 双方约定：本合同由双方或双方上级单位的纪检监察机关负责监督执行。由甲方或甲方上级单位的纪检监察机关约请乙方或乙方上级单位纪检监察机关对本合同执行情况进行检查；提出在本合同约定范围内的裁定意见。</w:t>
      </w:r>
    </w:p>
    <w:p w14:paraId="2BD6ABD5">
      <w:pPr>
        <w:spacing w:line="480" w:lineRule="exact"/>
        <w:ind w:right="-519" w:rightChars="-247" w:firstLine="422"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第六条</w:t>
      </w:r>
      <w:r>
        <w:rPr>
          <w:rFonts w:hint="default" w:ascii="Times New Roman" w:hAnsi="Times New Roman" w:eastAsia="宋体" w:cs="Times New Roman"/>
          <w:color w:val="auto"/>
          <w:sz w:val="21"/>
          <w:szCs w:val="21"/>
          <w:highlight w:val="none"/>
        </w:rPr>
        <w:t xml:space="preserve"> 本合同有效期为甲乙双方签署之日起至该工程项目竣工验收合格之日止。</w:t>
      </w:r>
    </w:p>
    <w:p w14:paraId="2B04A2CA">
      <w:pPr>
        <w:spacing w:line="480" w:lineRule="exact"/>
        <w:ind w:right="-519" w:rightChars="-247" w:firstLine="422"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第七条</w:t>
      </w:r>
      <w:r>
        <w:rPr>
          <w:rFonts w:hint="default" w:ascii="Times New Roman" w:hAnsi="Times New Roman" w:eastAsia="宋体" w:cs="Times New Roman"/>
          <w:color w:val="auto"/>
          <w:sz w:val="21"/>
          <w:szCs w:val="21"/>
          <w:highlight w:val="none"/>
        </w:rPr>
        <w:t xml:space="preserve"> 本合同作为</w:t>
      </w:r>
      <w:r>
        <w:rPr>
          <w:rFonts w:hint="eastAsia" w:ascii="Times New Roman" w:hAnsi="Times New Roman" w:cs="Times New Roman"/>
          <w:color w:val="auto"/>
          <w:sz w:val="21"/>
          <w:szCs w:val="21"/>
          <w:highlight w:val="none"/>
          <w:u w:val="single"/>
          <w:lang w:val="en-US" w:eastAsia="zh-CN"/>
        </w:rPr>
        <w:t>南通轨道交通1号线图书馆站地下附属空间（02号商铺）出租项目</w:t>
      </w:r>
      <w:r>
        <w:rPr>
          <w:rFonts w:hint="default" w:ascii="Times New Roman" w:hAnsi="Times New Roman" w:eastAsia="宋体" w:cs="Times New Roman"/>
          <w:color w:val="auto"/>
          <w:sz w:val="21"/>
          <w:szCs w:val="21"/>
          <w:highlight w:val="none"/>
        </w:rPr>
        <w:t>合同的附件，与主合同具有同等法律效力。经合同双方签署立即生效。</w:t>
      </w:r>
    </w:p>
    <w:p w14:paraId="52831753">
      <w:pPr>
        <w:spacing w:line="360" w:lineRule="auto"/>
        <w:ind w:right="-519" w:rightChars="-247" w:firstLine="420" w:firstLineChars="200"/>
        <w:rPr>
          <w:rFonts w:hint="default" w:ascii="Times New Roman" w:hAnsi="Times New Roman" w:eastAsia="宋体" w:cs="Times New Roman"/>
          <w:color w:val="auto"/>
          <w:sz w:val="21"/>
          <w:szCs w:val="21"/>
          <w:highlight w:val="none"/>
        </w:rPr>
      </w:pPr>
    </w:p>
    <w:p w14:paraId="4324C25E">
      <w:pPr>
        <w:spacing w:line="360" w:lineRule="auto"/>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甲方：（盖章）                         乙方：（盖章）</w:t>
      </w:r>
    </w:p>
    <w:p w14:paraId="5E18E957">
      <w:pPr>
        <w:spacing w:line="360" w:lineRule="auto"/>
        <w:ind w:right="-519" w:rightChars="-247" w:firstLine="420" w:firstLineChars="200"/>
        <w:rPr>
          <w:rFonts w:hint="default" w:ascii="Times New Roman" w:hAnsi="Times New Roman" w:eastAsia="宋体" w:cs="Times New Roman"/>
          <w:color w:val="auto"/>
          <w:sz w:val="21"/>
          <w:szCs w:val="21"/>
          <w:highlight w:val="none"/>
        </w:rPr>
      </w:pPr>
    </w:p>
    <w:p w14:paraId="31E147BD">
      <w:pPr>
        <w:spacing w:line="360" w:lineRule="auto"/>
        <w:ind w:right="-519" w:rightChars="-247"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法定代表人                             法定代表人</w:t>
      </w:r>
    </w:p>
    <w:p w14:paraId="1463423F">
      <w:pPr>
        <w:spacing w:line="360" w:lineRule="auto"/>
        <w:ind w:right="-519" w:rightChars="-247" w:firstLine="420" w:firstLineChars="200"/>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color w:val="auto"/>
          <w:sz w:val="21"/>
          <w:szCs w:val="21"/>
          <w:highlight w:val="none"/>
        </w:rPr>
        <w:t xml:space="preserve">或其授权代理人：               </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或其授权代理人</w:t>
      </w:r>
      <w:r>
        <w:rPr>
          <w:rFonts w:hint="default" w:ascii="Times New Roman" w:hAnsi="Times New Roman" w:eastAsia="宋体" w:cs="Times New Roman"/>
          <w:color w:val="auto"/>
          <w:sz w:val="21"/>
          <w:szCs w:val="21"/>
          <w:highlight w:val="none"/>
          <w:lang w:eastAsia="zh-CN"/>
        </w:rPr>
        <w:t>：</w:t>
      </w:r>
    </w:p>
    <w:p w14:paraId="4616C124"/>
    <w:p w14:paraId="03A8A40A"/>
    <w:p w14:paraId="4F11DDE0">
      <w:pPr>
        <w:adjustRightInd w:val="0"/>
        <w:snapToGrid w:val="0"/>
        <w:spacing w:line="360" w:lineRule="auto"/>
        <w:jc w:val="center"/>
        <w:rPr>
          <w:rFonts w:hint="eastAsia" w:ascii="宋体" w:hAnsi="宋体" w:eastAsia="宋体" w:cs="宋体"/>
          <w:b/>
          <w:bCs/>
          <w:color w:val="auto"/>
          <w:sz w:val="32"/>
          <w:szCs w:val="32"/>
          <w:highlight w:val="none"/>
        </w:rPr>
      </w:pPr>
    </w:p>
    <w:bookmarkEnd w:id="30"/>
    <w:bookmarkEnd w:id="31"/>
    <w:p w14:paraId="024CDD37">
      <w:pPr>
        <w:spacing w:line="360" w:lineRule="auto"/>
        <w:rPr>
          <w:rFonts w:hint="eastAsia" w:ascii="宋体" w:hAnsi="宋体" w:eastAsia="宋体" w:cs="宋体"/>
          <w:bCs/>
          <w:color w:val="000000"/>
          <w:sz w:val="21"/>
          <w:szCs w:val="21"/>
        </w:rPr>
      </w:pPr>
    </w:p>
    <w:p w14:paraId="66532310">
      <w:pPr>
        <w:spacing w:line="360" w:lineRule="auto"/>
        <w:ind w:left="630" w:leftChars="300"/>
        <w:rPr>
          <w:rFonts w:hint="eastAsia" w:ascii="宋体" w:hAnsi="宋体" w:eastAsia="宋体" w:cs="宋体"/>
          <w:b/>
          <w:bCs/>
          <w:color w:val="000000"/>
          <w:sz w:val="22"/>
          <w:szCs w:val="22"/>
        </w:rPr>
      </w:pPr>
    </w:p>
    <w:p w14:paraId="782437A4">
      <w:pPr>
        <w:spacing w:line="360" w:lineRule="auto"/>
        <w:rPr>
          <w:rFonts w:hint="eastAsia" w:ascii="宋体" w:hAnsi="宋体" w:eastAsia="宋体" w:cs="宋体"/>
          <w:sz w:val="22"/>
        </w:rPr>
      </w:pPr>
    </w:p>
    <w:p w14:paraId="7B76A491">
      <w:pPr>
        <w:spacing w:line="360" w:lineRule="auto"/>
        <w:rPr>
          <w:rFonts w:hint="eastAsia" w:ascii="宋体" w:hAnsi="宋体" w:eastAsia="宋体" w:cs="宋体"/>
          <w:sz w:val="22"/>
        </w:rPr>
      </w:pPr>
    </w:p>
    <w:p w14:paraId="1E59FC95">
      <w:pPr>
        <w:spacing w:line="360" w:lineRule="auto"/>
        <w:ind w:right="-519" w:rightChars="-247" w:firstLine="420" w:firstLineChars="200"/>
        <w:rPr>
          <w:rFonts w:hint="eastAsia" w:ascii="宋体" w:hAnsi="宋体" w:eastAsia="宋体" w:cs="宋体"/>
          <w:sz w:val="21"/>
          <w:szCs w:val="21"/>
          <w:highlight w:val="none"/>
          <w:lang w:eastAsia="zh-CN"/>
        </w:rPr>
      </w:pPr>
    </w:p>
    <w:p w14:paraId="0F644BBF">
      <w:pPr>
        <w:rPr>
          <w:rFonts w:hint="eastAsia" w:ascii="宋体" w:hAnsi="宋体" w:eastAsia="宋体" w:cs="宋体"/>
          <w:highlight w:val="none"/>
        </w:rPr>
      </w:pPr>
    </w:p>
    <w:p w14:paraId="76F11042">
      <w:pPr>
        <w:pStyle w:val="4"/>
        <w:bidi w:val="0"/>
        <w:outlineLvl w:val="0"/>
        <w:rPr>
          <w:rFonts w:hint="eastAsia" w:ascii="宋体" w:hAnsi="宋体" w:eastAsia="宋体" w:cs="宋体"/>
          <w:color w:val="auto"/>
          <w:sz w:val="24"/>
          <w:szCs w:val="24"/>
          <w:highlight w:val="none"/>
          <w:lang w:val="en-US" w:eastAsia="zh-CN"/>
        </w:rPr>
      </w:pPr>
      <w:bookmarkStart w:id="35" w:name="_Toc30100"/>
      <w:bookmarkStart w:id="36" w:name="_Toc20680"/>
      <w:bookmarkStart w:id="37" w:name="_Toc20415"/>
      <w:bookmarkStart w:id="38" w:name="_Toc20468"/>
      <w:bookmarkStart w:id="39" w:name="_Toc23606"/>
      <w:bookmarkStart w:id="40" w:name="_Toc29099"/>
      <w:r>
        <w:rPr>
          <w:rFonts w:hint="eastAsia" w:ascii="宋体" w:hAnsi="宋体" w:eastAsia="宋体" w:cs="宋体"/>
          <w:color w:val="auto"/>
          <w:sz w:val="24"/>
          <w:szCs w:val="24"/>
          <w:highlight w:val="none"/>
          <w:lang w:val="en-US" w:eastAsia="zh-CN"/>
        </w:rPr>
        <w:t>附件5-1. 竞选文件格式</w:t>
      </w:r>
      <w:r>
        <w:rPr>
          <w:rFonts w:hint="eastAsia" w:ascii="宋体" w:hAnsi="宋体" w:eastAsia="宋体" w:cs="宋体"/>
          <w:b/>
          <w:bCs/>
          <w:color w:val="auto"/>
          <w:sz w:val="24"/>
          <w:szCs w:val="24"/>
          <w:highlight w:val="none"/>
          <w:lang w:val="en-US" w:eastAsia="zh-CN"/>
        </w:rPr>
        <w:t>（法人版）</w:t>
      </w:r>
      <w:bookmarkEnd w:id="35"/>
    </w:p>
    <w:p w14:paraId="39448117">
      <w:pPr>
        <w:rPr>
          <w:rFonts w:hint="eastAsia" w:ascii="宋体" w:hAnsi="宋体" w:eastAsia="宋体" w:cs="宋体"/>
          <w:color w:val="auto"/>
          <w:highlight w:val="none"/>
        </w:rPr>
      </w:pPr>
    </w:p>
    <w:bookmarkEnd w:id="36"/>
    <w:bookmarkEnd w:id="37"/>
    <w:bookmarkEnd w:id="38"/>
    <w:bookmarkEnd w:id="39"/>
    <w:bookmarkEnd w:id="40"/>
    <w:p w14:paraId="1610A21B">
      <w:pPr>
        <w:jc w:val="center"/>
        <w:outlineLvl w:val="1"/>
        <w:rPr>
          <w:rFonts w:hint="eastAsia" w:ascii="宋体" w:hAnsi="宋体" w:eastAsia="宋体" w:cs="宋体"/>
          <w:b/>
          <w:bCs/>
          <w:color w:val="auto"/>
          <w:sz w:val="32"/>
          <w:szCs w:val="32"/>
          <w:highlight w:val="none"/>
          <w:lang w:val="en-US" w:eastAsia="zh-CN"/>
        </w:rPr>
      </w:pPr>
      <w:bookmarkStart w:id="41" w:name="_Toc20605"/>
      <w:r>
        <w:rPr>
          <w:rFonts w:hint="eastAsia" w:ascii="宋体" w:hAnsi="宋体" w:eastAsia="宋体" w:cs="宋体"/>
          <w:b/>
          <w:bCs/>
          <w:color w:val="auto"/>
          <w:sz w:val="32"/>
          <w:szCs w:val="32"/>
          <w:highlight w:val="none"/>
          <w:lang w:val="en-US" w:eastAsia="zh-CN"/>
        </w:rPr>
        <w:t>一、授权委托书</w:t>
      </w:r>
      <w:bookmarkEnd w:id="41"/>
    </w:p>
    <w:p w14:paraId="2DF4DF76">
      <w:pPr>
        <w:keepNext w:val="0"/>
        <w:keepLines w:val="0"/>
        <w:widowControl/>
        <w:suppressLineNumbers w:val="0"/>
        <w:jc w:val="center"/>
        <w:rPr>
          <w:rFonts w:hint="eastAsia" w:ascii="宋体" w:hAnsi="宋体" w:eastAsia="宋体" w:cs="宋体"/>
          <w:color w:val="auto"/>
          <w:sz w:val="28"/>
          <w:szCs w:val="28"/>
          <w:highlight w:val="none"/>
        </w:rPr>
      </w:pPr>
    </w:p>
    <w:p w14:paraId="464B9EE4">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1F717365">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本授权委托书声明： </w:t>
      </w:r>
    </w:p>
    <w:p w14:paraId="0319C53B">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本人</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，系</w:t>
      </w:r>
      <w:r>
        <w:rPr>
          <w:rFonts w:hint="eastAsia" w:ascii="宋体" w:hAnsi="宋体" w:eastAsia="宋体" w:cs="宋体"/>
          <w:color w:val="auto"/>
          <w:kern w:val="0"/>
          <w:sz w:val="21"/>
          <w:szCs w:val="21"/>
          <w:highlight w:val="none"/>
          <w:u w:val="single"/>
          <w:lang w:val="en-US" w:eastAsia="zh-CN" w:bidi="ar"/>
        </w:rPr>
        <w:t xml:space="preserve"> （意向承租方名称）</w:t>
      </w:r>
      <w:r>
        <w:rPr>
          <w:rFonts w:hint="eastAsia" w:ascii="宋体" w:hAnsi="宋体" w:eastAsia="宋体" w:cs="宋体"/>
          <w:color w:val="auto"/>
          <w:kern w:val="0"/>
          <w:sz w:val="21"/>
          <w:szCs w:val="21"/>
          <w:highlight w:val="none"/>
          <w:lang w:val="en-US" w:eastAsia="zh-CN" w:bidi="ar"/>
        </w:rPr>
        <w:t>的法定代表人，现授权委托</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u w:val="single"/>
          <w:lang w:val="en-US" w:eastAsia="zh-CN" w:bidi="ar"/>
        </w:rPr>
        <w:t xml:space="preserve">（职务）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，为我公司委托代理人，以本公司的名义参加</w:t>
      </w:r>
      <w:r>
        <w:rPr>
          <w:rFonts w:hint="eastAsia" w:ascii="宋体" w:hAnsi="宋体" w:eastAsia="宋体" w:cs="宋体"/>
          <w:color w:val="auto"/>
          <w:kern w:val="0"/>
          <w:sz w:val="21"/>
          <w:szCs w:val="21"/>
          <w:highlight w:val="none"/>
          <w:u w:val="single"/>
          <w:lang w:val="en-US" w:eastAsia="zh-CN" w:bidi="ar"/>
        </w:rPr>
        <w:t xml:space="preserve">（项目名称）                 </w:t>
      </w:r>
      <w:r>
        <w:rPr>
          <w:rFonts w:hint="eastAsia" w:ascii="宋体" w:hAnsi="宋体" w:eastAsia="宋体" w:cs="宋体"/>
          <w:color w:val="auto"/>
          <w:kern w:val="0"/>
          <w:sz w:val="21"/>
          <w:szCs w:val="21"/>
          <w:highlight w:val="none"/>
          <w:lang w:val="en-US" w:eastAsia="zh-CN" w:bidi="ar"/>
        </w:rPr>
        <w:t xml:space="preserve">竞价活动。 </w:t>
      </w:r>
    </w:p>
    <w:p w14:paraId="562B0406">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委托代理人在竞选文件递交、澄清、合同谈判及办理与本次招租活动有关的一切事务，我均予以承认。 </w:t>
      </w:r>
    </w:p>
    <w:p w14:paraId="4F80CFC0">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特此委托。 </w:t>
      </w:r>
    </w:p>
    <w:p w14:paraId="3FEB071E">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7ABB8CB8">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意向承租方（公章）： </w:t>
      </w:r>
    </w:p>
    <w:p w14:paraId="3FB8B257">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法定代表人（签字或盖章）： </w:t>
      </w:r>
    </w:p>
    <w:p w14:paraId="565A487E">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委托代理人（签字或盖章）： </w:t>
      </w:r>
    </w:p>
    <w:p w14:paraId="5E0BD467">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委托代理人联系方式：</w:t>
      </w:r>
    </w:p>
    <w:p w14:paraId="34C56B7F">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地址：</w:t>
      </w:r>
    </w:p>
    <w:p w14:paraId="53205543">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邮政编码：</w:t>
      </w:r>
    </w:p>
    <w:p w14:paraId="5DD1864B">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开户银行：</w:t>
      </w:r>
    </w:p>
    <w:p w14:paraId="05C7105F">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银行</w:t>
      </w:r>
      <w:r>
        <w:rPr>
          <w:rFonts w:hint="eastAsia" w:ascii="宋体" w:hAnsi="宋体" w:cs="宋体"/>
          <w:color w:val="auto"/>
          <w:kern w:val="0"/>
          <w:sz w:val="21"/>
          <w:szCs w:val="21"/>
          <w:highlight w:val="none"/>
          <w:lang w:val="en-US" w:eastAsia="zh-CN" w:bidi="ar"/>
        </w:rPr>
        <w:t>账</w:t>
      </w:r>
      <w:r>
        <w:rPr>
          <w:rFonts w:hint="eastAsia" w:ascii="宋体" w:hAnsi="宋体" w:eastAsia="宋体" w:cs="宋体"/>
          <w:color w:val="auto"/>
          <w:kern w:val="0"/>
          <w:sz w:val="21"/>
          <w:szCs w:val="21"/>
          <w:highlight w:val="none"/>
          <w:lang w:val="en-US" w:eastAsia="zh-CN" w:bidi="ar"/>
        </w:rPr>
        <w:t>号：</w:t>
      </w:r>
    </w:p>
    <w:p w14:paraId="78B8AB0F">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项目负责人姓名： </w:t>
      </w:r>
    </w:p>
    <w:p w14:paraId="7351F0E4">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项目负责人身份证号：</w:t>
      </w:r>
    </w:p>
    <w:p w14:paraId="12E0B444">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项目负责人联系方式：</w:t>
      </w:r>
    </w:p>
    <w:p w14:paraId="4E087102">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日期：   年   月   日 </w:t>
      </w:r>
    </w:p>
    <w:p w14:paraId="64838E2E">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17DC7217">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注：1、本委托书后需附法定代表人及委托代理人身份证复印件并加盖公章； </w:t>
      </w:r>
    </w:p>
    <w:p w14:paraId="3BD36B24">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2、本委托书中委托代理人的签名笔迹是核对由其签发的文件有效性的依据。</w:t>
      </w:r>
    </w:p>
    <w:p w14:paraId="03096980">
      <w:pPr>
        <w:jc w:val="center"/>
        <w:outlineLvl w:val="1"/>
        <w:rPr>
          <w:rFonts w:hint="eastAsia" w:ascii="宋体" w:hAnsi="宋体" w:eastAsia="宋体" w:cs="宋体"/>
          <w:b/>
          <w:bCs/>
          <w:color w:val="auto"/>
          <w:sz w:val="32"/>
          <w:szCs w:val="32"/>
          <w:highlight w:val="none"/>
          <w:lang w:val="en-US" w:eastAsia="zh-CN"/>
        </w:rPr>
      </w:pPr>
      <w:bookmarkStart w:id="42" w:name="_Toc6389"/>
      <w:r>
        <w:rPr>
          <w:rFonts w:hint="eastAsia" w:ascii="宋体" w:hAnsi="宋体" w:eastAsia="宋体" w:cs="宋体"/>
          <w:b/>
          <w:bCs/>
          <w:color w:val="auto"/>
          <w:sz w:val="32"/>
          <w:szCs w:val="32"/>
          <w:highlight w:val="none"/>
          <w:lang w:val="en-US" w:eastAsia="zh-CN"/>
        </w:rPr>
        <w:t>二、营业执照</w:t>
      </w:r>
      <w:bookmarkEnd w:id="42"/>
    </w:p>
    <w:p w14:paraId="40F127C9">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须提供营业执照复印件或扫描件。</w:t>
      </w:r>
    </w:p>
    <w:p w14:paraId="5FBC403D">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br w:type="page"/>
      </w:r>
    </w:p>
    <w:p w14:paraId="16567044">
      <w:pPr>
        <w:jc w:val="center"/>
        <w:outlineLvl w:val="1"/>
        <w:rPr>
          <w:rFonts w:hint="eastAsia" w:ascii="宋体" w:hAnsi="宋体" w:eastAsia="宋体" w:cs="宋体"/>
          <w:b/>
          <w:bCs/>
          <w:color w:val="auto"/>
          <w:sz w:val="32"/>
          <w:szCs w:val="32"/>
          <w:highlight w:val="none"/>
          <w:lang w:val="en-US" w:eastAsia="zh-CN"/>
        </w:rPr>
      </w:pPr>
      <w:bookmarkStart w:id="43" w:name="_Toc25060"/>
      <w:r>
        <w:rPr>
          <w:rFonts w:hint="eastAsia" w:ascii="宋体" w:hAnsi="宋体" w:eastAsia="宋体" w:cs="宋体"/>
          <w:b/>
          <w:bCs/>
          <w:color w:val="auto"/>
          <w:sz w:val="32"/>
          <w:szCs w:val="32"/>
          <w:highlight w:val="none"/>
          <w:lang w:val="en-US" w:eastAsia="zh-CN"/>
        </w:rPr>
        <w:t>三、承诺书</w:t>
      </w:r>
      <w:bookmarkEnd w:id="43"/>
    </w:p>
    <w:p w14:paraId="4AA90EBF">
      <w:pPr>
        <w:keepNext w:val="0"/>
        <w:keepLines w:val="0"/>
        <w:widowControl/>
        <w:suppressLineNumbers w:val="0"/>
        <w:jc w:val="center"/>
        <w:rPr>
          <w:rFonts w:hint="eastAsia" w:ascii="宋体" w:hAnsi="宋体" w:eastAsia="宋体" w:cs="宋体"/>
          <w:color w:val="auto"/>
          <w:sz w:val="28"/>
          <w:szCs w:val="28"/>
          <w:highlight w:val="none"/>
        </w:rPr>
      </w:pPr>
    </w:p>
    <w:p w14:paraId="73B47023">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41B2D9C9">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我公司郑重承诺： </w:t>
      </w:r>
    </w:p>
    <w:p w14:paraId="4C4039E3">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我公司的竞租行为已经获得必要的内部决策批准、同意及授权，按照规定缴纳相应的交易保证金，相关资金均为合法所得。 </w:t>
      </w:r>
    </w:p>
    <w:p w14:paraId="38D910C2">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 我公司已认真阅读出租方所有挂牌文件，完全同意并接受出租方《</w:t>
      </w:r>
      <w:r>
        <w:rPr>
          <w:rFonts w:hint="eastAsia" w:ascii="宋体" w:hAnsi="宋体" w:cs="宋体"/>
          <w:color w:val="auto"/>
          <w:sz w:val="21"/>
          <w:szCs w:val="21"/>
          <w:highlight w:val="none"/>
          <w:lang w:val="en-US" w:eastAsia="zh-CN"/>
        </w:rPr>
        <w:t>南通轨道交通1号线图书馆站地下附属空间（02号商铺）出租项目</w:t>
      </w:r>
      <w:r>
        <w:rPr>
          <w:rFonts w:hint="eastAsia" w:ascii="宋体" w:hAnsi="宋体" w:eastAsia="宋体" w:cs="宋体"/>
          <w:color w:val="auto"/>
          <w:sz w:val="21"/>
          <w:szCs w:val="21"/>
          <w:highlight w:val="none"/>
          <w:lang w:val="en-US" w:eastAsia="zh-CN"/>
        </w:rPr>
        <w:t>招租公告</w:t>
      </w:r>
      <w:r>
        <w:rPr>
          <w:rFonts w:hint="eastAsia" w:ascii="宋体" w:hAnsi="宋体" w:eastAsia="宋体" w:cs="宋体"/>
          <w:color w:val="auto"/>
          <w:kern w:val="0"/>
          <w:sz w:val="21"/>
          <w:szCs w:val="21"/>
          <w:highlight w:val="none"/>
          <w:lang w:val="en-US" w:eastAsia="zh-CN" w:bidi="ar"/>
        </w:rPr>
        <w:t xml:space="preserve">》（以下简称“招租公告”）及附件中对意向承租方提出的各项要求，自愿按照《招租公告》及附件中的要求合法参与竞租，如有违反，我公司愿意承担相应法律后果。 </w:t>
      </w:r>
    </w:p>
    <w:p w14:paraId="446EF16F">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我公司认可《合同主要条款》所有内容，不对单价或其它条款和条件做任何改变。 </w:t>
      </w:r>
    </w:p>
    <w:p w14:paraId="2158C7AD">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我公司递交的全部报名材料均为真实材料，相关证明文件属实。 </w:t>
      </w:r>
    </w:p>
    <w:p w14:paraId="10791BFB">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 在报名截止时间前，</w:t>
      </w:r>
      <w:r>
        <w:rPr>
          <w:rFonts w:hint="eastAsia" w:ascii="宋体" w:hAnsi="宋体" w:eastAsia="宋体" w:cs="宋体"/>
          <w:b/>
          <w:bCs/>
          <w:color w:val="auto"/>
          <w:kern w:val="0"/>
          <w:sz w:val="21"/>
          <w:szCs w:val="21"/>
          <w:highlight w:val="none"/>
          <w:lang w:val="en-US" w:eastAsia="zh-CN" w:bidi="ar"/>
        </w:rPr>
        <w:t>我公司在“信用中国”平台中没有不良记录</w:t>
      </w:r>
      <w:r>
        <w:rPr>
          <w:rFonts w:hint="eastAsia" w:ascii="宋体" w:hAnsi="宋体" w:eastAsia="宋体" w:cs="宋体"/>
          <w:color w:val="auto"/>
          <w:kern w:val="0"/>
          <w:sz w:val="21"/>
          <w:szCs w:val="21"/>
          <w:highlight w:val="none"/>
          <w:lang w:val="en-US" w:eastAsia="zh-CN" w:bidi="ar"/>
        </w:rPr>
        <w:t xml:space="preserve">，我公司及我公司法定代表人未被人民法院列入失信被执行人名单。 </w:t>
      </w:r>
    </w:p>
    <w:p w14:paraId="3EECC8C1">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6. 我公司承诺租赁期内未经出租方书面批准，不对</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进行任何形式的转租、分租、转让、转借、调换、合作经营或联营，不将</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及设施对外实施抵押、质押等处分行为；</w:t>
      </w:r>
      <w:r>
        <w:rPr>
          <w:rFonts w:hint="eastAsia" w:ascii="宋体" w:hAnsi="宋体" w:eastAsia="宋体" w:cs="宋体"/>
          <w:b/>
          <w:bCs/>
          <w:color w:val="auto"/>
          <w:kern w:val="0"/>
          <w:sz w:val="21"/>
          <w:szCs w:val="21"/>
          <w:highlight w:val="none"/>
          <w:lang w:val="en-US" w:eastAsia="zh-CN" w:bidi="ar"/>
        </w:rPr>
        <w:t xml:space="preserve">租赁期内不出现违反公序良俗的行为。 </w:t>
      </w:r>
    </w:p>
    <w:p w14:paraId="20E3B3B6">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7. 我公司承诺已知悉</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交付状态为现状交付，并已自行完成</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现场踏勘，知悉</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 xml:space="preserve">的供电量、上/下水、排污排烟等情况。 </w:t>
      </w:r>
    </w:p>
    <w:p w14:paraId="61FF4FAB">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以上内容我公司已认真阅读，本公司如有违反承诺内容的行为，自愿依法接受取消报名资格、计入信用档案、取消承租资格、没收保证金等有关处理，愿意承担法律责任，给出租方造成损失的，依法承担赔偿责任。</w:t>
      </w:r>
    </w:p>
    <w:p w14:paraId="5FF6001C">
      <w:pPr>
        <w:ind w:left="0" w:leftChars="0" w:right="-512" w:rightChars="-244" w:firstLine="367" w:firstLineChars="175"/>
        <w:rPr>
          <w:rFonts w:hint="eastAsia" w:ascii="宋体" w:hAnsi="宋体" w:eastAsia="宋体" w:cs="宋体"/>
          <w:color w:val="auto"/>
          <w:sz w:val="21"/>
          <w:szCs w:val="21"/>
          <w:highlight w:val="none"/>
          <w:lang w:val="en-US" w:eastAsia="zh-CN"/>
        </w:rPr>
      </w:pPr>
    </w:p>
    <w:p w14:paraId="4926139F">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意向承租方（公章）： </w:t>
      </w:r>
    </w:p>
    <w:p w14:paraId="778D1135">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法定代表人或其委托代理人（签字</w:t>
      </w:r>
      <w:r>
        <w:rPr>
          <w:rFonts w:hint="eastAsia" w:ascii="宋体" w:hAnsi="宋体" w:eastAsia="宋体" w:cs="宋体"/>
          <w:color w:val="auto"/>
          <w:highlight w:val="none"/>
          <w:lang w:val="en-US" w:eastAsia="zh-CN"/>
        </w:rPr>
        <w:t>或盖章</w:t>
      </w:r>
      <w:r>
        <w:rPr>
          <w:rFonts w:hint="eastAsia" w:ascii="宋体" w:hAnsi="宋体" w:eastAsia="宋体" w:cs="宋体"/>
          <w:color w:val="auto"/>
          <w:sz w:val="21"/>
          <w:szCs w:val="21"/>
          <w:highlight w:val="none"/>
          <w:lang w:val="en-US" w:eastAsia="zh-CN"/>
        </w:rPr>
        <w:t xml:space="preserve">）： </w:t>
      </w:r>
    </w:p>
    <w:p w14:paraId="09C0EEE7">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日期：   年   月   日 </w:t>
      </w:r>
      <w:r>
        <w:rPr>
          <w:rFonts w:hint="eastAsia" w:ascii="宋体" w:hAnsi="宋体" w:eastAsia="宋体" w:cs="宋体"/>
          <w:color w:val="auto"/>
          <w:sz w:val="21"/>
          <w:szCs w:val="21"/>
          <w:highlight w:val="none"/>
          <w:lang w:val="en-US" w:eastAsia="zh-CN"/>
        </w:rPr>
        <w:br w:type="page"/>
      </w:r>
    </w:p>
    <w:p w14:paraId="525E0902">
      <w:pPr>
        <w:jc w:val="center"/>
        <w:outlineLvl w:val="1"/>
        <w:rPr>
          <w:rFonts w:hint="eastAsia" w:ascii="宋体" w:hAnsi="宋体" w:eastAsia="宋体" w:cs="宋体"/>
          <w:b/>
          <w:bCs/>
          <w:color w:val="auto"/>
          <w:sz w:val="32"/>
          <w:szCs w:val="32"/>
          <w:highlight w:val="none"/>
          <w:lang w:val="en-US" w:eastAsia="zh-CN"/>
        </w:rPr>
      </w:pPr>
      <w:bookmarkStart w:id="44" w:name="_Toc22080"/>
      <w:r>
        <w:rPr>
          <w:rFonts w:hint="eastAsia" w:ascii="宋体" w:hAnsi="宋体" w:eastAsia="宋体" w:cs="宋体"/>
          <w:b/>
          <w:bCs/>
          <w:color w:val="auto"/>
          <w:sz w:val="32"/>
          <w:szCs w:val="32"/>
          <w:highlight w:val="none"/>
          <w:lang w:val="en-US" w:eastAsia="zh-CN"/>
        </w:rPr>
        <w:t>四、经营业态</w:t>
      </w:r>
      <w:bookmarkEnd w:id="44"/>
    </w:p>
    <w:p w14:paraId="4C3996FF">
      <w:pPr>
        <w:keepNext w:val="0"/>
        <w:keepLines w:val="0"/>
        <w:widowControl/>
        <w:suppressLineNumbers w:val="0"/>
        <w:ind w:right="-512" w:rightChars="-244"/>
        <w:jc w:val="left"/>
        <w:rPr>
          <w:rFonts w:hint="eastAsia" w:ascii="宋体" w:hAnsi="宋体" w:eastAsia="宋体" w:cs="宋体"/>
          <w:color w:val="auto"/>
          <w:kern w:val="0"/>
          <w:sz w:val="21"/>
          <w:szCs w:val="21"/>
          <w:highlight w:val="none"/>
          <w:lang w:val="en-US" w:eastAsia="zh-CN" w:bidi="ar"/>
        </w:rPr>
      </w:pPr>
    </w:p>
    <w:p w14:paraId="404FB671">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3C8F8035">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根据已公示的</w:t>
      </w:r>
      <w:r>
        <w:rPr>
          <w:rFonts w:hint="eastAsia" w:ascii="宋体" w:hAnsi="宋体" w:cs="宋体"/>
          <w:color w:val="auto"/>
          <w:sz w:val="21"/>
          <w:szCs w:val="21"/>
          <w:highlight w:val="none"/>
          <w:lang w:val="en-US" w:eastAsia="zh-CN"/>
        </w:rPr>
        <w:t>南通轨道交通1号线图书馆站地下附属空间（02号商铺）出租项目</w:t>
      </w:r>
      <w:r>
        <w:rPr>
          <w:rFonts w:hint="eastAsia" w:ascii="宋体" w:hAnsi="宋体" w:eastAsia="宋体" w:cs="宋体"/>
          <w:color w:val="auto"/>
          <w:highlight w:val="none"/>
          <w:lang w:val="en-US" w:eastAsia="zh-CN"/>
        </w:rPr>
        <w:t xml:space="preserve">招租信息，我方经考察现场和认真研究上述招租公告及附件内容后，我方承认招租公告及附件的全部内容，并愿按招租公告及附件的要求参与本项目招租。 </w:t>
      </w:r>
    </w:p>
    <w:p w14:paraId="1321BEE5">
      <w:pPr>
        <w:bidi w:val="0"/>
        <w:ind w:left="0" w:leftChars="0" w:firstLine="420" w:firstLineChars="200"/>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我方拟经营业态如下：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2"/>
        <w:gridCol w:w="2988"/>
        <w:gridCol w:w="2988"/>
      </w:tblGrid>
      <w:tr w14:paraId="3266E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314DA40B">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站名</w:t>
            </w:r>
          </w:p>
        </w:tc>
        <w:tc>
          <w:tcPr>
            <w:tcW w:w="2988" w:type="dxa"/>
            <w:vAlign w:val="center"/>
          </w:tcPr>
          <w:p w14:paraId="3E692996">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铺号</w:t>
            </w:r>
          </w:p>
        </w:tc>
        <w:tc>
          <w:tcPr>
            <w:tcW w:w="2988" w:type="dxa"/>
            <w:vAlign w:val="center"/>
          </w:tcPr>
          <w:p w14:paraId="66FAACC1">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经营业态</w:t>
            </w:r>
          </w:p>
        </w:tc>
      </w:tr>
      <w:tr w14:paraId="6E40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1E38EFAE">
            <w:pPr>
              <w:bidi w:val="0"/>
              <w:jc w:val="center"/>
              <w:rPr>
                <w:rFonts w:hint="eastAsia" w:ascii="宋体" w:hAnsi="宋体" w:eastAsia="宋体" w:cs="宋体"/>
                <w:color w:val="auto"/>
                <w:highlight w:val="none"/>
                <w:vertAlign w:val="baseline"/>
                <w:lang w:val="en-US" w:eastAsia="zh-CN"/>
              </w:rPr>
            </w:pPr>
          </w:p>
        </w:tc>
        <w:tc>
          <w:tcPr>
            <w:tcW w:w="2988" w:type="dxa"/>
            <w:vAlign w:val="center"/>
          </w:tcPr>
          <w:p w14:paraId="1D040AFB">
            <w:pPr>
              <w:bidi w:val="0"/>
              <w:jc w:val="center"/>
              <w:rPr>
                <w:rFonts w:hint="eastAsia" w:ascii="宋体" w:hAnsi="宋体" w:eastAsia="宋体" w:cs="宋体"/>
                <w:color w:val="auto"/>
                <w:highlight w:val="none"/>
                <w:vertAlign w:val="baseline"/>
                <w:lang w:val="en-US" w:eastAsia="zh-CN"/>
              </w:rPr>
            </w:pPr>
          </w:p>
        </w:tc>
        <w:tc>
          <w:tcPr>
            <w:tcW w:w="2988" w:type="dxa"/>
            <w:vAlign w:val="center"/>
          </w:tcPr>
          <w:p w14:paraId="5CF2C166">
            <w:pPr>
              <w:bidi w:val="0"/>
              <w:jc w:val="center"/>
              <w:rPr>
                <w:rFonts w:hint="eastAsia" w:ascii="宋体" w:hAnsi="宋体" w:eastAsia="宋体" w:cs="宋体"/>
                <w:color w:val="auto"/>
                <w:highlight w:val="none"/>
                <w:vertAlign w:val="baseline"/>
                <w:lang w:val="en-US" w:eastAsia="zh-CN"/>
              </w:rPr>
            </w:pPr>
          </w:p>
        </w:tc>
      </w:tr>
      <w:tr w14:paraId="6887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7BF97112">
            <w:pPr>
              <w:bidi w:val="0"/>
              <w:jc w:val="center"/>
              <w:rPr>
                <w:rFonts w:hint="eastAsia" w:ascii="宋体" w:hAnsi="宋体" w:eastAsia="宋体" w:cs="宋体"/>
                <w:color w:val="auto"/>
                <w:highlight w:val="none"/>
                <w:vertAlign w:val="baseline"/>
                <w:lang w:val="en-US" w:eastAsia="zh-CN"/>
              </w:rPr>
            </w:pPr>
          </w:p>
        </w:tc>
        <w:tc>
          <w:tcPr>
            <w:tcW w:w="2988" w:type="dxa"/>
          </w:tcPr>
          <w:p w14:paraId="20845582">
            <w:pPr>
              <w:bidi w:val="0"/>
              <w:jc w:val="both"/>
              <w:rPr>
                <w:rFonts w:hint="eastAsia" w:ascii="宋体" w:hAnsi="宋体" w:eastAsia="宋体" w:cs="宋体"/>
                <w:color w:val="auto"/>
                <w:highlight w:val="none"/>
                <w:vertAlign w:val="baseline"/>
                <w:lang w:val="en-US" w:eastAsia="zh-CN"/>
              </w:rPr>
            </w:pPr>
          </w:p>
        </w:tc>
        <w:tc>
          <w:tcPr>
            <w:tcW w:w="2988" w:type="dxa"/>
          </w:tcPr>
          <w:p w14:paraId="0F3428D8">
            <w:pPr>
              <w:bidi w:val="0"/>
              <w:jc w:val="both"/>
              <w:rPr>
                <w:rFonts w:hint="eastAsia" w:ascii="宋体" w:hAnsi="宋体" w:eastAsia="宋体" w:cs="宋体"/>
                <w:color w:val="auto"/>
                <w:highlight w:val="none"/>
                <w:vertAlign w:val="baseline"/>
                <w:lang w:val="en-US" w:eastAsia="zh-CN"/>
              </w:rPr>
            </w:pPr>
          </w:p>
        </w:tc>
      </w:tr>
      <w:tr w14:paraId="326F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5F98793F">
            <w:pPr>
              <w:bidi w:val="0"/>
              <w:jc w:val="center"/>
              <w:rPr>
                <w:rFonts w:hint="eastAsia" w:ascii="宋体" w:hAnsi="宋体" w:eastAsia="宋体" w:cs="宋体"/>
                <w:color w:val="auto"/>
                <w:highlight w:val="none"/>
                <w:vertAlign w:val="baseline"/>
                <w:lang w:val="en-US" w:eastAsia="zh-CN"/>
              </w:rPr>
            </w:pPr>
          </w:p>
        </w:tc>
        <w:tc>
          <w:tcPr>
            <w:tcW w:w="2988" w:type="dxa"/>
          </w:tcPr>
          <w:p w14:paraId="0BBB977D">
            <w:pPr>
              <w:bidi w:val="0"/>
              <w:jc w:val="both"/>
              <w:rPr>
                <w:rFonts w:hint="eastAsia" w:ascii="宋体" w:hAnsi="宋体" w:eastAsia="宋体" w:cs="宋体"/>
                <w:color w:val="auto"/>
                <w:highlight w:val="none"/>
                <w:vertAlign w:val="baseline"/>
                <w:lang w:val="en-US" w:eastAsia="zh-CN"/>
              </w:rPr>
            </w:pPr>
          </w:p>
        </w:tc>
        <w:tc>
          <w:tcPr>
            <w:tcW w:w="2988" w:type="dxa"/>
          </w:tcPr>
          <w:p w14:paraId="3AE1461E">
            <w:pPr>
              <w:bidi w:val="0"/>
              <w:jc w:val="both"/>
              <w:rPr>
                <w:rFonts w:hint="eastAsia" w:ascii="宋体" w:hAnsi="宋体" w:eastAsia="宋体" w:cs="宋体"/>
                <w:color w:val="auto"/>
                <w:highlight w:val="none"/>
                <w:vertAlign w:val="baseline"/>
                <w:lang w:val="en-US" w:eastAsia="zh-CN"/>
              </w:rPr>
            </w:pPr>
          </w:p>
        </w:tc>
      </w:tr>
      <w:tr w14:paraId="36DA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442" w:type="dxa"/>
            <w:vAlign w:val="center"/>
          </w:tcPr>
          <w:p w14:paraId="0C24A9D1">
            <w:pPr>
              <w:bidi w:val="0"/>
              <w:jc w:val="center"/>
              <w:rPr>
                <w:rFonts w:hint="eastAsia" w:ascii="宋体" w:hAnsi="宋体" w:eastAsia="宋体" w:cs="宋体"/>
                <w:color w:val="auto"/>
                <w:highlight w:val="none"/>
                <w:vertAlign w:val="baseline"/>
                <w:lang w:val="en-US" w:eastAsia="zh-CN"/>
              </w:rPr>
            </w:pPr>
          </w:p>
        </w:tc>
        <w:tc>
          <w:tcPr>
            <w:tcW w:w="2988" w:type="dxa"/>
          </w:tcPr>
          <w:p w14:paraId="095BBDBF">
            <w:pPr>
              <w:bidi w:val="0"/>
              <w:jc w:val="both"/>
              <w:rPr>
                <w:rFonts w:hint="eastAsia" w:ascii="宋体" w:hAnsi="宋体" w:eastAsia="宋体" w:cs="宋体"/>
                <w:color w:val="auto"/>
                <w:highlight w:val="none"/>
                <w:vertAlign w:val="baseline"/>
                <w:lang w:val="en-US" w:eastAsia="zh-CN"/>
              </w:rPr>
            </w:pPr>
          </w:p>
        </w:tc>
        <w:tc>
          <w:tcPr>
            <w:tcW w:w="2988" w:type="dxa"/>
          </w:tcPr>
          <w:p w14:paraId="75508DD4">
            <w:pPr>
              <w:bidi w:val="0"/>
              <w:jc w:val="both"/>
              <w:rPr>
                <w:rFonts w:hint="eastAsia" w:ascii="宋体" w:hAnsi="宋体" w:eastAsia="宋体" w:cs="宋体"/>
                <w:color w:val="auto"/>
                <w:highlight w:val="none"/>
                <w:vertAlign w:val="baseline"/>
                <w:lang w:val="en-US" w:eastAsia="zh-CN"/>
              </w:rPr>
            </w:pPr>
          </w:p>
        </w:tc>
      </w:tr>
    </w:tbl>
    <w:p w14:paraId="172CD030">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注：</w:t>
      </w:r>
      <w:r>
        <w:rPr>
          <w:rFonts w:hint="eastAsia" w:ascii="宋体" w:hAnsi="宋体" w:cs="宋体"/>
          <w:b/>
          <w:bCs/>
          <w:color w:val="auto"/>
          <w:highlight w:val="none"/>
          <w:lang w:val="en-US" w:eastAsia="zh-CN"/>
        </w:rPr>
        <w:t>1.</w:t>
      </w:r>
      <w:r>
        <w:rPr>
          <w:rFonts w:hint="eastAsia" w:ascii="宋体" w:hAnsi="宋体" w:eastAsia="宋体" w:cs="宋体"/>
          <w:b/>
          <w:bCs/>
          <w:color w:val="auto"/>
          <w:highlight w:val="none"/>
          <w:lang w:val="en-US" w:eastAsia="zh-CN"/>
        </w:rPr>
        <w:t>营业业态中选后不得随意更换（出租方同意除外）。</w:t>
      </w:r>
    </w:p>
    <w:p w14:paraId="2A55463F">
      <w:pPr>
        <w:bidi w:val="0"/>
        <w:ind w:left="0" w:leftChars="0" w:firstLine="422" w:firstLineChars="200"/>
        <w:rPr>
          <w:rFonts w:hint="eastAsia" w:ascii="宋体" w:hAnsi="宋体" w:eastAsia="宋体" w:cs="宋体"/>
          <w:color w:val="auto"/>
          <w:highlight w:val="none"/>
          <w:lang w:val="en-US" w:eastAsia="zh-CN"/>
        </w:rPr>
      </w:pPr>
      <w:r>
        <w:rPr>
          <w:rFonts w:hint="eastAsia" w:ascii="宋体" w:hAnsi="宋体" w:cs="宋体"/>
          <w:b/>
          <w:bCs/>
          <w:color w:val="auto"/>
          <w:kern w:val="0"/>
          <w:sz w:val="21"/>
          <w:szCs w:val="21"/>
          <w:highlight w:val="none"/>
          <w:lang w:val="en-US" w:eastAsia="zh-CN" w:bidi="ar"/>
        </w:rPr>
        <w:t>2.</w:t>
      </w:r>
      <w:r>
        <w:rPr>
          <w:rFonts w:hint="eastAsia" w:ascii="宋体" w:hAnsi="宋体" w:eastAsia="宋体" w:cs="宋体"/>
          <w:b/>
          <w:bCs/>
          <w:color w:val="auto"/>
          <w:kern w:val="0"/>
          <w:sz w:val="21"/>
          <w:szCs w:val="21"/>
          <w:highlight w:val="none"/>
          <w:lang w:val="en-US" w:eastAsia="zh-CN" w:bidi="ar"/>
        </w:rPr>
        <w:t>经营业态：不得经营地铁内已授权相关业务（充电宝、自助售货机等业务），不得经营烤肠。</w:t>
      </w:r>
    </w:p>
    <w:p w14:paraId="6467EF1F">
      <w:pPr>
        <w:bidi w:val="0"/>
        <w:ind w:left="0" w:leftChars="0" w:firstLine="420" w:firstLineChars="200"/>
        <w:rPr>
          <w:rFonts w:hint="eastAsia" w:ascii="宋体" w:hAnsi="宋体" w:eastAsia="宋体" w:cs="宋体"/>
          <w:color w:val="auto"/>
          <w:highlight w:val="none"/>
          <w:lang w:val="en-US" w:eastAsia="zh-CN"/>
        </w:rPr>
      </w:pPr>
    </w:p>
    <w:p w14:paraId="499E01C6">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意向承租方（公章）： </w:t>
      </w:r>
    </w:p>
    <w:p w14:paraId="5046D5ED">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法定代表人或其委托代理人（签字或盖章）： </w:t>
      </w:r>
    </w:p>
    <w:p w14:paraId="3269A452">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日期：   年   月   日 </w:t>
      </w:r>
      <w:r>
        <w:rPr>
          <w:rFonts w:hint="eastAsia" w:ascii="宋体" w:hAnsi="宋体" w:eastAsia="宋体" w:cs="宋体"/>
          <w:color w:val="auto"/>
          <w:highlight w:val="none"/>
          <w:lang w:val="en-US" w:eastAsia="zh-CN"/>
        </w:rPr>
        <w:br w:type="page"/>
      </w:r>
    </w:p>
    <w:p w14:paraId="76A83F92">
      <w:pPr>
        <w:jc w:val="center"/>
        <w:outlineLvl w:val="1"/>
        <w:rPr>
          <w:rFonts w:hint="eastAsia" w:ascii="宋体" w:hAnsi="宋体" w:eastAsia="宋体" w:cs="宋体"/>
          <w:b/>
          <w:bCs/>
          <w:color w:val="auto"/>
          <w:sz w:val="32"/>
          <w:szCs w:val="32"/>
          <w:highlight w:val="none"/>
          <w:lang w:val="en-US" w:eastAsia="zh-CN"/>
        </w:rPr>
      </w:pPr>
      <w:bookmarkStart w:id="45" w:name="_Toc10532"/>
      <w:r>
        <w:rPr>
          <w:rFonts w:hint="eastAsia" w:ascii="宋体" w:hAnsi="宋体" w:eastAsia="宋体" w:cs="宋体"/>
          <w:b/>
          <w:bCs/>
          <w:color w:val="auto"/>
          <w:sz w:val="32"/>
          <w:szCs w:val="32"/>
          <w:highlight w:val="none"/>
          <w:lang w:val="en-US" w:eastAsia="zh-CN"/>
        </w:rPr>
        <w:t>五、报价函</w:t>
      </w:r>
      <w:bookmarkEnd w:id="45"/>
    </w:p>
    <w:p w14:paraId="6A7B28D8">
      <w:pPr>
        <w:keepNext w:val="0"/>
        <w:keepLines w:val="0"/>
        <w:widowControl/>
        <w:suppressLineNumbers w:val="0"/>
        <w:jc w:val="center"/>
        <w:rPr>
          <w:rFonts w:hint="eastAsia" w:ascii="宋体" w:hAnsi="宋体" w:eastAsia="宋体" w:cs="宋体"/>
          <w:color w:val="auto"/>
          <w:sz w:val="28"/>
          <w:szCs w:val="28"/>
          <w:highlight w:val="none"/>
        </w:rPr>
      </w:pPr>
    </w:p>
    <w:p w14:paraId="6C509478">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13F59EDD">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根据已公示的</w:t>
      </w:r>
      <w:r>
        <w:rPr>
          <w:rFonts w:hint="eastAsia" w:ascii="宋体" w:hAnsi="宋体" w:cs="宋体"/>
          <w:color w:val="auto"/>
          <w:sz w:val="21"/>
          <w:szCs w:val="21"/>
          <w:highlight w:val="none"/>
          <w:lang w:val="en-US" w:eastAsia="zh-CN"/>
        </w:rPr>
        <w:t>南通轨道交通1号线图书馆站地下附属空间（02号商铺）出租项目</w:t>
      </w:r>
      <w:r>
        <w:rPr>
          <w:rFonts w:hint="eastAsia" w:ascii="宋体" w:hAnsi="宋体" w:eastAsia="宋体" w:cs="宋体"/>
          <w:color w:val="auto"/>
          <w:highlight w:val="none"/>
          <w:lang w:val="en-US" w:eastAsia="zh-CN"/>
        </w:rPr>
        <w:t xml:space="preserve">招租信息，我方经考察现场和认真研究上述招租公告及附件内容后，我方承认招租公告及附件的全部内容，并愿按招租公告及附件的要求进行本次报价。 </w:t>
      </w:r>
    </w:p>
    <w:p w14:paraId="1A25D23A">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我方同意承担我单位为本次报价所发生的一切费用。 </w:t>
      </w:r>
    </w:p>
    <w:p w14:paraId="30B66C51">
      <w:pPr>
        <w:bidi w:val="0"/>
        <w:ind w:left="0" w:leftChars="0" w:firstLine="420" w:firstLineChars="200"/>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我方报价如下：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399"/>
        <w:gridCol w:w="2089"/>
        <w:gridCol w:w="3486"/>
      </w:tblGrid>
      <w:tr w14:paraId="566B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424" w:type="dxa"/>
            <w:vAlign w:val="center"/>
          </w:tcPr>
          <w:p w14:paraId="5FA9FD10">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站名</w:t>
            </w:r>
          </w:p>
        </w:tc>
        <w:tc>
          <w:tcPr>
            <w:tcW w:w="1399" w:type="dxa"/>
            <w:vAlign w:val="center"/>
          </w:tcPr>
          <w:p w14:paraId="6E3F0000">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铺号</w:t>
            </w:r>
          </w:p>
        </w:tc>
        <w:tc>
          <w:tcPr>
            <w:tcW w:w="2089" w:type="dxa"/>
            <w:vAlign w:val="center"/>
          </w:tcPr>
          <w:p w14:paraId="7ADE77B4">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经营业态</w:t>
            </w:r>
          </w:p>
        </w:tc>
        <w:tc>
          <w:tcPr>
            <w:tcW w:w="3486" w:type="dxa"/>
            <w:vAlign w:val="center"/>
          </w:tcPr>
          <w:p w14:paraId="3E4ADACF">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租金报价（元/年）</w:t>
            </w:r>
          </w:p>
        </w:tc>
      </w:tr>
      <w:tr w14:paraId="4AFDA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5CCEB919">
            <w:pPr>
              <w:bidi w:val="0"/>
              <w:jc w:val="center"/>
              <w:rPr>
                <w:rFonts w:hint="eastAsia" w:ascii="宋体" w:hAnsi="宋体" w:eastAsia="宋体" w:cs="宋体"/>
                <w:color w:val="auto"/>
                <w:highlight w:val="none"/>
                <w:vertAlign w:val="baseline"/>
                <w:lang w:val="en-US" w:eastAsia="zh-CN"/>
              </w:rPr>
            </w:pPr>
          </w:p>
        </w:tc>
        <w:tc>
          <w:tcPr>
            <w:tcW w:w="1399" w:type="dxa"/>
            <w:vAlign w:val="center"/>
          </w:tcPr>
          <w:p w14:paraId="26A9CE70">
            <w:pPr>
              <w:bidi w:val="0"/>
              <w:jc w:val="center"/>
              <w:rPr>
                <w:rFonts w:hint="eastAsia" w:ascii="宋体" w:hAnsi="宋体" w:eastAsia="宋体" w:cs="宋体"/>
                <w:color w:val="auto"/>
                <w:highlight w:val="none"/>
                <w:vertAlign w:val="baseline"/>
                <w:lang w:val="en-US" w:eastAsia="zh-CN"/>
              </w:rPr>
            </w:pPr>
          </w:p>
        </w:tc>
        <w:tc>
          <w:tcPr>
            <w:tcW w:w="2089" w:type="dxa"/>
            <w:vAlign w:val="center"/>
          </w:tcPr>
          <w:p w14:paraId="4B91084C">
            <w:pPr>
              <w:bidi w:val="0"/>
              <w:jc w:val="center"/>
              <w:rPr>
                <w:rFonts w:hint="eastAsia" w:ascii="宋体" w:hAnsi="宋体" w:eastAsia="宋体" w:cs="宋体"/>
                <w:color w:val="auto"/>
                <w:highlight w:val="none"/>
                <w:vertAlign w:val="baseline"/>
                <w:lang w:val="en-US" w:eastAsia="zh-CN"/>
              </w:rPr>
            </w:pPr>
          </w:p>
        </w:tc>
        <w:tc>
          <w:tcPr>
            <w:tcW w:w="3486" w:type="dxa"/>
          </w:tcPr>
          <w:p w14:paraId="377B720D">
            <w:pPr>
              <w:bidi w:val="0"/>
              <w:jc w:val="center"/>
              <w:rPr>
                <w:rFonts w:hint="eastAsia" w:ascii="宋体" w:hAnsi="宋体" w:eastAsia="宋体" w:cs="宋体"/>
                <w:color w:val="auto"/>
                <w:highlight w:val="none"/>
                <w:vertAlign w:val="baseline"/>
                <w:lang w:val="en-US" w:eastAsia="zh-CN"/>
              </w:rPr>
            </w:pPr>
          </w:p>
        </w:tc>
      </w:tr>
      <w:tr w14:paraId="5E09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7B1BF7B6">
            <w:pPr>
              <w:bidi w:val="0"/>
              <w:jc w:val="center"/>
              <w:rPr>
                <w:rFonts w:hint="eastAsia" w:ascii="宋体" w:hAnsi="宋体" w:eastAsia="宋体" w:cs="宋体"/>
                <w:color w:val="auto"/>
                <w:highlight w:val="none"/>
                <w:vertAlign w:val="baseline"/>
                <w:lang w:val="en-US" w:eastAsia="zh-CN"/>
              </w:rPr>
            </w:pPr>
          </w:p>
        </w:tc>
        <w:tc>
          <w:tcPr>
            <w:tcW w:w="1399" w:type="dxa"/>
          </w:tcPr>
          <w:p w14:paraId="0458E942">
            <w:pPr>
              <w:bidi w:val="0"/>
              <w:jc w:val="both"/>
              <w:rPr>
                <w:rFonts w:hint="eastAsia" w:ascii="宋体" w:hAnsi="宋体" w:eastAsia="宋体" w:cs="宋体"/>
                <w:color w:val="auto"/>
                <w:highlight w:val="none"/>
                <w:vertAlign w:val="baseline"/>
                <w:lang w:val="en-US" w:eastAsia="zh-CN"/>
              </w:rPr>
            </w:pPr>
          </w:p>
        </w:tc>
        <w:tc>
          <w:tcPr>
            <w:tcW w:w="2089" w:type="dxa"/>
          </w:tcPr>
          <w:p w14:paraId="6004CDDB">
            <w:pPr>
              <w:bidi w:val="0"/>
              <w:jc w:val="both"/>
              <w:rPr>
                <w:rFonts w:hint="eastAsia" w:ascii="宋体" w:hAnsi="宋体" w:eastAsia="宋体" w:cs="宋体"/>
                <w:color w:val="auto"/>
                <w:highlight w:val="none"/>
                <w:vertAlign w:val="baseline"/>
                <w:lang w:val="en-US" w:eastAsia="zh-CN"/>
              </w:rPr>
            </w:pPr>
          </w:p>
        </w:tc>
        <w:tc>
          <w:tcPr>
            <w:tcW w:w="3486" w:type="dxa"/>
          </w:tcPr>
          <w:p w14:paraId="65AA1985">
            <w:pPr>
              <w:bidi w:val="0"/>
              <w:jc w:val="both"/>
              <w:rPr>
                <w:rFonts w:hint="eastAsia" w:ascii="宋体" w:hAnsi="宋体" w:eastAsia="宋体" w:cs="宋体"/>
                <w:color w:val="auto"/>
                <w:highlight w:val="none"/>
                <w:vertAlign w:val="baseline"/>
                <w:lang w:val="en-US" w:eastAsia="zh-CN"/>
              </w:rPr>
            </w:pPr>
          </w:p>
        </w:tc>
      </w:tr>
      <w:tr w14:paraId="2622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45FBA205">
            <w:pPr>
              <w:bidi w:val="0"/>
              <w:jc w:val="center"/>
              <w:rPr>
                <w:rFonts w:hint="eastAsia" w:ascii="宋体" w:hAnsi="宋体" w:eastAsia="宋体" w:cs="宋体"/>
                <w:color w:val="auto"/>
                <w:highlight w:val="none"/>
                <w:vertAlign w:val="baseline"/>
                <w:lang w:val="en-US" w:eastAsia="zh-CN"/>
              </w:rPr>
            </w:pPr>
          </w:p>
        </w:tc>
        <w:tc>
          <w:tcPr>
            <w:tcW w:w="1399" w:type="dxa"/>
          </w:tcPr>
          <w:p w14:paraId="4A175076">
            <w:pPr>
              <w:bidi w:val="0"/>
              <w:jc w:val="both"/>
              <w:rPr>
                <w:rFonts w:hint="eastAsia" w:ascii="宋体" w:hAnsi="宋体" w:eastAsia="宋体" w:cs="宋体"/>
                <w:color w:val="auto"/>
                <w:highlight w:val="none"/>
                <w:vertAlign w:val="baseline"/>
                <w:lang w:val="en-US" w:eastAsia="zh-CN"/>
              </w:rPr>
            </w:pPr>
          </w:p>
        </w:tc>
        <w:tc>
          <w:tcPr>
            <w:tcW w:w="2089" w:type="dxa"/>
          </w:tcPr>
          <w:p w14:paraId="1F0915FD">
            <w:pPr>
              <w:bidi w:val="0"/>
              <w:jc w:val="both"/>
              <w:rPr>
                <w:rFonts w:hint="eastAsia" w:ascii="宋体" w:hAnsi="宋体" w:eastAsia="宋体" w:cs="宋体"/>
                <w:color w:val="auto"/>
                <w:highlight w:val="none"/>
                <w:vertAlign w:val="baseline"/>
                <w:lang w:val="en-US" w:eastAsia="zh-CN"/>
              </w:rPr>
            </w:pPr>
          </w:p>
        </w:tc>
        <w:tc>
          <w:tcPr>
            <w:tcW w:w="3486" w:type="dxa"/>
          </w:tcPr>
          <w:p w14:paraId="502C93B0">
            <w:pPr>
              <w:bidi w:val="0"/>
              <w:jc w:val="both"/>
              <w:rPr>
                <w:rFonts w:hint="eastAsia" w:ascii="宋体" w:hAnsi="宋体" w:eastAsia="宋体" w:cs="宋体"/>
                <w:color w:val="auto"/>
                <w:highlight w:val="none"/>
                <w:vertAlign w:val="baseline"/>
                <w:lang w:val="en-US" w:eastAsia="zh-CN"/>
              </w:rPr>
            </w:pPr>
          </w:p>
        </w:tc>
      </w:tr>
      <w:tr w14:paraId="0707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04A2EA33">
            <w:pPr>
              <w:bidi w:val="0"/>
              <w:jc w:val="center"/>
              <w:rPr>
                <w:rFonts w:hint="eastAsia" w:ascii="宋体" w:hAnsi="宋体" w:eastAsia="宋体" w:cs="宋体"/>
                <w:color w:val="auto"/>
                <w:highlight w:val="none"/>
                <w:vertAlign w:val="baseline"/>
                <w:lang w:val="en-US" w:eastAsia="zh-CN"/>
              </w:rPr>
            </w:pPr>
          </w:p>
        </w:tc>
        <w:tc>
          <w:tcPr>
            <w:tcW w:w="1399" w:type="dxa"/>
          </w:tcPr>
          <w:p w14:paraId="31DC9D40">
            <w:pPr>
              <w:bidi w:val="0"/>
              <w:jc w:val="both"/>
              <w:rPr>
                <w:rFonts w:hint="eastAsia" w:ascii="宋体" w:hAnsi="宋体" w:eastAsia="宋体" w:cs="宋体"/>
                <w:color w:val="auto"/>
                <w:highlight w:val="none"/>
                <w:vertAlign w:val="baseline"/>
                <w:lang w:val="en-US" w:eastAsia="zh-CN"/>
              </w:rPr>
            </w:pPr>
          </w:p>
        </w:tc>
        <w:tc>
          <w:tcPr>
            <w:tcW w:w="2089" w:type="dxa"/>
          </w:tcPr>
          <w:p w14:paraId="53452755">
            <w:pPr>
              <w:bidi w:val="0"/>
              <w:jc w:val="both"/>
              <w:rPr>
                <w:rFonts w:hint="eastAsia" w:ascii="宋体" w:hAnsi="宋体" w:eastAsia="宋体" w:cs="宋体"/>
                <w:color w:val="auto"/>
                <w:highlight w:val="none"/>
                <w:vertAlign w:val="baseline"/>
                <w:lang w:val="en-US" w:eastAsia="zh-CN"/>
              </w:rPr>
            </w:pPr>
          </w:p>
        </w:tc>
        <w:tc>
          <w:tcPr>
            <w:tcW w:w="3486" w:type="dxa"/>
          </w:tcPr>
          <w:p w14:paraId="3EFE7911">
            <w:pPr>
              <w:bidi w:val="0"/>
              <w:jc w:val="both"/>
              <w:rPr>
                <w:rFonts w:hint="eastAsia" w:ascii="宋体" w:hAnsi="宋体" w:eastAsia="宋体" w:cs="宋体"/>
                <w:color w:val="auto"/>
                <w:highlight w:val="none"/>
                <w:vertAlign w:val="baseline"/>
                <w:lang w:val="en-US" w:eastAsia="zh-CN"/>
              </w:rPr>
            </w:pPr>
          </w:p>
        </w:tc>
      </w:tr>
      <w:tr w14:paraId="5CAC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46201591">
            <w:pPr>
              <w:bidi w:val="0"/>
              <w:jc w:val="center"/>
              <w:rPr>
                <w:rFonts w:hint="eastAsia" w:ascii="宋体" w:hAnsi="宋体" w:eastAsia="宋体" w:cs="宋体"/>
                <w:color w:val="auto"/>
                <w:highlight w:val="none"/>
                <w:vertAlign w:val="baseline"/>
                <w:lang w:val="en-US" w:eastAsia="zh-CN"/>
              </w:rPr>
            </w:pPr>
          </w:p>
        </w:tc>
        <w:tc>
          <w:tcPr>
            <w:tcW w:w="1399" w:type="dxa"/>
          </w:tcPr>
          <w:p w14:paraId="6941FAF3">
            <w:pPr>
              <w:bidi w:val="0"/>
              <w:jc w:val="both"/>
              <w:rPr>
                <w:rFonts w:hint="eastAsia" w:ascii="宋体" w:hAnsi="宋体" w:eastAsia="宋体" w:cs="宋体"/>
                <w:color w:val="auto"/>
                <w:highlight w:val="none"/>
                <w:vertAlign w:val="baseline"/>
                <w:lang w:val="en-US" w:eastAsia="zh-CN"/>
              </w:rPr>
            </w:pPr>
          </w:p>
        </w:tc>
        <w:tc>
          <w:tcPr>
            <w:tcW w:w="2089" w:type="dxa"/>
          </w:tcPr>
          <w:p w14:paraId="2E7245A0">
            <w:pPr>
              <w:bidi w:val="0"/>
              <w:jc w:val="both"/>
              <w:rPr>
                <w:rFonts w:hint="eastAsia" w:ascii="宋体" w:hAnsi="宋体" w:eastAsia="宋体" w:cs="宋体"/>
                <w:color w:val="auto"/>
                <w:highlight w:val="none"/>
                <w:vertAlign w:val="baseline"/>
                <w:lang w:val="en-US" w:eastAsia="zh-CN"/>
              </w:rPr>
            </w:pPr>
          </w:p>
        </w:tc>
        <w:tc>
          <w:tcPr>
            <w:tcW w:w="3486" w:type="dxa"/>
          </w:tcPr>
          <w:p w14:paraId="4FED5B16">
            <w:pPr>
              <w:bidi w:val="0"/>
              <w:jc w:val="both"/>
              <w:rPr>
                <w:rFonts w:hint="eastAsia" w:ascii="宋体" w:hAnsi="宋体" w:eastAsia="宋体" w:cs="宋体"/>
                <w:color w:val="auto"/>
                <w:highlight w:val="none"/>
                <w:vertAlign w:val="baseline"/>
                <w:lang w:val="en-US" w:eastAsia="zh-CN"/>
              </w:rPr>
            </w:pPr>
          </w:p>
        </w:tc>
      </w:tr>
      <w:tr w14:paraId="3F9FD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596C4189">
            <w:pPr>
              <w:bidi w:val="0"/>
              <w:jc w:val="center"/>
              <w:rPr>
                <w:rFonts w:hint="eastAsia" w:ascii="宋体" w:hAnsi="宋体" w:eastAsia="宋体" w:cs="宋体"/>
                <w:color w:val="auto"/>
                <w:highlight w:val="none"/>
                <w:vertAlign w:val="baseline"/>
                <w:lang w:val="en-US" w:eastAsia="zh-CN"/>
              </w:rPr>
            </w:pPr>
          </w:p>
        </w:tc>
        <w:tc>
          <w:tcPr>
            <w:tcW w:w="1399" w:type="dxa"/>
          </w:tcPr>
          <w:p w14:paraId="08BF0A4A">
            <w:pPr>
              <w:bidi w:val="0"/>
              <w:jc w:val="both"/>
              <w:rPr>
                <w:rFonts w:hint="eastAsia" w:ascii="宋体" w:hAnsi="宋体" w:eastAsia="宋体" w:cs="宋体"/>
                <w:color w:val="auto"/>
                <w:highlight w:val="none"/>
                <w:vertAlign w:val="baseline"/>
                <w:lang w:val="en-US" w:eastAsia="zh-CN"/>
              </w:rPr>
            </w:pPr>
          </w:p>
        </w:tc>
        <w:tc>
          <w:tcPr>
            <w:tcW w:w="2089" w:type="dxa"/>
          </w:tcPr>
          <w:p w14:paraId="1879AA58">
            <w:pPr>
              <w:bidi w:val="0"/>
              <w:jc w:val="both"/>
              <w:rPr>
                <w:rFonts w:hint="eastAsia" w:ascii="宋体" w:hAnsi="宋体" w:eastAsia="宋体" w:cs="宋体"/>
                <w:color w:val="auto"/>
                <w:highlight w:val="none"/>
                <w:vertAlign w:val="baseline"/>
                <w:lang w:val="en-US" w:eastAsia="zh-CN"/>
              </w:rPr>
            </w:pPr>
          </w:p>
        </w:tc>
        <w:tc>
          <w:tcPr>
            <w:tcW w:w="3486" w:type="dxa"/>
          </w:tcPr>
          <w:p w14:paraId="151B2A63">
            <w:pPr>
              <w:bidi w:val="0"/>
              <w:jc w:val="both"/>
              <w:rPr>
                <w:rFonts w:hint="eastAsia" w:ascii="宋体" w:hAnsi="宋体" w:eastAsia="宋体" w:cs="宋体"/>
                <w:color w:val="auto"/>
                <w:highlight w:val="none"/>
                <w:vertAlign w:val="baseline"/>
                <w:lang w:val="en-US" w:eastAsia="zh-CN"/>
              </w:rPr>
            </w:pPr>
          </w:p>
        </w:tc>
      </w:tr>
      <w:tr w14:paraId="0BEE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424" w:type="dxa"/>
            <w:vAlign w:val="center"/>
          </w:tcPr>
          <w:p w14:paraId="4872B24B">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w:t>
            </w:r>
          </w:p>
        </w:tc>
        <w:tc>
          <w:tcPr>
            <w:tcW w:w="1399" w:type="dxa"/>
          </w:tcPr>
          <w:p w14:paraId="2310EC9E">
            <w:pPr>
              <w:bidi w:val="0"/>
              <w:jc w:val="both"/>
              <w:rPr>
                <w:rFonts w:hint="eastAsia" w:ascii="宋体" w:hAnsi="宋体" w:eastAsia="宋体" w:cs="宋体"/>
                <w:color w:val="auto"/>
                <w:highlight w:val="none"/>
                <w:vertAlign w:val="baseline"/>
                <w:lang w:val="en-US" w:eastAsia="zh-CN"/>
              </w:rPr>
            </w:pPr>
          </w:p>
        </w:tc>
        <w:tc>
          <w:tcPr>
            <w:tcW w:w="2089" w:type="dxa"/>
          </w:tcPr>
          <w:p w14:paraId="442C4C45">
            <w:pPr>
              <w:bidi w:val="0"/>
              <w:jc w:val="both"/>
              <w:rPr>
                <w:rFonts w:hint="eastAsia" w:ascii="宋体" w:hAnsi="宋体" w:eastAsia="宋体" w:cs="宋体"/>
                <w:color w:val="auto"/>
                <w:highlight w:val="none"/>
                <w:vertAlign w:val="baseline"/>
                <w:lang w:val="en-US" w:eastAsia="zh-CN"/>
              </w:rPr>
            </w:pPr>
          </w:p>
        </w:tc>
        <w:tc>
          <w:tcPr>
            <w:tcW w:w="3486" w:type="dxa"/>
          </w:tcPr>
          <w:p w14:paraId="05BEF016">
            <w:pPr>
              <w:bidi w:val="0"/>
              <w:jc w:val="both"/>
              <w:rPr>
                <w:rFonts w:hint="eastAsia" w:ascii="宋体" w:hAnsi="宋体" w:eastAsia="宋体" w:cs="宋体"/>
                <w:color w:val="auto"/>
                <w:highlight w:val="none"/>
                <w:vertAlign w:val="baseline"/>
                <w:lang w:val="en-US" w:eastAsia="zh-CN"/>
              </w:rPr>
            </w:pPr>
          </w:p>
        </w:tc>
      </w:tr>
    </w:tbl>
    <w:p w14:paraId="2AE93EC4">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备注：1、报价不得低于租金单价底价。 </w:t>
      </w:r>
    </w:p>
    <w:p w14:paraId="0586CA64">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2、以上价格不含水电费等其它费用。</w:t>
      </w:r>
    </w:p>
    <w:p w14:paraId="6C93B9B4">
      <w:pPr>
        <w:bidi w:val="0"/>
        <w:ind w:left="0" w:leftChars="0" w:firstLine="420" w:firstLineChars="200"/>
        <w:rPr>
          <w:rFonts w:hint="eastAsia" w:ascii="宋体" w:hAnsi="宋体" w:eastAsia="宋体" w:cs="宋体"/>
          <w:color w:val="auto"/>
          <w:highlight w:val="none"/>
          <w:lang w:val="en-US" w:eastAsia="zh-CN"/>
        </w:rPr>
      </w:pPr>
    </w:p>
    <w:p w14:paraId="47630057">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意向承租方（公章）： </w:t>
      </w:r>
    </w:p>
    <w:p w14:paraId="749450A7">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法定代表人或其委托代理人（签字或盖章）： </w:t>
      </w:r>
    </w:p>
    <w:p w14:paraId="5FC24C0A">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日期：   年   月   日 </w:t>
      </w:r>
      <w:r>
        <w:rPr>
          <w:rFonts w:hint="eastAsia" w:ascii="宋体" w:hAnsi="宋体" w:eastAsia="宋体" w:cs="宋体"/>
          <w:color w:val="auto"/>
          <w:highlight w:val="none"/>
          <w:lang w:val="en-US" w:eastAsia="zh-CN"/>
        </w:rPr>
        <w:br w:type="page"/>
      </w:r>
    </w:p>
    <w:p w14:paraId="514309DC">
      <w:pPr>
        <w:jc w:val="center"/>
        <w:outlineLvl w:val="1"/>
        <w:rPr>
          <w:rFonts w:hint="eastAsia" w:ascii="宋体" w:hAnsi="宋体" w:eastAsia="宋体" w:cs="宋体"/>
          <w:b/>
          <w:bCs/>
          <w:color w:val="auto"/>
          <w:sz w:val="32"/>
          <w:szCs w:val="32"/>
          <w:highlight w:val="none"/>
          <w:lang w:val="en-US" w:eastAsia="zh-CN"/>
        </w:rPr>
      </w:pPr>
      <w:bookmarkStart w:id="46" w:name="_Toc2117"/>
      <w:r>
        <w:rPr>
          <w:rFonts w:hint="eastAsia" w:ascii="宋体" w:hAnsi="宋体" w:eastAsia="宋体" w:cs="宋体"/>
          <w:b/>
          <w:bCs/>
          <w:color w:val="auto"/>
          <w:sz w:val="32"/>
          <w:szCs w:val="32"/>
          <w:highlight w:val="none"/>
          <w:lang w:val="en-US" w:eastAsia="zh-CN"/>
        </w:rPr>
        <w:t>六、交易保证金</w:t>
      </w:r>
    </w:p>
    <w:p w14:paraId="2B209858">
      <w:pPr>
        <w:keepNext w:val="0"/>
        <w:keepLines w:val="0"/>
        <w:widowControl/>
        <w:suppressLineNumbers w:val="0"/>
        <w:jc w:val="center"/>
        <w:rPr>
          <w:rFonts w:hint="eastAsia" w:ascii="宋体" w:hAnsi="宋体" w:eastAsia="宋体" w:cs="宋体"/>
          <w:color w:val="auto"/>
          <w:sz w:val="28"/>
          <w:szCs w:val="28"/>
          <w:highlight w:val="none"/>
        </w:rPr>
      </w:pPr>
    </w:p>
    <w:p w14:paraId="1A36BEE2">
      <w:pPr>
        <w:keepNext w:val="0"/>
        <w:keepLines w:val="0"/>
        <w:widowControl/>
        <w:suppressLineNumbers w:val="0"/>
        <w:ind w:right="-512" w:rightChars="-244"/>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附本票或保函或保险或担保或数字人民币或转账回单复印件或扫描件。</w:t>
      </w:r>
    </w:p>
    <w:p w14:paraId="5E3B3B16">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186C91C6">
      <w:pPr>
        <w:pStyle w:val="4"/>
        <w:bidi w:val="0"/>
        <w:outlineLvl w:val="0"/>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附件5-2. 竞选文件格式</w:t>
      </w:r>
      <w:r>
        <w:rPr>
          <w:rFonts w:hint="eastAsia" w:ascii="宋体" w:hAnsi="宋体" w:eastAsia="宋体" w:cs="宋体"/>
          <w:b/>
          <w:bCs/>
          <w:color w:val="auto"/>
          <w:sz w:val="24"/>
          <w:szCs w:val="24"/>
          <w:highlight w:val="none"/>
          <w:lang w:val="en-US" w:eastAsia="zh-CN"/>
        </w:rPr>
        <w:t>（自然人版）</w:t>
      </w:r>
      <w:bookmarkEnd w:id="46"/>
    </w:p>
    <w:p w14:paraId="519E509E">
      <w:pPr>
        <w:spacing w:line="440" w:lineRule="exact"/>
        <w:jc w:val="center"/>
        <w:rPr>
          <w:rFonts w:hint="eastAsia" w:ascii="宋体" w:hAnsi="宋体" w:eastAsia="宋体" w:cs="宋体"/>
          <w:b/>
          <w:color w:val="auto"/>
          <w:sz w:val="36"/>
          <w:szCs w:val="36"/>
          <w:highlight w:val="none"/>
        </w:rPr>
      </w:pPr>
    </w:p>
    <w:p w14:paraId="4C86BDB6">
      <w:pPr>
        <w:jc w:val="center"/>
        <w:outlineLvl w:val="1"/>
        <w:rPr>
          <w:rFonts w:hint="eastAsia" w:ascii="宋体" w:hAnsi="宋体" w:eastAsia="宋体" w:cs="宋体"/>
          <w:b/>
          <w:bCs/>
          <w:color w:val="auto"/>
          <w:sz w:val="32"/>
          <w:szCs w:val="32"/>
          <w:highlight w:val="none"/>
          <w:lang w:val="en-US" w:eastAsia="zh-CN"/>
        </w:rPr>
      </w:pPr>
      <w:bookmarkStart w:id="47" w:name="_Toc27754"/>
      <w:r>
        <w:rPr>
          <w:rFonts w:hint="eastAsia" w:ascii="宋体" w:hAnsi="宋体" w:eastAsia="宋体" w:cs="宋体"/>
          <w:b/>
          <w:bCs/>
          <w:color w:val="auto"/>
          <w:sz w:val="32"/>
          <w:szCs w:val="32"/>
          <w:highlight w:val="none"/>
          <w:lang w:val="en-US" w:eastAsia="zh-CN"/>
        </w:rPr>
        <w:t>一、授权委托书</w:t>
      </w:r>
      <w:bookmarkEnd w:id="47"/>
    </w:p>
    <w:p w14:paraId="23DE8411">
      <w:pPr>
        <w:keepNext w:val="0"/>
        <w:keepLines w:val="0"/>
        <w:widowControl/>
        <w:suppressLineNumbers w:val="0"/>
        <w:jc w:val="center"/>
        <w:rPr>
          <w:rFonts w:hint="eastAsia" w:ascii="宋体" w:hAnsi="宋体" w:eastAsia="宋体" w:cs="宋体"/>
          <w:color w:val="auto"/>
          <w:sz w:val="28"/>
          <w:szCs w:val="28"/>
          <w:highlight w:val="none"/>
        </w:rPr>
      </w:pPr>
    </w:p>
    <w:p w14:paraId="1581A175">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68957AF8">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本授权委托书声明： </w:t>
      </w:r>
    </w:p>
    <w:p w14:paraId="02DF59E7">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本人</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，联系方式</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，现授权委托</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，为本人委托代理人，以本人的名义参加</w:t>
      </w:r>
      <w:r>
        <w:rPr>
          <w:rFonts w:hint="eastAsia" w:ascii="宋体" w:hAnsi="宋体" w:eastAsia="宋体" w:cs="宋体"/>
          <w:color w:val="auto"/>
          <w:kern w:val="0"/>
          <w:sz w:val="21"/>
          <w:szCs w:val="21"/>
          <w:highlight w:val="none"/>
          <w:u w:val="single"/>
          <w:lang w:val="en-US" w:eastAsia="zh-CN" w:bidi="ar"/>
        </w:rPr>
        <w:t xml:space="preserve">（项目名称）                 </w:t>
      </w:r>
      <w:r>
        <w:rPr>
          <w:rFonts w:hint="eastAsia" w:ascii="宋体" w:hAnsi="宋体" w:eastAsia="宋体" w:cs="宋体"/>
          <w:color w:val="auto"/>
          <w:kern w:val="0"/>
          <w:sz w:val="21"/>
          <w:szCs w:val="21"/>
          <w:highlight w:val="none"/>
          <w:lang w:val="en-US" w:eastAsia="zh-CN" w:bidi="ar"/>
        </w:rPr>
        <w:t xml:space="preserve">竞价活动。 </w:t>
      </w:r>
    </w:p>
    <w:p w14:paraId="258A7E59">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委托代理人在竞选文件递交、澄清、合同谈判及办理与本次招租活动有关的一切事务，我均予以承认。 </w:t>
      </w:r>
    </w:p>
    <w:p w14:paraId="6A4DD026">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特此委托。 </w:t>
      </w:r>
    </w:p>
    <w:p w14:paraId="329279B5">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7599DDDE">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委托人（签字并加盖手印）： </w:t>
      </w:r>
    </w:p>
    <w:p w14:paraId="6DA9D78E">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委托代理人（签字并加盖手印）： </w:t>
      </w:r>
    </w:p>
    <w:p w14:paraId="4350467A">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委托代理人联系方式：</w:t>
      </w:r>
    </w:p>
    <w:p w14:paraId="17267F50">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地址：</w:t>
      </w:r>
    </w:p>
    <w:p w14:paraId="43A5F79B">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邮政编码：</w:t>
      </w:r>
    </w:p>
    <w:p w14:paraId="669B6E74">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开户银行：</w:t>
      </w:r>
    </w:p>
    <w:p w14:paraId="4B055457">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银行</w:t>
      </w:r>
      <w:r>
        <w:rPr>
          <w:rFonts w:hint="eastAsia" w:ascii="宋体" w:hAnsi="宋体" w:cs="宋体"/>
          <w:color w:val="auto"/>
          <w:kern w:val="0"/>
          <w:sz w:val="21"/>
          <w:szCs w:val="21"/>
          <w:highlight w:val="none"/>
          <w:lang w:val="en-US" w:eastAsia="zh-CN" w:bidi="ar"/>
        </w:rPr>
        <w:t>账</w:t>
      </w:r>
      <w:r>
        <w:rPr>
          <w:rFonts w:hint="eastAsia" w:ascii="宋体" w:hAnsi="宋体" w:eastAsia="宋体" w:cs="宋体"/>
          <w:color w:val="auto"/>
          <w:kern w:val="0"/>
          <w:sz w:val="21"/>
          <w:szCs w:val="21"/>
          <w:highlight w:val="none"/>
          <w:lang w:val="en-US" w:eastAsia="zh-CN" w:bidi="ar"/>
        </w:rPr>
        <w:t>号：</w:t>
      </w:r>
    </w:p>
    <w:p w14:paraId="23243533">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项目负责人姓名： </w:t>
      </w:r>
    </w:p>
    <w:p w14:paraId="52D2B77F">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项目负责人身份证号：</w:t>
      </w:r>
    </w:p>
    <w:p w14:paraId="10C5DAFB">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项目负责人联系方式：</w:t>
      </w:r>
    </w:p>
    <w:p w14:paraId="42299152">
      <w:pPr>
        <w:keepNext w:val="0"/>
        <w:keepLines w:val="0"/>
        <w:widowControl/>
        <w:suppressLineNumbers w:val="0"/>
        <w:ind w:left="0" w:leftChars="0" w:right="-512" w:rightChars="-244"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日期：   年   月   日 </w:t>
      </w:r>
    </w:p>
    <w:p w14:paraId="081CF0A5">
      <w:pPr>
        <w:keepNext w:val="0"/>
        <w:keepLines w:val="0"/>
        <w:widowControl/>
        <w:suppressLineNumbers w:val="0"/>
        <w:ind w:left="0" w:leftChars="0" w:right="-512" w:rightChars="-244" w:firstLine="315" w:firstLineChars="150"/>
        <w:jc w:val="left"/>
        <w:rPr>
          <w:rFonts w:hint="eastAsia" w:ascii="宋体" w:hAnsi="宋体" w:eastAsia="宋体" w:cs="宋体"/>
          <w:color w:val="auto"/>
          <w:kern w:val="0"/>
          <w:sz w:val="21"/>
          <w:szCs w:val="21"/>
          <w:highlight w:val="none"/>
          <w:lang w:val="en-US" w:eastAsia="zh-CN" w:bidi="ar"/>
        </w:rPr>
      </w:pPr>
    </w:p>
    <w:p w14:paraId="1899F73F">
      <w:pPr>
        <w:keepNext w:val="0"/>
        <w:keepLines w:val="0"/>
        <w:widowControl/>
        <w:suppressLineNumbers w:val="0"/>
        <w:ind w:left="0" w:leftChars="0" w:right="-512" w:rightChars="-244"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注：1、本委托书中委托代理人的签名笔迹是核对由其签发的文件有效性的依据；</w:t>
      </w:r>
    </w:p>
    <w:p w14:paraId="4BD46A5F">
      <w:pPr>
        <w:keepNext w:val="0"/>
        <w:keepLines w:val="0"/>
        <w:widowControl/>
        <w:numPr>
          <w:ilvl w:val="0"/>
          <w:numId w:val="0"/>
        </w:numPr>
        <w:suppressLineNumbers w:val="0"/>
        <w:ind w:left="0" w:leftChars="0" w:right="-512" w:rightChars="-244" w:firstLine="420" w:firstLineChars="200"/>
        <w:jc w:val="left"/>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2、若为自然人本人参加竞选，本授权委托书仍需提供，其中，“现授权委托</w:t>
      </w:r>
      <w:r>
        <w:rPr>
          <w:rFonts w:hint="eastAsia" w:ascii="宋体" w:hAnsi="宋体" w:eastAsia="宋体" w:cs="宋体"/>
          <w:color w:val="auto"/>
          <w:kern w:val="0"/>
          <w:sz w:val="21"/>
          <w:szCs w:val="21"/>
          <w:highlight w:val="none"/>
          <w:u w:val="single"/>
          <w:lang w:val="en-US" w:eastAsia="zh-CN" w:bidi="ar"/>
        </w:rPr>
        <w:t xml:space="preserve">（姓名）   </w:t>
      </w:r>
      <w:r>
        <w:rPr>
          <w:rFonts w:hint="eastAsia" w:ascii="宋体" w:hAnsi="宋体" w:eastAsia="宋体" w:cs="宋体"/>
          <w:color w:val="auto"/>
          <w:kern w:val="0"/>
          <w:sz w:val="21"/>
          <w:szCs w:val="21"/>
          <w:highlight w:val="none"/>
          <w:lang w:val="en-US" w:eastAsia="zh-CN" w:bidi="ar"/>
        </w:rPr>
        <w:t>身份证号</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”此处无需填写。</w:t>
      </w:r>
    </w:p>
    <w:p w14:paraId="548BDE79">
      <w:pPr>
        <w:jc w:val="center"/>
        <w:outlineLvl w:val="1"/>
        <w:rPr>
          <w:rFonts w:hint="eastAsia" w:ascii="宋体" w:hAnsi="宋体" w:eastAsia="宋体" w:cs="宋体"/>
          <w:b/>
          <w:bCs/>
          <w:color w:val="auto"/>
          <w:sz w:val="32"/>
          <w:szCs w:val="32"/>
          <w:highlight w:val="none"/>
          <w:lang w:val="en-US" w:eastAsia="zh-CN"/>
        </w:rPr>
      </w:pPr>
      <w:bookmarkStart w:id="48" w:name="_Toc24723"/>
      <w:r>
        <w:rPr>
          <w:rFonts w:hint="eastAsia" w:ascii="宋体" w:hAnsi="宋体" w:eastAsia="宋体" w:cs="宋体"/>
          <w:b/>
          <w:bCs/>
          <w:color w:val="auto"/>
          <w:sz w:val="32"/>
          <w:szCs w:val="32"/>
          <w:highlight w:val="none"/>
          <w:lang w:val="en-US" w:eastAsia="zh-CN"/>
        </w:rPr>
        <w:t>二、身份证复印件</w:t>
      </w:r>
      <w:bookmarkEnd w:id="48"/>
    </w:p>
    <w:p w14:paraId="146C00F2">
      <w:pPr>
        <w:rPr>
          <w:rFonts w:hint="eastAsia" w:ascii="宋体" w:hAnsi="宋体" w:eastAsia="宋体" w:cs="宋体"/>
          <w:color w:val="auto"/>
          <w:highlight w:val="none"/>
          <w:lang w:val="en-US" w:eastAsia="zh-CN"/>
        </w:rPr>
      </w:pPr>
    </w:p>
    <w:p w14:paraId="50EFD4B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须提供委托人及委托代理人身份证复印件或扫描件。</w:t>
      </w:r>
    </w:p>
    <w:p w14:paraId="00A25788">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注：若为自然人本人参加竞选，仅需提供自然人本人身份证复印件或扫描件。</w:t>
      </w:r>
    </w:p>
    <w:p w14:paraId="01064B03">
      <w:pPr>
        <w:pStyle w:val="2"/>
        <w:rPr>
          <w:rFonts w:hint="eastAsia" w:ascii="宋体" w:hAnsi="宋体" w:eastAsia="宋体" w:cs="宋体"/>
          <w:color w:val="auto"/>
          <w:highlight w:val="none"/>
          <w:lang w:val="en-US" w:eastAsia="zh-CN"/>
        </w:rPr>
      </w:pPr>
    </w:p>
    <w:p w14:paraId="79C2FD0A">
      <w:pPr>
        <w:pStyle w:val="2"/>
        <w:rPr>
          <w:rFonts w:hint="eastAsia" w:ascii="宋体" w:hAnsi="宋体" w:eastAsia="宋体" w:cs="宋体"/>
          <w:highlight w:val="none"/>
          <w:lang w:val="en-US" w:eastAsia="zh-CN"/>
        </w:rPr>
        <w:sectPr>
          <w:footerReference r:id="rId13" w:type="default"/>
          <w:pgSz w:w="11906" w:h="16838"/>
          <w:pgMar w:top="1440" w:right="1803" w:bottom="1440" w:left="1803" w:header="851" w:footer="992" w:gutter="0"/>
          <w:pgNumType w:fmt="decimal"/>
          <w:cols w:space="0" w:num="1"/>
          <w:rtlGutter w:val="0"/>
          <w:docGrid w:type="lines" w:linePitch="319" w:charSpace="0"/>
        </w:sectPr>
      </w:pPr>
    </w:p>
    <w:p w14:paraId="23838AE3">
      <w:pPr>
        <w:jc w:val="center"/>
        <w:outlineLvl w:val="1"/>
        <w:rPr>
          <w:rFonts w:hint="eastAsia" w:ascii="宋体" w:hAnsi="宋体" w:eastAsia="宋体" w:cs="宋体"/>
          <w:b/>
          <w:bCs/>
          <w:color w:val="auto"/>
          <w:sz w:val="32"/>
          <w:szCs w:val="32"/>
          <w:highlight w:val="none"/>
          <w:lang w:val="en-US" w:eastAsia="zh-CN"/>
        </w:rPr>
      </w:pPr>
      <w:bookmarkStart w:id="49" w:name="_Toc29370"/>
      <w:r>
        <w:rPr>
          <w:rFonts w:hint="eastAsia" w:ascii="宋体" w:hAnsi="宋体" w:eastAsia="宋体" w:cs="宋体"/>
          <w:b/>
          <w:bCs/>
          <w:color w:val="auto"/>
          <w:sz w:val="32"/>
          <w:szCs w:val="32"/>
          <w:highlight w:val="none"/>
          <w:lang w:val="en-US" w:eastAsia="zh-CN"/>
        </w:rPr>
        <w:t>三、承诺书</w:t>
      </w:r>
      <w:bookmarkEnd w:id="49"/>
    </w:p>
    <w:p w14:paraId="5BD3AB2E">
      <w:pPr>
        <w:keepNext w:val="0"/>
        <w:keepLines w:val="0"/>
        <w:widowControl/>
        <w:suppressLineNumbers w:val="0"/>
        <w:jc w:val="center"/>
        <w:rPr>
          <w:rFonts w:hint="eastAsia" w:ascii="宋体" w:hAnsi="宋体" w:eastAsia="宋体" w:cs="宋体"/>
          <w:color w:val="auto"/>
          <w:sz w:val="28"/>
          <w:szCs w:val="28"/>
          <w:highlight w:val="none"/>
        </w:rPr>
      </w:pPr>
    </w:p>
    <w:p w14:paraId="18BF9DA5">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17BB7396">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本人郑重承诺： </w:t>
      </w:r>
    </w:p>
    <w:p w14:paraId="7BB48A12">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 本人的竞租行为已经获得必要的内部决策批准、同意及授权，按照规定缴纳相应的交易保证金，相关资金均为合法所得。 </w:t>
      </w:r>
    </w:p>
    <w:p w14:paraId="33D00372">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2. 本人已认真阅读出租方所有挂牌文件，完全同意并接受出租方《</w:t>
      </w:r>
      <w:r>
        <w:rPr>
          <w:rFonts w:hint="eastAsia" w:ascii="宋体" w:hAnsi="宋体" w:cs="宋体"/>
          <w:color w:val="auto"/>
          <w:sz w:val="21"/>
          <w:szCs w:val="21"/>
          <w:highlight w:val="none"/>
          <w:lang w:val="en-US" w:eastAsia="zh-CN"/>
        </w:rPr>
        <w:t>南通轨道交通1号线图书馆站地下附属空间（02号商铺）出租项目</w:t>
      </w:r>
      <w:r>
        <w:rPr>
          <w:rFonts w:hint="eastAsia" w:ascii="宋体" w:hAnsi="宋体" w:eastAsia="宋体" w:cs="宋体"/>
          <w:color w:val="auto"/>
          <w:sz w:val="21"/>
          <w:szCs w:val="21"/>
          <w:highlight w:val="none"/>
          <w:lang w:val="en-US" w:eastAsia="zh-CN"/>
        </w:rPr>
        <w:t>招租公告</w:t>
      </w:r>
      <w:r>
        <w:rPr>
          <w:rFonts w:hint="eastAsia" w:ascii="宋体" w:hAnsi="宋体" w:eastAsia="宋体" w:cs="宋体"/>
          <w:color w:val="auto"/>
          <w:kern w:val="0"/>
          <w:sz w:val="21"/>
          <w:szCs w:val="21"/>
          <w:highlight w:val="none"/>
          <w:lang w:val="en-US" w:eastAsia="zh-CN" w:bidi="ar"/>
        </w:rPr>
        <w:t xml:space="preserve">》（以下简称“招租公告”）及附件中对意向承租方提出的各项要求，自愿按照《招租公告》及附件中的要求合法参与竞租，如有违反，本人愿意承担相应法律后果。 </w:t>
      </w:r>
    </w:p>
    <w:p w14:paraId="32FB8052">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 本人认可《合同主要条款》所有内容，不对单价或其它条款和条件做任何改变。 </w:t>
      </w:r>
    </w:p>
    <w:p w14:paraId="30692654">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 本人递交的全部报名材料均为真实材料，相关证明文件属实。 </w:t>
      </w:r>
    </w:p>
    <w:p w14:paraId="0AB851ED">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 在报名截止时间前，</w:t>
      </w:r>
      <w:r>
        <w:rPr>
          <w:rFonts w:hint="eastAsia" w:ascii="宋体" w:hAnsi="宋体" w:eastAsia="宋体" w:cs="宋体"/>
          <w:b/>
          <w:bCs/>
          <w:color w:val="auto"/>
          <w:kern w:val="0"/>
          <w:sz w:val="21"/>
          <w:szCs w:val="21"/>
          <w:highlight w:val="none"/>
          <w:lang w:val="en-US" w:eastAsia="zh-CN" w:bidi="ar"/>
        </w:rPr>
        <w:t>本人在“信用中国”平台中没有不良记录</w:t>
      </w:r>
      <w:r>
        <w:rPr>
          <w:rFonts w:hint="eastAsia" w:ascii="宋体" w:hAnsi="宋体" w:eastAsia="宋体" w:cs="宋体"/>
          <w:color w:val="auto"/>
          <w:kern w:val="0"/>
          <w:sz w:val="21"/>
          <w:szCs w:val="21"/>
          <w:highlight w:val="none"/>
          <w:lang w:val="en-US" w:eastAsia="zh-CN" w:bidi="ar"/>
        </w:rPr>
        <w:t xml:space="preserve">，本人及本人法定代表人未被人民法院列入失信被执行人名单。 </w:t>
      </w:r>
    </w:p>
    <w:p w14:paraId="41F8CBB8">
      <w:pPr>
        <w:keepNext w:val="0"/>
        <w:keepLines w:val="0"/>
        <w:widowControl/>
        <w:suppressLineNumbers w:val="0"/>
        <w:ind w:left="0" w:leftChars="0" w:right="-512" w:rightChars="-244" w:firstLine="367" w:firstLineChars="175"/>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6. 本人承诺具有良好的财务状况和支付能力。</w:t>
      </w:r>
    </w:p>
    <w:p w14:paraId="277C3CAF">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7. 本人承诺租赁期内未经出租方书面批准，不对</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进行任何形式的转租、分租、转让、转借、调换、合作经营或联营，不将</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及设施对外实施抵押、质押等处分行为；</w:t>
      </w:r>
      <w:r>
        <w:rPr>
          <w:rFonts w:hint="eastAsia" w:ascii="宋体" w:hAnsi="宋体" w:eastAsia="宋体" w:cs="宋体"/>
          <w:b/>
          <w:bCs/>
          <w:color w:val="auto"/>
          <w:kern w:val="0"/>
          <w:sz w:val="21"/>
          <w:szCs w:val="21"/>
          <w:highlight w:val="none"/>
          <w:lang w:val="en-US" w:eastAsia="zh-CN" w:bidi="ar"/>
        </w:rPr>
        <w:t xml:space="preserve">租赁期内不出现违反公序良俗的行为。 </w:t>
      </w:r>
    </w:p>
    <w:p w14:paraId="3DB1D8C9">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8. 本人承诺已知悉</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交付状态为现状交付，并已自行完成</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现场踏勘，知悉</w:t>
      </w:r>
      <w:r>
        <w:rPr>
          <w:rFonts w:hint="eastAsia" w:ascii="宋体" w:hAnsi="宋体" w:cs="宋体"/>
          <w:color w:val="auto"/>
          <w:kern w:val="0"/>
          <w:sz w:val="21"/>
          <w:szCs w:val="21"/>
          <w:highlight w:val="none"/>
          <w:lang w:val="en-US" w:eastAsia="zh-CN" w:bidi="ar"/>
        </w:rPr>
        <w:t>商铺</w:t>
      </w:r>
      <w:r>
        <w:rPr>
          <w:rFonts w:hint="eastAsia" w:ascii="宋体" w:hAnsi="宋体" w:eastAsia="宋体" w:cs="宋体"/>
          <w:color w:val="auto"/>
          <w:kern w:val="0"/>
          <w:sz w:val="21"/>
          <w:szCs w:val="21"/>
          <w:highlight w:val="none"/>
          <w:lang w:val="en-US" w:eastAsia="zh-CN" w:bidi="ar"/>
        </w:rPr>
        <w:t xml:space="preserve">的供电量、上/下水、排污排烟等情况。 </w:t>
      </w:r>
    </w:p>
    <w:p w14:paraId="14D5AD12">
      <w:pPr>
        <w:keepNext w:val="0"/>
        <w:keepLines w:val="0"/>
        <w:widowControl/>
        <w:suppressLineNumbers w:val="0"/>
        <w:ind w:left="0" w:leftChars="0" w:right="-512" w:rightChars="-244"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以上内容本人已认真阅读，本公司如有违反承诺内容的行为，自愿依法接受取消报名资格、计入信用档案、取消承租资格、没收保证金等有关处理，愿意承担法律责任，给出租方造成损失的，依法承担赔偿责任。</w:t>
      </w:r>
    </w:p>
    <w:p w14:paraId="2C30281D">
      <w:pPr>
        <w:ind w:left="0" w:leftChars="0" w:right="-512" w:rightChars="-244" w:firstLine="367" w:firstLineChars="175"/>
        <w:rPr>
          <w:rFonts w:hint="eastAsia" w:ascii="宋体" w:hAnsi="宋体" w:eastAsia="宋体" w:cs="宋体"/>
          <w:color w:val="auto"/>
          <w:sz w:val="21"/>
          <w:szCs w:val="21"/>
          <w:highlight w:val="none"/>
          <w:lang w:val="en-US" w:eastAsia="zh-CN"/>
        </w:rPr>
      </w:pPr>
    </w:p>
    <w:p w14:paraId="7B82E24C">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意向承租方本人或委托代理人（签字</w:t>
      </w:r>
      <w:r>
        <w:rPr>
          <w:rFonts w:hint="eastAsia" w:ascii="宋体" w:hAnsi="宋体" w:eastAsia="宋体" w:cs="宋体"/>
          <w:color w:val="auto"/>
          <w:kern w:val="0"/>
          <w:sz w:val="21"/>
          <w:szCs w:val="21"/>
          <w:highlight w:val="none"/>
          <w:lang w:val="en-US" w:eastAsia="zh-CN" w:bidi="ar"/>
        </w:rPr>
        <w:t>并加盖手印</w:t>
      </w:r>
      <w:r>
        <w:rPr>
          <w:rFonts w:hint="eastAsia" w:ascii="宋体" w:hAnsi="宋体" w:eastAsia="宋体" w:cs="宋体"/>
          <w:color w:val="auto"/>
          <w:sz w:val="21"/>
          <w:szCs w:val="21"/>
          <w:highlight w:val="none"/>
          <w:lang w:val="en-US" w:eastAsia="zh-CN"/>
        </w:rPr>
        <w:t xml:space="preserve">）： </w:t>
      </w:r>
    </w:p>
    <w:p w14:paraId="1AA50F24">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日期：   年   月   日  </w:t>
      </w:r>
      <w:r>
        <w:rPr>
          <w:rFonts w:hint="eastAsia" w:ascii="宋体" w:hAnsi="宋体" w:eastAsia="宋体" w:cs="宋体"/>
          <w:color w:val="auto"/>
          <w:sz w:val="21"/>
          <w:szCs w:val="21"/>
          <w:highlight w:val="none"/>
          <w:lang w:val="en-US" w:eastAsia="zh-CN"/>
        </w:rPr>
        <w:br w:type="page"/>
      </w:r>
    </w:p>
    <w:p w14:paraId="382E8962">
      <w:pPr>
        <w:jc w:val="center"/>
        <w:outlineLvl w:val="1"/>
        <w:rPr>
          <w:rFonts w:hint="eastAsia" w:ascii="宋体" w:hAnsi="宋体" w:eastAsia="宋体" w:cs="宋体"/>
          <w:b/>
          <w:bCs/>
          <w:color w:val="auto"/>
          <w:sz w:val="32"/>
          <w:szCs w:val="32"/>
          <w:highlight w:val="none"/>
          <w:lang w:val="en-US" w:eastAsia="zh-CN"/>
        </w:rPr>
      </w:pPr>
      <w:bookmarkStart w:id="50" w:name="_Toc16138"/>
      <w:r>
        <w:rPr>
          <w:rFonts w:hint="eastAsia" w:ascii="宋体" w:hAnsi="宋体" w:eastAsia="宋体" w:cs="宋体"/>
          <w:b/>
          <w:bCs/>
          <w:color w:val="auto"/>
          <w:sz w:val="32"/>
          <w:szCs w:val="32"/>
          <w:highlight w:val="none"/>
          <w:lang w:val="en-US" w:eastAsia="zh-CN"/>
        </w:rPr>
        <w:t>四、经营业态</w:t>
      </w:r>
      <w:bookmarkEnd w:id="50"/>
    </w:p>
    <w:p w14:paraId="3868671E">
      <w:pPr>
        <w:keepNext w:val="0"/>
        <w:keepLines w:val="0"/>
        <w:widowControl/>
        <w:suppressLineNumbers w:val="0"/>
        <w:ind w:right="-512" w:rightChars="-244"/>
        <w:jc w:val="left"/>
        <w:rPr>
          <w:rFonts w:hint="eastAsia" w:ascii="宋体" w:hAnsi="宋体" w:eastAsia="宋体" w:cs="宋体"/>
          <w:color w:val="auto"/>
          <w:kern w:val="0"/>
          <w:sz w:val="21"/>
          <w:szCs w:val="21"/>
          <w:highlight w:val="none"/>
          <w:lang w:val="en-US" w:eastAsia="zh-CN" w:bidi="ar"/>
        </w:rPr>
      </w:pPr>
    </w:p>
    <w:p w14:paraId="5C9DCED3">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67D782A7">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根据已公示的</w:t>
      </w:r>
      <w:r>
        <w:rPr>
          <w:rFonts w:hint="eastAsia" w:ascii="宋体" w:hAnsi="宋体" w:cs="宋体"/>
          <w:color w:val="auto"/>
          <w:sz w:val="21"/>
          <w:szCs w:val="21"/>
          <w:highlight w:val="none"/>
          <w:lang w:val="en-US" w:eastAsia="zh-CN"/>
        </w:rPr>
        <w:t>南通轨道交通1号线图书馆站地下附属空间（02号商铺）出租项目</w:t>
      </w:r>
      <w:r>
        <w:rPr>
          <w:rFonts w:hint="eastAsia" w:ascii="宋体" w:hAnsi="宋体" w:eastAsia="宋体" w:cs="宋体"/>
          <w:color w:val="auto"/>
          <w:highlight w:val="none"/>
          <w:lang w:val="en-US" w:eastAsia="zh-CN"/>
        </w:rPr>
        <w:t xml:space="preserve">招租信息，我方经考察现场和认真研究上述招租公告及附件内容后，我方承认招租公告及附件的全部内容，并愿按招租公告及附件的要求参与本项目招租。 </w:t>
      </w:r>
    </w:p>
    <w:p w14:paraId="58482D2A">
      <w:pPr>
        <w:bidi w:val="0"/>
        <w:ind w:left="0" w:leftChars="0" w:firstLine="420" w:firstLineChars="200"/>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我方拟经营业态如下：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2"/>
        <w:gridCol w:w="2988"/>
        <w:gridCol w:w="2988"/>
      </w:tblGrid>
      <w:tr w14:paraId="500E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5EE43ABF">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站名</w:t>
            </w:r>
          </w:p>
        </w:tc>
        <w:tc>
          <w:tcPr>
            <w:tcW w:w="2988" w:type="dxa"/>
            <w:vAlign w:val="center"/>
          </w:tcPr>
          <w:p w14:paraId="5C0EF6CB">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铺号</w:t>
            </w:r>
          </w:p>
        </w:tc>
        <w:tc>
          <w:tcPr>
            <w:tcW w:w="2988" w:type="dxa"/>
            <w:vAlign w:val="center"/>
          </w:tcPr>
          <w:p w14:paraId="691066AF">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经营业态</w:t>
            </w:r>
          </w:p>
        </w:tc>
      </w:tr>
      <w:tr w14:paraId="7CD2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01D8FBEC">
            <w:pPr>
              <w:bidi w:val="0"/>
              <w:jc w:val="center"/>
              <w:rPr>
                <w:rFonts w:hint="eastAsia" w:ascii="宋体" w:hAnsi="宋体" w:eastAsia="宋体" w:cs="宋体"/>
                <w:color w:val="auto"/>
                <w:highlight w:val="none"/>
                <w:vertAlign w:val="baseline"/>
                <w:lang w:val="en-US" w:eastAsia="zh-CN"/>
              </w:rPr>
            </w:pPr>
          </w:p>
        </w:tc>
        <w:tc>
          <w:tcPr>
            <w:tcW w:w="2988" w:type="dxa"/>
            <w:vAlign w:val="center"/>
          </w:tcPr>
          <w:p w14:paraId="3D1D5482">
            <w:pPr>
              <w:bidi w:val="0"/>
              <w:jc w:val="center"/>
              <w:rPr>
                <w:rFonts w:hint="eastAsia" w:ascii="宋体" w:hAnsi="宋体" w:eastAsia="宋体" w:cs="宋体"/>
                <w:color w:val="auto"/>
                <w:highlight w:val="none"/>
                <w:vertAlign w:val="baseline"/>
                <w:lang w:val="en-US" w:eastAsia="zh-CN"/>
              </w:rPr>
            </w:pPr>
          </w:p>
        </w:tc>
        <w:tc>
          <w:tcPr>
            <w:tcW w:w="2988" w:type="dxa"/>
            <w:vAlign w:val="center"/>
          </w:tcPr>
          <w:p w14:paraId="7BEC7AEC">
            <w:pPr>
              <w:bidi w:val="0"/>
              <w:jc w:val="center"/>
              <w:rPr>
                <w:rFonts w:hint="eastAsia" w:ascii="宋体" w:hAnsi="宋体" w:eastAsia="宋体" w:cs="宋体"/>
                <w:color w:val="auto"/>
                <w:highlight w:val="none"/>
                <w:vertAlign w:val="baseline"/>
                <w:lang w:val="en-US" w:eastAsia="zh-CN"/>
              </w:rPr>
            </w:pPr>
          </w:p>
        </w:tc>
      </w:tr>
      <w:tr w14:paraId="63B1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64737EF3">
            <w:pPr>
              <w:bidi w:val="0"/>
              <w:jc w:val="center"/>
              <w:rPr>
                <w:rFonts w:hint="eastAsia" w:ascii="宋体" w:hAnsi="宋体" w:eastAsia="宋体" w:cs="宋体"/>
                <w:color w:val="auto"/>
                <w:highlight w:val="none"/>
                <w:vertAlign w:val="baseline"/>
                <w:lang w:val="en-US" w:eastAsia="zh-CN"/>
              </w:rPr>
            </w:pPr>
          </w:p>
        </w:tc>
        <w:tc>
          <w:tcPr>
            <w:tcW w:w="2988" w:type="dxa"/>
          </w:tcPr>
          <w:p w14:paraId="40C07D3D">
            <w:pPr>
              <w:bidi w:val="0"/>
              <w:jc w:val="both"/>
              <w:rPr>
                <w:rFonts w:hint="eastAsia" w:ascii="宋体" w:hAnsi="宋体" w:eastAsia="宋体" w:cs="宋体"/>
                <w:color w:val="auto"/>
                <w:highlight w:val="none"/>
                <w:vertAlign w:val="baseline"/>
                <w:lang w:val="en-US" w:eastAsia="zh-CN"/>
              </w:rPr>
            </w:pPr>
          </w:p>
        </w:tc>
        <w:tc>
          <w:tcPr>
            <w:tcW w:w="2988" w:type="dxa"/>
          </w:tcPr>
          <w:p w14:paraId="5483DE97">
            <w:pPr>
              <w:bidi w:val="0"/>
              <w:jc w:val="both"/>
              <w:rPr>
                <w:rFonts w:hint="eastAsia" w:ascii="宋体" w:hAnsi="宋体" w:eastAsia="宋体" w:cs="宋体"/>
                <w:color w:val="auto"/>
                <w:highlight w:val="none"/>
                <w:vertAlign w:val="baseline"/>
                <w:lang w:val="en-US" w:eastAsia="zh-CN"/>
              </w:rPr>
            </w:pPr>
          </w:p>
        </w:tc>
      </w:tr>
      <w:tr w14:paraId="5385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442" w:type="dxa"/>
            <w:vAlign w:val="center"/>
          </w:tcPr>
          <w:p w14:paraId="5FE91D61">
            <w:pPr>
              <w:bidi w:val="0"/>
              <w:jc w:val="center"/>
              <w:rPr>
                <w:rFonts w:hint="eastAsia" w:ascii="宋体" w:hAnsi="宋体" w:eastAsia="宋体" w:cs="宋体"/>
                <w:color w:val="auto"/>
                <w:highlight w:val="none"/>
                <w:vertAlign w:val="baseline"/>
                <w:lang w:val="en-US" w:eastAsia="zh-CN"/>
              </w:rPr>
            </w:pPr>
          </w:p>
        </w:tc>
        <w:tc>
          <w:tcPr>
            <w:tcW w:w="2988" w:type="dxa"/>
          </w:tcPr>
          <w:p w14:paraId="277AFECF">
            <w:pPr>
              <w:bidi w:val="0"/>
              <w:jc w:val="both"/>
              <w:rPr>
                <w:rFonts w:hint="eastAsia" w:ascii="宋体" w:hAnsi="宋体" w:eastAsia="宋体" w:cs="宋体"/>
                <w:color w:val="auto"/>
                <w:highlight w:val="none"/>
                <w:vertAlign w:val="baseline"/>
                <w:lang w:val="en-US" w:eastAsia="zh-CN"/>
              </w:rPr>
            </w:pPr>
          </w:p>
        </w:tc>
        <w:tc>
          <w:tcPr>
            <w:tcW w:w="2988" w:type="dxa"/>
          </w:tcPr>
          <w:p w14:paraId="3EA5CBFA">
            <w:pPr>
              <w:bidi w:val="0"/>
              <w:jc w:val="both"/>
              <w:rPr>
                <w:rFonts w:hint="eastAsia" w:ascii="宋体" w:hAnsi="宋体" w:eastAsia="宋体" w:cs="宋体"/>
                <w:color w:val="auto"/>
                <w:highlight w:val="none"/>
                <w:vertAlign w:val="baseline"/>
                <w:lang w:val="en-US" w:eastAsia="zh-CN"/>
              </w:rPr>
            </w:pPr>
          </w:p>
        </w:tc>
      </w:tr>
      <w:tr w14:paraId="25770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442" w:type="dxa"/>
            <w:vAlign w:val="center"/>
          </w:tcPr>
          <w:p w14:paraId="6182DD40">
            <w:pPr>
              <w:bidi w:val="0"/>
              <w:jc w:val="center"/>
              <w:rPr>
                <w:rFonts w:hint="eastAsia" w:ascii="宋体" w:hAnsi="宋体" w:eastAsia="宋体" w:cs="宋体"/>
                <w:color w:val="auto"/>
                <w:highlight w:val="none"/>
                <w:vertAlign w:val="baseline"/>
                <w:lang w:val="en-US" w:eastAsia="zh-CN"/>
              </w:rPr>
            </w:pPr>
          </w:p>
        </w:tc>
        <w:tc>
          <w:tcPr>
            <w:tcW w:w="2988" w:type="dxa"/>
          </w:tcPr>
          <w:p w14:paraId="3CEA699F">
            <w:pPr>
              <w:bidi w:val="0"/>
              <w:jc w:val="both"/>
              <w:rPr>
                <w:rFonts w:hint="eastAsia" w:ascii="宋体" w:hAnsi="宋体" w:eastAsia="宋体" w:cs="宋体"/>
                <w:color w:val="auto"/>
                <w:highlight w:val="none"/>
                <w:vertAlign w:val="baseline"/>
                <w:lang w:val="en-US" w:eastAsia="zh-CN"/>
              </w:rPr>
            </w:pPr>
          </w:p>
        </w:tc>
        <w:tc>
          <w:tcPr>
            <w:tcW w:w="2988" w:type="dxa"/>
          </w:tcPr>
          <w:p w14:paraId="740CA858">
            <w:pPr>
              <w:bidi w:val="0"/>
              <w:jc w:val="both"/>
              <w:rPr>
                <w:rFonts w:hint="eastAsia" w:ascii="宋体" w:hAnsi="宋体" w:eastAsia="宋体" w:cs="宋体"/>
                <w:color w:val="auto"/>
                <w:highlight w:val="none"/>
                <w:vertAlign w:val="baseline"/>
                <w:lang w:val="en-US" w:eastAsia="zh-CN"/>
              </w:rPr>
            </w:pPr>
          </w:p>
        </w:tc>
      </w:tr>
    </w:tbl>
    <w:p w14:paraId="33C84B91">
      <w:pPr>
        <w:bidi w:val="0"/>
        <w:ind w:left="0" w:leftChars="0"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注：</w:t>
      </w:r>
      <w:r>
        <w:rPr>
          <w:rFonts w:hint="eastAsia" w:ascii="宋体" w:hAnsi="宋体" w:cs="宋体"/>
          <w:b/>
          <w:bCs/>
          <w:color w:val="auto"/>
          <w:highlight w:val="none"/>
          <w:lang w:val="en-US" w:eastAsia="zh-CN"/>
        </w:rPr>
        <w:t>1.</w:t>
      </w:r>
      <w:r>
        <w:rPr>
          <w:rFonts w:hint="eastAsia" w:ascii="宋体" w:hAnsi="宋体" w:eastAsia="宋体" w:cs="宋体"/>
          <w:b/>
          <w:bCs/>
          <w:color w:val="auto"/>
          <w:highlight w:val="none"/>
          <w:lang w:val="en-US" w:eastAsia="zh-CN"/>
        </w:rPr>
        <w:t>营业业态中选后不得随意更换（出租方同意除外）。</w:t>
      </w:r>
    </w:p>
    <w:p w14:paraId="2591347A">
      <w:pPr>
        <w:bidi w:val="0"/>
        <w:ind w:left="0" w:leftChars="0" w:firstLine="422" w:firstLineChars="200"/>
        <w:rPr>
          <w:rFonts w:hint="eastAsia" w:ascii="宋体" w:hAnsi="宋体" w:eastAsia="宋体" w:cs="宋体"/>
          <w:color w:val="auto"/>
          <w:highlight w:val="none"/>
          <w:lang w:val="en-US" w:eastAsia="zh-CN"/>
        </w:rPr>
      </w:pPr>
      <w:r>
        <w:rPr>
          <w:rFonts w:hint="eastAsia" w:ascii="宋体" w:hAnsi="宋体" w:cs="宋体"/>
          <w:b/>
          <w:bCs/>
          <w:color w:val="auto"/>
          <w:kern w:val="0"/>
          <w:sz w:val="21"/>
          <w:szCs w:val="21"/>
          <w:highlight w:val="none"/>
          <w:lang w:val="en-US" w:eastAsia="zh-CN" w:bidi="ar"/>
        </w:rPr>
        <w:t>2.</w:t>
      </w:r>
      <w:r>
        <w:rPr>
          <w:rFonts w:hint="eastAsia" w:ascii="宋体" w:hAnsi="宋体" w:eastAsia="宋体" w:cs="宋体"/>
          <w:b/>
          <w:bCs/>
          <w:color w:val="auto"/>
          <w:kern w:val="0"/>
          <w:sz w:val="21"/>
          <w:szCs w:val="21"/>
          <w:highlight w:val="none"/>
          <w:lang w:val="en-US" w:eastAsia="zh-CN" w:bidi="ar"/>
        </w:rPr>
        <w:t>经营业态：不得经营地铁内已授权相关业务（充电宝、自助售货机等业务），不得经营烤肠。</w:t>
      </w:r>
    </w:p>
    <w:p w14:paraId="6207DC3B">
      <w:pPr>
        <w:ind w:left="0" w:leftChars="0" w:right="-512" w:rightChars="-244" w:firstLine="367" w:firstLineChars="175"/>
        <w:rPr>
          <w:rFonts w:hint="eastAsia" w:ascii="宋体" w:hAnsi="宋体" w:eastAsia="宋体" w:cs="宋体"/>
          <w:color w:val="auto"/>
          <w:sz w:val="21"/>
          <w:szCs w:val="21"/>
          <w:highlight w:val="none"/>
          <w:lang w:val="en-US" w:eastAsia="zh-CN"/>
        </w:rPr>
      </w:pPr>
    </w:p>
    <w:p w14:paraId="017C9D82">
      <w:pPr>
        <w:ind w:left="0" w:leftChars="0" w:right="-512" w:rightChars="-244" w:firstLine="367" w:firstLineChars="175"/>
        <w:rPr>
          <w:rFonts w:hint="eastAsia" w:ascii="宋体" w:hAnsi="宋体" w:eastAsia="宋体" w:cs="宋体"/>
          <w:color w:val="auto"/>
          <w:sz w:val="21"/>
          <w:szCs w:val="21"/>
          <w:highlight w:val="none"/>
          <w:lang w:val="en-US" w:eastAsia="zh-CN"/>
        </w:rPr>
      </w:pPr>
    </w:p>
    <w:p w14:paraId="49FAF57F">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意向承租方本人或委托代理人（签字</w:t>
      </w:r>
      <w:r>
        <w:rPr>
          <w:rFonts w:hint="eastAsia" w:ascii="宋体" w:hAnsi="宋体" w:eastAsia="宋体" w:cs="宋体"/>
          <w:color w:val="auto"/>
          <w:kern w:val="0"/>
          <w:sz w:val="21"/>
          <w:szCs w:val="21"/>
          <w:highlight w:val="none"/>
          <w:lang w:val="en-US" w:eastAsia="zh-CN" w:bidi="ar"/>
        </w:rPr>
        <w:t>并加盖手印</w:t>
      </w:r>
      <w:r>
        <w:rPr>
          <w:rFonts w:hint="eastAsia" w:ascii="宋体" w:hAnsi="宋体" w:eastAsia="宋体" w:cs="宋体"/>
          <w:color w:val="auto"/>
          <w:sz w:val="21"/>
          <w:szCs w:val="21"/>
          <w:highlight w:val="none"/>
          <w:lang w:val="en-US" w:eastAsia="zh-CN"/>
        </w:rPr>
        <w:t xml:space="preserve">）： </w:t>
      </w:r>
    </w:p>
    <w:p w14:paraId="17248DD8">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日期：   年   月   日  </w:t>
      </w:r>
      <w:r>
        <w:rPr>
          <w:rFonts w:hint="eastAsia" w:ascii="宋体" w:hAnsi="宋体" w:eastAsia="宋体" w:cs="宋体"/>
          <w:color w:val="auto"/>
          <w:sz w:val="21"/>
          <w:szCs w:val="21"/>
          <w:highlight w:val="none"/>
          <w:lang w:val="en-US" w:eastAsia="zh-CN"/>
        </w:rPr>
        <w:br w:type="page"/>
      </w:r>
    </w:p>
    <w:p w14:paraId="2A5AC8F8">
      <w:pPr>
        <w:jc w:val="center"/>
        <w:outlineLvl w:val="1"/>
        <w:rPr>
          <w:rFonts w:hint="eastAsia" w:ascii="宋体" w:hAnsi="宋体" w:eastAsia="宋体" w:cs="宋体"/>
          <w:b/>
          <w:bCs/>
          <w:color w:val="auto"/>
          <w:sz w:val="32"/>
          <w:szCs w:val="32"/>
          <w:highlight w:val="none"/>
          <w:lang w:val="en-US" w:eastAsia="zh-CN"/>
        </w:rPr>
      </w:pPr>
      <w:bookmarkStart w:id="51" w:name="_Toc9664"/>
      <w:r>
        <w:rPr>
          <w:rFonts w:hint="eastAsia" w:ascii="宋体" w:hAnsi="宋体" w:eastAsia="宋体" w:cs="宋体"/>
          <w:b/>
          <w:bCs/>
          <w:color w:val="auto"/>
          <w:sz w:val="32"/>
          <w:szCs w:val="32"/>
          <w:highlight w:val="none"/>
          <w:lang w:val="en-US" w:eastAsia="zh-CN"/>
        </w:rPr>
        <w:t>五、报价函</w:t>
      </w:r>
      <w:bookmarkEnd w:id="51"/>
    </w:p>
    <w:p w14:paraId="643AB76D">
      <w:pPr>
        <w:keepNext w:val="0"/>
        <w:keepLines w:val="0"/>
        <w:widowControl/>
        <w:suppressLineNumbers w:val="0"/>
        <w:jc w:val="center"/>
        <w:rPr>
          <w:rFonts w:hint="eastAsia" w:ascii="宋体" w:hAnsi="宋体" w:eastAsia="宋体" w:cs="宋体"/>
          <w:color w:val="auto"/>
          <w:sz w:val="28"/>
          <w:szCs w:val="28"/>
          <w:highlight w:val="none"/>
        </w:rPr>
      </w:pPr>
    </w:p>
    <w:p w14:paraId="6A685F20">
      <w:pPr>
        <w:keepNext w:val="0"/>
        <w:keepLines w:val="0"/>
        <w:widowControl/>
        <w:suppressLineNumbers w:val="0"/>
        <w:ind w:right="-512" w:rightChars="-244"/>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南通轨道资源开发有限公司： </w:t>
      </w:r>
    </w:p>
    <w:p w14:paraId="3D9BAA5F">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根据已公示的</w:t>
      </w:r>
      <w:r>
        <w:rPr>
          <w:rFonts w:hint="eastAsia" w:ascii="宋体" w:hAnsi="宋体" w:cs="宋体"/>
          <w:color w:val="auto"/>
          <w:sz w:val="21"/>
          <w:szCs w:val="21"/>
          <w:highlight w:val="none"/>
          <w:lang w:val="en-US" w:eastAsia="zh-CN"/>
        </w:rPr>
        <w:t>南通轨道交通1号线图书馆站地下附属空间（02号商铺）出租项目</w:t>
      </w:r>
      <w:r>
        <w:rPr>
          <w:rFonts w:hint="eastAsia" w:ascii="宋体" w:hAnsi="宋体" w:eastAsia="宋体" w:cs="宋体"/>
          <w:color w:val="auto"/>
          <w:highlight w:val="none"/>
          <w:lang w:val="en-US" w:eastAsia="zh-CN"/>
        </w:rPr>
        <w:t xml:space="preserve">招租信息，我方经考察现场和认真研究上述招租公告及附件内容后，我方承认招租公告及附件的全部内容，并愿按招租公告及附件的要求进行本次报价。 </w:t>
      </w:r>
    </w:p>
    <w:p w14:paraId="1199F4D5">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我方同意承担我单位为本次报价所发生的一切费用。 </w:t>
      </w:r>
    </w:p>
    <w:p w14:paraId="483E4246">
      <w:pPr>
        <w:bidi w:val="0"/>
        <w:ind w:left="0" w:leftChars="0" w:firstLine="420" w:firstLineChars="200"/>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lang w:val="en-US" w:eastAsia="zh-CN"/>
        </w:rPr>
        <w:t>我方报价如下：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399"/>
        <w:gridCol w:w="2089"/>
        <w:gridCol w:w="3486"/>
      </w:tblGrid>
      <w:tr w14:paraId="2E10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424" w:type="dxa"/>
            <w:vAlign w:val="center"/>
          </w:tcPr>
          <w:p w14:paraId="4568D701">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站名</w:t>
            </w:r>
          </w:p>
        </w:tc>
        <w:tc>
          <w:tcPr>
            <w:tcW w:w="1399" w:type="dxa"/>
            <w:vAlign w:val="center"/>
          </w:tcPr>
          <w:p w14:paraId="0036DDB1">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铺号</w:t>
            </w:r>
          </w:p>
        </w:tc>
        <w:tc>
          <w:tcPr>
            <w:tcW w:w="2089" w:type="dxa"/>
            <w:vAlign w:val="center"/>
          </w:tcPr>
          <w:p w14:paraId="55ADE87D">
            <w:pPr>
              <w:bidi w:val="0"/>
              <w:jc w:val="center"/>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highlight w:val="none"/>
                <w:vertAlign w:val="baseline"/>
                <w:lang w:val="en-US" w:eastAsia="zh-CN"/>
              </w:rPr>
              <w:t>经营业态</w:t>
            </w:r>
          </w:p>
        </w:tc>
        <w:tc>
          <w:tcPr>
            <w:tcW w:w="3486" w:type="dxa"/>
            <w:vAlign w:val="center"/>
          </w:tcPr>
          <w:p w14:paraId="1F8698D0">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租金报价（元/年）</w:t>
            </w:r>
          </w:p>
        </w:tc>
      </w:tr>
      <w:tr w14:paraId="138A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08E5A1A5">
            <w:pPr>
              <w:bidi w:val="0"/>
              <w:jc w:val="center"/>
              <w:rPr>
                <w:rFonts w:hint="eastAsia" w:ascii="宋体" w:hAnsi="宋体" w:eastAsia="宋体" w:cs="宋体"/>
                <w:color w:val="auto"/>
                <w:highlight w:val="none"/>
                <w:vertAlign w:val="baseline"/>
                <w:lang w:val="en-US" w:eastAsia="zh-CN"/>
              </w:rPr>
            </w:pPr>
          </w:p>
        </w:tc>
        <w:tc>
          <w:tcPr>
            <w:tcW w:w="1399" w:type="dxa"/>
            <w:vAlign w:val="center"/>
          </w:tcPr>
          <w:p w14:paraId="7CFAA9CA">
            <w:pPr>
              <w:bidi w:val="0"/>
              <w:jc w:val="center"/>
              <w:rPr>
                <w:rFonts w:hint="eastAsia" w:ascii="宋体" w:hAnsi="宋体" w:eastAsia="宋体" w:cs="宋体"/>
                <w:color w:val="auto"/>
                <w:highlight w:val="none"/>
                <w:vertAlign w:val="baseline"/>
                <w:lang w:val="en-US" w:eastAsia="zh-CN"/>
              </w:rPr>
            </w:pPr>
          </w:p>
        </w:tc>
        <w:tc>
          <w:tcPr>
            <w:tcW w:w="2089" w:type="dxa"/>
            <w:vAlign w:val="center"/>
          </w:tcPr>
          <w:p w14:paraId="32EC982B">
            <w:pPr>
              <w:bidi w:val="0"/>
              <w:jc w:val="center"/>
              <w:rPr>
                <w:rFonts w:hint="eastAsia" w:ascii="宋体" w:hAnsi="宋体" w:eastAsia="宋体" w:cs="宋体"/>
                <w:color w:val="auto"/>
                <w:highlight w:val="none"/>
                <w:vertAlign w:val="baseline"/>
                <w:lang w:val="en-US" w:eastAsia="zh-CN"/>
              </w:rPr>
            </w:pPr>
          </w:p>
        </w:tc>
        <w:tc>
          <w:tcPr>
            <w:tcW w:w="3486" w:type="dxa"/>
          </w:tcPr>
          <w:p w14:paraId="1AA7217D">
            <w:pPr>
              <w:bidi w:val="0"/>
              <w:jc w:val="center"/>
              <w:rPr>
                <w:rFonts w:hint="eastAsia" w:ascii="宋体" w:hAnsi="宋体" w:eastAsia="宋体" w:cs="宋体"/>
                <w:color w:val="auto"/>
                <w:highlight w:val="none"/>
                <w:vertAlign w:val="baseline"/>
                <w:lang w:val="en-US" w:eastAsia="zh-CN"/>
              </w:rPr>
            </w:pPr>
          </w:p>
        </w:tc>
      </w:tr>
      <w:tr w14:paraId="5BB6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6F76DEF8">
            <w:pPr>
              <w:bidi w:val="0"/>
              <w:jc w:val="center"/>
              <w:rPr>
                <w:rFonts w:hint="eastAsia" w:ascii="宋体" w:hAnsi="宋体" w:eastAsia="宋体" w:cs="宋体"/>
                <w:color w:val="auto"/>
                <w:highlight w:val="none"/>
                <w:vertAlign w:val="baseline"/>
                <w:lang w:val="en-US" w:eastAsia="zh-CN"/>
              </w:rPr>
            </w:pPr>
          </w:p>
        </w:tc>
        <w:tc>
          <w:tcPr>
            <w:tcW w:w="1399" w:type="dxa"/>
          </w:tcPr>
          <w:p w14:paraId="28C639E7">
            <w:pPr>
              <w:bidi w:val="0"/>
              <w:jc w:val="both"/>
              <w:rPr>
                <w:rFonts w:hint="eastAsia" w:ascii="宋体" w:hAnsi="宋体" w:eastAsia="宋体" w:cs="宋体"/>
                <w:color w:val="auto"/>
                <w:highlight w:val="none"/>
                <w:vertAlign w:val="baseline"/>
                <w:lang w:val="en-US" w:eastAsia="zh-CN"/>
              </w:rPr>
            </w:pPr>
          </w:p>
        </w:tc>
        <w:tc>
          <w:tcPr>
            <w:tcW w:w="2089" w:type="dxa"/>
          </w:tcPr>
          <w:p w14:paraId="73E431B6">
            <w:pPr>
              <w:bidi w:val="0"/>
              <w:jc w:val="both"/>
              <w:rPr>
                <w:rFonts w:hint="eastAsia" w:ascii="宋体" w:hAnsi="宋体" w:eastAsia="宋体" w:cs="宋体"/>
                <w:color w:val="auto"/>
                <w:highlight w:val="none"/>
                <w:vertAlign w:val="baseline"/>
                <w:lang w:val="en-US" w:eastAsia="zh-CN"/>
              </w:rPr>
            </w:pPr>
          </w:p>
        </w:tc>
        <w:tc>
          <w:tcPr>
            <w:tcW w:w="3486" w:type="dxa"/>
          </w:tcPr>
          <w:p w14:paraId="53874CC1">
            <w:pPr>
              <w:bidi w:val="0"/>
              <w:jc w:val="both"/>
              <w:rPr>
                <w:rFonts w:hint="eastAsia" w:ascii="宋体" w:hAnsi="宋体" w:eastAsia="宋体" w:cs="宋体"/>
                <w:color w:val="auto"/>
                <w:highlight w:val="none"/>
                <w:vertAlign w:val="baseline"/>
                <w:lang w:val="en-US" w:eastAsia="zh-CN"/>
              </w:rPr>
            </w:pPr>
          </w:p>
        </w:tc>
      </w:tr>
      <w:tr w14:paraId="4F72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6BA26FBC">
            <w:pPr>
              <w:bidi w:val="0"/>
              <w:jc w:val="center"/>
              <w:rPr>
                <w:rFonts w:hint="eastAsia" w:ascii="宋体" w:hAnsi="宋体" w:eastAsia="宋体" w:cs="宋体"/>
                <w:color w:val="auto"/>
                <w:highlight w:val="none"/>
                <w:vertAlign w:val="baseline"/>
                <w:lang w:val="en-US" w:eastAsia="zh-CN"/>
              </w:rPr>
            </w:pPr>
          </w:p>
        </w:tc>
        <w:tc>
          <w:tcPr>
            <w:tcW w:w="1399" w:type="dxa"/>
          </w:tcPr>
          <w:p w14:paraId="05F9B960">
            <w:pPr>
              <w:bidi w:val="0"/>
              <w:jc w:val="both"/>
              <w:rPr>
                <w:rFonts w:hint="eastAsia" w:ascii="宋体" w:hAnsi="宋体" w:eastAsia="宋体" w:cs="宋体"/>
                <w:color w:val="auto"/>
                <w:highlight w:val="none"/>
                <w:vertAlign w:val="baseline"/>
                <w:lang w:val="en-US" w:eastAsia="zh-CN"/>
              </w:rPr>
            </w:pPr>
          </w:p>
        </w:tc>
        <w:tc>
          <w:tcPr>
            <w:tcW w:w="2089" w:type="dxa"/>
          </w:tcPr>
          <w:p w14:paraId="045537E7">
            <w:pPr>
              <w:bidi w:val="0"/>
              <w:jc w:val="both"/>
              <w:rPr>
                <w:rFonts w:hint="eastAsia" w:ascii="宋体" w:hAnsi="宋体" w:eastAsia="宋体" w:cs="宋体"/>
                <w:color w:val="auto"/>
                <w:highlight w:val="none"/>
                <w:vertAlign w:val="baseline"/>
                <w:lang w:val="en-US" w:eastAsia="zh-CN"/>
              </w:rPr>
            </w:pPr>
          </w:p>
        </w:tc>
        <w:tc>
          <w:tcPr>
            <w:tcW w:w="3486" w:type="dxa"/>
          </w:tcPr>
          <w:p w14:paraId="40AF33DF">
            <w:pPr>
              <w:bidi w:val="0"/>
              <w:jc w:val="both"/>
              <w:rPr>
                <w:rFonts w:hint="eastAsia" w:ascii="宋体" w:hAnsi="宋体" w:eastAsia="宋体" w:cs="宋体"/>
                <w:color w:val="auto"/>
                <w:highlight w:val="none"/>
                <w:vertAlign w:val="baseline"/>
                <w:lang w:val="en-US" w:eastAsia="zh-CN"/>
              </w:rPr>
            </w:pPr>
          </w:p>
        </w:tc>
      </w:tr>
      <w:tr w14:paraId="13B8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6C17280C">
            <w:pPr>
              <w:bidi w:val="0"/>
              <w:jc w:val="center"/>
              <w:rPr>
                <w:rFonts w:hint="eastAsia" w:ascii="宋体" w:hAnsi="宋体" w:eastAsia="宋体" w:cs="宋体"/>
                <w:color w:val="auto"/>
                <w:highlight w:val="none"/>
                <w:vertAlign w:val="baseline"/>
                <w:lang w:val="en-US" w:eastAsia="zh-CN"/>
              </w:rPr>
            </w:pPr>
          </w:p>
        </w:tc>
        <w:tc>
          <w:tcPr>
            <w:tcW w:w="1399" w:type="dxa"/>
          </w:tcPr>
          <w:p w14:paraId="041900A5">
            <w:pPr>
              <w:bidi w:val="0"/>
              <w:jc w:val="both"/>
              <w:rPr>
                <w:rFonts w:hint="eastAsia" w:ascii="宋体" w:hAnsi="宋体" w:eastAsia="宋体" w:cs="宋体"/>
                <w:color w:val="auto"/>
                <w:highlight w:val="none"/>
                <w:vertAlign w:val="baseline"/>
                <w:lang w:val="en-US" w:eastAsia="zh-CN"/>
              </w:rPr>
            </w:pPr>
          </w:p>
        </w:tc>
        <w:tc>
          <w:tcPr>
            <w:tcW w:w="2089" w:type="dxa"/>
          </w:tcPr>
          <w:p w14:paraId="34426C63">
            <w:pPr>
              <w:bidi w:val="0"/>
              <w:jc w:val="both"/>
              <w:rPr>
                <w:rFonts w:hint="eastAsia" w:ascii="宋体" w:hAnsi="宋体" w:eastAsia="宋体" w:cs="宋体"/>
                <w:color w:val="auto"/>
                <w:highlight w:val="none"/>
                <w:vertAlign w:val="baseline"/>
                <w:lang w:val="en-US" w:eastAsia="zh-CN"/>
              </w:rPr>
            </w:pPr>
          </w:p>
        </w:tc>
        <w:tc>
          <w:tcPr>
            <w:tcW w:w="3486" w:type="dxa"/>
          </w:tcPr>
          <w:p w14:paraId="27255EDA">
            <w:pPr>
              <w:bidi w:val="0"/>
              <w:jc w:val="both"/>
              <w:rPr>
                <w:rFonts w:hint="eastAsia" w:ascii="宋体" w:hAnsi="宋体" w:eastAsia="宋体" w:cs="宋体"/>
                <w:color w:val="auto"/>
                <w:highlight w:val="none"/>
                <w:vertAlign w:val="baseline"/>
                <w:lang w:val="en-US" w:eastAsia="zh-CN"/>
              </w:rPr>
            </w:pPr>
          </w:p>
        </w:tc>
      </w:tr>
      <w:tr w14:paraId="1B420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7933E431">
            <w:pPr>
              <w:bidi w:val="0"/>
              <w:jc w:val="center"/>
              <w:rPr>
                <w:rFonts w:hint="eastAsia" w:ascii="宋体" w:hAnsi="宋体" w:eastAsia="宋体" w:cs="宋体"/>
                <w:color w:val="auto"/>
                <w:highlight w:val="none"/>
                <w:vertAlign w:val="baseline"/>
                <w:lang w:val="en-US" w:eastAsia="zh-CN"/>
              </w:rPr>
            </w:pPr>
          </w:p>
        </w:tc>
        <w:tc>
          <w:tcPr>
            <w:tcW w:w="1399" w:type="dxa"/>
          </w:tcPr>
          <w:p w14:paraId="011CED80">
            <w:pPr>
              <w:bidi w:val="0"/>
              <w:jc w:val="both"/>
              <w:rPr>
                <w:rFonts w:hint="eastAsia" w:ascii="宋体" w:hAnsi="宋体" w:eastAsia="宋体" w:cs="宋体"/>
                <w:color w:val="auto"/>
                <w:highlight w:val="none"/>
                <w:vertAlign w:val="baseline"/>
                <w:lang w:val="en-US" w:eastAsia="zh-CN"/>
              </w:rPr>
            </w:pPr>
          </w:p>
        </w:tc>
        <w:tc>
          <w:tcPr>
            <w:tcW w:w="2089" w:type="dxa"/>
          </w:tcPr>
          <w:p w14:paraId="745E264A">
            <w:pPr>
              <w:bidi w:val="0"/>
              <w:jc w:val="both"/>
              <w:rPr>
                <w:rFonts w:hint="eastAsia" w:ascii="宋体" w:hAnsi="宋体" w:eastAsia="宋体" w:cs="宋体"/>
                <w:color w:val="auto"/>
                <w:highlight w:val="none"/>
                <w:vertAlign w:val="baseline"/>
                <w:lang w:val="en-US" w:eastAsia="zh-CN"/>
              </w:rPr>
            </w:pPr>
          </w:p>
        </w:tc>
        <w:tc>
          <w:tcPr>
            <w:tcW w:w="3486" w:type="dxa"/>
          </w:tcPr>
          <w:p w14:paraId="0D227248">
            <w:pPr>
              <w:bidi w:val="0"/>
              <w:jc w:val="both"/>
              <w:rPr>
                <w:rFonts w:hint="eastAsia" w:ascii="宋体" w:hAnsi="宋体" w:eastAsia="宋体" w:cs="宋体"/>
                <w:color w:val="auto"/>
                <w:highlight w:val="none"/>
                <w:vertAlign w:val="baseline"/>
                <w:lang w:val="en-US" w:eastAsia="zh-CN"/>
              </w:rPr>
            </w:pPr>
          </w:p>
        </w:tc>
      </w:tr>
      <w:tr w14:paraId="01E9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424" w:type="dxa"/>
            <w:vAlign w:val="center"/>
          </w:tcPr>
          <w:p w14:paraId="3B448709">
            <w:pPr>
              <w:bidi w:val="0"/>
              <w:jc w:val="center"/>
              <w:rPr>
                <w:rFonts w:hint="eastAsia" w:ascii="宋体" w:hAnsi="宋体" w:eastAsia="宋体" w:cs="宋体"/>
                <w:color w:val="auto"/>
                <w:highlight w:val="none"/>
                <w:vertAlign w:val="baseline"/>
                <w:lang w:val="en-US" w:eastAsia="zh-CN"/>
              </w:rPr>
            </w:pPr>
          </w:p>
        </w:tc>
        <w:tc>
          <w:tcPr>
            <w:tcW w:w="1399" w:type="dxa"/>
          </w:tcPr>
          <w:p w14:paraId="45BF2D1A">
            <w:pPr>
              <w:bidi w:val="0"/>
              <w:jc w:val="both"/>
              <w:rPr>
                <w:rFonts w:hint="eastAsia" w:ascii="宋体" w:hAnsi="宋体" w:eastAsia="宋体" w:cs="宋体"/>
                <w:color w:val="auto"/>
                <w:highlight w:val="none"/>
                <w:vertAlign w:val="baseline"/>
                <w:lang w:val="en-US" w:eastAsia="zh-CN"/>
              </w:rPr>
            </w:pPr>
          </w:p>
        </w:tc>
        <w:tc>
          <w:tcPr>
            <w:tcW w:w="2089" w:type="dxa"/>
          </w:tcPr>
          <w:p w14:paraId="3BDDB2D0">
            <w:pPr>
              <w:bidi w:val="0"/>
              <w:jc w:val="both"/>
              <w:rPr>
                <w:rFonts w:hint="eastAsia" w:ascii="宋体" w:hAnsi="宋体" w:eastAsia="宋体" w:cs="宋体"/>
                <w:color w:val="auto"/>
                <w:highlight w:val="none"/>
                <w:vertAlign w:val="baseline"/>
                <w:lang w:val="en-US" w:eastAsia="zh-CN"/>
              </w:rPr>
            </w:pPr>
          </w:p>
        </w:tc>
        <w:tc>
          <w:tcPr>
            <w:tcW w:w="3486" w:type="dxa"/>
          </w:tcPr>
          <w:p w14:paraId="3EF16EB5">
            <w:pPr>
              <w:bidi w:val="0"/>
              <w:jc w:val="both"/>
              <w:rPr>
                <w:rFonts w:hint="eastAsia" w:ascii="宋体" w:hAnsi="宋体" w:eastAsia="宋体" w:cs="宋体"/>
                <w:color w:val="auto"/>
                <w:highlight w:val="none"/>
                <w:vertAlign w:val="baseline"/>
                <w:lang w:val="en-US" w:eastAsia="zh-CN"/>
              </w:rPr>
            </w:pPr>
          </w:p>
        </w:tc>
      </w:tr>
      <w:tr w14:paraId="048A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424" w:type="dxa"/>
            <w:vAlign w:val="center"/>
          </w:tcPr>
          <w:p w14:paraId="7EC32CD4">
            <w:pPr>
              <w:bidi w:val="0"/>
              <w:jc w:val="center"/>
              <w:rPr>
                <w:rFonts w:hint="eastAsia" w:ascii="宋体" w:hAnsi="宋体" w:eastAsia="宋体" w:cs="宋体"/>
                <w:color w:val="auto"/>
                <w:highlight w:val="none"/>
                <w:vertAlign w:val="baseline"/>
                <w:lang w:val="en-US" w:eastAsia="zh-CN"/>
              </w:rPr>
            </w:pPr>
            <w:r>
              <w:rPr>
                <w:rFonts w:hint="eastAsia" w:ascii="宋体" w:hAnsi="宋体" w:eastAsia="宋体" w:cs="宋体"/>
                <w:color w:val="auto"/>
                <w:highlight w:val="none"/>
                <w:vertAlign w:val="baseline"/>
                <w:lang w:val="en-US" w:eastAsia="zh-CN"/>
              </w:rPr>
              <w:t>……</w:t>
            </w:r>
          </w:p>
        </w:tc>
        <w:tc>
          <w:tcPr>
            <w:tcW w:w="1399" w:type="dxa"/>
          </w:tcPr>
          <w:p w14:paraId="586D6C01">
            <w:pPr>
              <w:bidi w:val="0"/>
              <w:jc w:val="both"/>
              <w:rPr>
                <w:rFonts w:hint="eastAsia" w:ascii="宋体" w:hAnsi="宋体" w:eastAsia="宋体" w:cs="宋体"/>
                <w:color w:val="auto"/>
                <w:highlight w:val="none"/>
                <w:vertAlign w:val="baseline"/>
                <w:lang w:val="en-US" w:eastAsia="zh-CN"/>
              </w:rPr>
            </w:pPr>
          </w:p>
        </w:tc>
        <w:tc>
          <w:tcPr>
            <w:tcW w:w="2089" w:type="dxa"/>
          </w:tcPr>
          <w:p w14:paraId="6F2DADFF">
            <w:pPr>
              <w:bidi w:val="0"/>
              <w:jc w:val="both"/>
              <w:rPr>
                <w:rFonts w:hint="eastAsia" w:ascii="宋体" w:hAnsi="宋体" w:eastAsia="宋体" w:cs="宋体"/>
                <w:color w:val="auto"/>
                <w:highlight w:val="none"/>
                <w:vertAlign w:val="baseline"/>
                <w:lang w:val="en-US" w:eastAsia="zh-CN"/>
              </w:rPr>
            </w:pPr>
          </w:p>
        </w:tc>
        <w:tc>
          <w:tcPr>
            <w:tcW w:w="3486" w:type="dxa"/>
          </w:tcPr>
          <w:p w14:paraId="143BED21">
            <w:pPr>
              <w:bidi w:val="0"/>
              <w:jc w:val="both"/>
              <w:rPr>
                <w:rFonts w:hint="eastAsia" w:ascii="宋体" w:hAnsi="宋体" w:eastAsia="宋体" w:cs="宋体"/>
                <w:color w:val="auto"/>
                <w:highlight w:val="none"/>
                <w:vertAlign w:val="baseline"/>
                <w:lang w:val="en-US" w:eastAsia="zh-CN"/>
              </w:rPr>
            </w:pPr>
          </w:p>
        </w:tc>
      </w:tr>
    </w:tbl>
    <w:p w14:paraId="0C63B584">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备注：1、报价不得低于租金单价底价。 </w:t>
      </w:r>
    </w:p>
    <w:p w14:paraId="5CE1DB3B">
      <w:pPr>
        <w:bidi w:val="0"/>
        <w:ind w:left="0" w:leftChars="0"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2、以上价格不含水电费等其它费用。</w:t>
      </w:r>
    </w:p>
    <w:p w14:paraId="2ACC1D77">
      <w:pPr>
        <w:bidi w:val="0"/>
        <w:ind w:left="0" w:leftChars="0" w:firstLine="420" w:firstLineChars="200"/>
        <w:rPr>
          <w:rFonts w:hint="eastAsia" w:ascii="宋体" w:hAnsi="宋体" w:eastAsia="宋体" w:cs="宋体"/>
          <w:color w:val="auto"/>
          <w:highlight w:val="none"/>
          <w:lang w:val="en-US" w:eastAsia="zh-CN"/>
        </w:rPr>
      </w:pPr>
    </w:p>
    <w:p w14:paraId="5C197B96">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意向承租方本人或委托代理人（签字</w:t>
      </w:r>
      <w:r>
        <w:rPr>
          <w:rFonts w:hint="eastAsia" w:ascii="宋体" w:hAnsi="宋体" w:eastAsia="宋体" w:cs="宋体"/>
          <w:color w:val="auto"/>
          <w:kern w:val="0"/>
          <w:sz w:val="21"/>
          <w:szCs w:val="21"/>
          <w:highlight w:val="none"/>
          <w:lang w:val="en-US" w:eastAsia="zh-CN" w:bidi="ar"/>
        </w:rPr>
        <w:t>并加盖手印</w:t>
      </w:r>
      <w:r>
        <w:rPr>
          <w:rFonts w:hint="eastAsia" w:ascii="宋体" w:hAnsi="宋体" w:eastAsia="宋体" w:cs="宋体"/>
          <w:color w:val="auto"/>
          <w:sz w:val="21"/>
          <w:szCs w:val="21"/>
          <w:highlight w:val="none"/>
          <w:lang w:val="en-US" w:eastAsia="zh-CN"/>
        </w:rPr>
        <w:t xml:space="preserve">）： </w:t>
      </w:r>
    </w:p>
    <w:p w14:paraId="68C6345C">
      <w:pPr>
        <w:ind w:left="0" w:leftChars="0" w:right="-512" w:rightChars="-244" w:firstLine="367" w:firstLineChars="175"/>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日期：   年   月   日  </w:t>
      </w:r>
    </w:p>
    <w:p w14:paraId="158AC8B9">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14:paraId="63F1E789">
      <w:pPr>
        <w:jc w:val="center"/>
        <w:outlineLvl w:val="1"/>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六、交易保证金</w:t>
      </w:r>
    </w:p>
    <w:p w14:paraId="6A8CEC78">
      <w:pPr>
        <w:keepNext w:val="0"/>
        <w:keepLines w:val="0"/>
        <w:widowControl/>
        <w:suppressLineNumbers w:val="0"/>
        <w:jc w:val="center"/>
        <w:rPr>
          <w:rFonts w:hint="eastAsia" w:ascii="宋体" w:hAnsi="宋体" w:eastAsia="宋体" w:cs="宋体"/>
          <w:color w:val="auto"/>
          <w:sz w:val="28"/>
          <w:szCs w:val="28"/>
          <w:highlight w:val="none"/>
        </w:rPr>
      </w:pPr>
    </w:p>
    <w:p w14:paraId="42E9DB30">
      <w:pPr>
        <w:keepNext w:val="0"/>
        <w:keepLines w:val="0"/>
        <w:widowControl/>
        <w:suppressLineNumbers w:val="0"/>
        <w:ind w:right="-512" w:rightChars="-244"/>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附本票或保函或保险或担保或数字人民币或转账回单复印件或扫描件。</w:t>
      </w:r>
    </w:p>
    <w:p w14:paraId="1882D3EA">
      <w:pPr>
        <w:pStyle w:val="2"/>
        <w:rPr>
          <w:rFonts w:hint="eastAsia" w:ascii="宋体" w:hAnsi="宋体" w:eastAsia="宋体" w:cs="宋体"/>
          <w:highlight w:val="none"/>
        </w:rPr>
      </w:pPr>
    </w:p>
    <w:sectPr>
      <w:pgSz w:w="11906" w:h="16838"/>
      <w:pgMar w:top="1440" w:right="1803" w:bottom="1440" w:left="1803" w:header="851" w:footer="992" w:gutter="0"/>
      <w:pgNumType w:fmt="decimal"/>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04B7446-6908-4422-B3AC-D6D27542BE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9C85B51-F1E2-4799-9B3A-20FA9D972CBF}"/>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302F52B1-9B8A-4EF5-8E46-E06BCE6A7216}"/>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_GBK">
    <w:panose1 w:val="03000509000000000000"/>
    <w:charset w:val="86"/>
    <w:family w:val="script"/>
    <w:pitch w:val="default"/>
    <w:sig w:usb0="00000001" w:usb1="080E0000" w:usb2="00000000" w:usb3="00000000" w:csb0="00040000" w:csb1="00000000"/>
    <w:embedRegular r:id="rId4" w:fontKey="{E9874D5B-354A-49ED-9E38-5F2A3C6CD1F1}"/>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5DE5F">
    <w:pPr>
      <w:pStyle w:val="1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2026F">
    <w:pPr>
      <w:pStyle w:val="11"/>
      <w:ind w:right="360"/>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28F2A">
    <w:pPr>
      <w:pStyle w:val="11"/>
      <w:ind w:right="360"/>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C5A092">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7C5A092">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45AE7">
    <w:pPr>
      <w:pStyle w:val="11"/>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D8F5A2">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8D8F5A2">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2DA3F">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ECC86F">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FECC86F">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BB7EB">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A6CD0">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A4A6CD0">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729E">
    <w:pPr>
      <w:pStyle w:val="12"/>
      <w:spacing w:line="240" w:lineRule="exact"/>
      <w:jc w:val="left"/>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EA6D2">
    <w:pPr>
      <w:pStyle w:val="12"/>
      <w:rPr>
        <w:rFonts w:hint="default"/>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EBC30">
    <w:pPr>
      <w:pBdr>
        <w:bottom w:val="none" w:color="auto" w:sz="0" w:space="0"/>
      </w:pBdr>
      <w:ind w:left="-315" w:leftChars="-150"/>
      <w:jc w:val="left"/>
      <w:rPr>
        <w:rFonts w:hint="default" w:ascii="Times New Roman" w:hAnsi="Times New Roman" w:cs="Times New Roman"/>
        <w:b w:val="0"/>
        <w:bCs w:val="0"/>
        <w:color w:val="auto"/>
        <w:kern w:val="0"/>
        <w:sz w:val="18"/>
        <w:szCs w:val="18"/>
        <w:highlight w:val="none"/>
        <w:u w:val="single"/>
        <w:lang w:eastAsia="zh-CN" w:bidi="ar"/>
      </w:rPr>
    </w:pPr>
  </w:p>
  <w:p w14:paraId="08F12342">
    <w:pPr>
      <w:pBdr>
        <w:bottom w:val="none" w:color="auto" w:sz="0" w:space="0"/>
      </w:pBdr>
      <w:ind w:left="-315" w:leftChars="-150" w:firstLine="420" w:firstLineChars="200"/>
      <w:jc w:val="left"/>
      <w:rPr>
        <w:rFonts w:hint="default"/>
        <w:u w:val="single"/>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AD7861"/>
    <w:multiLevelType w:val="singleLevel"/>
    <w:tmpl w:val="9CAD7861"/>
    <w:lvl w:ilvl="0" w:tentative="0">
      <w:start w:val="1"/>
      <w:numFmt w:val="decimal"/>
      <w:lvlText w:val="(%1)"/>
      <w:lvlJc w:val="left"/>
      <w:pPr>
        <w:ind w:left="425" w:hanging="425"/>
      </w:pPr>
      <w:rPr>
        <w:rFonts w:hint="default"/>
      </w:rPr>
    </w:lvl>
  </w:abstractNum>
  <w:abstractNum w:abstractNumId="1">
    <w:nsid w:val="C3F5A306"/>
    <w:multiLevelType w:val="singleLevel"/>
    <w:tmpl w:val="C3F5A306"/>
    <w:lvl w:ilvl="0" w:tentative="0">
      <w:start w:val="1"/>
      <w:numFmt w:val="decimal"/>
      <w:lvlText w:val="%1."/>
      <w:lvlJc w:val="left"/>
      <w:pPr>
        <w:ind w:left="425" w:hanging="425"/>
      </w:pPr>
      <w:rPr>
        <w:rFonts w:hint="default"/>
      </w:rPr>
    </w:lvl>
  </w:abstractNum>
  <w:abstractNum w:abstractNumId="2">
    <w:nsid w:val="C834FB3B"/>
    <w:multiLevelType w:val="singleLevel"/>
    <w:tmpl w:val="C834FB3B"/>
    <w:lvl w:ilvl="0" w:tentative="0">
      <w:start w:val="1"/>
      <w:numFmt w:val="decimal"/>
      <w:lvlText w:val="%1."/>
      <w:lvlJc w:val="left"/>
      <w:pPr>
        <w:ind w:left="425" w:hanging="425"/>
      </w:pPr>
      <w:rPr>
        <w:rFonts w:hint="default"/>
      </w:rPr>
    </w:lvl>
  </w:abstractNum>
  <w:abstractNum w:abstractNumId="3">
    <w:nsid w:val="C8C9F862"/>
    <w:multiLevelType w:val="singleLevel"/>
    <w:tmpl w:val="C8C9F862"/>
    <w:lvl w:ilvl="0" w:tentative="0">
      <w:start w:val="1"/>
      <w:numFmt w:val="decimal"/>
      <w:lvlText w:val="%1."/>
      <w:lvlJc w:val="left"/>
      <w:pPr>
        <w:ind w:left="425" w:hanging="425"/>
      </w:pPr>
      <w:rPr>
        <w:rFonts w:hint="default"/>
      </w:rPr>
    </w:lvl>
  </w:abstractNum>
  <w:abstractNum w:abstractNumId="4">
    <w:nsid w:val="CEACAAE4"/>
    <w:multiLevelType w:val="singleLevel"/>
    <w:tmpl w:val="CEACAAE4"/>
    <w:lvl w:ilvl="0" w:tentative="0">
      <w:start w:val="1"/>
      <w:numFmt w:val="decimal"/>
      <w:lvlText w:val="%1."/>
      <w:lvlJc w:val="left"/>
      <w:pPr>
        <w:ind w:left="425" w:hanging="425"/>
      </w:pPr>
      <w:rPr>
        <w:rFonts w:hint="default"/>
      </w:rPr>
    </w:lvl>
  </w:abstractNum>
  <w:abstractNum w:abstractNumId="5">
    <w:nsid w:val="DEC8FD88"/>
    <w:multiLevelType w:val="singleLevel"/>
    <w:tmpl w:val="DEC8FD88"/>
    <w:lvl w:ilvl="0" w:tentative="0">
      <w:start w:val="8"/>
      <w:numFmt w:val="chineseCounting"/>
      <w:suff w:val="space"/>
      <w:lvlText w:val="第%1章"/>
      <w:lvlJc w:val="left"/>
      <w:rPr>
        <w:rFonts w:hint="eastAsia"/>
      </w:rPr>
    </w:lvl>
  </w:abstractNum>
  <w:abstractNum w:abstractNumId="6">
    <w:nsid w:val="F1B9FFFF"/>
    <w:multiLevelType w:val="singleLevel"/>
    <w:tmpl w:val="F1B9FFFF"/>
    <w:lvl w:ilvl="0" w:tentative="0">
      <w:start w:val="1"/>
      <w:numFmt w:val="decimal"/>
      <w:suff w:val="space"/>
      <w:lvlText w:val="%1."/>
      <w:lvlJc w:val="left"/>
    </w:lvl>
  </w:abstractNum>
  <w:abstractNum w:abstractNumId="7">
    <w:nsid w:val="03AAB2C9"/>
    <w:multiLevelType w:val="singleLevel"/>
    <w:tmpl w:val="03AAB2C9"/>
    <w:lvl w:ilvl="0" w:tentative="0">
      <w:start w:val="9"/>
      <w:numFmt w:val="chineseCounting"/>
      <w:suff w:val="space"/>
      <w:lvlText w:val="第%1条"/>
      <w:lvlJc w:val="left"/>
      <w:rPr>
        <w:rFonts w:hint="eastAsia"/>
        <w:b/>
        <w:bCs/>
      </w:rPr>
    </w:lvl>
  </w:abstractNum>
  <w:abstractNum w:abstractNumId="8">
    <w:nsid w:val="130789DA"/>
    <w:multiLevelType w:val="singleLevel"/>
    <w:tmpl w:val="130789DA"/>
    <w:lvl w:ilvl="0" w:tentative="0">
      <w:start w:val="12"/>
      <w:numFmt w:val="chineseCounting"/>
      <w:suff w:val="space"/>
      <w:lvlText w:val="第%1章"/>
      <w:lvlJc w:val="left"/>
      <w:rPr>
        <w:rFonts w:hint="eastAsia"/>
      </w:rPr>
    </w:lvl>
  </w:abstractNum>
  <w:abstractNum w:abstractNumId="9">
    <w:nsid w:val="265A1571"/>
    <w:multiLevelType w:val="singleLevel"/>
    <w:tmpl w:val="265A1571"/>
    <w:lvl w:ilvl="0" w:tentative="0">
      <w:start w:val="1"/>
      <w:numFmt w:val="decimal"/>
      <w:lvlText w:val="%1."/>
      <w:lvlJc w:val="left"/>
      <w:pPr>
        <w:ind w:left="425" w:hanging="425"/>
      </w:pPr>
      <w:rPr>
        <w:rFonts w:hint="default"/>
      </w:rPr>
    </w:lvl>
  </w:abstractNum>
  <w:abstractNum w:abstractNumId="10">
    <w:nsid w:val="4954CB11"/>
    <w:multiLevelType w:val="singleLevel"/>
    <w:tmpl w:val="4954CB11"/>
    <w:lvl w:ilvl="0" w:tentative="0">
      <w:start w:val="1"/>
      <w:numFmt w:val="decimal"/>
      <w:lvlText w:val="(%1)"/>
      <w:lvlJc w:val="left"/>
      <w:pPr>
        <w:ind w:left="425" w:hanging="425"/>
      </w:pPr>
      <w:rPr>
        <w:rFonts w:hint="default"/>
      </w:rPr>
    </w:lvl>
  </w:abstractNum>
  <w:abstractNum w:abstractNumId="11">
    <w:nsid w:val="5500E3D8"/>
    <w:multiLevelType w:val="singleLevel"/>
    <w:tmpl w:val="5500E3D8"/>
    <w:lvl w:ilvl="0" w:tentative="0">
      <w:start w:val="1"/>
      <w:numFmt w:val="chineseCounting"/>
      <w:suff w:val="nothing"/>
      <w:lvlText w:val="%1、"/>
      <w:lvlJc w:val="left"/>
      <w:pPr>
        <w:ind w:left="0" w:firstLine="420"/>
      </w:pPr>
      <w:rPr>
        <w:rFonts w:hint="eastAsia"/>
      </w:rPr>
    </w:lvl>
  </w:abstractNum>
  <w:num w:numId="1">
    <w:abstractNumId w:val="6"/>
  </w:num>
  <w:num w:numId="2">
    <w:abstractNumId w:val="7"/>
  </w:num>
  <w:num w:numId="3">
    <w:abstractNumId w:val="5"/>
  </w:num>
  <w:num w:numId="4">
    <w:abstractNumId w:val="8"/>
  </w:num>
  <w:num w:numId="5">
    <w:abstractNumId w:val="10"/>
  </w:num>
  <w:num w:numId="6">
    <w:abstractNumId w:val="0"/>
  </w:num>
  <w:num w:numId="7">
    <w:abstractNumId w:val="11"/>
  </w:num>
  <w:num w:numId="8">
    <w:abstractNumId w:val="2"/>
  </w:num>
  <w:num w:numId="9">
    <w:abstractNumId w:val="4"/>
  </w:num>
  <w:num w:numId="10">
    <w:abstractNumId w:val="9"/>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4YzNiYjJjY2JiNmZiNWFmZjc0NDBkYzA4OTk2YWEifQ=="/>
    <w:docVar w:name="KSO_WPS_MARK_KEY" w:val="805536b9-8b6c-4015-b4c4-952fbf3b8aa2"/>
  </w:docVars>
  <w:rsids>
    <w:rsidRoot w:val="00000000"/>
    <w:rsid w:val="002D7F8E"/>
    <w:rsid w:val="00357EAC"/>
    <w:rsid w:val="004161EF"/>
    <w:rsid w:val="007A51B4"/>
    <w:rsid w:val="00CA1485"/>
    <w:rsid w:val="00CF317D"/>
    <w:rsid w:val="00EA285D"/>
    <w:rsid w:val="00F9257D"/>
    <w:rsid w:val="010121B4"/>
    <w:rsid w:val="010334B8"/>
    <w:rsid w:val="0109531D"/>
    <w:rsid w:val="01136DED"/>
    <w:rsid w:val="01641E30"/>
    <w:rsid w:val="016E1CBE"/>
    <w:rsid w:val="01795746"/>
    <w:rsid w:val="01AA7D1B"/>
    <w:rsid w:val="01E50D53"/>
    <w:rsid w:val="01E7328E"/>
    <w:rsid w:val="02153485"/>
    <w:rsid w:val="022C5CCC"/>
    <w:rsid w:val="023B0973"/>
    <w:rsid w:val="02480252"/>
    <w:rsid w:val="024C31F1"/>
    <w:rsid w:val="024C492F"/>
    <w:rsid w:val="026305F6"/>
    <w:rsid w:val="026B1259"/>
    <w:rsid w:val="0273635F"/>
    <w:rsid w:val="02740C51"/>
    <w:rsid w:val="02836E2C"/>
    <w:rsid w:val="02900CBF"/>
    <w:rsid w:val="02D23086"/>
    <w:rsid w:val="02FB1542"/>
    <w:rsid w:val="02FD2ED4"/>
    <w:rsid w:val="030805AB"/>
    <w:rsid w:val="03117BB8"/>
    <w:rsid w:val="0318530E"/>
    <w:rsid w:val="03630182"/>
    <w:rsid w:val="036F6B27"/>
    <w:rsid w:val="038A570F"/>
    <w:rsid w:val="039713C7"/>
    <w:rsid w:val="03A965F3"/>
    <w:rsid w:val="03BE7AAE"/>
    <w:rsid w:val="03E85332"/>
    <w:rsid w:val="03EB3968"/>
    <w:rsid w:val="03F963E6"/>
    <w:rsid w:val="040E6340"/>
    <w:rsid w:val="043C7483"/>
    <w:rsid w:val="04464DB7"/>
    <w:rsid w:val="044C50BA"/>
    <w:rsid w:val="048C0A12"/>
    <w:rsid w:val="049A5E25"/>
    <w:rsid w:val="04A515D1"/>
    <w:rsid w:val="04A82509"/>
    <w:rsid w:val="04AE18D1"/>
    <w:rsid w:val="04B36EE7"/>
    <w:rsid w:val="04C15D7E"/>
    <w:rsid w:val="04D67ACD"/>
    <w:rsid w:val="04E866C7"/>
    <w:rsid w:val="051D48D0"/>
    <w:rsid w:val="054144F3"/>
    <w:rsid w:val="056703FD"/>
    <w:rsid w:val="05B3073B"/>
    <w:rsid w:val="05CB0F22"/>
    <w:rsid w:val="060F639F"/>
    <w:rsid w:val="065B0739"/>
    <w:rsid w:val="067A4160"/>
    <w:rsid w:val="06C66BB1"/>
    <w:rsid w:val="07124399"/>
    <w:rsid w:val="0714685F"/>
    <w:rsid w:val="07165338"/>
    <w:rsid w:val="07292279"/>
    <w:rsid w:val="072F1F7F"/>
    <w:rsid w:val="0739074D"/>
    <w:rsid w:val="077E37DC"/>
    <w:rsid w:val="07927789"/>
    <w:rsid w:val="07A44317"/>
    <w:rsid w:val="07CD1D1A"/>
    <w:rsid w:val="07CD79EE"/>
    <w:rsid w:val="07DE09F6"/>
    <w:rsid w:val="07E7749A"/>
    <w:rsid w:val="080918FE"/>
    <w:rsid w:val="083A66C8"/>
    <w:rsid w:val="08406CE4"/>
    <w:rsid w:val="086622CE"/>
    <w:rsid w:val="0874698D"/>
    <w:rsid w:val="087B2EE5"/>
    <w:rsid w:val="08A47272"/>
    <w:rsid w:val="08B77429"/>
    <w:rsid w:val="08D12ACB"/>
    <w:rsid w:val="08E76EAE"/>
    <w:rsid w:val="08FD0DEE"/>
    <w:rsid w:val="09025EC2"/>
    <w:rsid w:val="090B10A0"/>
    <w:rsid w:val="091034BB"/>
    <w:rsid w:val="09150170"/>
    <w:rsid w:val="091A65C5"/>
    <w:rsid w:val="091E3C1E"/>
    <w:rsid w:val="09247DCC"/>
    <w:rsid w:val="09267C87"/>
    <w:rsid w:val="094840A2"/>
    <w:rsid w:val="094871EF"/>
    <w:rsid w:val="095C18FB"/>
    <w:rsid w:val="09A25560"/>
    <w:rsid w:val="09CD54A7"/>
    <w:rsid w:val="09CF47C3"/>
    <w:rsid w:val="09D9119E"/>
    <w:rsid w:val="0A0655BF"/>
    <w:rsid w:val="0A121772"/>
    <w:rsid w:val="0A142DE8"/>
    <w:rsid w:val="0A193C90"/>
    <w:rsid w:val="0A3B4C36"/>
    <w:rsid w:val="0A507397"/>
    <w:rsid w:val="0A5333E7"/>
    <w:rsid w:val="0A60541B"/>
    <w:rsid w:val="0A61061C"/>
    <w:rsid w:val="0ABF4F8E"/>
    <w:rsid w:val="0ABF7134"/>
    <w:rsid w:val="0AF17B72"/>
    <w:rsid w:val="0B112BB9"/>
    <w:rsid w:val="0B1D330C"/>
    <w:rsid w:val="0B204BAA"/>
    <w:rsid w:val="0B3C7C36"/>
    <w:rsid w:val="0B5D6E75"/>
    <w:rsid w:val="0B934561"/>
    <w:rsid w:val="0B9E444D"/>
    <w:rsid w:val="0BB82352"/>
    <w:rsid w:val="0BC33EB3"/>
    <w:rsid w:val="0C120C2A"/>
    <w:rsid w:val="0C377CE0"/>
    <w:rsid w:val="0C3B0516"/>
    <w:rsid w:val="0C434FF4"/>
    <w:rsid w:val="0C57284E"/>
    <w:rsid w:val="0C871385"/>
    <w:rsid w:val="0CA1357C"/>
    <w:rsid w:val="0CAD24E9"/>
    <w:rsid w:val="0CE856F2"/>
    <w:rsid w:val="0CE87CB7"/>
    <w:rsid w:val="0CF60C3C"/>
    <w:rsid w:val="0CF63E15"/>
    <w:rsid w:val="0D0E5602"/>
    <w:rsid w:val="0D336E17"/>
    <w:rsid w:val="0D786F20"/>
    <w:rsid w:val="0DC1331A"/>
    <w:rsid w:val="0DE40233"/>
    <w:rsid w:val="0E2A646C"/>
    <w:rsid w:val="0E2F75DE"/>
    <w:rsid w:val="0E3D3800"/>
    <w:rsid w:val="0E4868F2"/>
    <w:rsid w:val="0E5D054D"/>
    <w:rsid w:val="0EA559D4"/>
    <w:rsid w:val="0EA91053"/>
    <w:rsid w:val="0EED7891"/>
    <w:rsid w:val="0EFC308E"/>
    <w:rsid w:val="0F427347"/>
    <w:rsid w:val="0F4A0448"/>
    <w:rsid w:val="0F582B65"/>
    <w:rsid w:val="0F5C08A7"/>
    <w:rsid w:val="0F870082"/>
    <w:rsid w:val="0FCB77DB"/>
    <w:rsid w:val="0FDC34BA"/>
    <w:rsid w:val="10123A37"/>
    <w:rsid w:val="104532A7"/>
    <w:rsid w:val="106B68C8"/>
    <w:rsid w:val="106C658C"/>
    <w:rsid w:val="107C2883"/>
    <w:rsid w:val="108160EB"/>
    <w:rsid w:val="108F3E01"/>
    <w:rsid w:val="109D6E49"/>
    <w:rsid w:val="10AA3894"/>
    <w:rsid w:val="10C13168"/>
    <w:rsid w:val="10C761F4"/>
    <w:rsid w:val="114C66F9"/>
    <w:rsid w:val="115455AE"/>
    <w:rsid w:val="1154735C"/>
    <w:rsid w:val="117F087D"/>
    <w:rsid w:val="11805498"/>
    <w:rsid w:val="118670D0"/>
    <w:rsid w:val="119423A3"/>
    <w:rsid w:val="11C42733"/>
    <w:rsid w:val="11E365EE"/>
    <w:rsid w:val="121C60CC"/>
    <w:rsid w:val="12AA1929"/>
    <w:rsid w:val="12CC5D44"/>
    <w:rsid w:val="12EC1F42"/>
    <w:rsid w:val="132A4818"/>
    <w:rsid w:val="134C29E0"/>
    <w:rsid w:val="13825B09"/>
    <w:rsid w:val="139E41CE"/>
    <w:rsid w:val="13A41848"/>
    <w:rsid w:val="13B563E8"/>
    <w:rsid w:val="13F17AA5"/>
    <w:rsid w:val="14447B5C"/>
    <w:rsid w:val="144E2CEA"/>
    <w:rsid w:val="145C6C53"/>
    <w:rsid w:val="14711346"/>
    <w:rsid w:val="14902DA1"/>
    <w:rsid w:val="14990ECA"/>
    <w:rsid w:val="149C04EF"/>
    <w:rsid w:val="15022873"/>
    <w:rsid w:val="1538020A"/>
    <w:rsid w:val="15392994"/>
    <w:rsid w:val="153C6A85"/>
    <w:rsid w:val="15597637"/>
    <w:rsid w:val="157306F8"/>
    <w:rsid w:val="157733D6"/>
    <w:rsid w:val="159C3E2E"/>
    <w:rsid w:val="15A40262"/>
    <w:rsid w:val="15D31197"/>
    <w:rsid w:val="15D46CBD"/>
    <w:rsid w:val="15F15AC1"/>
    <w:rsid w:val="15F7286A"/>
    <w:rsid w:val="163B7B5C"/>
    <w:rsid w:val="16936993"/>
    <w:rsid w:val="16A21A3D"/>
    <w:rsid w:val="16AB2114"/>
    <w:rsid w:val="16FB6BF7"/>
    <w:rsid w:val="171C4DC0"/>
    <w:rsid w:val="173B5246"/>
    <w:rsid w:val="173D0101"/>
    <w:rsid w:val="1749181B"/>
    <w:rsid w:val="1757048F"/>
    <w:rsid w:val="17582680"/>
    <w:rsid w:val="178713E9"/>
    <w:rsid w:val="17BD3EAD"/>
    <w:rsid w:val="17C17C60"/>
    <w:rsid w:val="17CA3799"/>
    <w:rsid w:val="17CB6D2A"/>
    <w:rsid w:val="17D8798D"/>
    <w:rsid w:val="17E4463B"/>
    <w:rsid w:val="18227444"/>
    <w:rsid w:val="183D0B4A"/>
    <w:rsid w:val="18A61E2D"/>
    <w:rsid w:val="18AB2C3E"/>
    <w:rsid w:val="18CE3E98"/>
    <w:rsid w:val="18F67FE4"/>
    <w:rsid w:val="193364B1"/>
    <w:rsid w:val="19A06E8F"/>
    <w:rsid w:val="19A215AC"/>
    <w:rsid w:val="19CB76F3"/>
    <w:rsid w:val="1A0E09F0"/>
    <w:rsid w:val="1A1F2BFD"/>
    <w:rsid w:val="1A3B3606"/>
    <w:rsid w:val="1A457E1B"/>
    <w:rsid w:val="1A485F02"/>
    <w:rsid w:val="1A5B5BFF"/>
    <w:rsid w:val="1A8C5DB8"/>
    <w:rsid w:val="1AB86BAD"/>
    <w:rsid w:val="1AE87493"/>
    <w:rsid w:val="1B0167A6"/>
    <w:rsid w:val="1B0D514B"/>
    <w:rsid w:val="1B124510"/>
    <w:rsid w:val="1B2129A5"/>
    <w:rsid w:val="1B3B0954"/>
    <w:rsid w:val="1BA614D5"/>
    <w:rsid w:val="1BAD48DC"/>
    <w:rsid w:val="1BC6433B"/>
    <w:rsid w:val="1C0A31BC"/>
    <w:rsid w:val="1C0B16B2"/>
    <w:rsid w:val="1C3B0046"/>
    <w:rsid w:val="1C42354D"/>
    <w:rsid w:val="1C4C606B"/>
    <w:rsid w:val="1C5F1FCC"/>
    <w:rsid w:val="1C6C3216"/>
    <w:rsid w:val="1C7865F4"/>
    <w:rsid w:val="1C7D599E"/>
    <w:rsid w:val="1CA53B30"/>
    <w:rsid w:val="1CB9513A"/>
    <w:rsid w:val="1CBB4733"/>
    <w:rsid w:val="1CC17F9B"/>
    <w:rsid w:val="1CDF5E05"/>
    <w:rsid w:val="1CFF2872"/>
    <w:rsid w:val="1D3369BF"/>
    <w:rsid w:val="1D395A93"/>
    <w:rsid w:val="1D57445C"/>
    <w:rsid w:val="1D903E12"/>
    <w:rsid w:val="1DB91FA2"/>
    <w:rsid w:val="1DC55869"/>
    <w:rsid w:val="1DCD24FF"/>
    <w:rsid w:val="1DFC761D"/>
    <w:rsid w:val="1E5260D6"/>
    <w:rsid w:val="1E6037E4"/>
    <w:rsid w:val="1E6131E6"/>
    <w:rsid w:val="1E7B1416"/>
    <w:rsid w:val="1EE90004"/>
    <w:rsid w:val="1EF14D5D"/>
    <w:rsid w:val="1EF71E01"/>
    <w:rsid w:val="1EFA25FB"/>
    <w:rsid w:val="1F226FF4"/>
    <w:rsid w:val="1F462AF7"/>
    <w:rsid w:val="1FB22FA9"/>
    <w:rsid w:val="1FF97A4C"/>
    <w:rsid w:val="20126D60"/>
    <w:rsid w:val="202A22FB"/>
    <w:rsid w:val="203430DD"/>
    <w:rsid w:val="203D162A"/>
    <w:rsid w:val="20727F31"/>
    <w:rsid w:val="208C08C0"/>
    <w:rsid w:val="20964C98"/>
    <w:rsid w:val="20967991"/>
    <w:rsid w:val="20B261AA"/>
    <w:rsid w:val="20BE2980"/>
    <w:rsid w:val="20CA738D"/>
    <w:rsid w:val="20CF06EB"/>
    <w:rsid w:val="20D56FB3"/>
    <w:rsid w:val="20F529F5"/>
    <w:rsid w:val="20F85F56"/>
    <w:rsid w:val="2110329F"/>
    <w:rsid w:val="211767EC"/>
    <w:rsid w:val="215527F4"/>
    <w:rsid w:val="21590828"/>
    <w:rsid w:val="215C61B6"/>
    <w:rsid w:val="215D4C09"/>
    <w:rsid w:val="217F21D3"/>
    <w:rsid w:val="21994430"/>
    <w:rsid w:val="21BD7368"/>
    <w:rsid w:val="21CD3C24"/>
    <w:rsid w:val="21D37BF6"/>
    <w:rsid w:val="220821C8"/>
    <w:rsid w:val="221130BF"/>
    <w:rsid w:val="22274D44"/>
    <w:rsid w:val="223435D0"/>
    <w:rsid w:val="224C2AC4"/>
    <w:rsid w:val="224D0523"/>
    <w:rsid w:val="22910410"/>
    <w:rsid w:val="22BB723B"/>
    <w:rsid w:val="22DB168B"/>
    <w:rsid w:val="22F8223D"/>
    <w:rsid w:val="2306260B"/>
    <w:rsid w:val="23106395"/>
    <w:rsid w:val="23425BAE"/>
    <w:rsid w:val="235668BB"/>
    <w:rsid w:val="2372556B"/>
    <w:rsid w:val="239E554B"/>
    <w:rsid w:val="23CE155A"/>
    <w:rsid w:val="23D902C0"/>
    <w:rsid w:val="23FC3CB2"/>
    <w:rsid w:val="24165AF6"/>
    <w:rsid w:val="24184C16"/>
    <w:rsid w:val="24397462"/>
    <w:rsid w:val="24561911"/>
    <w:rsid w:val="247450D6"/>
    <w:rsid w:val="247955FF"/>
    <w:rsid w:val="24B03B5D"/>
    <w:rsid w:val="24B60A64"/>
    <w:rsid w:val="25072C0B"/>
    <w:rsid w:val="2540611D"/>
    <w:rsid w:val="25416368"/>
    <w:rsid w:val="255A0F8D"/>
    <w:rsid w:val="25706A02"/>
    <w:rsid w:val="25B12B77"/>
    <w:rsid w:val="25B83F05"/>
    <w:rsid w:val="25C6334C"/>
    <w:rsid w:val="25D0124F"/>
    <w:rsid w:val="25D2016C"/>
    <w:rsid w:val="25D845A8"/>
    <w:rsid w:val="26305538"/>
    <w:rsid w:val="264659B5"/>
    <w:rsid w:val="26532A92"/>
    <w:rsid w:val="266100F9"/>
    <w:rsid w:val="26671663"/>
    <w:rsid w:val="26BA675A"/>
    <w:rsid w:val="26C64400"/>
    <w:rsid w:val="26E84487"/>
    <w:rsid w:val="26FB0D17"/>
    <w:rsid w:val="272730F1"/>
    <w:rsid w:val="273677D8"/>
    <w:rsid w:val="274E4B21"/>
    <w:rsid w:val="27910EB2"/>
    <w:rsid w:val="279F712B"/>
    <w:rsid w:val="27B01338"/>
    <w:rsid w:val="27C13545"/>
    <w:rsid w:val="27CC57D7"/>
    <w:rsid w:val="27D33279"/>
    <w:rsid w:val="27E31511"/>
    <w:rsid w:val="28237D5C"/>
    <w:rsid w:val="28247630"/>
    <w:rsid w:val="28264EC0"/>
    <w:rsid w:val="282763A0"/>
    <w:rsid w:val="284035F2"/>
    <w:rsid w:val="28553020"/>
    <w:rsid w:val="285844AB"/>
    <w:rsid w:val="28641ED9"/>
    <w:rsid w:val="28674000"/>
    <w:rsid w:val="286E6AFD"/>
    <w:rsid w:val="2879797C"/>
    <w:rsid w:val="287E31E4"/>
    <w:rsid w:val="288333D3"/>
    <w:rsid w:val="28A30A63"/>
    <w:rsid w:val="28AD1D1C"/>
    <w:rsid w:val="28BE5577"/>
    <w:rsid w:val="28C16C72"/>
    <w:rsid w:val="2907740F"/>
    <w:rsid w:val="29380E15"/>
    <w:rsid w:val="29492534"/>
    <w:rsid w:val="295126A7"/>
    <w:rsid w:val="29583A35"/>
    <w:rsid w:val="2996455E"/>
    <w:rsid w:val="29A62ABE"/>
    <w:rsid w:val="29EE79BF"/>
    <w:rsid w:val="2A0C0919"/>
    <w:rsid w:val="2A16744D"/>
    <w:rsid w:val="2A186697"/>
    <w:rsid w:val="2A191012"/>
    <w:rsid w:val="2A2B4A1F"/>
    <w:rsid w:val="2A6B7798"/>
    <w:rsid w:val="2A71788C"/>
    <w:rsid w:val="2A9C2048"/>
    <w:rsid w:val="2A9F38E6"/>
    <w:rsid w:val="2AA341B6"/>
    <w:rsid w:val="2AAF65D8"/>
    <w:rsid w:val="2AF94DA4"/>
    <w:rsid w:val="2B02634F"/>
    <w:rsid w:val="2B326508"/>
    <w:rsid w:val="2B4A5600"/>
    <w:rsid w:val="2B5A4560"/>
    <w:rsid w:val="2B603075"/>
    <w:rsid w:val="2B6F5568"/>
    <w:rsid w:val="2BB2311B"/>
    <w:rsid w:val="2BC2788C"/>
    <w:rsid w:val="2BCA752F"/>
    <w:rsid w:val="2BCC47F9"/>
    <w:rsid w:val="2BE94E19"/>
    <w:rsid w:val="2BEE4D0C"/>
    <w:rsid w:val="2BFA11B7"/>
    <w:rsid w:val="2C05145A"/>
    <w:rsid w:val="2C09398B"/>
    <w:rsid w:val="2C5D1AC1"/>
    <w:rsid w:val="2C864D5D"/>
    <w:rsid w:val="2CBA7AA0"/>
    <w:rsid w:val="2CBC252D"/>
    <w:rsid w:val="2CCA2E9C"/>
    <w:rsid w:val="2CCE763C"/>
    <w:rsid w:val="2CD77367"/>
    <w:rsid w:val="2CDA0C05"/>
    <w:rsid w:val="2CF77A09"/>
    <w:rsid w:val="2D0A3299"/>
    <w:rsid w:val="2D1C65E4"/>
    <w:rsid w:val="2D241372"/>
    <w:rsid w:val="2D687FBF"/>
    <w:rsid w:val="2D6C5D01"/>
    <w:rsid w:val="2DA65C71"/>
    <w:rsid w:val="2DBF215E"/>
    <w:rsid w:val="2DE07A20"/>
    <w:rsid w:val="2E4C78E1"/>
    <w:rsid w:val="2E5C02D7"/>
    <w:rsid w:val="2E5F5866"/>
    <w:rsid w:val="2EB10CDE"/>
    <w:rsid w:val="2EC8630A"/>
    <w:rsid w:val="2ED8717E"/>
    <w:rsid w:val="2EE86D67"/>
    <w:rsid w:val="2F0401BB"/>
    <w:rsid w:val="2F097B74"/>
    <w:rsid w:val="2F3E2A9A"/>
    <w:rsid w:val="2F4771AC"/>
    <w:rsid w:val="2F4A5776"/>
    <w:rsid w:val="2F5E2038"/>
    <w:rsid w:val="2F71773B"/>
    <w:rsid w:val="2FB41AEB"/>
    <w:rsid w:val="2FB90FA6"/>
    <w:rsid w:val="2FDB3000"/>
    <w:rsid w:val="2FE853E7"/>
    <w:rsid w:val="30142680"/>
    <w:rsid w:val="301800B0"/>
    <w:rsid w:val="306F5936"/>
    <w:rsid w:val="309B06AC"/>
    <w:rsid w:val="309D4424"/>
    <w:rsid w:val="30A8579E"/>
    <w:rsid w:val="30C15DBD"/>
    <w:rsid w:val="30C47234"/>
    <w:rsid w:val="30C66D61"/>
    <w:rsid w:val="30D8545C"/>
    <w:rsid w:val="30DC319E"/>
    <w:rsid w:val="31022300"/>
    <w:rsid w:val="311F0C14"/>
    <w:rsid w:val="312318B9"/>
    <w:rsid w:val="3159659D"/>
    <w:rsid w:val="31853836"/>
    <w:rsid w:val="31872740"/>
    <w:rsid w:val="31943A79"/>
    <w:rsid w:val="31A90F01"/>
    <w:rsid w:val="31AF440F"/>
    <w:rsid w:val="31E75CF0"/>
    <w:rsid w:val="3203475A"/>
    <w:rsid w:val="321D139D"/>
    <w:rsid w:val="324F6CE6"/>
    <w:rsid w:val="32575633"/>
    <w:rsid w:val="325F5E35"/>
    <w:rsid w:val="328238D1"/>
    <w:rsid w:val="32B14707"/>
    <w:rsid w:val="32B863F6"/>
    <w:rsid w:val="33053731"/>
    <w:rsid w:val="3321758E"/>
    <w:rsid w:val="332D5F33"/>
    <w:rsid w:val="33891BF7"/>
    <w:rsid w:val="33AE4B9D"/>
    <w:rsid w:val="33C56012"/>
    <w:rsid w:val="33CF0D98"/>
    <w:rsid w:val="33D60872"/>
    <w:rsid w:val="33F05D7C"/>
    <w:rsid w:val="340E164C"/>
    <w:rsid w:val="34637732"/>
    <w:rsid w:val="34BE1A71"/>
    <w:rsid w:val="34EE16F2"/>
    <w:rsid w:val="34EF3BC3"/>
    <w:rsid w:val="35103416"/>
    <w:rsid w:val="35435A90"/>
    <w:rsid w:val="35623574"/>
    <w:rsid w:val="356D19CB"/>
    <w:rsid w:val="357E2FC7"/>
    <w:rsid w:val="359009FB"/>
    <w:rsid w:val="359A7184"/>
    <w:rsid w:val="35D72186"/>
    <w:rsid w:val="35FC03DF"/>
    <w:rsid w:val="36221470"/>
    <w:rsid w:val="36323860"/>
    <w:rsid w:val="3646658E"/>
    <w:rsid w:val="36AF1D05"/>
    <w:rsid w:val="36BE6899"/>
    <w:rsid w:val="36C0574C"/>
    <w:rsid w:val="36EB2481"/>
    <w:rsid w:val="374227B5"/>
    <w:rsid w:val="37476E97"/>
    <w:rsid w:val="3762758B"/>
    <w:rsid w:val="378A2E2C"/>
    <w:rsid w:val="37904CE2"/>
    <w:rsid w:val="37D17B69"/>
    <w:rsid w:val="37D20707"/>
    <w:rsid w:val="37D3697D"/>
    <w:rsid w:val="37D50947"/>
    <w:rsid w:val="37DB479F"/>
    <w:rsid w:val="37E4574A"/>
    <w:rsid w:val="37F94729"/>
    <w:rsid w:val="38005912"/>
    <w:rsid w:val="3827150A"/>
    <w:rsid w:val="382C4A0B"/>
    <w:rsid w:val="383438BF"/>
    <w:rsid w:val="384653A1"/>
    <w:rsid w:val="386F66A6"/>
    <w:rsid w:val="3892556F"/>
    <w:rsid w:val="38D676C9"/>
    <w:rsid w:val="38DB1F8D"/>
    <w:rsid w:val="38F1683E"/>
    <w:rsid w:val="3907263C"/>
    <w:rsid w:val="390908A8"/>
    <w:rsid w:val="3911775D"/>
    <w:rsid w:val="39243934"/>
    <w:rsid w:val="396566E9"/>
    <w:rsid w:val="397321C6"/>
    <w:rsid w:val="397A79F8"/>
    <w:rsid w:val="397C3770"/>
    <w:rsid w:val="39821158"/>
    <w:rsid w:val="39987E7E"/>
    <w:rsid w:val="39A22AAB"/>
    <w:rsid w:val="39C80763"/>
    <w:rsid w:val="39D23390"/>
    <w:rsid w:val="39E10598"/>
    <w:rsid w:val="3A15327D"/>
    <w:rsid w:val="3A7B3A28"/>
    <w:rsid w:val="3A923B26"/>
    <w:rsid w:val="3AA33248"/>
    <w:rsid w:val="3AE4135E"/>
    <w:rsid w:val="3AEF1D20"/>
    <w:rsid w:val="3B050B60"/>
    <w:rsid w:val="3B375A1C"/>
    <w:rsid w:val="3B4D5F19"/>
    <w:rsid w:val="3B6402F8"/>
    <w:rsid w:val="3B985F13"/>
    <w:rsid w:val="3B9F3746"/>
    <w:rsid w:val="3BA743A8"/>
    <w:rsid w:val="3BB80364"/>
    <w:rsid w:val="3BEE647B"/>
    <w:rsid w:val="3BF22272"/>
    <w:rsid w:val="3C06758F"/>
    <w:rsid w:val="3C0E0A2E"/>
    <w:rsid w:val="3C3A0A68"/>
    <w:rsid w:val="3C3A35F9"/>
    <w:rsid w:val="3C50632E"/>
    <w:rsid w:val="3C591B6F"/>
    <w:rsid w:val="3C60782F"/>
    <w:rsid w:val="3CCA6B71"/>
    <w:rsid w:val="3CD06FA6"/>
    <w:rsid w:val="3CE75508"/>
    <w:rsid w:val="3D2E2ED5"/>
    <w:rsid w:val="3D3758DB"/>
    <w:rsid w:val="3D54230E"/>
    <w:rsid w:val="3D5E1BDE"/>
    <w:rsid w:val="3D71271B"/>
    <w:rsid w:val="3D8F5611"/>
    <w:rsid w:val="3D92443C"/>
    <w:rsid w:val="3DA037A5"/>
    <w:rsid w:val="3DC456E6"/>
    <w:rsid w:val="3DE329CA"/>
    <w:rsid w:val="3DF77869"/>
    <w:rsid w:val="3DF93E00"/>
    <w:rsid w:val="3E0E2161"/>
    <w:rsid w:val="3E174CFF"/>
    <w:rsid w:val="3E3C34CE"/>
    <w:rsid w:val="3E4D33B6"/>
    <w:rsid w:val="3E5A3954"/>
    <w:rsid w:val="3E6D4B50"/>
    <w:rsid w:val="3E6E73FF"/>
    <w:rsid w:val="3E974FE5"/>
    <w:rsid w:val="3E9B64DE"/>
    <w:rsid w:val="3F15086B"/>
    <w:rsid w:val="3F222FE0"/>
    <w:rsid w:val="3F312B85"/>
    <w:rsid w:val="3F3811B0"/>
    <w:rsid w:val="3F6A39FC"/>
    <w:rsid w:val="3F9136D3"/>
    <w:rsid w:val="3F9D4665"/>
    <w:rsid w:val="3FC4377B"/>
    <w:rsid w:val="3FE77469"/>
    <w:rsid w:val="40015983"/>
    <w:rsid w:val="400E6E52"/>
    <w:rsid w:val="40186DD6"/>
    <w:rsid w:val="402604EF"/>
    <w:rsid w:val="402B158F"/>
    <w:rsid w:val="406861BB"/>
    <w:rsid w:val="406D6BDC"/>
    <w:rsid w:val="4071063D"/>
    <w:rsid w:val="407F58F4"/>
    <w:rsid w:val="408D6737"/>
    <w:rsid w:val="40BD53EA"/>
    <w:rsid w:val="40E02ED9"/>
    <w:rsid w:val="40EB2F89"/>
    <w:rsid w:val="40FC0CF2"/>
    <w:rsid w:val="410D73A4"/>
    <w:rsid w:val="41230975"/>
    <w:rsid w:val="41272213"/>
    <w:rsid w:val="412D70FE"/>
    <w:rsid w:val="41326E0A"/>
    <w:rsid w:val="41375092"/>
    <w:rsid w:val="41390199"/>
    <w:rsid w:val="41573CA6"/>
    <w:rsid w:val="41835FC1"/>
    <w:rsid w:val="418807D8"/>
    <w:rsid w:val="41C26BC6"/>
    <w:rsid w:val="424E1A22"/>
    <w:rsid w:val="42634441"/>
    <w:rsid w:val="42663B1B"/>
    <w:rsid w:val="4282730C"/>
    <w:rsid w:val="428C67D1"/>
    <w:rsid w:val="42C1377E"/>
    <w:rsid w:val="42C46384"/>
    <w:rsid w:val="430A1DED"/>
    <w:rsid w:val="430D2AC7"/>
    <w:rsid w:val="43255A95"/>
    <w:rsid w:val="43291FA2"/>
    <w:rsid w:val="434B0223"/>
    <w:rsid w:val="4363194B"/>
    <w:rsid w:val="43BD65A7"/>
    <w:rsid w:val="43CE2C49"/>
    <w:rsid w:val="43D9356D"/>
    <w:rsid w:val="43E4263E"/>
    <w:rsid w:val="441F0B81"/>
    <w:rsid w:val="442F3894"/>
    <w:rsid w:val="443E0598"/>
    <w:rsid w:val="4450450E"/>
    <w:rsid w:val="446104E2"/>
    <w:rsid w:val="446473D4"/>
    <w:rsid w:val="446B5898"/>
    <w:rsid w:val="44735DE3"/>
    <w:rsid w:val="44781C81"/>
    <w:rsid w:val="4484172B"/>
    <w:rsid w:val="44A322CE"/>
    <w:rsid w:val="44B55D88"/>
    <w:rsid w:val="44C91833"/>
    <w:rsid w:val="44F468B0"/>
    <w:rsid w:val="45042241"/>
    <w:rsid w:val="4516325F"/>
    <w:rsid w:val="452D0283"/>
    <w:rsid w:val="456D4F53"/>
    <w:rsid w:val="456E6C58"/>
    <w:rsid w:val="45786689"/>
    <w:rsid w:val="45886FF9"/>
    <w:rsid w:val="458F1D63"/>
    <w:rsid w:val="459C0CF6"/>
    <w:rsid w:val="45EA7CB3"/>
    <w:rsid w:val="45F40814"/>
    <w:rsid w:val="46674E60"/>
    <w:rsid w:val="46A47E62"/>
    <w:rsid w:val="46AF23CF"/>
    <w:rsid w:val="46BF6A4A"/>
    <w:rsid w:val="46F10BCE"/>
    <w:rsid w:val="46F72688"/>
    <w:rsid w:val="46F92AD7"/>
    <w:rsid w:val="470E69E3"/>
    <w:rsid w:val="47246F9A"/>
    <w:rsid w:val="47745A86"/>
    <w:rsid w:val="477C6453"/>
    <w:rsid w:val="478101A3"/>
    <w:rsid w:val="478F28C0"/>
    <w:rsid w:val="47A40DDF"/>
    <w:rsid w:val="47B91DC2"/>
    <w:rsid w:val="47BA3749"/>
    <w:rsid w:val="47BE78EA"/>
    <w:rsid w:val="47C36A0E"/>
    <w:rsid w:val="47CF7161"/>
    <w:rsid w:val="47DE621C"/>
    <w:rsid w:val="47E671FA"/>
    <w:rsid w:val="47FF4A18"/>
    <w:rsid w:val="48064AFD"/>
    <w:rsid w:val="48080ABE"/>
    <w:rsid w:val="482C45B3"/>
    <w:rsid w:val="484A6384"/>
    <w:rsid w:val="486F3910"/>
    <w:rsid w:val="48D52555"/>
    <w:rsid w:val="490D3273"/>
    <w:rsid w:val="49162F24"/>
    <w:rsid w:val="49216A74"/>
    <w:rsid w:val="49470ABD"/>
    <w:rsid w:val="49490CA3"/>
    <w:rsid w:val="494D658F"/>
    <w:rsid w:val="49583186"/>
    <w:rsid w:val="495F2766"/>
    <w:rsid w:val="49971F00"/>
    <w:rsid w:val="49E136AB"/>
    <w:rsid w:val="49E62540"/>
    <w:rsid w:val="49EE33FF"/>
    <w:rsid w:val="4A0D0EF6"/>
    <w:rsid w:val="4A2D38C8"/>
    <w:rsid w:val="4A5606F5"/>
    <w:rsid w:val="4A610183"/>
    <w:rsid w:val="4A9B3185"/>
    <w:rsid w:val="4AD04611"/>
    <w:rsid w:val="4B180E1F"/>
    <w:rsid w:val="4B1B6510"/>
    <w:rsid w:val="4B1F0475"/>
    <w:rsid w:val="4B282AE6"/>
    <w:rsid w:val="4B4B7415"/>
    <w:rsid w:val="4B8137BE"/>
    <w:rsid w:val="4B955F8C"/>
    <w:rsid w:val="4B9A5F9D"/>
    <w:rsid w:val="4BA95FFA"/>
    <w:rsid w:val="4BBC79FC"/>
    <w:rsid w:val="4BEF3A38"/>
    <w:rsid w:val="4C234D35"/>
    <w:rsid w:val="4C4719BC"/>
    <w:rsid w:val="4C4D4AF8"/>
    <w:rsid w:val="4C7262BA"/>
    <w:rsid w:val="4C9646F1"/>
    <w:rsid w:val="4CAA3CF8"/>
    <w:rsid w:val="4CBA7AAF"/>
    <w:rsid w:val="4CC308E1"/>
    <w:rsid w:val="4CC55FE4"/>
    <w:rsid w:val="4CEA2347"/>
    <w:rsid w:val="4D2515D1"/>
    <w:rsid w:val="4D465454"/>
    <w:rsid w:val="4D8602C2"/>
    <w:rsid w:val="4D862B22"/>
    <w:rsid w:val="4DA45A84"/>
    <w:rsid w:val="4DAA0571"/>
    <w:rsid w:val="4DAD3AA0"/>
    <w:rsid w:val="4DC949F8"/>
    <w:rsid w:val="4DDA060D"/>
    <w:rsid w:val="4DF6443C"/>
    <w:rsid w:val="4DF91E57"/>
    <w:rsid w:val="4E2E7429"/>
    <w:rsid w:val="4E306AEB"/>
    <w:rsid w:val="4E400918"/>
    <w:rsid w:val="4E975F97"/>
    <w:rsid w:val="4EA64E0F"/>
    <w:rsid w:val="4ED65F9C"/>
    <w:rsid w:val="4ED82D9F"/>
    <w:rsid w:val="4EFB4CDF"/>
    <w:rsid w:val="4F0E786D"/>
    <w:rsid w:val="4F5477AA"/>
    <w:rsid w:val="4F6211FF"/>
    <w:rsid w:val="4FC25F8E"/>
    <w:rsid w:val="4FE65048"/>
    <w:rsid w:val="50033E4B"/>
    <w:rsid w:val="50506965"/>
    <w:rsid w:val="50A55552"/>
    <w:rsid w:val="50A92068"/>
    <w:rsid w:val="50C730CB"/>
    <w:rsid w:val="50EA0B67"/>
    <w:rsid w:val="51416C84"/>
    <w:rsid w:val="515E03EA"/>
    <w:rsid w:val="51763829"/>
    <w:rsid w:val="518B234A"/>
    <w:rsid w:val="519421B9"/>
    <w:rsid w:val="51A15F4C"/>
    <w:rsid w:val="51A76A58"/>
    <w:rsid w:val="51AE1D36"/>
    <w:rsid w:val="51BA2C30"/>
    <w:rsid w:val="51C664D7"/>
    <w:rsid w:val="52165F73"/>
    <w:rsid w:val="521A1920"/>
    <w:rsid w:val="522105B9"/>
    <w:rsid w:val="52323085"/>
    <w:rsid w:val="52C46986"/>
    <w:rsid w:val="52F308A5"/>
    <w:rsid w:val="530B665A"/>
    <w:rsid w:val="531B5950"/>
    <w:rsid w:val="53523B59"/>
    <w:rsid w:val="538434F5"/>
    <w:rsid w:val="538F59F6"/>
    <w:rsid w:val="538F5AF2"/>
    <w:rsid w:val="53C94C04"/>
    <w:rsid w:val="53CB2ED2"/>
    <w:rsid w:val="53CF1BBC"/>
    <w:rsid w:val="53D1600F"/>
    <w:rsid w:val="540B7773"/>
    <w:rsid w:val="541505F1"/>
    <w:rsid w:val="543A0058"/>
    <w:rsid w:val="544E6AA7"/>
    <w:rsid w:val="5455702E"/>
    <w:rsid w:val="548F2E8A"/>
    <w:rsid w:val="549C661D"/>
    <w:rsid w:val="54C4584A"/>
    <w:rsid w:val="54F14BBA"/>
    <w:rsid w:val="54F63C74"/>
    <w:rsid w:val="551E742C"/>
    <w:rsid w:val="552503C0"/>
    <w:rsid w:val="553552CC"/>
    <w:rsid w:val="553C7AB7"/>
    <w:rsid w:val="554613D4"/>
    <w:rsid w:val="55594A70"/>
    <w:rsid w:val="558D3F54"/>
    <w:rsid w:val="55986DE4"/>
    <w:rsid w:val="55B445E8"/>
    <w:rsid w:val="55D10548"/>
    <w:rsid w:val="561934D3"/>
    <w:rsid w:val="563504A3"/>
    <w:rsid w:val="564146E8"/>
    <w:rsid w:val="568B7E35"/>
    <w:rsid w:val="56B7773E"/>
    <w:rsid w:val="56C625D3"/>
    <w:rsid w:val="571132F2"/>
    <w:rsid w:val="571A4BC3"/>
    <w:rsid w:val="571F7A0F"/>
    <w:rsid w:val="57482A8C"/>
    <w:rsid w:val="57874821"/>
    <w:rsid w:val="57874C1F"/>
    <w:rsid w:val="57AA5EAC"/>
    <w:rsid w:val="57AD4960"/>
    <w:rsid w:val="57B53D1C"/>
    <w:rsid w:val="57BE4AFC"/>
    <w:rsid w:val="57D0648F"/>
    <w:rsid w:val="57FB5D50"/>
    <w:rsid w:val="57FF48DC"/>
    <w:rsid w:val="58095D77"/>
    <w:rsid w:val="58543AB8"/>
    <w:rsid w:val="58586CFE"/>
    <w:rsid w:val="5862192B"/>
    <w:rsid w:val="58825949"/>
    <w:rsid w:val="58A3441E"/>
    <w:rsid w:val="58CA1EBD"/>
    <w:rsid w:val="58D04AE7"/>
    <w:rsid w:val="58D14210"/>
    <w:rsid w:val="58D520FD"/>
    <w:rsid w:val="58F20F01"/>
    <w:rsid w:val="590D0758"/>
    <w:rsid w:val="59435A08"/>
    <w:rsid w:val="596F6A33"/>
    <w:rsid w:val="59761A20"/>
    <w:rsid w:val="599C672B"/>
    <w:rsid w:val="59AA17DC"/>
    <w:rsid w:val="59C17497"/>
    <w:rsid w:val="59EC6FE0"/>
    <w:rsid w:val="5A04039C"/>
    <w:rsid w:val="5A250854"/>
    <w:rsid w:val="5A2D1404"/>
    <w:rsid w:val="5A33768E"/>
    <w:rsid w:val="5A56101C"/>
    <w:rsid w:val="5A565B2E"/>
    <w:rsid w:val="5A653116"/>
    <w:rsid w:val="5A871B1D"/>
    <w:rsid w:val="5AC97A40"/>
    <w:rsid w:val="5AD52888"/>
    <w:rsid w:val="5AE76118"/>
    <w:rsid w:val="5AFC1BC3"/>
    <w:rsid w:val="5AFD0698"/>
    <w:rsid w:val="5AFD593B"/>
    <w:rsid w:val="5B074697"/>
    <w:rsid w:val="5B441028"/>
    <w:rsid w:val="5B61411C"/>
    <w:rsid w:val="5B765E19"/>
    <w:rsid w:val="5B90055D"/>
    <w:rsid w:val="5BB46942"/>
    <w:rsid w:val="5BEC1C38"/>
    <w:rsid w:val="5C123256"/>
    <w:rsid w:val="5C1B251D"/>
    <w:rsid w:val="5C381550"/>
    <w:rsid w:val="5CAB753E"/>
    <w:rsid w:val="5CB06FA4"/>
    <w:rsid w:val="5CD01559"/>
    <w:rsid w:val="5CFD22D5"/>
    <w:rsid w:val="5D0459D8"/>
    <w:rsid w:val="5D064610"/>
    <w:rsid w:val="5D443618"/>
    <w:rsid w:val="5D855930"/>
    <w:rsid w:val="5D8B07A4"/>
    <w:rsid w:val="5D95403F"/>
    <w:rsid w:val="5DA45FC7"/>
    <w:rsid w:val="5DB3182E"/>
    <w:rsid w:val="5DC17507"/>
    <w:rsid w:val="5DDC52DC"/>
    <w:rsid w:val="5DEF3DFE"/>
    <w:rsid w:val="5E162772"/>
    <w:rsid w:val="5E343D6A"/>
    <w:rsid w:val="5E54073A"/>
    <w:rsid w:val="5E5A2CD6"/>
    <w:rsid w:val="5E68756F"/>
    <w:rsid w:val="5E741D96"/>
    <w:rsid w:val="5E7E71B6"/>
    <w:rsid w:val="5E875C48"/>
    <w:rsid w:val="5EC54F47"/>
    <w:rsid w:val="5EDB41E5"/>
    <w:rsid w:val="5F105C3D"/>
    <w:rsid w:val="5F1A793B"/>
    <w:rsid w:val="5FB2375F"/>
    <w:rsid w:val="5FBC5DC5"/>
    <w:rsid w:val="5FD119D0"/>
    <w:rsid w:val="5FD3347D"/>
    <w:rsid w:val="5FE86BBA"/>
    <w:rsid w:val="5FEC48FC"/>
    <w:rsid w:val="5FFE053C"/>
    <w:rsid w:val="60082DB8"/>
    <w:rsid w:val="604B774D"/>
    <w:rsid w:val="6061058D"/>
    <w:rsid w:val="606C77EB"/>
    <w:rsid w:val="608A1A1F"/>
    <w:rsid w:val="609603C4"/>
    <w:rsid w:val="60964922"/>
    <w:rsid w:val="60A65731"/>
    <w:rsid w:val="60BB607C"/>
    <w:rsid w:val="60D07D7A"/>
    <w:rsid w:val="60D8227A"/>
    <w:rsid w:val="60E6759D"/>
    <w:rsid w:val="60ED31FA"/>
    <w:rsid w:val="60F04023"/>
    <w:rsid w:val="614B38A4"/>
    <w:rsid w:val="615C160D"/>
    <w:rsid w:val="61AD5C4B"/>
    <w:rsid w:val="61BE4076"/>
    <w:rsid w:val="620677CB"/>
    <w:rsid w:val="62131744"/>
    <w:rsid w:val="621E2D67"/>
    <w:rsid w:val="62256111"/>
    <w:rsid w:val="62285994"/>
    <w:rsid w:val="62310D49"/>
    <w:rsid w:val="6233339B"/>
    <w:rsid w:val="62373E29"/>
    <w:rsid w:val="62571DD5"/>
    <w:rsid w:val="626B762E"/>
    <w:rsid w:val="62816E52"/>
    <w:rsid w:val="62AF39BF"/>
    <w:rsid w:val="62E25B42"/>
    <w:rsid w:val="62F6033A"/>
    <w:rsid w:val="62FA0AE3"/>
    <w:rsid w:val="630F140E"/>
    <w:rsid w:val="63285E94"/>
    <w:rsid w:val="632C0E07"/>
    <w:rsid w:val="633671EC"/>
    <w:rsid w:val="63540F7F"/>
    <w:rsid w:val="6390490C"/>
    <w:rsid w:val="63B8083F"/>
    <w:rsid w:val="6410048D"/>
    <w:rsid w:val="64134D3F"/>
    <w:rsid w:val="64430863"/>
    <w:rsid w:val="64552344"/>
    <w:rsid w:val="645A43CD"/>
    <w:rsid w:val="647252EF"/>
    <w:rsid w:val="64A15589"/>
    <w:rsid w:val="64BB6D25"/>
    <w:rsid w:val="64D616D7"/>
    <w:rsid w:val="650D2C1F"/>
    <w:rsid w:val="65342AB6"/>
    <w:rsid w:val="655817B4"/>
    <w:rsid w:val="655A481C"/>
    <w:rsid w:val="65640A91"/>
    <w:rsid w:val="657E652A"/>
    <w:rsid w:val="65896749"/>
    <w:rsid w:val="65966C6E"/>
    <w:rsid w:val="65B14824"/>
    <w:rsid w:val="65BA2DA7"/>
    <w:rsid w:val="65C2532B"/>
    <w:rsid w:val="65D5198E"/>
    <w:rsid w:val="662446C4"/>
    <w:rsid w:val="664803B2"/>
    <w:rsid w:val="66535093"/>
    <w:rsid w:val="665A5356"/>
    <w:rsid w:val="665D7914"/>
    <w:rsid w:val="666B5E4F"/>
    <w:rsid w:val="6687626C"/>
    <w:rsid w:val="66A070C9"/>
    <w:rsid w:val="66B772E6"/>
    <w:rsid w:val="66FC2F4B"/>
    <w:rsid w:val="67140640"/>
    <w:rsid w:val="67490DDC"/>
    <w:rsid w:val="675D1525"/>
    <w:rsid w:val="67656D42"/>
    <w:rsid w:val="67706AF4"/>
    <w:rsid w:val="677B0314"/>
    <w:rsid w:val="67A31DBB"/>
    <w:rsid w:val="67E660D5"/>
    <w:rsid w:val="68001EB2"/>
    <w:rsid w:val="68285BED"/>
    <w:rsid w:val="684C492A"/>
    <w:rsid w:val="68727968"/>
    <w:rsid w:val="68931B3D"/>
    <w:rsid w:val="689A2A1B"/>
    <w:rsid w:val="68C305E8"/>
    <w:rsid w:val="690B56C7"/>
    <w:rsid w:val="690E43C7"/>
    <w:rsid w:val="69164568"/>
    <w:rsid w:val="69261CB9"/>
    <w:rsid w:val="693B4187"/>
    <w:rsid w:val="693C34C5"/>
    <w:rsid w:val="69401DA6"/>
    <w:rsid w:val="694729C8"/>
    <w:rsid w:val="69852275"/>
    <w:rsid w:val="699670B1"/>
    <w:rsid w:val="69CC1E41"/>
    <w:rsid w:val="69D12417"/>
    <w:rsid w:val="69D962BC"/>
    <w:rsid w:val="69E16C41"/>
    <w:rsid w:val="69F75F14"/>
    <w:rsid w:val="6A0E4801"/>
    <w:rsid w:val="6A1375FF"/>
    <w:rsid w:val="6A1F7952"/>
    <w:rsid w:val="6A22716C"/>
    <w:rsid w:val="6A246A40"/>
    <w:rsid w:val="6A3826FB"/>
    <w:rsid w:val="6A3F044D"/>
    <w:rsid w:val="6A7C687C"/>
    <w:rsid w:val="6A8F6C71"/>
    <w:rsid w:val="6A900637"/>
    <w:rsid w:val="6A917E7A"/>
    <w:rsid w:val="6AA62479"/>
    <w:rsid w:val="6AB778B5"/>
    <w:rsid w:val="6ADB7A47"/>
    <w:rsid w:val="6AF04CEE"/>
    <w:rsid w:val="6B0C6E15"/>
    <w:rsid w:val="6B15360A"/>
    <w:rsid w:val="6B4849B1"/>
    <w:rsid w:val="6B5735A0"/>
    <w:rsid w:val="6B763727"/>
    <w:rsid w:val="6B9246C9"/>
    <w:rsid w:val="6B9E0A74"/>
    <w:rsid w:val="6BA64490"/>
    <w:rsid w:val="6BAC3191"/>
    <w:rsid w:val="6BAF004B"/>
    <w:rsid w:val="6BCA0DB1"/>
    <w:rsid w:val="6BCC55E2"/>
    <w:rsid w:val="6BF52EDA"/>
    <w:rsid w:val="6BFA38B5"/>
    <w:rsid w:val="6C64793D"/>
    <w:rsid w:val="6C6A0FE1"/>
    <w:rsid w:val="6CA201B5"/>
    <w:rsid w:val="6CA83959"/>
    <w:rsid w:val="6CC462B9"/>
    <w:rsid w:val="6CCF746F"/>
    <w:rsid w:val="6CF41951"/>
    <w:rsid w:val="6D2F4CC8"/>
    <w:rsid w:val="6D4738C9"/>
    <w:rsid w:val="6D57712D"/>
    <w:rsid w:val="6D6078E9"/>
    <w:rsid w:val="6D7221B9"/>
    <w:rsid w:val="6D917748"/>
    <w:rsid w:val="6DB84B1B"/>
    <w:rsid w:val="6DB85E1E"/>
    <w:rsid w:val="6DE15781"/>
    <w:rsid w:val="6E0948CB"/>
    <w:rsid w:val="6E2E0238"/>
    <w:rsid w:val="6E5870E1"/>
    <w:rsid w:val="6E5A3C07"/>
    <w:rsid w:val="6EA445F4"/>
    <w:rsid w:val="6EB505AF"/>
    <w:rsid w:val="6EB721B0"/>
    <w:rsid w:val="6EF07839"/>
    <w:rsid w:val="6EFB7A06"/>
    <w:rsid w:val="6F100606"/>
    <w:rsid w:val="6F252FCD"/>
    <w:rsid w:val="6F3E546B"/>
    <w:rsid w:val="6F8A10CB"/>
    <w:rsid w:val="6F906306"/>
    <w:rsid w:val="6F93306C"/>
    <w:rsid w:val="6F944668"/>
    <w:rsid w:val="6FB03C97"/>
    <w:rsid w:val="6FB06044"/>
    <w:rsid w:val="6FB3610E"/>
    <w:rsid w:val="6FB5491F"/>
    <w:rsid w:val="6FB645DF"/>
    <w:rsid w:val="6FB95E7D"/>
    <w:rsid w:val="6FD41A75"/>
    <w:rsid w:val="6FD96722"/>
    <w:rsid w:val="6FF3325D"/>
    <w:rsid w:val="6FFC6DE8"/>
    <w:rsid w:val="70041A7E"/>
    <w:rsid w:val="70250894"/>
    <w:rsid w:val="702F613F"/>
    <w:rsid w:val="704B3A24"/>
    <w:rsid w:val="708752DE"/>
    <w:rsid w:val="70A05304"/>
    <w:rsid w:val="70F826F5"/>
    <w:rsid w:val="711315BD"/>
    <w:rsid w:val="71200960"/>
    <w:rsid w:val="713E488C"/>
    <w:rsid w:val="716B489A"/>
    <w:rsid w:val="71795452"/>
    <w:rsid w:val="71A32941"/>
    <w:rsid w:val="720C498A"/>
    <w:rsid w:val="720E1013"/>
    <w:rsid w:val="7216210F"/>
    <w:rsid w:val="72203F91"/>
    <w:rsid w:val="72205DA8"/>
    <w:rsid w:val="72253C9E"/>
    <w:rsid w:val="72364E85"/>
    <w:rsid w:val="723A3AE3"/>
    <w:rsid w:val="72563E57"/>
    <w:rsid w:val="725D55AA"/>
    <w:rsid w:val="729A338A"/>
    <w:rsid w:val="72C277F2"/>
    <w:rsid w:val="72CD399D"/>
    <w:rsid w:val="72D54D7C"/>
    <w:rsid w:val="72F01BB6"/>
    <w:rsid w:val="72F23216"/>
    <w:rsid w:val="73013DC3"/>
    <w:rsid w:val="73034F50"/>
    <w:rsid w:val="730B2E93"/>
    <w:rsid w:val="7328385A"/>
    <w:rsid w:val="734615F1"/>
    <w:rsid w:val="734F5B66"/>
    <w:rsid w:val="736D365C"/>
    <w:rsid w:val="73726A6F"/>
    <w:rsid w:val="737C169B"/>
    <w:rsid w:val="737E4983"/>
    <w:rsid w:val="73852C46"/>
    <w:rsid w:val="738A200A"/>
    <w:rsid w:val="739811CC"/>
    <w:rsid w:val="73BD2F1E"/>
    <w:rsid w:val="73C65949"/>
    <w:rsid w:val="73CA3B68"/>
    <w:rsid w:val="73E536E4"/>
    <w:rsid w:val="74400EDB"/>
    <w:rsid w:val="748C590E"/>
    <w:rsid w:val="74BB250E"/>
    <w:rsid w:val="74BD1F6B"/>
    <w:rsid w:val="74D71FCA"/>
    <w:rsid w:val="7500325A"/>
    <w:rsid w:val="75071439"/>
    <w:rsid w:val="750B14E6"/>
    <w:rsid w:val="750E45A3"/>
    <w:rsid w:val="75396AE8"/>
    <w:rsid w:val="755723C0"/>
    <w:rsid w:val="75613802"/>
    <w:rsid w:val="759F2699"/>
    <w:rsid w:val="75AE7B06"/>
    <w:rsid w:val="76117735"/>
    <w:rsid w:val="762D4ECF"/>
    <w:rsid w:val="76322085"/>
    <w:rsid w:val="764566BC"/>
    <w:rsid w:val="76544D27"/>
    <w:rsid w:val="766D34B0"/>
    <w:rsid w:val="767E7212"/>
    <w:rsid w:val="76884D7F"/>
    <w:rsid w:val="769B452E"/>
    <w:rsid w:val="76A47E70"/>
    <w:rsid w:val="76EA2176"/>
    <w:rsid w:val="76F806FF"/>
    <w:rsid w:val="771A5634"/>
    <w:rsid w:val="771B04C1"/>
    <w:rsid w:val="77253DF8"/>
    <w:rsid w:val="77440722"/>
    <w:rsid w:val="774D7179"/>
    <w:rsid w:val="77505319"/>
    <w:rsid w:val="7756298E"/>
    <w:rsid w:val="778B45A3"/>
    <w:rsid w:val="778E0927"/>
    <w:rsid w:val="779010FA"/>
    <w:rsid w:val="77C83101"/>
    <w:rsid w:val="780103C1"/>
    <w:rsid w:val="78216CB5"/>
    <w:rsid w:val="784C1F84"/>
    <w:rsid w:val="785D05BD"/>
    <w:rsid w:val="78D3456B"/>
    <w:rsid w:val="78D930EC"/>
    <w:rsid w:val="79053957"/>
    <w:rsid w:val="79095F83"/>
    <w:rsid w:val="790B0D2A"/>
    <w:rsid w:val="792710E8"/>
    <w:rsid w:val="79293B6D"/>
    <w:rsid w:val="793A5AB1"/>
    <w:rsid w:val="796926C2"/>
    <w:rsid w:val="797C23F5"/>
    <w:rsid w:val="79A31741"/>
    <w:rsid w:val="79B06543"/>
    <w:rsid w:val="79B27BE3"/>
    <w:rsid w:val="79B37DE1"/>
    <w:rsid w:val="79B71E5D"/>
    <w:rsid w:val="79C02027"/>
    <w:rsid w:val="79D61F74"/>
    <w:rsid w:val="79F3642F"/>
    <w:rsid w:val="7A543372"/>
    <w:rsid w:val="7A5769BE"/>
    <w:rsid w:val="7A5A69CD"/>
    <w:rsid w:val="7A995229"/>
    <w:rsid w:val="7AB11CB6"/>
    <w:rsid w:val="7B3749B5"/>
    <w:rsid w:val="7B8C5067"/>
    <w:rsid w:val="7BAE260E"/>
    <w:rsid w:val="7BCE0F02"/>
    <w:rsid w:val="7BDA00C6"/>
    <w:rsid w:val="7BE86DCA"/>
    <w:rsid w:val="7BFA3AA5"/>
    <w:rsid w:val="7C3F1D3C"/>
    <w:rsid w:val="7C3F2E0A"/>
    <w:rsid w:val="7C4B60AF"/>
    <w:rsid w:val="7C6C0E1F"/>
    <w:rsid w:val="7C86358B"/>
    <w:rsid w:val="7C8C695E"/>
    <w:rsid w:val="7CB974BC"/>
    <w:rsid w:val="7CCD4D16"/>
    <w:rsid w:val="7CD41E02"/>
    <w:rsid w:val="7CEA3B1A"/>
    <w:rsid w:val="7D1F7C67"/>
    <w:rsid w:val="7D2C4132"/>
    <w:rsid w:val="7D5316BF"/>
    <w:rsid w:val="7D7B29C4"/>
    <w:rsid w:val="7D8575B6"/>
    <w:rsid w:val="7D893333"/>
    <w:rsid w:val="7D8A1398"/>
    <w:rsid w:val="7D9B56F8"/>
    <w:rsid w:val="7DAC51BA"/>
    <w:rsid w:val="7DE44A0D"/>
    <w:rsid w:val="7DF84014"/>
    <w:rsid w:val="7E0A29B9"/>
    <w:rsid w:val="7E134240"/>
    <w:rsid w:val="7E6F7359"/>
    <w:rsid w:val="7E7B6E1F"/>
    <w:rsid w:val="7EB1209C"/>
    <w:rsid w:val="7EBB39C0"/>
    <w:rsid w:val="7EC64112"/>
    <w:rsid w:val="7EE84089"/>
    <w:rsid w:val="7F1323A1"/>
    <w:rsid w:val="7F20732F"/>
    <w:rsid w:val="7F532EF0"/>
    <w:rsid w:val="7F5E5A33"/>
    <w:rsid w:val="7F6000C3"/>
    <w:rsid w:val="7F643B5C"/>
    <w:rsid w:val="7F841C19"/>
    <w:rsid w:val="7F8C1472"/>
    <w:rsid w:val="7F967F89"/>
    <w:rsid w:val="7FB126CD"/>
    <w:rsid w:val="7FB4040F"/>
    <w:rsid w:val="7FD34D39"/>
    <w:rsid w:val="FFF73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eastAsia="宋体" w:asciiTheme="minorHAnsi" w:hAnsiTheme="minorHAnsi" w:cstheme="minorBidi"/>
      <w:kern w:val="2"/>
      <w:sz w:val="21"/>
      <w:szCs w:val="21"/>
      <w:lang w:val="en-US" w:eastAsia="zh-CN" w:bidi="ar-SA"/>
    </w:rPr>
  </w:style>
  <w:style w:type="paragraph" w:styleId="3">
    <w:name w:val="heading 1"/>
    <w:basedOn w:val="1"/>
    <w:next w:val="1"/>
    <w:qFormat/>
    <w:uiPriority w:val="0"/>
    <w:pPr>
      <w:keepNext/>
      <w:keepLines/>
      <w:spacing w:before="340" w:after="330" w:line="578" w:lineRule="auto"/>
      <w:jc w:val="center"/>
      <w:outlineLvl w:val="0"/>
    </w:pPr>
    <w:rPr>
      <w:b/>
      <w:bCs/>
      <w:kern w:val="44"/>
      <w:sz w:val="30"/>
      <w:szCs w:val="44"/>
    </w:rPr>
  </w:style>
  <w:style w:type="paragraph" w:styleId="4">
    <w:name w:val="heading 2"/>
    <w:basedOn w:val="1"/>
    <w:next w:val="1"/>
    <w:unhideWhenUsed/>
    <w:qFormat/>
    <w:uiPriority w:val="0"/>
    <w:pPr>
      <w:keepNext/>
      <w:keepLines/>
      <w:outlineLvl w:val="1"/>
    </w:pPr>
    <w:rPr>
      <w:rFonts w:asciiTheme="majorHAnsi" w:hAnsiTheme="majorHAnsi" w:cstheme="majorBidi"/>
      <w:sz w:val="28"/>
      <w:szCs w:val="32"/>
    </w:rPr>
  </w:style>
  <w:style w:type="paragraph" w:styleId="5">
    <w:name w:val="heading 3"/>
    <w:basedOn w:val="1"/>
    <w:next w:val="6"/>
    <w:unhideWhenUsed/>
    <w:qFormat/>
    <w:uiPriority w:val="0"/>
    <w:pPr>
      <w:keepNext/>
      <w:keepLines/>
      <w:spacing w:line="560" w:lineRule="exact"/>
      <w:outlineLvl w:val="2"/>
    </w:pPr>
    <w:rPr>
      <w:rFonts w:ascii="仿宋" w:hAnsi="仿宋" w:cs="Times New Roman"/>
      <w:b/>
      <w:bCs/>
      <w:sz w:val="24"/>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szCs w:val="20"/>
    </w:rPr>
  </w:style>
  <w:style w:type="paragraph" w:styleId="6">
    <w:name w:val="Body Text"/>
    <w:basedOn w:val="1"/>
    <w:qFormat/>
    <w:uiPriority w:val="0"/>
    <w:pPr>
      <w:widowControl/>
      <w:overflowPunct w:val="0"/>
      <w:autoSpaceDE w:val="0"/>
      <w:autoSpaceDN w:val="0"/>
      <w:adjustRightInd w:val="0"/>
      <w:jc w:val="left"/>
      <w:textAlignment w:val="baseline"/>
    </w:pPr>
    <w:rPr>
      <w:rFonts w:hint="eastAsia"/>
      <w:color w:val="000000"/>
      <w:kern w:val="0"/>
      <w:sz w:val="24"/>
      <w:szCs w:val="20"/>
    </w:rPr>
  </w:style>
  <w:style w:type="paragraph" w:styleId="7">
    <w:name w:val="Normal Indent"/>
    <w:basedOn w:val="1"/>
    <w:unhideWhenUsed/>
    <w:qFormat/>
    <w:uiPriority w:val="99"/>
    <w:pPr>
      <w:ind w:firstLine="420" w:firstLineChars="200"/>
    </w:pPr>
    <w:rPr>
      <w:rFonts w:ascii="Times New Roman" w:hAnsi="Times New Roman" w:eastAsia="宋体" w:cs="Times New Roman"/>
      <w14:ligatures w14:val="none"/>
    </w:rPr>
  </w:style>
  <w:style w:type="paragraph" w:styleId="8">
    <w:name w:val="annotation text"/>
    <w:basedOn w:val="1"/>
    <w:qFormat/>
    <w:uiPriority w:val="0"/>
    <w:pPr>
      <w:jc w:val="left"/>
    </w:pPr>
  </w:style>
  <w:style w:type="paragraph" w:styleId="9">
    <w:name w:val="Body Text Indent"/>
    <w:basedOn w:val="1"/>
    <w:qFormat/>
    <w:uiPriority w:val="0"/>
    <w:pPr>
      <w:spacing w:after="120"/>
      <w:ind w:left="420" w:leftChars="200"/>
    </w:pPr>
    <w:rPr>
      <w:rFonts w:hint="eastAsia"/>
      <w:szCs w:val="20"/>
    </w:rPr>
  </w:style>
  <w:style w:type="paragraph" w:styleId="10">
    <w:name w:val="Plain Text"/>
    <w:basedOn w:val="1"/>
    <w:qFormat/>
    <w:uiPriority w:val="99"/>
    <w:pPr>
      <w:jc w:val="center"/>
    </w:pPr>
    <w:rPr>
      <w:rFonts w:ascii="方正小标宋简体" w:hAnsi="Courier New" w:cs="方正小标宋简体"/>
      <w:lang w:val="zh-CN"/>
    </w:rPr>
  </w:style>
  <w:style w:type="paragraph" w:styleId="11">
    <w:name w:val="footer"/>
    <w:basedOn w:val="1"/>
    <w:qFormat/>
    <w:uiPriority w:val="99"/>
    <w:pPr>
      <w:tabs>
        <w:tab w:val="center" w:pos="4153"/>
        <w:tab w:val="right" w:pos="8306"/>
      </w:tabs>
      <w:snapToGrid w:val="0"/>
    </w:pPr>
    <w:rPr>
      <w:sz w:val="18"/>
      <w:szCs w:val="18"/>
    </w:rPr>
  </w:style>
  <w:style w:type="paragraph" w:styleId="1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rPr>
      <w:rFonts w:cs="Times New Roman"/>
    </w:rPr>
  </w:style>
  <w:style w:type="character" w:styleId="18">
    <w:name w:val="Hyperlink"/>
    <w:qFormat/>
    <w:uiPriority w:val="0"/>
    <w:rPr>
      <w:color w:val="3665C3"/>
      <w:u w:val="none"/>
    </w:rPr>
  </w:style>
  <w:style w:type="paragraph" w:customStyle="1" w:styleId="19">
    <w:name w:val="Normal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0">
    <w:name w:val="Normal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1">
    <w:name w:val="Normal New New New New New"/>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WPSOffice手动目录 1"/>
    <w:qFormat/>
    <w:uiPriority w:val="0"/>
    <w:pPr>
      <w:ind w:leftChars="0"/>
    </w:pPr>
    <w:rPr>
      <w:rFonts w:ascii="Times New Roman" w:hAnsi="Times New Roman" w:eastAsia="宋体" w:cs="Times New Roman"/>
      <w:sz w:val="20"/>
      <w:szCs w:val="20"/>
    </w:rPr>
  </w:style>
  <w:style w:type="paragraph" w:customStyle="1" w:styleId="25">
    <w:name w:val="WPSOffice手动目录 2"/>
    <w:qFormat/>
    <w:uiPriority w:val="0"/>
    <w:pPr>
      <w:ind w:leftChars="200"/>
    </w:pPr>
    <w:rPr>
      <w:rFonts w:ascii="Times New Roman" w:hAnsi="Times New Roman" w:eastAsia="宋体" w:cs="Times New Roman"/>
      <w:sz w:val="20"/>
      <w:szCs w:val="20"/>
    </w:rPr>
  </w:style>
  <w:style w:type="paragraph" w:styleId="26">
    <w:name w:val="List Paragraph"/>
    <w:basedOn w:val="1"/>
    <w:qFormat/>
    <w:uiPriority w:val="34"/>
    <w:pPr>
      <w:ind w:firstLine="420" w:firstLineChars="200"/>
    </w:pPr>
  </w:style>
  <w:style w:type="paragraph" w:customStyle="1" w:styleId="27">
    <w:name w:val="Normal1"/>
    <w:qFormat/>
    <w:uiPriority w:val="0"/>
    <w:pPr>
      <w:widowControl w:val="0"/>
      <w:adjustRightInd w:val="0"/>
      <w:spacing w:line="360" w:lineRule="atLeast"/>
    </w:pPr>
    <w:rPr>
      <w:rFonts w:ascii="MingLiU" w:hAnsi="Times New Roman" w:eastAsia="MingLiU" w:cs="Times New Roman"/>
      <w:sz w:val="24"/>
      <w:lang w:val="en-US" w:eastAsia="zh-TW" w:bidi="ar-SA"/>
    </w:rPr>
  </w:style>
  <w:style w:type="paragraph" w:customStyle="1" w:styleId="28">
    <w:name w:val="normal1"/>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20229</Words>
  <Characters>20460</Characters>
  <Lines>0</Lines>
  <Paragraphs>0</Paragraphs>
  <TotalTime>0</TotalTime>
  <ScaleCrop>false</ScaleCrop>
  <LinksUpToDate>false</LinksUpToDate>
  <CharactersWithSpaces>21186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2023-02-20T04:13:00Z</dcterms:created>
  <dc:creator>Administrator</dc:creator>
  <cp:lastModifiedBy>玩世大仙</cp:lastModifiedBy>
  <cp:lastPrinted>2023-09-28T01:23:00Z</cp:lastPrinted>
  <dcterms:modified xsi:type="dcterms:W3CDTF">2026-07-27T10:17:01Z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EB4AA17A1819491ABFF13417E4E735A9_13</vt:lpwstr>
  </property>
  <property fmtid="{D5CDD505-2E9C-101B-9397-08002B2CF9AE}" pid="4" name="KSOTemplateDocerSaveRecord">
    <vt:lpwstr>eyJoZGlkIjoiYmE5OTM3NjNjNDRmYzMyMTg2MWRiNGRmNmJlZmQ0NTYiLCJ1c2VySWQiOiI1MzA5NzI0NTAifQ==</vt:lpwstr>
  </property>
</Properties>
</file>