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firstLine="0" w:firstLineChars="0"/>
        <w:rPr>
          <w:rFonts w:ascii="黑体" w:hAnsi="黑体" w:eastAsia="黑体"/>
          <w:sz w:val="44"/>
          <w:szCs w:val="48"/>
          <w:highlight w:val="none"/>
          <w:u w:val="single"/>
        </w:rPr>
      </w:pPr>
    </w:p>
    <w:p>
      <w:pPr>
        <w:ind w:firstLine="0" w:firstLineChars="0"/>
        <w:jc w:val="center"/>
        <w:rPr>
          <w:rFonts w:hint="eastAsia" w:ascii="宋体" w:hAnsi="宋体" w:cs="宋体"/>
          <w:b/>
          <w:bCs/>
          <w:sz w:val="40"/>
          <w:szCs w:val="40"/>
          <w:highlight w:val="none"/>
          <w:u w:val="none"/>
          <w:lang w:eastAsia="zh-CN"/>
        </w:rPr>
      </w:pPr>
      <w:bookmarkStart w:id="0" w:name="_Toc6457"/>
      <w:r>
        <w:rPr>
          <w:rFonts w:hint="eastAsia" w:ascii="宋体" w:hAnsi="宋体" w:cs="宋体"/>
          <w:b/>
          <w:bCs/>
          <w:sz w:val="40"/>
          <w:szCs w:val="40"/>
          <w:highlight w:val="none"/>
          <w:u w:val="none"/>
        </w:rPr>
        <w:t>南通轨道交通集团有限公司</w:t>
      </w:r>
      <w:r>
        <w:rPr>
          <w:rFonts w:hint="eastAsia" w:ascii="宋体" w:hAnsi="宋体" w:cs="宋体"/>
          <w:b/>
          <w:bCs/>
          <w:sz w:val="40"/>
          <w:szCs w:val="40"/>
          <w:highlight w:val="none"/>
          <w:u w:val="none"/>
          <w:lang w:eastAsia="zh-CN"/>
        </w:rPr>
        <w:t>运营分公司2026-2029年度劳保洗护用品采购项目（二次）</w:t>
      </w:r>
    </w:p>
    <w:p>
      <w:pPr>
        <w:ind w:firstLine="0" w:firstLineChars="0"/>
        <w:jc w:val="center"/>
        <w:rPr>
          <w:rFonts w:ascii="宋体" w:hAnsi="宋体" w:cs="宋体"/>
          <w:b/>
          <w:bCs/>
          <w:sz w:val="40"/>
          <w:szCs w:val="40"/>
          <w:highlight w:val="none"/>
        </w:rPr>
      </w:pPr>
      <w:r>
        <w:rPr>
          <w:rFonts w:hint="eastAsia" w:ascii="宋体" w:hAnsi="宋体" w:cs="宋体"/>
          <w:b/>
          <w:bCs/>
          <w:sz w:val="40"/>
          <w:szCs w:val="40"/>
          <w:highlight w:val="none"/>
        </w:rPr>
        <w:t>（项目编号：</w:t>
      </w:r>
      <w:r>
        <w:rPr>
          <w:rFonts w:hint="eastAsia" w:ascii="宋体" w:hAnsi="宋体" w:cs="宋体"/>
          <w:b/>
          <w:bCs/>
          <w:sz w:val="40"/>
          <w:szCs w:val="40"/>
          <w:highlight w:val="none"/>
          <w:u w:val="none"/>
          <w:lang w:eastAsia="zh-CN"/>
        </w:rPr>
        <w:t>NTGY-2026-HW-ZB-023</w:t>
      </w:r>
      <w:r>
        <w:rPr>
          <w:rFonts w:hint="eastAsia" w:ascii="宋体" w:hAnsi="宋体" w:cs="宋体"/>
          <w:b/>
          <w:bCs/>
          <w:sz w:val="40"/>
          <w:szCs w:val="40"/>
          <w:highlight w:val="none"/>
        </w:rPr>
        <w:t>）</w:t>
      </w:r>
      <w:bookmarkEnd w:id="0"/>
    </w:p>
    <w:p>
      <w:pPr>
        <w:ind w:firstLine="480"/>
        <w:rPr>
          <w:rFonts w:ascii="宋体" w:hAnsi="宋体" w:cs="宋体"/>
          <w:b/>
          <w:bCs/>
          <w:sz w:val="44"/>
          <w:szCs w:val="44"/>
          <w:highlight w:val="none"/>
        </w:rPr>
      </w:pPr>
      <w:r>
        <w:rPr>
          <w:highlight w:val="none"/>
        </w:rPr>
        <w:t xml:space="preserve"> </w:t>
      </w:r>
      <w:bookmarkStart w:id="1" w:name="_Toc11519"/>
    </w:p>
    <w:p>
      <w:pPr>
        <w:ind w:firstLine="0" w:firstLineChars="0"/>
        <w:jc w:val="center"/>
        <w:rPr>
          <w:rFonts w:ascii="宋体" w:hAnsi="宋体" w:cs="宋体"/>
          <w:b/>
          <w:bCs/>
          <w:sz w:val="44"/>
          <w:szCs w:val="44"/>
          <w:highlight w:val="none"/>
        </w:rPr>
      </w:pPr>
    </w:p>
    <w:p>
      <w:pPr>
        <w:ind w:firstLine="0" w:firstLineChars="0"/>
        <w:jc w:val="center"/>
        <w:rPr>
          <w:rFonts w:ascii="宋体" w:hAnsi="宋体" w:cs="宋体"/>
          <w:b/>
          <w:bCs/>
          <w:sz w:val="72"/>
          <w:szCs w:val="72"/>
          <w:highlight w:val="none"/>
        </w:rPr>
      </w:pPr>
    </w:p>
    <w:p>
      <w:pPr>
        <w:ind w:firstLine="0" w:firstLineChars="0"/>
        <w:jc w:val="center"/>
        <w:rPr>
          <w:rFonts w:ascii="宋体" w:hAnsi="宋体" w:cs="宋体"/>
          <w:b/>
          <w:bCs/>
          <w:sz w:val="72"/>
          <w:szCs w:val="72"/>
          <w:highlight w:val="none"/>
        </w:rPr>
      </w:pPr>
      <w:r>
        <w:rPr>
          <w:rFonts w:hint="eastAsia" w:ascii="宋体" w:hAnsi="宋体" w:cs="宋体"/>
          <w:b/>
          <w:bCs/>
          <w:sz w:val="72"/>
          <w:szCs w:val="72"/>
          <w:highlight w:val="none"/>
        </w:rPr>
        <w:t>采购文件</w:t>
      </w:r>
      <w:bookmarkEnd w:id="1"/>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1680" w:firstLineChars="700"/>
        <w:rPr>
          <w:rFonts w:ascii="宋体" w:hAnsi="宋体"/>
          <w:szCs w:val="24"/>
          <w:highlight w:val="none"/>
          <w:u w:val="single"/>
        </w:rPr>
      </w:pPr>
      <w:r>
        <w:rPr>
          <w:rFonts w:hint="eastAsia" w:ascii="宋体" w:hAnsi="宋体"/>
          <w:szCs w:val="24"/>
          <w:highlight w:val="none"/>
        </w:rPr>
        <w:t>采 购 人：</w:t>
      </w:r>
      <w:r>
        <w:rPr>
          <w:rFonts w:hint="eastAsia" w:ascii="宋体" w:hAnsi="宋体"/>
          <w:szCs w:val="24"/>
          <w:highlight w:val="none"/>
          <w:u w:val="single"/>
        </w:rPr>
        <w:t>南通轨道交通集团有限公司运营分公司</w:t>
      </w:r>
    </w:p>
    <w:p>
      <w:pPr>
        <w:ind w:firstLine="1680" w:firstLineChars="700"/>
        <w:rPr>
          <w:rFonts w:ascii="宋体" w:hAnsi="宋体"/>
          <w:szCs w:val="24"/>
          <w:highlight w:val="none"/>
        </w:rPr>
      </w:pPr>
      <w:r>
        <w:rPr>
          <w:rFonts w:hint="eastAsia" w:ascii="宋体" w:hAnsi="宋体"/>
          <w:szCs w:val="24"/>
          <w:highlight w:val="none"/>
        </w:rPr>
        <w:t>代理机构：</w:t>
      </w:r>
      <w:r>
        <w:rPr>
          <w:rFonts w:hint="eastAsia" w:ascii="宋体" w:hAnsi="宋体"/>
          <w:szCs w:val="24"/>
          <w:highlight w:val="none"/>
          <w:u w:val="single"/>
        </w:rPr>
        <w:t>江苏建达全过程工程咨询有限公司</w:t>
      </w:r>
    </w:p>
    <w:p>
      <w:pPr>
        <w:ind w:firstLine="0" w:firstLineChars="0"/>
        <w:jc w:val="center"/>
        <w:rPr>
          <w:rFonts w:ascii="宋体" w:hAnsi="宋体"/>
          <w:szCs w:val="24"/>
          <w:highlight w:val="none"/>
          <w:u w:val="single"/>
        </w:rPr>
      </w:pPr>
      <w:r>
        <w:rPr>
          <w:rFonts w:hint="eastAsia" w:ascii="宋体" w:hAnsi="宋体"/>
          <w:szCs w:val="24"/>
          <w:highlight w:val="none"/>
        </w:rPr>
        <w:t>编制时间：</w:t>
      </w:r>
      <w:r>
        <w:rPr>
          <w:rFonts w:ascii="宋体" w:hAnsi="宋体"/>
          <w:szCs w:val="24"/>
          <w:highlight w:val="none"/>
          <w:u w:val="single"/>
        </w:rPr>
        <w:t>202</w:t>
      </w:r>
      <w:r>
        <w:rPr>
          <w:rFonts w:hint="eastAsia" w:ascii="宋体" w:hAnsi="宋体"/>
          <w:szCs w:val="24"/>
          <w:highlight w:val="none"/>
          <w:u w:val="single"/>
          <w:lang w:val="en-US" w:eastAsia="zh-CN"/>
        </w:rPr>
        <w:t>6</w:t>
      </w:r>
      <w:r>
        <w:rPr>
          <w:rFonts w:ascii="宋体" w:hAnsi="宋体"/>
          <w:szCs w:val="24"/>
          <w:highlight w:val="none"/>
          <w:u w:val="single"/>
        </w:rPr>
        <w:t>年</w:t>
      </w:r>
      <w:r>
        <w:rPr>
          <w:rFonts w:hint="eastAsia" w:ascii="宋体" w:hAnsi="宋体"/>
          <w:szCs w:val="24"/>
          <w:highlight w:val="none"/>
          <w:u w:val="single"/>
          <w:lang w:val="en-US" w:eastAsia="zh-CN"/>
        </w:rPr>
        <w:t>9</w:t>
      </w:r>
      <w:r>
        <w:rPr>
          <w:rFonts w:ascii="宋体" w:hAnsi="宋体"/>
          <w:szCs w:val="24"/>
          <w:highlight w:val="none"/>
          <w:u w:val="single"/>
        </w:rPr>
        <w:t>月</w:t>
      </w:r>
    </w:p>
    <w:p>
      <w:pPr>
        <w:spacing w:line="240" w:lineRule="auto"/>
        <w:ind w:firstLine="0" w:firstLineChars="0"/>
        <w:jc w:val="center"/>
        <w:rPr>
          <w:rFonts w:ascii="宋体" w:hAnsi="宋体"/>
          <w:sz w:val="21"/>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588" w:bottom="1418" w:left="1588" w:header="851" w:footer="992" w:gutter="0"/>
          <w:pgNumType w:fmt="decimal"/>
          <w:cols w:space="720" w:num="1"/>
          <w:docGrid w:linePitch="312" w:charSpace="0"/>
        </w:sectPr>
      </w:pPr>
    </w:p>
    <w:p>
      <w:pPr>
        <w:pStyle w:val="3"/>
        <w:ind w:firstLine="0" w:firstLineChars="0"/>
        <w:rPr>
          <w:highlight w:val="none"/>
        </w:rPr>
      </w:pPr>
      <w:bookmarkStart w:id="2" w:name="_Toc76"/>
      <w:r>
        <w:rPr>
          <w:rFonts w:hint="eastAsia"/>
          <w:sz w:val="40"/>
          <w:szCs w:val="40"/>
          <w:highlight w:val="none"/>
        </w:rPr>
        <w:t>目录</w:t>
      </w:r>
      <w:bookmarkEnd w:id="2"/>
    </w:p>
    <w:p>
      <w:pPr>
        <w:pStyle w:val="20"/>
        <w:tabs>
          <w:tab w:val="right" w:leader="dot" w:pos="8306"/>
        </w:tabs>
        <w:rPr>
          <w:rFonts w:ascii="宋体" w:hAnsi="宋体" w:eastAsia="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p>
    <w:p>
      <w:pPr>
        <w:pStyle w:val="20"/>
        <w:tabs>
          <w:tab w:val="right" w:leader="dot" w:pos="8306"/>
        </w:tabs>
        <w:rPr>
          <w:rFonts w:ascii="宋体" w:hAnsi="宋体" w:eastAsia="宋体" w:cs="宋体"/>
          <w:sz w:val="28"/>
          <w:szCs w:val="28"/>
          <w:highlight w:val="none"/>
        </w:rPr>
      </w:pPr>
      <w:r>
        <w:rPr>
          <w:highlight w:val="none"/>
        </w:rPr>
        <w:fldChar w:fldCharType="begin"/>
      </w:r>
      <w:r>
        <w:rPr>
          <w:highlight w:val="none"/>
        </w:rPr>
        <w:instrText xml:space="preserve"> HYPERLINK \l "_Toc15324" </w:instrText>
      </w:r>
      <w:r>
        <w:rPr>
          <w:highlight w:val="none"/>
        </w:rPr>
        <w:fldChar w:fldCharType="separate"/>
      </w:r>
      <w:r>
        <w:rPr>
          <w:rFonts w:hint="eastAsia" w:ascii="宋体" w:hAnsi="宋体" w:eastAsia="宋体" w:cs="宋体"/>
          <w:sz w:val="28"/>
          <w:szCs w:val="28"/>
          <w:highlight w:val="none"/>
        </w:rPr>
        <w:t>第一章 采购公告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_Toc15324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0"/>
        <w:tabs>
          <w:tab w:val="right" w:leader="dot" w:pos="8306"/>
        </w:tabs>
        <w:rPr>
          <w:rFonts w:ascii="宋体" w:hAnsi="宋体" w:eastAsia="宋体" w:cs="宋体"/>
          <w:sz w:val="28"/>
          <w:szCs w:val="28"/>
          <w:highlight w:val="none"/>
        </w:rPr>
      </w:pPr>
      <w:r>
        <w:rPr>
          <w:highlight w:val="none"/>
        </w:rPr>
        <w:fldChar w:fldCharType="begin"/>
      </w:r>
      <w:r>
        <w:rPr>
          <w:highlight w:val="none"/>
        </w:rPr>
        <w:instrText xml:space="preserve"> HYPERLINK \l "_Toc18896" </w:instrText>
      </w:r>
      <w:r>
        <w:rPr>
          <w:highlight w:val="none"/>
        </w:rPr>
        <w:fldChar w:fldCharType="separate"/>
      </w:r>
      <w:r>
        <w:rPr>
          <w:rFonts w:hint="eastAsia" w:ascii="宋体" w:hAnsi="宋体" w:eastAsia="宋体" w:cs="宋体"/>
          <w:sz w:val="28"/>
          <w:szCs w:val="28"/>
          <w:highlight w:val="none"/>
        </w:rPr>
        <w:t>第二章 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_Toc18896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0"/>
        <w:tabs>
          <w:tab w:val="right" w:leader="dot" w:pos="8306"/>
        </w:tabs>
        <w:rPr>
          <w:rFonts w:ascii="宋体" w:hAnsi="宋体" w:eastAsia="宋体" w:cs="宋体"/>
          <w:sz w:val="28"/>
          <w:szCs w:val="28"/>
          <w:highlight w:val="none"/>
        </w:rPr>
      </w:pPr>
      <w:r>
        <w:rPr>
          <w:highlight w:val="none"/>
        </w:rPr>
        <w:fldChar w:fldCharType="begin"/>
      </w:r>
      <w:r>
        <w:rPr>
          <w:highlight w:val="none"/>
        </w:rPr>
        <w:instrText xml:space="preserve"> HYPERLINK \l "_Toc30142" </w:instrText>
      </w:r>
      <w:r>
        <w:rPr>
          <w:highlight w:val="none"/>
        </w:rPr>
        <w:fldChar w:fldCharType="separate"/>
      </w:r>
      <w:r>
        <w:rPr>
          <w:rFonts w:hint="eastAsia" w:ascii="宋体" w:hAnsi="宋体" w:eastAsia="宋体" w:cs="宋体"/>
          <w:bCs/>
          <w:kern w:val="44"/>
          <w:sz w:val="28"/>
          <w:szCs w:val="28"/>
          <w:highlight w:val="none"/>
        </w:rPr>
        <w:t>第三章 评审方法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_Toc30142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0"/>
        <w:tabs>
          <w:tab w:val="right" w:leader="dot" w:pos="8306"/>
        </w:tabs>
        <w:rPr>
          <w:rFonts w:ascii="宋体" w:hAnsi="宋体" w:eastAsia="宋体" w:cs="宋体"/>
          <w:sz w:val="28"/>
          <w:szCs w:val="28"/>
          <w:highlight w:val="none"/>
        </w:rPr>
      </w:pPr>
      <w:r>
        <w:rPr>
          <w:highlight w:val="none"/>
        </w:rPr>
        <w:fldChar w:fldCharType="begin"/>
      </w:r>
      <w:r>
        <w:rPr>
          <w:highlight w:val="none"/>
        </w:rPr>
        <w:instrText xml:space="preserve"> HYPERLINK \l "_Toc27013" </w:instrText>
      </w:r>
      <w:r>
        <w:rPr>
          <w:highlight w:val="none"/>
        </w:rPr>
        <w:fldChar w:fldCharType="separate"/>
      </w:r>
      <w:r>
        <w:rPr>
          <w:rFonts w:hint="eastAsia" w:ascii="宋体" w:hAnsi="宋体" w:eastAsia="宋体" w:cs="宋体"/>
          <w:bCs/>
          <w:kern w:val="44"/>
          <w:sz w:val="28"/>
          <w:szCs w:val="28"/>
          <w:highlight w:val="none"/>
        </w:rPr>
        <w:t>第四章 合同主要条款及格式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_Toc27013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0"/>
        <w:tabs>
          <w:tab w:val="right" w:leader="dot" w:pos="8306"/>
        </w:tabs>
        <w:rPr>
          <w:rFonts w:ascii="宋体" w:hAnsi="宋体" w:eastAsia="宋体" w:cs="宋体"/>
          <w:sz w:val="28"/>
          <w:szCs w:val="28"/>
          <w:highlight w:val="none"/>
        </w:rPr>
      </w:pPr>
      <w:r>
        <w:rPr>
          <w:highlight w:val="none"/>
        </w:rPr>
        <w:fldChar w:fldCharType="begin"/>
      </w:r>
      <w:r>
        <w:rPr>
          <w:highlight w:val="none"/>
        </w:rPr>
        <w:instrText xml:space="preserve"> HYPERLINK \l "_Toc31910" </w:instrText>
      </w:r>
      <w:r>
        <w:rPr>
          <w:highlight w:val="none"/>
        </w:rPr>
        <w:fldChar w:fldCharType="separate"/>
      </w:r>
      <w:r>
        <w:rPr>
          <w:rFonts w:hint="eastAsia" w:ascii="宋体" w:hAnsi="宋体" w:eastAsia="宋体" w:cs="宋体"/>
          <w:bCs/>
          <w:kern w:val="44"/>
          <w:sz w:val="28"/>
          <w:szCs w:val="28"/>
          <w:highlight w:val="none"/>
        </w:rPr>
        <w:t>第五章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_Toc31910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pStyle w:val="20"/>
        <w:tabs>
          <w:tab w:val="right" w:leader="dot" w:pos="8306"/>
        </w:tabs>
        <w:rPr>
          <w:highlight w:val="none"/>
        </w:rPr>
      </w:pPr>
      <w:r>
        <w:rPr>
          <w:highlight w:val="none"/>
        </w:rPr>
        <w:fldChar w:fldCharType="begin"/>
      </w:r>
      <w:r>
        <w:rPr>
          <w:highlight w:val="none"/>
        </w:rPr>
        <w:instrText xml:space="preserve"> HYPERLINK \l "_Toc14421" </w:instrText>
      </w:r>
      <w:r>
        <w:rPr>
          <w:highlight w:val="none"/>
        </w:rPr>
        <w:fldChar w:fldCharType="separate"/>
      </w:r>
      <w:r>
        <w:rPr>
          <w:rFonts w:hint="eastAsia" w:ascii="宋体" w:hAnsi="宋体" w:eastAsia="宋体" w:cs="宋体"/>
          <w:bCs/>
          <w:kern w:val="44"/>
          <w:sz w:val="28"/>
          <w:szCs w:val="28"/>
          <w:highlight w:val="none"/>
        </w:rPr>
        <w:t>第六章 响应文件格式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_Toc14421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pPr>
        <w:ind w:firstLine="480"/>
        <w:rPr>
          <w:highlight w:val="none"/>
        </w:rPr>
      </w:pPr>
      <w:r>
        <w:rPr>
          <w:rFonts w:hint="eastAsia" w:ascii="宋体" w:hAnsi="宋体" w:cs="宋体"/>
          <w:szCs w:val="28"/>
          <w:highlight w:val="none"/>
        </w:rPr>
        <w:fldChar w:fldCharType="end"/>
      </w:r>
    </w:p>
    <w:p>
      <w:pPr>
        <w:ind w:firstLine="480"/>
        <w:rPr>
          <w:highlight w:val="none"/>
        </w:rPr>
      </w:pPr>
    </w:p>
    <w:p>
      <w:pPr>
        <w:ind w:firstLine="480"/>
        <w:rPr>
          <w:highlight w:val="none"/>
        </w:rPr>
      </w:pPr>
    </w:p>
    <w:p>
      <w:pPr>
        <w:ind w:firstLine="480"/>
        <w:rPr>
          <w:highlight w:val="none"/>
        </w:rPr>
        <w:sectPr>
          <w:footerReference r:id="rId11" w:type="default"/>
          <w:pgSz w:w="11906" w:h="16838"/>
          <w:pgMar w:top="1418" w:right="1588" w:bottom="1418" w:left="1588" w:header="851" w:footer="992" w:gutter="0"/>
          <w:pgNumType w:fmt="decimal" w:start="1"/>
          <w:cols w:space="720" w:num="1"/>
          <w:docGrid w:linePitch="312" w:charSpace="0"/>
        </w:sectPr>
      </w:pPr>
    </w:p>
    <w:p>
      <w:pPr>
        <w:ind w:firstLine="0" w:firstLineChars="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pStyle w:val="3"/>
        <w:ind w:firstLine="0" w:firstLineChars="0"/>
        <w:rPr>
          <w:highlight w:val="none"/>
        </w:rPr>
      </w:pPr>
      <w:bookmarkStart w:id="3" w:name="_Toc15324"/>
      <w:r>
        <w:rPr>
          <w:rFonts w:hint="eastAsia"/>
          <w:highlight w:val="none"/>
        </w:rPr>
        <w:t>第一章 采购公告</w:t>
      </w:r>
      <w:bookmarkEnd w:id="3"/>
    </w:p>
    <w:p>
      <w:pPr>
        <w:widowControl/>
        <w:spacing w:line="240" w:lineRule="auto"/>
        <w:ind w:firstLine="0" w:firstLineChars="0"/>
        <w:jc w:val="left"/>
        <w:rPr>
          <w:rFonts w:eastAsia="黑体"/>
          <w:bCs/>
          <w:kern w:val="44"/>
          <w:sz w:val="44"/>
          <w:szCs w:val="44"/>
          <w:highlight w:val="none"/>
        </w:rPr>
      </w:pPr>
      <w:r>
        <w:rPr>
          <w:highlight w:val="none"/>
        </w:rPr>
        <w:br w:type="page"/>
      </w:r>
    </w:p>
    <w:p>
      <w:pPr>
        <w:ind w:firstLine="0" w:firstLineChars="0"/>
        <w:jc w:val="center"/>
        <w:rPr>
          <w:rFonts w:ascii="黑体" w:hAnsi="黑体" w:eastAsia="黑体"/>
          <w:sz w:val="36"/>
          <w:szCs w:val="36"/>
          <w:highlight w:val="none"/>
        </w:rPr>
      </w:pPr>
      <w:r>
        <w:rPr>
          <w:rFonts w:hint="eastAsia" w:ascii="黑体" w:hAnsi="黑体" w:eastAsia="黑体"/>
          <w:sz w:val="36"/>
          <w:szCs w:val="36"/>
          <w:highlight w:val="none"/>
        </w:rPr>
        <w:t>第一章 采购公告</w:t>
      </w:r>
    </w:p>
    <w:p>
      <w:pPr>
        <w:ind w:firstLine="480"/>
        <w:rPr>
          <w:highlight w:val="none"/>
        </w:rPr>
      </w:pPr>
      <w:r>
        <w:rPr>
          <w:rFonts w:hint="eastAsia"/>
          <w:highlight w:val="none"/>
          <w:u w:val="single"/>
          <w:lang w:eastAsia="zh-CN"/>
        </w:rPr>
        <w:t>南通轨道交通集团有限公司运营分公司2026-2029年度劳保洗护用品采购项目（二次）</w:t>
      </w:r>
      <w:r>
        <w:rPr>
          <w:rFonts w:hint="eastAsia"/>
          <w:highlight w:val="none"/>
        </w:rPr>
        <w:t>已具备采购条件，现采用</w:t>
      </w:r>
      <w:r>
        <w:rPr>
          <w:rFonts w:hint="eastAsia"/>
          <w:highlight w:val="none"/>
          <w:lang w:eastAsia="zh-CN"/>
        </w:rPr>
        <w:t>公开招标</w:t>
      </w:r>
      <w:r>
        <w:rPr>
          <w:rFonts w:hint="eastAsia"/>
          <w:highlight w:val="none"/>
        </w:rPr>
        <w:t>方式进行</w:t>
      </w:r>
      <w:r>
        <w:rPr>
          <w:highlight w:val="none"/>
        </w:rPr>
        <w:t>采购。</w:t>
      </w:r>
    </w:p>
    <w:p>
      <w:pPr>
        <w:pStyle w:val="2"/>
        <w:ind w:firstLine="482"/>
        <w:rPr>
          <w:highlight w:val="none"/>
        </w:rPr>
      </w:pPr>
      <w:r>
        <w:rPr>
          <w:rFonts w:cs="Times New Roman"/>
          <w:highlight w:val="none"/>
        </w:rPr>
        <w:t>1</w:t>
      </w:r>
      <w:r>
        <w:rPr>
          <w:highlight w:val="none"/>
        </w:rPr>
        <w:t xml:space="preserve"> </w:t>
      </w:r>
      <w:r>
        <w:rPr>
          <w:rFonts w:hint="eastAsia"/>
          <w:highlight w:val="none"/>
        </w:rPr>
        <w:t>项目概况</w:t>
      </w:r>
    </w:p>
    <w:p>
      <w:pPr>
        <w:ind w:firstLine="482"/>
        <w:rPr>
          <w:rFonts w:hint="eastAsia"/>
          <w:highlight w:val="none"/>
          <w:u w:val="single"/>
          <w:lang w:eastAsia="zh-CN"/>
        </w:rPr>
      </w:pPr>
      <w:r>
        <w:rPr>
          <w:rFonts w:hint="eastAsia"/>
          <w:b/>
          <w:bCs/>
          <w:highlight w:val="none"/>
        </w:rPr>
        <w:t>1</w:t>
      </w:r>
      <w:r>
        <w:rPr>
          <w:b/>
          <w:bCs/>
          <w:highlight w:val="none"/>
        </w:rPr>
        <w:t>.1</w:t>
      </w:r>
      <w:r>
        <w:rPr>
          <w:rFonts w:hint="eastAsia"/>
          <w:b/>
          <w:bCs/>
          <w:highlight w:val="none"/>
        </w:rPr>
        <w:t>项目名称：</w:t>
      </w:r>
      <w:r>
        <w:rPr>
          <w:rFonts w:hint="eastAsia"/>
          <w:highlight w:val="none"/>
          <w:u w:val="single"/>
          <w:lang w:eastAsia="zh-CN"/>
        </w:rPr>
        <w:t>南通轨道交通集团有限公司运营分公司2026-2029年度劳保洗护用品采购项目（二次）</w:t>
      </w:r>
    </w:p>
    <w:p>
      <w:pPr>
        <w:ind w:firstLine="482"/>
        <w:rPr>
          <w:rFonts w:hint="eastAsia" w:eastAsia="宋体"/>
          <w:highlight w:val="none"/>
          <w:u w:val="single"/>
          <w:lang w:eastAsia="zh-CN"/>
        </w:rPr>
      </w:pPr>
      <w:r>
        <w:rPr>
          <w:rFonts w:hint="eastAsia"/>
          <w:b/>
          <w:bCs/>
          <w:highlight w:val="none"/>
        </w:rPr>
        <w:t>1</w:t>
      </w:r>
      <w:r>
        <w:rPr>
          <w:b/>
          <w:bCs/>
          <w:highlight w:val="none"/>
        </w:rPr>
        <w:t>.2</w:t>
      </w:r>
      <w:r>
        <w:rPr>
          <w:rFonts w:hint="eastAsia"/>
          <w:b/>
          <w:bCs/>
          <w:highlight w:val="none"/>
        </w:rPr>
        <w:t>项目编号</w:t>
      </w:r>
      <w:r>
        <w:rPr>
          <w:rFonts w:hint="eastAsia"/>
          <w:highlight w:val="none"/>
        </w:rPr>
        <w:t>：</w:t>
      </w:r>
      <w:r>
        <w:rPr>
          <w:rFonts w:hint="eastAsia"/>
          <w:highlight w:val="none"/>
          <w:u w:val="single"/>
          <w:lang w:eastAsia="zh-CN"/>
        </w:rPr>
        <w:t>NTGY-2026-HW-ZB-023</w:t>
      </w:r>
    </w:p>
    <w:p>
      <w:pPr>
        <w:ind w:firstLine="482"/>
        <w:rPr>
          <w:highlight w:val="none"/>
        </w:rPr>
      </w:pPr>
      <w:r>
        <w:rPr>
          <w:rFonts w:hint="eastAsia"/>
          <w:b/>
          <w:bCs/>
          <w:highlight w:val="none"/>
        </w:rPr>
        <w:t>1</w:t>
      </w:r>
      <w:r>
        <w:rPr>
          <w:b/>
          <w:bCs/>
          <w:highlight w:val="none"/>
        </w:rPr>
        <w:t>.3</w:t>
      </w:r>
      <w:r>
        <w:rPr>
          <w:rFonts w:hint="eastAsia"/>
          <w:b/>
          <w:bCs/>
          <w:highlight w:val="none"/>
        </w:rPr>
        <w:t>采购人：</w:t>
      </w:r>
      <w:r>
        <w:rPr>
          <w:rFonts w:hint="eastAsia"/>
          <w:highlight w:val="none"/>
          <w:u w:val="single"/>
        </w:rPr>
        <w:t>南通轨道交通集团有限公司运营分公司</w:t>
      </w:r>
    </w:p>
    <w:p>
      <w:pPr>
        <w:ind w:firstLine="482"/>
        <w:rPr>
          <w:highlight w:val="none"/>
        </w:rPr>
      </w:pPr>
      <w:r>
        <w:rPr>
          <w:rFonts w:hint="eastAsia"/>
          <w:b/>
          <w:bCs/>
          <w:highlight w:val="none"/>
        </w:rPr>
        <w:t>1</w:t>
      </w:r>
      <w:r>
        <w:rPr>
          <w:b/>
          <w:bCs/>
          <w:highlight w:val="none"/>
        </w:rPr>
        <w:t>.4</w:t>
      </w:r>
      <w:r>
        <w:rPr>
          <w:rFonts w:hint="eastAsia"/>
          <w:b/>
          <w:bCs/>
          <w:highlight w:val="none"/>
        </w:rPr>
        <w:t>代理机构：</w:t>
      </w:r>
      <w:r>
        <w:rPr>
          <w:rFonts w:hint="eastAsia" w:ascii="宋体" w:hAnsi="宋体"/>
          <w:szCs w:val="24"/>
          <w:highlight w:val="none"/>
          <w:u w:val="single"/>
        </w:rPr>
        <w:t>江苏建达全过程工程咨询有限公司</w:t>
      </w:r>
    </w:p>
    <w:p>
      <w:pPr>
        <w:ind w:firstLine="482"/>
        <w:rPr>
          <w:highlight w:val="none"/>
        </w:rPr>
      </w:pPr>
      <w:r>
        <w:rPr>
          <w:rFonts w:hint="eastAsia"/>
          <w:b/>
          <w:bCs/>
          <w:highlight w:val="none"/>
        </w:rPr>
        <w:t>1</w:t>
      </w:r>
      <w:r>
        <w:rPr>
          <w:b/>
          <w:bCs/>
          <w:highlight w:val="none"/>
        </w:rPr>
        <w:t>.5</w:t>
      </w:r>
      <w:r>
        <w:rPr>
          <w:rFonts w:hint="eastAsia"/>
          <w:b/>
          <w:bCs/>
          <w:highlight w:val="none"/>
        </w:rPr>
        <w:t>标段划分：</w:t>
      </w:r>
      <w:r>
        <w:rPr>
          <w:rFonts w:hint="eastAsia"/>
          <w:highlight w:val="none"/>
          <w:u w:val="single"/>
        </w:rPr>
        <w:t>不划分标段</w:t>
      </w:r>
      <w:r>
        <w:rPr>
          <w:highlight w:val="none"/>
          <w:u w:val="single"/>
        </w:rPr>
        <w:t xml:space="preserve"> </w:t>
      </w:r>
    </w:p>
    <w:p>
      <w:pPr>
        <w:ind w:firstLine="482"/>
        <w:rPr>
          <w:rFonts w:hint="default" w:eastAsia="宋体"/>
          <w:highlight w:val="none"/>
          <w:u w:val="single"/>
          <w:lang w:val="en-US" w:eastAsia="zh-CN"/>
        </w:rPr>
      </w:pPr>
      <w:r>
        <w:rPr>
          <w:rFonts w:hint="eastAsia"/>
          <w:b/>
          <w:bCs/>
          <w:highlight w:val="none"/>
        </w:rPr>
        <w:t>1</w:t>
      </w:r>
      <w:r>
        <w:rPr>
          <w:b/>
          <w:bCs/>
          <w:highlight w:val="none"/>
        </w:rPr>
        <w:t>.6</w:t>
      </w:r>
      <w:r>
        <w:rPr>
          <w:rFonts w:hint="eastAsia"/>
          <w:b/>
          <w:bCs/>
          <w:highlight w:val="none"/>
        </w:rPr>
        <w:t>项目限价：</w:t>
      </w:r>
      <w:r>
        <w:rPr>
          <w:rFonts w:hint="eastAsia"/>
          <w:highlight w:val="none"/>
          <w:u w:val="single"/>
          <w:lang w:val="en-US" w:eastAsia="zh-CN"/>
        </w:rPr>
        <w:t>单份限价101元，项目累计执行金额不超过124万元（人民币含税）</w:t>
      </w:r>
    </w:p>
    <w:p>
      <w:pPr>
        <w:pStyle w:val="2"/>
        <w:ind w:firstLine="482"/>
        <w:rPr>
          <w:highlight w:val="none"/>
        </w:rPr>
      </w:pPr>
      <w:r>
        <w:rPr>
          <w:rFonts w:hint="eastAsia" w:cs="Times New Roman"/>
          <w:highlight w:val="none"/>
        </w:rPr>
        <w:t>2</w:t>
      </w:r>
      <w:r>
        <w:rPr>
          <w:rFonts w:cs="Times New Roman"/>
          <w:highlight w:val="none"/>
        </w:rPr>
        <w:t xml:space="preserve"> </w:t>
      </w:r>
      <w:r>
        <w:rPr>
          <w:rFonts w:hint="eastAsia"/>
          <w:highlight w:val="none"/>
        </w:rPr>
        <w:t>采购范围及相关要求</w:t>
      </w:r>
    </w:p>
    <w:p>
      <w:pPr>
        <w:ind w:left="420" w:firstLine="60" w:firstLineChars="25"/>
        <w:rPr>
          <w:highlight w:val="none"/>
          <w:u w:val="single"/>
        </w:rPr>
      </w:pPr>
      <w:r>
        <w:rPr>
          <w:rFonts w:hint="eastAsia"/>
          <w:b/>
          <w:bCs/>
          <w:highlight w:val="none"/>
        </w:rPr>
        <w:t>2</w:t>
      </w:r>
      <w:r>
        <w:rPr>
          <w:b/>
          <w:bCs/>
          <w:highlight w:val="none"/>
        </w:rPr>
        <w:t>.1</w:t>
      </w:r>
      <w:r>
        <w:rPr>
          <w:rFonts w:hint="eastAsia"/>
          <w:b/>
          <w:bCs/>
          <w:highlight w:val="none"/>
        </w:rPr>
        <w:t>采购范围</w:t>
      </w:r>
      <w:r>
        <w:rPr>
          <w:rFonts w:hint="eastAsia"/>
          <w:highlight w:val="none"/>
        </w:rPr>
        <w:t>：</w:t>
      </w:r>
      <w:r>
        <w:rPr>
          <w:rFonts w:hint="eastAsia"/>
          <w:highlight w:val="none"/>
          <w:u w:val="single"/>
        </w:rPr>
        <w:t>见第五章《采购需求》</w:t>
      </w:r>
    </w:p>
    <w:p>
      <w:pPr>
        <w:ind w:left="420" w:firstLine="60" w:firstLineChars="25"/>
        <w:rPr>
          <w:highlight w:val="none"/>
          <w:u w:val="single"/>
        </w:rPr>
      </w:pPr>
      <w:r>
        <w:rPr>
          <w:rFonts w:hint="eastAsia"/>
          <w:b/>
          <w:bCs/>
          <w:highlight w:val="none"/>
        </w:rPr>
        <w:t>2</w:t>
      </w:r>
      <w:r>
        <w:rPr>
          <w:b/>
          <w:bCs/>
          <w:highlight w:val="none"/>
        </w:rPr>
        <w:t>.2</w:t>
      </w:r>
      <w:r>
        <w:rPr>
          <w:rFonts w:hint="eastAsia"/>
          <w:b/>
          <w:bCs/>
          <w:highlight w:val="none"/>
        </w:rPr>
        <w:t>项目</w:t>
      </w:r>
      <w:r>
        <w:rPr>
          <w:rFonts w:hint="eastAsia"/>
          <w:b/>
          <w:bCs/>
          <w:highlight w:val="none"/>
          <w:lang w:val="en-US" w:eastAsia="zh-CN"/>
        </w:rPr>
        <w:t>交货</w:t>
      </w:r>
      <w:r>
        <w:rPr>
          <w:rFonts w:hint="eastAsia"/>
          <w:b/>
          <w:bCs/>
          <w:highlight w:val="none"/>
        </w:rPr>
        <w:t>期：</w:t>
      </w:r>
      <w:r>
        <w:rPr>
          <w:rFonts w:hint="eastAsia"/>
          <w:highlight w:val="none"/>
          <w:u w:val="single"/>
        </w:rPr>
        <w:t>见第五章《采购需求》</w:t>
      </w:r>
    </w:p>
    <w:p>
      <w:pPr>
        <w:ind w:left="420" w:firstLine="60" w:firstLineChars="25"/>
        <w:rPr>
          <w:highlight w:val="none"/>
          <w:u w:val="single"/>
        </w:rPr>
      </w:pPr>
      <w:r>
        <w:rPr>
          <w:rFonts w:hint="eastAsia"/>
          <w:b/>
          <w:bCs/>
          <w:highlight w:val="none"/>
        </w:rPr>
        <w:t>2</w:t>
      </w:r>
      <w:r>
        <w:rPr>
          <w:b/>
          <w:bCs/>
          <w:highlight w:val="none"/>
        </w:rPr>
        <w:t>.3</w:t>
      </w:r>
      <w:r>
        <w:rPr>
          <w:rFonts w:hint="eastAsia"/>
          <w:b/>
          <w:bCs/>
          <w:highlight w:val="none"/>
        </w:rPr>
        <w:t>实施地点：</w:t>
      </w:r>
      <w:r>
        <w:rPr>
          <w:rFonts w:hint="eastAsia"/>
          <w:highlight w:val="none"/>
          <w:u w:val="single"/>
        </w:rPr>
        <w:t>采购人指定地点</w:t>
      </w:r>
    </w:p>
    <w:p>
      <w:pPr>
        <w:ind w:firstLine="482"/>
        <w:rPr>
          <w:highlight w:val="none"/>
          <w:u w:val="single"/>
        </w:rPr>
      </w:pPr>
      <w:r>
        <w:rPr>
          <w:rFonts w:hint="eastAsia"/>
          <w:b/>
          <w:bCs/>
          <w:highlight w:val="none"/>
        </w:rPr>
        <w:t>2</w:t>
      </w:r>
      <w:r>
        <w:rPr>
          <w:b/>
          <w:bCs/>
          <w:highlight w:val="none"/>
        </w:rPr>
        <w:t>.4</w:t>
      </w:r>
      <w:r>
        <w:rPr>
          <w:rFonts w:hint="eastAsia"/>
          <w:b/>
          <w:bCs/>
          <w:highlight w:val="none"/>
        </w:rPr>
        <w:t>质量标准：</w:t>
      </w:r>
      <w:r>
        <w:rPr>
          <w:rFonts w:hint="eastAsia"/>
          <w:highlight w:val="none"/>
          <w:u w:val="single"/>
        </w:rPr>
        <w:t>符合国家规范、标准及《采购需求》要求</w:t>
      </w:r>
    </w:p>
    <w:p>
      <w:pPr>
        <w:ind w:firstLine="482"/>
        <w:rPr>
          <w:highlight w:val="none"/>
          <w:u w:val="single"/>
        </w:rPr>
      </w:pPr>
      <w:r>
        <w:rPr>
          <w:rFonts w:hint="eastAsia"/>
          <w:b/>
          <w:bCs/>
          <w:highlight w:val="none"/>
        </w:rPr>
        <w:t>2</w:t>
      </w:r>
      <w:r>
        <w:rPr>
          <w:b/>
          <w:bCs/>
          <w:highlight w:val="none"/>
        </w:rPr>
        <w:t>.5</w:t>
      </w:r>
      <w:r>
        <w:rPr>
          <w:rFonts w:hint="eastAsia"/>
          <w:b/>
          <w:bCs/>
          <w:highlight w:val="none"/>
        </w:rPr>
        <w:t>合同履行期限：</w:t>
      </w:r>
      <w:r>
        <w:rPr>
          <w:rFonts w:hint="eastAsia"/>
          <w:highlight w:val="none"/>
          <w:u w:val="single"/>
        </w:rPr>
        <w:t>见第五章《采购需求》</w:t>
      </w:r>
    </w:p>
    <w:p>
      <w:pPr>
        <w:ind w:firstLine="480"/>
        <w:rPr>
          <w:highlight w:val="none"/>
          <w:u w:val="single"/>
        </w:rPr>
      </w:pPr>
      <w:r>
        <w:rPr>
          <w:rFonts w:hint="eastAsia"/>
          <w:highlight w:val="none"/>
        </w:rPr>
        <w:t>2</w:t>
      </w:r>
      <w:r>
        <w:rPr>
          <w:highlight w:val="none"/>
        </w:rPr>
        <w:t>.6</w:t>
      </w:r>
      <w:r>
        <w:rPr>
          <w:rFonts w:hint="eastAsia"/>
          <w:b/>
          <w:bCs/>
          <w:highlight w:val="none"/>
        </w:rPr>
        <w:t>偏离情况</w:t>
      </w:r>
      <w:r>
        <w:rPr>
          <w:rFonts w:hint="eastAsia"/>
          <w:highlight w:val="none"/>
        </w:rPr>
        <w:t>：</w:t>
      </w:r>
      <w:r>
        <w:rPr>
          <w:rFonts w:hint="eastAsia"/>
          <w:highlight w:val="none"/>
          <w:u w:val="single"/>
        </w:rPr>
        <w:t>不允许负偏离</w:t>
      </w:r>
    </w:p>
    <w:p>
      <w:pPr>
        <w:pStyle w:val="2"/>
        <w:ind w:firstLine="482"/>
        <w:rPr>
          <w:highlight w:val="none"/>
        </w:rPr>
      </w:pPr>
      <w:bookmarkStart w:id="4" w:name="_Hlk135227657"/>
      <w:r>
        <w:rPr>
          <w:rFonts w:hint="eastAsia" w:cs="Times New Roman"/>
          <w:highlight w:val="none"/>
        </w:rPr>
        <w:t>3</w:t>
      </w:r>
      <w:r>
        <w:rPr>
          <w:highlight w:val="none"/>
        </w:rPr>
        <w:t xml:space="preserve"> </w:t>
      </w:r>
      <w:r>
        <w:rPr>
          <w:rFonts w:hint="eastAsia"/>
          <w:highlight w:val="none"/>
        </w:rPr>
        <w:t>供应商资格要求</w:t>
      </w:r>
    </w:p>
    <w:bookmarkEnd w:id="4"/>
    <w:p>
      <w:pPr>
        <w:ind w:left="420" w:firstLine="60" w:firstLineChars="25"/>
        <w:rPr>
          <w:highlight w:val="none"/>
        </w:rPr>
      </w:pPr>
      <w:r>
        <w:rPr>
          <w:rFonts w:hint="eastAsia"/>
          <w:b/>
          <w:bCs/>
          <w:highlight w:val="none"/>
        </w:rPr>
        <w:t>3</w:t>
      </w:r>
      <w:r>
        <w:rPr>
          <w:b/>
          <w:bCs/>
          <w:highlight w:val="none"/>
        </w:rPr>
        <w:t>.1</w:t>
      </w:r>
      <w:r>
        <w:rPr>
          <w:rFonts w:hint="eastAsia"/>
          <w:b/>
          <w:bCs/>
          <w:highlight w:val="none"/>
        </w:rPr>
        <w:t>资格要求：</w:t>
      </w:r>
      <w:r>
        <w:rPr>
          <w:rFonts w:hint="eastAsia"/>
          <w:highlight w:val="none"/>
          <w:u w:val="single"/>
        </w:rPr>
        <w:t>注册于中华人民共和国境内，具有独立法人资格</w:t>
      </w:r>
    </w:p>
    <w:p>
      <w:pPr>
        <w:ind w:firstLine="482"/>
        <w:rPr>
          <w:rFonts w:hint="default" w:eastAsia="宋体"/>
          <w:highlight w:val="none"/>
          <w:u w:val="single"/>
          <w:lang w:val="en-US" w:eastAsia="zh-CN"/>
        </w:rPr>
      </w:pPr>
      <w:r>
        <w:rPr>
          <w:rFonts w:hint="eastAsia"/>
          <w:b/>
          <w:bCs/>
          <w:highlight w:val="none"/>
        </w:rPr>
        <w:t>3</w:t>
      </w:r>
      <w:r>
        <w:rPr>
          <w:b/>
          <w:bCs/>
          <w:highlight w:val="none"/>
        </w:rPr>
        <w:t>.2</w:t>
      </w:r>
      <w:r>
        <w:rPr>
          <w:rFonts w:hint="eastAsia"/>
          <w:b/>
          <w:bCs/>
          <w:highlight w:val="none"/>
        </w:rPr>
        <w:t>资质要求：</w:t>
      </w:r>
      <w:r>
        <w:rPr>
          <w:rFonts w:hint="eastAsia"/>
          <w:highlight w:val="none"/>
          <w:u w:val="single"/>
          <w:lang w:val="en-US" w:eastAsia="zh-CN"/>
        </w:rPr>
        <w:t xml:space="preserve">/ </w:t>
      </w:r>
    </w:p>
    <w:p>
      <w:pPr>
        <w:ind w:firstLine="482"/>
        <w:rPr>
          <w:rFonts w:hint="default" w:eastAsia="宋体"/>
          <w:highlight w:val="none"/>
          <w:u w:val="single"/>
          <w:lang w:val="en-US" w:eastAsia="zh-CN"/>
        </w:rPr>
      </w:pPr>
      <w:r>
        <w:rPr>
          <w:rFonts w:hint="eastAsia"/>
          <w:b/>
          <w:bCs/>
          <w:highlight w:val="none"/>
        </w:rPr>
        <w:t>3</w:t>
      </w:r>
      <w:r>
        <w:rPr>
          <w:b/>
          <w:bCs/>
          <w:highlight w:val="none"/>
        </w:rPr>
        <w:t>.3</w:t>
      </w:r>
      <w:r>
        <w:rPr>
          <w:rFonts w:hint="eastAsia"/>
          <w:b/>
          <w:bCs/>
          <w:highlight w:val="none"/>
        </w:rPr>
        <w:t>业绩要求：</w:t>
      </w:r>
      <w:r>
        <w:rPr>
          <w:rFonts w:hint="eastAsia"/>
          <w:highlight w:val="none"/>
          <w:u w:val="single"/>
        </w:rPr>
        <w:t>投标人自2023年1月1日起至采购公告发布之日止，具有至少一项洗护用品采购项目供货业绩（以合同签订时间为准）</w:t>
      </w:r>
    </w:p>
    <w:p>
      <w:pPr>
        <w:ind w:firstLine="482"/>
        <w:rPr>
          <w:highlight w:val="none"/>
          <w:u w:val="single"/>
        </w:rPr>
      </w:pPr>
      <w:r>
        <w:rPr>
          <w:rFonts w:hint="eastAsia"/>
          <w:b/>
          <w:bCs/>
          <w:highlight w:val="none"/>
        </w:rPr>
        <w:t>3</w:t>
      </w:r>
      <w:r>
        <w:rPr>
          <w:b/>
          <w:bCs/>
          <w:highlight w:val="none"/>
        </w:rPr>
        <w:t>.4</w:t>
      </w:r>
      <w:r>
        <w:rPr>
          <w:rFonts w:hint="eastAsia"/>
          <w:b/>
          <w:bCs/>
          <w:highlight w:val="none"/>
        </w:rPr>
        <w:t>信誉要求：</w:t>
      </w:r>
      <w:r>
        <w:rPr>
          <w:rFonts w:hint="eastAsia"/>
          <w:b w:val="0"/>
          <w:bCs w:val="0"/>
          <w:highlight w:val="none"/>
          <w:u w:val="single"/>
          <w:lang w:val="en-US" w:eastAsia="zh-CN"/>
        </w:rPr>
        <w:t>投标人</w:t>
      </w:r>
      <w:r>
        <w:rPr>
          <w:rFonts w:hint="eastAsia"/>
          <w:b w:val="0"/>
          <w:bCs w:val="0"/>
          <w:highlight w:val="none"/>
          <w:u w:val="single"/>
        </w:rPr>
        <w:t>具</w:t>
      </w:r>
      <w:r>
        <w:rPr>
          <w:rFonts w:hint="eastAsia"/>
          <w:highlight w:val="none"/>
          <w:u w:val="single"/>
        </w:rPr>
        <w:t>有良好的信誉，未被“信用中国”、“中国执行信息公开网”及各级信用平台列入失信被执行人、重大税收违法案件当事人等名单；参加采购活动前三年内，在经营活动中无重大违法记录、无不良行为记录（不良行为记录包含</w:t>
      </w:r>
      <w:r>
        <w:rPr>
          <w:rFonts w:hint="eastAsia"/>
          <w:b w:val="0"/>
          <w:bCs w:val="0"/>
          <w:highlight w:val="none"/>
          <w:u w:val="single"/>
          <w:lang w:val="en-US" w:eastAsia="zh-CN"/>
        </w:rPr>
        <w:t>投标人</w:t>
      </w:r>
      <w:r>
        <w:rPr>
          <w:rFonts w:hint="eastAsia"/>
          <w:highlight w:val="none"/>
          <w:u w:val="single"/>
        </w:rPr>
        <w:t>经营过程中存在与主营业务相关行政处罚、司法裁判与执行等记录）</w:t>
      </w:r>
    </w:p>
    <w:p>
      <w:pPr>
        <w:ind w:firstLine="482"/>
        <w:rPr>
          <w:rFonts w:hint="eastAsia"/>
          <w:highlight w:val="none"/>
          <w:u w:val="single"/>
          <w:lang w:val="en-US" w:eastAsia="zh-CN"/>
        </w:rPr>
      </w:pPr>
      <w:r>
        <w:rPr>
          <w:rFonts w:hint="eastAsia"/>
          <w:b/>
          <w:bCs/>
          <w:highlight w:val="none"/>
          <w:u w:val="none"/>
        </w:rPr>
        <w:t>3.5人员要求：</w:t>
      </w:r>
      <w:r>
        <w:rPr>
          <w:rFonts w:hint="eastAsia"/>
          <w:highlight w:val="none"/>
          <w:u w:val="single"/>
          <w:lang w:val="en-US" w:eastAsia="zh-CN"/>
        </w:rPr>
        <w:t>/</w:t>
      </w:r>
    </w:p>
    <w:p>
      <w:pPr>
        <w:wordWrap w:val="0"/>
        <w:ind w:left="420" w:firstLine="60" w:firstLineChars="25"/>
        <w:jc w:val="left"/>
        <w:rPr>
          <w:highlight w:val="none"/>
        </w:rPr>
      </w:pPr>
      <w:r>
        <w:rPr>
          <w:rFonts w:hint="eastAsia"/>
          <w:b/>
          <w:bCs/>
          <w:highlight w:val="none"/>
        </w:rPr>
        <w:t>3.6联合体要求：</w:t>
      </w:r>
      <w:r>
        <w:rPr>
          <w:rFonts w:hint="eastAsia"/>
          <w:highlight w:val="none"/>
          <w:u w:val="single"/>
        </w:rPr>
        <w:t>不接受</w:t>
      </w:r>
    </w:p>
    <w:p>
      <w:pPr>
        <w:wordWrap w:val="0"/>
        <w:ind w:left="420" w:firstLine="60" w:firstLineChars="25"/>
        <w:jc w:val="left"/>
        <w:rPr>
          <w:b/>
          <w:bCs/>
          <w:highlight w:val="none"/>
        </w:rPr>
      </w:pPr>
      <w:r>
        <w:rPr>
          <w:rFonts w:hint="eastAsia"/>
          <w:b/>
          <w:bCs/>
          <w:highlight w:val="none"/>
        </w:rPr>
        <w:t>3.7禁止情形：</w:t>
      </w:r>
    </w:p>
    <w:p>
      <w:pPr>
        <w:wordWrap w:val="0"/>
        <w:ind w:left="420" w:firstLine="60" w:firstLineChars="25"/>
        <w:jc w:val="left"/>
        <w:rPr>
          <w:rFonts w:hint="eastAsia"/>
          <w:highlight w:val="none"/>
        </w:rPr>
      </w:pPr>
      <w:r>
        <w:rPr>
          <w:rFonts w:hint="eastAsia"/>
          <w:highlight w:val="none"/>
        </w:rPr>
        <w:t>3.7.1单位负责人为同一人或者存在控股、管理关系的不同单位，不得参加同一</w:t>
      </w:r>
    </w:p>
    <w:p>
      <w:pPr>
        <w:wordWrap w:val="0"/>
        <w:ind w:firstLine="0" w:firstLineChars="0"/>
        <w:jc w:val="left"/>
        <w:rPr>
          <w:highlight w:val="none"/>
        </w:rPr>
      </w:pPr>
      <w:r>
        <w:rPr>
          <w:rFonts w:hint="eastAsia"/>
          <w:highlight w:val="none"/>
        </w:rPr>
        <w:t>标段或者未划分标段的同一项目的采购活动；</w:t>
      </w:r>
    </w:p>
    <w:p>
      <w:pPr>
        <w:wordWrap w:val="0"/>
        <w:ind w:left="420" w:firstLine="60" w:firstLineChars="25"/>
        <w:jc w:val="left"/>
        <w:rPr>
          <w:rFonts w:hint="eastAsia"/>
          <w:highlight w:val="none"/>
        </w:rPr>
      </w:pPr>
      <w:r>
        <w:rPr>
          <w:rFonts w:hint="eastAsia"/>
          <w:highlight w:val="none"/>
        </w:rPr>
        <w:t>3.7.2与采购人存在利害关系可能影响采购公正性的法人、其他组织或者个人，</w:t>
      </w:r>
    </w:p>
    <w:p>
      <w:pPr>
        <w:wordWrap w:val="0"/>
        <w:ind w:firstLine="0" w:firstLineChars="0"/>
        <w:jc w:val="left"/>
        <w:rPr>
          <w:highlight w:val="none"/>
        </w:rPr>
      </w:pPr>
      <w:r>
        <w:rPr>
          <w:rFonts w:hint="eastAsia"/>
          <w:highlight w:val="none"/>
        </w:rPr>
        <w:t>不得参加采购活动。</w:t>
      </w:r>
    </w:p>
    <w:p>
      <w:pPr>
        <w:wordWrap w:val="0"/>
        <w:ind w:left="420" w:firstLine="60" w:firstLineChars="25"/>
        <w:jc w:val="left"/>
        <w:rPr>
          <w:highlight w:val="none"/>
        </w:rPr>
      </w:pPr>
      <w:r>
        <w:rPr>
          <w:rFonts w:hint="eastAsia"/>
          <w:b/>
          <w:highlight w:val="none"/>
        </w:rPr>
        <w:t>3.8其他要求：</w:t>
      </w:r>
      <w:r>
        <w:rPr>
          <w:highlight w:val="none"/>
          <w:u w:val="single"/>
        </w:rPr>
        <w:t xml:space="preserve">  /  </w:t>
      </w:r>
      <w:r>
        <w:rPr>
          <w:rFonts w:hint="eastAsia"/>
          <w:highlight w:val="none"/>
        </w:rPr>
        <w:t xml:space="preserve">。 </w:t>
      </w:r>
    </w:p>
    <w:p>
      <w:pPr>
        <w:ind w:firstLine="482"/>
        <w:rPr>
          <w:highlight w:val="none"/>
        </w:rPr>
      </w:pPr>
      <w:r>
        <w:rPr>
          <w:rFonts w:hint="eastAsia" w:cs="Times New Roman"/>
          <w:b/>
          <w:bCs/>
          <w:highlight w:val="none"/>
        </w:rPr>
        <w:t>4</w:t>
      </w:r>
      <w:r>
        <w:rPr>
          <w:b/>
          <w:bCs/>
          <w:highlight w:val="none"/>
        </w:rPr>
        <w:t xml:space="preserve"> </w:t>
      </w:r>
      <w:r>
        <w:rPr>
          <w:rFonts w:hint="eastAsia"/>
          <w:b/>
          <w:bCs/>
          <w:highlight w:val="none"/>
        </w:rPr>
        <w:t>采购文件获取：</w:t>
      </w:r>
      <w:r>
        <w:rPr>
          <w:rFonts w:hint="eastAsia"/>
          <w:highlight w:val="none"/>
          <w:u w:val="single"/>
        </w:rPr>
        <w:t>采购文件在本网页内下载</w:t>
      </w:r>
    </w:p>
    <w:p>
      <w:pPr>
        <w:pStyle w:val="2"/>
        <w:ind w:firstLine="482"/>
        <w:rPr>
          <w:highlight w:val="none"/>
        </w:rPr>
      </w:pPr>
      <w:r>
        <w:rPr>
          <w:rFonts w:hint="eastAsia" w:cs="Times New Roman"/>
          <w:highlight w:val="none"/>
        </w:rPr>
        <w:t>5</w:t>
      </w:r>
      <w:r>
        <w:rPr>
          <w:highlight w:val="none"/>
        </w:rPr>
        <w:t xml:space="preserve"> </w:t>
      </w:r>
      <w:r>
        <w:rPr>
          <w:rFonts w:hint="eastAsia"/>
          <w:highlight w:val="none"/>
        </w:rPr>
        <w:t>响应文件的递交</w:t>
      </w:r>
    </w:p>
    <w:p>
      <w:pPr>
        <w:ind w:firstLine="482"/>
        <w:rPr>
          <w:highlight w:val="none"/>
        </w:rPr>
      </w:pPr>
      <w:r>
        <w:rPr>
          <w:rFonts w:hint="eastAsia"/>
          <w:b/>
          <w:bCs/>
          <w:highlight w:val="none"/>
        </w:rPr>
        <w:t>5</w:t>
      </w:r>
      <w:r>
        <w:rPr>
          <w:b/>
          <w:bCs/>
          <w:highlight w:val="none"/>
        </w:rPr>
        <w:t>.1</w:t>
      </w:r>
      <w:bookmarkStart w:id="5" w:name="OLE_LINK177"/>
      <w:r>
        <w:rPr>
          <w:rFonts w:hint="eastAsia"/>
          <w:b/>
          <w:bCs/>
          <w:highlight w:val="none"/>
        </w:rPr>
        <w:t>响应文件递交截止时间</w:t>
      </w:r>
      <w:bookmarkEnd w:id="5"/>
      <w:r>
        <w:rPr>
          <w:rFonts w:hint="eastAsia"/>
          <w:b/>
          <w:bCs/>
          <w:highlight w:val="none"/>
        </w:rPr>
        <w:t>：</w:t>
      </w:r>
      <w:r>
        <w:rPr>
          <w:rFonts w:hint="eastAsia"/>
          <w:highlight w:val="none"/>
          <w:u w:val="single"/>
        </w:rPr>
        <w:t>2</w:t>
      </w:r>
      <w:r>
        <w:rPr>
          <w:highlight w:val="none"/>
          <w:u w:val="single"/>
        </w:rPr>
        <w:t>02</w:t>
      </w:r>
      <w:r>
        <w:rPr>
          <w:rFonts w:hint="eastAsia"/>
          <w:highlight w:val="none"/>
          <w:u w:val="single"/>
          <w:lang w:val="en-US" w:eastAsia="zh-CN"/>
        </w:rPr>
        <w:t>6</w:t>
      </w:r>
      <w:r>
        <w:rPr>
          <w:rFonts w:hint="eastAsia"/>
          <w:highlight w:val="none"/>
          <w:u w:val="single"/>
        </w:rPr>
        <w:t>年</w:t>
      </w:r>
      <w:r>
        <w:rPr>
          <w:rFonts w:hint="eastAsia"/>
          <w:highlight w:val="none"/>
          <w:u w:val="single"/>
          <w:lang w:val="en-US" w:eastAsia="zh-CN"/>
        </w:rPr>
        <w:t>9</w:t>
      </w:r>
      <w:r>
        <w:rPr>
          <w:rFonts w:hint="eastAsia"/>
          <w:highlight w:val="none"/>
          <w:u w:val="single"/>
        </w:rPr>
        <w:t>月</w:t>
      </w:r>
      <w:r>
        <w:rPr>
          <w:rFonts w:hint="eastAsia"/>
          <w:highlight w:val="none"/>
          <w:u w:val="single"/>
          <w:lang w:val="en-US" w:eastAsia="zh-CN"/>
        </w:rPr>
        <w:t>22</w:t>
      </w:r>
      <w:r>
        <w:rPr>
          <w:rFonts w:hint="eastAsia"/>
          <w:highlight w:val="none"/>
          <w:u w:val="single"/>
        </w:rPr>
        <w:t>日1</w:t>
      </w:r>
      <w:r>
        <w:rPr>
          <w:rFonts w:hint="eastAsia"/>
          <w:highlight w:val="none"/>
          <w:u w:val="single"/>
          <w:lang w:val="en-US" w:eastAsia="zh-CN"/>
        </w:rPr>
        <w:t>4</w:t>
      </w:r>
      <w:r>
        <w:rPr>
          <w:rFonts w:hint="eastAsia"/>
          <w:highlight w:val="none"/>
          <w:u w:val="single"/>
        </w:rPr>
        <w:t>:</w:t>
      </w:r>
      <w:r>
        <w:rPr>
          <w:rFonts w:hint="eastAsia"/>
          <w:highlight w:val="none"/>
          <w:u w:val="single"/>
          <w:lang w:val="en-US" w:eastAsia="zh-CN"/>
        </w:rPr>
        <w:t>3</w:t>
      </w:r>
      <w:r>
        <w:rPr>
          <w:highlight w:val="none"/>
          <w:u w:val="single"/>
        </w:rPr>
        <w:t>0</w:t>
      </w:r>
    </w:p>
    <w:p>
      <w:pPr>
        <w:ind w:left="420" w:firstLine="60" w:firstLineChars="25"/>
        <w:rPr>
          <w:rFonts w:ascii="宋体" w:hAnsi="宋体" w:cs="宋体"/>
          <w:szCs w:val="24"/>
          <w:highlight w:val="none"/>
          <w:u w:val="single"/>
        </w:rPr>
      </w:pPr>
      <w:r>
        <w:rPr>
          <w:rFonts w:hint="eastAsia"/>
          <w:b/>
          <w:bCs/>
          <w:highlight w:val="none"/>
        </w:rPr>
        <w:t>5</w:t>
      </w:r>
      <w:r>
        <w:rPr>
          <w:b/>
          <w:bCs/>
          <w:highlight w:val="none"/>
        </w:rPr>
        <w:t>.2</w:t>
      </w:r>
      <w:r>
        <w:rPr>
          <w:rFonts w:hint="eastAsia"/>
          <w:b/>
          <w:bCs/>
          <w:highlight w:val="none"/>
        </w:rPr>
        <w:t>响应文件递交地点：</w:t>
      </w:r>
      <w:r>
        <w:rPr>
          <w:rFonts w:ascii="宋体" w:hAnsi="宋体" w:cs="宋体"/>
          <w:szCs w:val="24"/>
          <w:highlight w:val="none"/>
          <w:u w:val="single"/>
        </w:rPr>
        <w:t>南通市崇川区崇川</w:t>
      </w:r>
      <w:r>
        <w:rPr>
          <w:rFonts w:hint="eastAsia" w:ascii="宋体" w:hAnsi="宋体" w:cs="宋体"/>
          <w:szCs w:val="24"/>
          <w:highlight w:val="none"/>
          <w:u w:val="single"/>
        </w:rPr>
        <w:t>路</w:t>
      </w:r>
      <w:r>
        <w:rPr>
          <w:rFonts w:ascii="宋体" w:hAnsi="宋体" w:cs="宋体"/>
          <w:szCs w:val="24"/>
          <w:highlight w:val="none"/>
          <w:u w:val="single"/>
        </w:rPr>
        <w:t>15</w:t>
      </w:r>
      <w:r>
        <w:rPr>
          <w:rFonts w:hint="eastAsia" w:ascii="宋体" w:hAnsi="宋体" w:cs="宋体"/>
          <w:szCs w:val="24"/>
          <w:highlight w:val="none"/>
          <w:u w:val="single"/>
        </w:rPr>
        <w:t>8</w:t>
      </w:r>
      <w:r>
        <w:rPr>
          <w:rFonts w:ascii="宋体" w:hAnsi="宋体" w:cs="宋体"/>
          <w:szCs w:val="24"/>
          <w:highlight w:val="none"/>
          <w:u w:val="single"/>
        </w:rPr>
        <w:t>号轨道大厦15楼1506开</w:t>
      </w:r>
    </w:p>
    <w:p>
      <w:pPr>
        <w:ind w:firstLine="0" w:firstLineChars="0"/>
        <w:rPr>
          <w:highlight w:val="none"/>
          <w:u w:val="single"/>
        </w:rPr>
      </w:pPr>
      <w:r>
        <w:rPr>
          <w:rFonts w:ascii="宋体" w:hAnsi="宋体" w:cs="宋体"/>
          <w:szCs w:val="24"/>
          <w:highlight w:val="none"/>
          <w:u w:val="single"/>
        </w:rPr>
        <w:t>标室</w:t>
      </w:r>
    </w:p>
    <w:p>
      <w:pPr>
        <w:ind w:left="420" w:firstLine="60" w:firstLineChars="25"/>
        <w:rPr>
          <w:highlight w:val="none"/>
          <w:u w:val="single"/>
        </w:rPr>
      </w:pPr>
      <w:r>
        <w:rPr>
          <w:rFonts w:hint="eastAsia"/>
          <w:b/>
          <w:bCs/>
          <w:highlight w:val="none"/>
        </w:rPr>
        <w:t>5.3递交方式：</w:t>
      </w:r>
      <w:r>
        <w:rPr>
          <w:rFonts w:hint="eastAsia"/>
          <w:highlight w:val="none"/>
          <w:u w:val="single"/>
        </w:rPr>
        <w:t>由供应商法定代表人或授权代理人现场递交纸质响应文件，</w:t>
      </w:r>
    </w:p>
    <w:p>
      <w:pPr>
        <w:ind w:firstLine="0" w:firstLineChars="0"/>
        <w:rPr>
          <w:highlight w:val="none"/>
        </w:rPr>
      </w:pPr>
      <w:r>
        <w:rPr>
          <w:rFonts w:hint="eastAsia"/>
          <w:highlight w:val="none"/>
          <w:u w:val="single"/>
        </w:rPr>
        <w:t>不接受邮寄等其他方式。</w:t>
      </w:r>
    </w:p>
    <w:p>
      <w:pPr>
        <w:ind w:firstLine="480"/>
        <w:rPr>
          <w:highlight w:val="none"/>
        </w:rPr>
      </w:pPr>
      <w:r>
        <w:rPr>
          <w:rFonts w:hint="eastAsia"/>
          <w:highlight w:val="none"/>
        </w:rPr>
        <w:t>5</w:t>
      </w:r>
      <w:r>
        <w:rPr>
          <w:highlight w:val="none"/>
        </w:rPr>
        <w:t>.</w:t>
      </w:r>
      <w:r>
        <w:rPr>
          <w:rFonts w:hint="eastAsia"/>
          <w:highlight w:val="none"/>
        </w:rPr>
        <w:t>4逾期送达、未送达指定地点的或未密封的响应文件，采购人将拒绝接收。</w:t>
      </w:r>
    </w:p>
    <w:p>
      <w:pPr>
        <w:pStyle w:val="2"/>
        <w:ind w:firstLine="482"/>
        <w:rPr>
          <w:highlight w:val="none"/>
        </w:rPr>
      </w:pPr>
      <w:r>
        <w:rPr>
          <w:rFonts w:hint="eastAsia" w:cs="Times New Roman"/>
          <w:highlight w:val="none"/>
        </w:rPr>
        <w:t>6</w:t>
      </w:r>
      <w:r>
        <w:rPr>
          <w:highlight w:val="none"/>
        </w:rPr>
        <w:t xml:space="preserve"> </w:t>
      </w:r>
      <w:r>
        <w:rPr>
          <w:rFonts w:hint="eastAsia"/>
          <w:highlight w:val="none"/>
        </w:rPr>
        <w:t>评审时间、地点和评审方法</w:t>
      </w:r>
    </w:p>
    <w:p>
      <w:pPr>
        <w:ind w:firstLine="482"/>
        <w:rPr>
          <w:highlight w:val="none"/>
          <w:u w:val="single"/>
        </w:rPr>
      </w:pPr>
      <w:r>
        <w:rPr>
          <w:rFonts w:hint="eastAsia"/>
          <w:b/>
          <w:bCs/>
          <w:highlight w:val="none"/>
        </w:rPr>
        <w:t>6</w:t>
      </w:r>
      <w:r>
        <w:rPr>
          <w:b/>
          <w:bCs/>
          <w:highlight w:val="none"/>
        </w:rPr>
        <w:t>.1</w:t>
      </w:r>
      <w:r>
        <w:rPr>
          <w:rFonts w:hint="eastAsia"/>
          <w:b/>
          <w:bCs/>
          <w:highlight w:val="none"/>
        </w:rPr>
        <w:t>评审时间：</w:t>
      </w:r>
      <w:r>
        <w:rPr>
          <w:rFonts w:hint="eastAsia"/>
          <w:highlight w:val="none"/>
          <w:u w:val="single"/>
        </w:rPr>
        <w:t>同响应文件递交截止时间</w:t>
      </w:r>
    </w:p>
    <w:p>
      <w:pPr>
        <w:ind w:left="420" w:firstLine="60" w:firstLineChars="25"/>
        <w:rPr>
          <w:highlight w:val="none"/>
          <w:u w:val="single"/>
        </w:rPr>
      </w:pPr>
      <w:r>
        <w:rPr>
          <w:rFonts w:hint="eastAsia"/>
          <w:b/>
          <w:bCs/>
          <w:highlight w:val="none"/>
        </w:rPr>
        <w:t>6</w:t>
      </w:r>
      <w:r>
        <w:rPr>
          <w:b/>
          <w:bCs/>
          <w:highlight w:val="none"/>
        </w:rPr>
        <w:t>.2</w:t>
      </w:r>
      <w:r>
        <w:rPr>
          <w:rFonts w:hint="eastAsia"/>
          <w:b/>
          <w:bCs/>
          <w:highlight w:val="none"/>
        </w:rPr>
        <w:t>评审地点：</w:t>
      </w:r>
      <w:r>
        <w:rPr>
          <w:rFonts w:ascii="宋体" w:hAnsi="宋体" w:cs="宋体"/>
          <w:szCs w:val="24"/>
          <w:highlight w:val="none"/>
          <w:u w:val="single"/>
        </w:rPr>
        <w:t>南通市崇川区崇川</w:t>
      </w:r>
      <w:r>
        <w:rPr>
          <w:rFonts w:hint="eastAsia" w:ascii="宋体" w:hAnsi="宋体" w:cs="宋体"/>
          <w:szCs w:val="24"/>
          <w:highlight w:val="none"/>
          <w:u w:val="single"/>
        </w:rPr>
        <w:t>路</w:t>
      </w:r>
      <w:r>
        <w:rPr>
          <w:rFonts w:ascii="宋体" w:hAnsi="宋体" w:cs="宋体"/>
          <w:szCs w:val="24"/>
          <w:highlight w:val="none"/>
          <w:u w:val="single"/>
        </w:rPr>
        <w:t>15</w:t>
      </w:r>
      <w:r>
        <w:rPr>
          <w:rFonts w:hint="eastAsia" w:ascii="宋体" w:hAnsi="宋体" w:cs="宋体"/>
          <w:szCs w:val="24"/>
          <w:highlight w:val="none"/>
          <w:u w:val="single"/>
        </w:rPr>
        <w:t>8</w:t>
      </w:r>
      <w:r>
        <w:rPr>
          <w:rFonts w:ascii="宋体" w:hAnsi="宋体" w:cs="宋体"/>
          <w:szCs w:val="24"/>
          <w:highlight w:val="none"/>
          <w:u w:val="single"/>
        </w:rPr>
        <w:t>号轨道大厦15楼150</w:t>
      </w:r>
      <w:r>
        <w:rPr>
          <w:rFonts w:hint="eastAsia" w:ascii="宋体" w:hAnsi="宋体" w:cs="宋体"/>
          <w:szCs w:val="24"/>
          <w:highlight w:val="none"/>
          <w:u w:val="single"/>
        </w:rPr>
        <w:t>9评</w:t>
      </w:r>
      <w:r>
        <w:rPr>
          <w:rFonts w:ascii="宋体" w:hAnsi="宋体" w:cs="宋体"/>
          <w:szCs w:val="24"/>
          <w:highlight w:val="none"/>
          <w:u w:val="single"/>
        </w:rPr>
        <w:t>标室</w:t>
      </w:r>
    </w:p>
    <w:p>
      <w:pPr>
        <w:pStyle w:val="10"/>
        <w:ind w:firstLine="482"/>
        <w:rPr>
          <w:rFonts w:ascii="Times New Roman" w:cs="Times New Roman"/>
          <w:kern w:val="2"/>
          <w:sz w:val="24"/>
          <w:szCs w:val="32"/>
          <w:highlight w:val="none"/>
          <w:u w:val="single"/>
        </w:rPr>
      </w:pPr>
      <w:r>
        <w:rPr>
          <w:rFonts w:hint="eastAsia" w:ascii="Times New Roman" w:cs="Times New Roman"/>
          <w:b/>
          <w:bCs/>
          <w:kern w:val="2"/>
          <w:sz w:val="24"/>
          <w:szCs w:val="32"/>
          <w:highlight w:val="none"/>
        </w:rPr>
        <w:t>6.3资格审查：</w:t>
      </w:r>
      <w:r>
        <w:rPr>
          <w:rFonts w:hint="eastAsia" w:ascii="Times New Roman" w:cs="Times New Roman"/>
          <w:kern w:val="2"/>
          <w:sz w:val="24"/>
          <w:szCs w:val="32"/>
          <w:highlight w:val="none"/>
          <w:u w:val="single"/>
        </w:rPr>
        <w:t>资格后审</w:t>
      </w:r>
    </w:p>
    <w:p>
      <w:pPr>
        <w:ind w:firstLine="482"/>
        <w:rPr>
          <w:rFonts w:hint="eastAsia" w:eastAsia="宋体" w:cs="Times New Roman"/>
          <w:szCs w:val="32"/>
          <w:highlight w:val="none"/>
          <w:u w:val="single"/>
          <w:lang w:eastAsia="zh-CN"/>
        </w:rPr>
      </w:pPr>
      <w:r>
        <w:rPr>
          <w:rFonts w:hint="eastAsia"/>
          <w:b/>
          <w:bCs/>
          <w:highlight w:val="none"/>
        </w:rPr>
        <w:t>6</w:t>
      </w:r>
      <w:r>
        <w:rPr>
          <w:b/>
          <w:bCs/>
          <w:highlight w:val="none"/>
        </w:rPr>
        <w:t>.</w:t>
      </w:r>
      <w:r>
        <w:rPr>
          <w:rFonts w:hint="eastAsia"/>
          <w:b/>
          <w:bCs/>
          <w:highlight w:val="none"/>
        </w:rPr>
        <w:t>4评审方法：</w:t>
      </w:r>
      <w:r>
        <w:rPr>
          <w:rFonts w:hint="eastAsia" w:cs="Times New Roman"/>
          <w:color w:val="000000"/>
          <w:szCs w:val="32"/>
          <w:highlight w:val="none"/>
          <w:u w:val="single"/>
          <w:lang w:eastAsia="zh-CN"/>
        </w:rPr>
        <w:t>综合评分法</w:t>
      </w:r>
    </w:p>
    <w:p>
      <w:pPr>
        <w:ind w:firstLine="482"/>
        <w:rPr>
          <w:highlight w:val="none"/>
        </w:rPr>
      </w:pPr>
      <w:r>
        <w:rPr>
          <w:rFonts w:hint="eastAsia"/>
          <w:b/>
          <w:bCs/>
          <w:highlight w:val="none"/>
        </w:rPr>
        <w:t>6</w:t>
      </w:r>
      <w:r>
        <w:rPr>
          <w:b/>
          <w:bCs/>
          <w:highlight w:val="none"/>
        </w:rPr>
        <w:t>.5</w:t>
      </w:r>
      <w:r>
        <w:rPr>
          <w:rFonts w:hint="eastAsia"/>
          <w:highlight w:val="none"/>
        </w:rPr>
        <w:t>本项目邀请所有供应商的法定代表人或其授权代理人参加评审会议。</w:t>
      </w:r>
    </w:p>
    <w:p>
      <w:pPr>
        <w:pStyle w:val="2"/>
        <w:ind w:firstLine="482"/>
        <w:rPr>
          <w:highlight w:val="none"/>
        </w:rPr>
      </w:pPr>
      <w:r>
        <w:rPr>
          <w:rFonts w:hint="eastAsia"/>
          <w:highlight w:val="none"/>
        </w:rPr>
        <w:t>7 采购公告媒介</w:t>
      </w:r>
    </w:p>
    <w:p>
      <w:pPr>
        <w:ind w:firstLine="480"/>
        <w:rPr>
          <w:highlight w:val="none"/>
        </w:rPr>
      </w:pPr>
      <w:r>
        <w:rPr>
          <w:rFonts w:hint="eastAsia"/>
          <w:highlight w:val="none"/>
        </w:rPr>
        <w:t>本公告同时在以下媒体发布：</w:t>
      </w:r>
    </w:p>
    <w:p>
      <w:pPr>
        <w:ind w:firstLine="480"/>
        <w:rPr>
          <w:highlight w:val="none"/>
          <w:u w:val="single"/>
        </w:rPr>
      </w:pPr>
      <w:r>
        <w:rPr>
          <w:rFonts w:hint="eastAsia"/>
          <w:highlight w:val="none"/>
          <w:u w:val="single"/>
        </w:rPr>
        <w:t>南通轨道交通官方网站（</w:t>
      </w:r>
      <w:r>
        <w:rPr>
          <w:rFonts w:hint="eastAsia"/>
          <w:highlight w:val="none"/>
        </w:rPr>
        <w:fldChar w:fldCharType="begin"/>
      </w:r>
      <w:r>
        <w:rPr>
          <w:highlight w:val="none"/>
        </w:rPr>
        <w:instrText xml:space="preserve"> HYPERLINK "https://www.ntrailway.com/）、" </w:instrText>
      </w:r>
      <w:r>
        <w:rPr>
          <w:rFonts w:hint="eastAsia"/>
          <w:highlight w:val="none"/>
        </w:rPr>
        <w:fldChar w:fldCharType="separate"/>
      </w:r>
      <w:r>
        <w:rPr>
          <w:rFonts w:hint="eastAsia"/>
          <w:highlight w:val="none"/>
          <w:u w:val="single"/>
        </w:rPr>
        <w:t>https://www.ntrailway.com/）</w:t>
      </w:r>
      <w:r>
        <w:rPr>
          <w:rFonts w:hint="eastAsia"/>
          <w:highlight w:val="none"/>
          <w:u w:val="single"/>
        </w:rPr>
        <w:fldChar w:fldCharType="end"/>
      </w:r>
    </w:p>
    <w:p>
      <w:pPr>
        <w:ind w:firstLine="480"/>
        <w:rPr>
          <w:highlight w:val="none"/>
          <w:u w:val="single"/>
        </w:rPr>
      </w:pPr>
      <w:r>
        <w:rPr>
          <w:rFonts w:hint="eastAsia"/>
          <w:highlight w:val="none"/>
          <w:u w:val="single"/>
        </w:rPr>
        <w:t>江苏招标采购服务平台（http://www.jszbcg.com/）</w:t>
      </w:r>
    </w:p>
    <w:p>
      <w:pPr>
        <w:pStyle w:val="2"/>
        <w:ind w:firstLine="482"/>
        <w:rPr>
          <w:rFonts w:cs="Times New Roman"/>
          <w:highlight w:val="none"/>
        </w:rPr>
      </w:pPr>
      <w:r>
        <w:rPr>
          <w:rFonts w:hint="eastAsia" w:cs="Times New Roman"/>
          <w:highlight w:val="none"/>
        </w:rPr>
        <w:t>8</w:t>
      </w:r>
      <w:r>
        <w:rPr>
          <w:rFonts w:cs="Times New Roman"/>
          <w:highlight w:val="none"/>
        </w:rPr>
        <w:t xml:space="preserve"> </w:t>
      </w:r>
      <w:r>
        <w:rPr>
          <w:rFonts w:hint="eastAsia" w:cs="Times New Roman"/>
          <w:highlight w:val="none"/>
        </w:rPr>
        <w:t>特别提醒</w:t>
      </w:r>
    </w:p>
    <w:p>
      <w:pPr>
        <w:ind w:firstLine="480"/>
        <w:rPr>
          <w:highlight w:val="none"/>
        </w:rPr>
      </w:pPr>
      <w:r>
        <w:rPr>
          <w:rFonts w:hint="eastAsia"/>
          <w:highlight w:val="none"/>
        </w:rPr>
        <w:t>供应商参与采购活动必须严格履行诚信承诺，出现违反本采购文件第六章“承诺函”的行为或其他不良行为的，本公司将做出相应的处理。</w:t>
      </w:r>
    </w:p>
    <w:p>
      <w:pPr>
        <w:pStyle w:val="2"/>
        <w:ind w:firstLine="482"/>
        <w:rPr>
          <w:highlight w:val="none"/>
        </w:rPr>
      </w:pPr>
      <w:r>
        <w:rPr>
          <w:rFonts w:hint="eastAsia" w:cs="Times New Roman"/>
          <w:highlight w:val="none"/>
        </w:rPr>
        <w:t>9</w:t>
      </w:r>
      <w:r>
        <w:rPr>
          <w:highlight w:val="none"/>
        </w:rPr>
        <w:t xml:space="preserve"> </w:t>
      </w:r>
      <w:r>
        <w:rPr>
          <w:rFonts w:hint="eastAsia"/>
          <w:highlight w:val="none"/>
        </w:rPr>
        <w:t>联系方式</w:t>
      </w:r>
    </w:p>
    <w:p>
      <w:pPr>
        <w:ind w:firstLine="482"/>
        <w:rPr>
          <w:highlight w:val="none"/>
          <w:u w:val="single"/>
        </w:rPr>
      </w:pPr>
      <w:r>
        <w:rPr>
          <w:rFonts w:hint="eastAsia"/>
          <w:b/>
          <w:bCs/>
          <w:highlight w:val="none"/>
        </w:rPr>
        <w:t>采购人：</w:t>
      </w:r>
      <w:r>
        <w:rPr>
          <w:rFonts w:hint="eastAsia"/>
          <w:highlight w:val="none"/>
          <w:u w:val="single"/>
        </w:rPr>
        <w:t>南通轨道交通集团有限公司运营分公司</w:t>
      </w:r>
    </w:p>
    <w:p>
      <w:pPr>
        <w:ind w:firstLine="482"/>
        <w:rPr>
          <w:highlight w:val="none"/>
        </w:rPr>
      </w:pPr>
      <w:r>
        <w:rPr>
          <w:rFonts w:hint="eastAsia"/>
          <w:b/>
          <w:bCs/>
          <w:highlight w:val="none"/>
        </w:rPr>
        <w:t>联系人：</w:t>
      </w:r>
      <w:r>
        <w:rPr>
          <w:rFonts w:hint="eastAsia"/>
          <w:highlight w:val="none"/>
          <w:u w:val="single"/>
          <w:lang w:val="en-US" w:eastAsia="zh-CN"/>
        </w:rPr>
        <w:t>宗</w:t>
      </w:r>
      <w:r>
        <w:rPr>
          <w:rFonts w:hint="eastAsia"/>
          <w:highlight w:val="none"/>
          <w:u w:val="single"/>
        </w:rPr>
        <w:t>先生</w:t>
      </w:r>
    </w:p>
    <w:p>
      <w:pPr>
        <w:ind w:firstLine="482"/>
        <w:rPr>
          <w:rFonts w:hint="eastAsia" w:eastAsia="宋体"/>
          <w:highlight w:val="none"/>
          <w:u w:val="single"/>
          <w:lang w:eastAsia="zh-CN"/>
        </w:rPr>
      </w:pPr>
      <w:r>
        <w:rPr>
          <w:rFonts w:hint="eastAsia"/>
          <w:b/>
          <w:bCs/>
          <w:highlight w:val="none"/>
        </w:rPr>
        <w:t>电话：</w:t>
      </w:r>
      <w:r>
        <w:rPr>
          <w:highlight w:val="none"/>
          <w:u w:val="single"/>
        </w:rPr>
        <w:t>0513-</w:t>
      </w:r>
      <w:r>
        <w:rPr>
          <w:rFonts w:hint="eastAsia"/>
          <w:highlight w:val="none"/>
          <w:u w:val="single"/>
          <w:lang w:eastAsia="zh-CN"/>
        </w:rPr>
        <w:t>69888680</w:t>
      </w:r>
    </w:p>
    <w:p>
      <w:pPr>
        <w:pStyle w:val="10"/>
        <w:ind w:firstLine="482"/>
        <w:rPr>
          <w:rFonts w:ascii="Times New Roman"/>
          <w:kern w:val="2"/>
          <w:sz w:val="24"/>
          <w:szCs w:val="22"/>
          <w:highlight w:val="none"/>
          <w:u w:val="single"/>
        </w:rPr>
      </w:pPr>
      <w:r>
        <w:rPr>
          <w:rFonts w:hint="eastAsia" w:ascii="Times New Roman"/>
          <w:b/>
          <w:bCs/>
          <w:kern w:val="2"/>
          <w:sz w:val="24"/>
          <w:szCs w:val="22"/>
          <w:highlight w:val="none"/>
        </w:rPr>
        <w:t>地址：</w:t>
      </w:r>
      <w:r>
        <w:rPr>
          <w:rFonts w:hint="eastAsia" w:ascii="Times New Roman"/>
          <w:kern w:val="2"/>
          <w:sz w:val="24"/>
          <w:szCs w:val="22"/>
          <w:highlight w:val="none"/>
          <w:u w:val="single"/>
        </w:rPr>
        <w:t>南通市通州区平潮镇南通轨道交通平东车辆段</w:t>
      </w:r>
    </w:p>
    <w:p>
      <w:pPr>
        <w:ind w:firstLine="480"/>
        <w:rPr>
          <w:highlight w:val="none"/>
        </w:rPr>
      </w:pPr>
    </w:p>
    <w:p>
      <w:pPr>
        <w:ind w:firstLine="482"/>
        <w:rPr>
          <w:highlight w:val="none"/>
        </w:rPr>
      </w:pPr>
      <w:r>
        <w:rPr>
          <w:rFonts w:hint="eastAsia"/>
          <w:b/>
          <w:bCs/>
          <w:highlight w:val="none"/>
        </w:rPr>
        <w:t>代理机构：</w:t>
      </w:r>
      <w:r>
        <w:rPr>
          <w:rFonts w:hint="eastAsia"/>
          <w:highlight w:val="none"/>
          <w:u w:val="single"/>
        </w:rPr>
        <w:t>江苏建达全过程工程咨询有限公司</w:t>
      </w:r>
    </w:p>
    <w:p>
      <w:pPr>
        <w:ind w:firstLine="482"/>
        <w:rPr>
          <w:highlight w:val="none"/>
        </w:rPr>
      </w:pPr>
      <w:r>
        <w:rPr>
          <w:rFonts w:hint="eastAsia"/>
          <w:b/>
          <w:bCs/>
          <w:highlight w:val="none"/>
        </w:rPr>
        <w:t>联系人：</w:t>
      </w:r>
      <w:r>
        <w:rPr>
          <w:rFonts w:hint="eastAsia"/>
          <w:highlight w:val="none"/>
          <w:u w:val="single"/>
        </w:rPr>
        <w:t>吴小松</w:t>
      </w:r>
      <w:r>
        <w:rPr>
          <w:highlight w:val="none"/>
          <w:u w:val="single"/>
        </w:rPr>
        <w:t xml:space="preserve"> </w:t>
      </w:r>
    </w:p>
    <w:p>
      <w:pPr>
        <w:ind w:firstLine="482"/>
        <w:rPr>
          <w:highlight w:val="none"/>
        </w:rPr>
      </w:pPr>
      <w:r>
        <w:rPr>
          <w:rFonts w:hint="eastAsia"/>
          <w:b/>
          <w:bCs/>
          <w:highlight w:val="none"/>
        </w:rPr>
        <w:t>电话：</w:t>
      </w:r>
      <w:r>
        <w:rPr>
          <w:highlight w:val="none"/>
          <w:u w:val="single"/>
        </w:rPr>
        <w:t xml:space="preserve">15301476960 </w:t>
      </w:r>
    </w:p>
    <w:p>
      <w:pPr>
        <w:ind w:firstLine="482"/>
        <w:rPr>
          <w:highlight w:val="none"/>
          <w:u w:val="single"/>
        </w:rPr>
      </w:pPr>
      <w:r>
        <w:rPr>
          <w:rFonts w:hint="eastAsia"/>
          <w:b/>
          <w:bCs/>
          <w:highlight w:val="none"/>
        </w:rPr>
        <w:t>邮箱：</w:t>
      </w:r>
      <w:r>
        <w:rPr>
          <w:highlight w:val="none"/>
          <w:u w:val="single"/>
        </w:rPr>
        <w:t xml:space="preserve">1614454577@qq.com </w:t>
      </w:r>
    </w:p>
    <w:p>
      <w:pPr>
        <w:pStyle w:val="10"/>
        <w:ind w:firstLine="482"/>
        <w:rPr>
          <w:rFonts w:ascii="Times New Roman"/>
          <w:kern w:val="2"/>
          <w:sz w:val="24"/>
          <w:szCs w:val="22"/>
          <w:highlight w:val="none"/>
        </w:rPr>
      </w:pPr>
      <w:r>
        <w:rPr>
          <w:rFonts w:hint="eastAsia" w:ascii="Times New Roman"/>
          <w:b/>
          <w:kern w:val="2"/>
          <w:sz w:val="24"/>
          <w:szCs w:val="22"/>
          <w:highlight w:val="none"/>
        </w:rPr>
        <w:t>地址：</w:t>
      </w:r>
      <w:r>
        <w:rPr>
          <w:rFonts w:hint="eastAsia" w:ascii="Times New Roman"/>
          <w:kern w:val="2"/>
          <w:sz w:val="24"/>
          <w:szCs w:val="22"/>
          <w:highlight w:val="none"/>
          <w:u w:val="single"/>
        </w:rPr>
        <w:t>南通市崇川区世纪大道18号恒隆国际大厦B座14楼</w:t>
      </w:r>
    </w:p>
    <w:p>
      <w:pPr>
        <w:ind w:firstLine="480"/>
        <w:rPr>
          <w:highlight w:val="none"/>
        </w:rPr>
      </w:pPr>
    </w:p>
    <w:p>
      <w:pPr>
        <w:ind w:firstLine="482"/>
        <w:rPr>
          <w:highlight w:val="none"/>
          <w:u w:val="single"/>
        </w:rPr>
      </w:pPr>
      <w:r>
        <w:rPr>
          <w:rFonts w:hint="eastAsia"/>
          <w:b/>
          <w:bCs/>
          <w:highlight w:val="none"/>
        </w:rPr>
        <w:t>监督部门：</w:t>
      </w:r>
      <w:r>
        <w:rPr>
          <w:rFonts w:hint="eastAsia"/>
          <w:highlight w:val="none"/>
          <w:u w:val="single"/>
        </w:rPr>
        <w:t>南通轨道交通集团有限公司运营分公司纪检监督部</w:t>
      </w:r>
    </w:p>
    <w:p>
      <w:pPr>
        <w:ind w:firstLine="482"/>
        <w:rPr>
          <w:highlight w:val="none"/>
          <w:u w:val="single"/>
        </w:rPr>
      </w:pPr>
      <w:r>
        <w:rPr>
          <w:rFonts w:hint="eastAsia"/>
          <w:b/>
          <w:bCs/>
          <w:highlight w:val="none"/>
        </w:rPr>
        <w:t>联系电话：</w:t>
      </w:r>
      <w:r>
        <w:rPr>
          <w:rFonts w:hint="eastAsia"/>
          <w:highlight w:val="none"/>
          <w:u w:val="single"/>
        </w:rPr>
        <w:t>0513-69888665</w:t>
      </w:r>
    </w:p>
    <w:p>
      <w:pPr>
        <w:pStyle w:val="10"/>
        <w:ind w:firstLine="482"/>
        <w:rPr>
          <w:rFonts w:ascii="Times New Roman"/>
          <w:kern w:val="2"/>
          <w:sz w:val="24"/>
          <w:szCs w:val="22"/>
          <w:highlight w:val="none"/>
          <w:u w:val="single"/>
        </w:rPr>
      </w:pPr>
      <w:r>
        <w:rPr>
          <w:rFonts w:hint="eastAsia" w:ascii="Times New Roman"/>
          <w:b/>
          <w:bCs/>
          <w:kern w:val="2"/>
          <w:sz w:val="24"/>
          <w:szCs w:val="22"/>
          <w:highlight w:val="none"/>
        </w:rPr>
        <w:t>地址：</w:t>
      </w:r>
      <w:r>
        <w:rPr>
          <w:rFonts w:hint="eastAsia" w:ascii="Times New Roman"/>
          <w:kern w:val="2"/>
          <w:sz w:val="24"/>
          <w:szCs w:val="22"/>
          <w:highlight w:val="none"/>
          <w:u w:val="single"/>
        </w:rPr>
        <w:t>南通市通州区平潮镇南通轨道交通平东车辆段综合楼5楼</w:t>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u w:val="single"/>
        </w:rPr>
      </w:pPr>
    </w:p>
    <w:p>
      <w:pPr>
        <w:pStyle w:val="53"/>
        <w:rPr>
          <w:rFonts w:ascii="Times New Roman"/>
          <w:kern w:val="2"/>
          <w:sz w:val="24"/>
          <w:szCs w:val="22"/>
          <w:highlight w:val="none"/>
          <w:u w:val="single"/>
        </w:rPr>
      </w:pPr>
    </w:p>
    <w:p>
      <w:pPr>
        <w:pStyle w:val="53"/>
        <w:rPr>
          <w:rFonts w:ascii="Times New Roman"/>
          <w:kern w:val="2"/>
          <w:sz w:val="24"/>
          <w:szCs w:val="22"/>
          <w:highlight w:val="none"/>
          <w:u w:val="single"/>
        </w:rPr>
      </w:pPr>
    </w:p>
    <w:p>
      <w:pPr>
        <w:ind w:firstLine="480"/>
        <w:rPr>
          <w:highlight w:val="none"/>
        </w:rPr>
      </w:pPr>
      <w:r>
        <w:rPr>
          <w:rFonts w:hint="eastAsia"/>
          <w:highlight w:val="none"/>
        </w:rPr>
        <w:br w:type="page"/>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pStyle w:val="3"/>
        <w:ind w:firstLine="140" w:firstLineChars="32"/>
        <w:rPr>
          <w:highlight w:val="none"/>
        </w:rPr>
      </w:pPr>
      <w:bookmarkStart w:id="6" w:name="_Toc18896"/>
      <w:r>
        <w:rPr>
          <w:rFonts w:hint="eastAsia"/>
          <w:highlight w:val="none"/>
        </w:rPr>
        <w:t>第二章 供应商须知</w:t>
      </w:r>
      <w:bookmarkEnd w:id="6"/>
    </w:p>
    <w:p>
      <w:pPr>
        <w:ind w:firstLine="640"/>
        <w:rPr>
          <w:sz w:val="32"/>
          <w:szCs w:val="40"/>
          <w:highlight w:val="none"/>
        </w:rPr>
      </w:pPr>
      <w:r>
        <w:rPr>
          <w:rFonts w:hint="eastAsia"/>
          <w:sz w:val="32"/>
          <w:szCs w:val="40"/>
          <w:highlight w:val="none"/>
        </w:rPr>
        <w:br w:type="page"/>
      </w:r>
    </w:p>
    <w:p>
      <w:pPr>
        <w:pStyle w:val="2"/>
        <w:ind w:firstLine="0" w:firstLineChars="0"/>
        <w:jc w:val="center"/>
        <w:rPr>
          <w:sz w:val="32"/>
          <w:szCs w:val="40"/>
          <w:highlight w:val="none"/>
        </w:rPr>
      </w:pPr>
      <w:r>
        <w:rPr>
          <w:rFonts w:hint="eastAsia"/>
          <w:sz w:val="32"/>
          <w:szCs w:val="40"/>
          <w:highlight w:val="none"/>
        </w:rPr>
        <w:t>供应商须知前附表</w:t>
      </w:r>
    </w:p>
    <w:p>
      <w:pPr>
        <w:ind w:firstLine="480"/>
        <w:rPr>
          <w:highlight w:val="none"/>
        </w:rPr>
      </w:pPr>
      <w:r>
        <w:rPr>
          <w:highlight w:val="none"/>
        </w:rPr>
        <w:t> </w:t>
      </w:r>
    </w:p>
    <w:tbl>
      <w:tblPr>
        <w:tblStyle w:val="25"/>
        <w:tblW w:w="49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961"/>
        <w:gridCol w:w="5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553" w:type="pct"/>
            <w:noWrap w:val="0"/>
            <w:vAlign w:val="center"/>
          </w:tcPr>
          <w:p>
            <w:pPr>
              <w:spacing w:before="156" w:after="156" w:line="300" w:lineRule="auto"/>
              <w:ind w:firstLine="0" w:firstLineChars="0"/>
              <w:jc w:val="center"/>
              <w:rPr>
                <w:rFonts w:ascii="等线" w:hAnsi="等线" w:eastAsia="等线" w:cs="等线"/>
                <w:b/>
                <w:sz w:val="22"/>
                <w:highlight w:val="none"/>
              </w:rPr>
            </w:pPr>
            <w:r>
              <w:rPr>
                <w:rFonts w:hint="eastAsia" w:ascii="等线" w:hAnsi="等线" w:eastAsia="等线" w:cs="等线"/>
                <w:b/>
                <w:sz w:val="22"/>
                <w:highlight w:val="none"/>
              </w:rPr>
              <w:t>条款号</w:t>
            </w:r>
          </w:p>
        </w:tc>
        <w:tc>
          <w:tcPr>
            <w:tcW w:w="1112" w:type="pct"/>
            <w:noWrap w:val="0"/>
            <w:vAlign w:val="center"/>
          </w:tcPr>
          <w:p>
            <w:pPr>
              <w:spacing w:before="156" w:after="156" w:line="300" w:lineRule="auto"/>
              <w:ind w:left="-106" w:leftChars="-44" w:firstLine="0" w:firstLineChars="0"/>
              <w:jc w:val="center"/>
              <w:rPr>
                <w:rFonts w:ascii="等线" w:hAnsi="等线" w:eastAsia="等线" w:cs="等线"/>
                <w:b/>
                <w:sz w:val="22"/>
                <w:highlight w:val="none"/>
              </w:rPr>
            </w:pPr>
            <w:r>
              <w:rPr>
                <w:rFonts w:hint="eastAsia" w:ascii="等线" w:hAnsi="等线" w:eastAsia="等线" w:cs="等线"/>
                <w:b/>
                <w:sz w:val="22"/>
                <w:highlight w:val="none"/>
              </w:rPr>
              <w:t>条 款 名 称</w:t>
            </w:r>
          </w:p>
        </w:tc>
        <w:tc>
          <w:tcPr>
            <w:tcW w:w="3334" w:type="pct"/>
            <w:noWrap w:val="0"/>
            <w:vAlign w:val="center"/>
          </w:tcPr>
          <w:p>
            <w:pPr>
              <w:spacing w:before="156" w:after="156" w:line="300" w:lineRule="auto"/>
              <w:ind w:left="-9" w:leftChars="-42" w:hanging="92" w:hangingChars="42"/>
              <w:jc w:val="center"/>
              <w:rPr>
                <w:rFonts w:ascii="等线" w:hAnsi="等线" w:eastAsia="等线" w:cs="等线"/>
                <w:b/>
                <w:sz w:val="22"/>
                <w:highlight w:val="none"/>
              </w:rPr>
            </w:pPr>
            <w:r>
              <w:rPr>
                <w:rFonts w:hint="eastAsia" w:ascii="等线" w:hAnsi="等线" w:eastAsia="等线" w:cs="等线"/>
                <w:b/>
                <w:sz w:val="22"/>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采购人</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南通轨道交通集团有限公司运营分公司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代理人</w:t>
            </w:r>
          </w:p>
        </w:tc>
        <w:tc>
          <w:tcPr>
            <w:tcW w:w="3334" w:type="pct"/>
            <w:noWrap w:val="0"/>
            <w:vAlign w:val="top"/>
          </w:tcPr>
          <w:p>
            <w:pPr>
              <w:spacing w:before="156" w:after="156" w:line="300" w:lineRule="auto"/>
              <w:ind w:left="-31" w:leftChars="-13" w:firstLine="29" w:firstLineChars="14"/>
              <w:rPr>
                <w:rFonts w:ascii="宋体" w:hAnsi="宋体" w:cs="宋体"/>
                <w:sz w:val="21"/>
                <w:szCs w:val="21"/>
                <w:highlight w:val="none"/>
              </w:rPr>
            </w:pPr>
            <w:r>
              <w:rPr>
                <w:rFonts w:hint="eastAsia" w:ascii="宋体" w:hAnsi="宋体" w:cs="宋体"/>
                <w:sz w:val="21"/>
                <w:szCs w:val="21"/>
                <w:highlight w:val="none"/>
              </w:rPr>
              <w:t>江苏建达全过程工程咨询有限公司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项目名称</w:t>
            </w:r>
          </w:p>
        </w:tc>
        <w:tc>
          <w:tcPr>
            <w:tcW w:w="3334" w:type="pct"/>
            <w:noWrap w:val="0"/>
            <w:vAlign w:val="center"/>
          </w:tcPr>
          <w:p>
            <w:pPr>
              <w:spacing w:before="156" w:after="156" w:line="300" w:lineRule="auto"/>
              <w:ind w:firstLine="0" w:firstLineChars="0"/>
              <w:jc w:val="lef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南通轨道交通集团有限公司运营分公司2026-2029年度劳保洗护用品采购项目（二次）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项目编号</w:t>
            </w:r>
          </w:p>
        </w:tc>
        <w:tc>
          <w:tcPr>
            <w:tcW w:w="3334" w:type="pct"/>
            <w:noWrap w:val="0"/>
            <w:vAlign w:val="center"/>
          </w:tcPr>
          <w:p>
            <w:pPr>
              <w:spacing w:before="156" w:after="156" w:line="300" w:lineRule="auto"/>
              <w:ind w:left="-31" w:leftChars="-13" w:firstLine="29" w:firstLineChars="14"/>
              <w:jc w:val="lef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NTGY-2026-HW-ZB-023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noWrap w:val="0"/>
            <w:vAlign w:val="center"/>
          </w:tcPr>
          <w:p>
            <w:pPr>
              <w:spacing w:before="156" w:after="156" w:line="300" w:lineRule="auto"/>
              <w:ind w:left="-106" w:leftChars="-44" w:firstLine="0" w:firstLineChars="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rPr>
              <w:t>项目</w:t>
            </w:r>
            <w:r>
              <w:rPr>
                <w:rFonts w:hint="eastAsia" w:ascii="宋体" w:hAnsi="宋体" w:cs="宋体"/>
                <w:sz w:val="21"/>
                <w:szCs w:val="21"/>
                <w:highlight w:val="none"/>
                <w:lang w:val="en-US" w:eastAsia="zh-CN"/>
              </w:rPr>
              <w:t>交货期</w:t>
            </w:r>
          </w:p>
        </w:tc>
        <w:tc>
          <w:tcPr>
            <w:tcW w:w="3334" w:type="pct"/>
            <w:noWrap w:val="0"/>
            <w:vAlign w:val="center"/>
          </w:tcPr>
          <w:p>
            <w:pPr>
              <w:spacing w:before="156" w:after="156" w:line="300" w:lineRule="auto"/>
              <w:ind w:left="-29" w:leftChars="-12" w:firstLine="31" w:firstLineChars="0"/>
              <w:jc w:val="left"/>
              <w:rPr>
                <w:rFonts w:ascii="宋体" w:hAnsi="宋体" w:cs="宋体"/>
                <w:sz w:val="21"/>
                <w:szCs w:val="21"/>
                <w:highlight w:val="none"/>
              </w:rPr>
            </w:pPr>
            <w:r>
              <w:rPr>
                <w:rFonts w:hint="eastAsia" w:ascii="宋体" w:hAnsi="宋体" w:cs="宋体"/>
                <w:sz w:val="21"/>
                <w:szCs w:val="21"/>
                <w:highlight w:val="none"/>
              </w:rPr>
              <w:t>见第五章《采购需求》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实施地点</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ascii="宋体" w:hAnsi="宋体" w:cs="宋体"/>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质量及验收标准</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符合国家规范、标准及第五章“采购需求”要求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1.3</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供应商资格要求</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1.8</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踏勘现场</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w:t>
            </w:r>
            <w:r>
              <w:rPr>
                <w:rFonts w:ascii="宋体" w:hAnsi="宋体" w:cs="宋体"/>
                <w:sz w:val="21"/>
                <w:szCs w:val="21"/>
                <w:highlight w:val="none"/>
              </w:rPr>
              <w:t>.9</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分包</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4"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2.2.1</w:t>
            </w:r>
          </w:p>
        </w:tc>
        <w:tc>
          <w:tcPr>
            <w:tcW w:w="1112" w:type="pct"/>
            <w:noWrap w:val="0"/>
            <w:vAlign w:val="center"/>
          </w:tcPr>
          <w:p>
            <w:pPr>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供应商要求澄清采购文件的时间和形式</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要求澄清截止时间：</w:t>
            </w:r>
            <w:r>
              <w:rPr>
                <w:rFonts w:hint="eastAsia" w:ascii="宋体" w:hAnsi="宋体" w:cs="宋体"/>
                <w:sz w:val="21"/>
                <w:szCs w:val="21"/>
                <w:highlight w:val="none"/>
                <w:u w:val="single"/>
              </w:rPr>
              <w:t>202</w:t>
            </w:r>
            <w:r>
              <w:rPr>
                <w:rFonts w:hint="eastAsia" w:ascii="宋体" w:hAnsi="宋体" w:cs="宋体"/>
                <w:sz w:val="21"/>
                <w:szCs w:val="21"/>
                <w:highlight w:val="none"/>
                <w:u w:val="single"/>
                <w:lang w:val="en-US" w:eastAsia="zh-CN"/>
              </w:rPr>
              <w:t>6</w:t>
            </w:r>
            <w:r>
              <w:rPr>
                <w:rFonts w:hint="eastAsia" w:ascii="宋体" w:hAnsi="宋体" w:cs="宋体"/>
                <w:sz w:val="21"/>
                <w:szCs w:val="21"/>
                <w:highlight w:val="none"/>
                <w:u w:val="single"/>
              </w:rPr>
              <w:t>年</w:t>
            </w:r>
            <w:r>
              <w:rPr>
                <w:rFonts w:hint="eastAsia" w:ascii="宋体" w:hAnsi="宋体" w:cs="宋体"/>
                <w:sz w:val="21"/>
                <w:szCs w:val="21"/>
                <w:highlight w:val="none"/>
                <w:u w:val="single"/>
                <w:lang w:val="en-US" w:eastAsia="zh-CN"/>
              </w:rPr>
              <w:t>9</w:t>
            </w:r>
            <w:r>
              <w:rPr>
                <w:rFonts w:hint="eastAsia" w:ascii="宋体" w:hAnsi="宋体" w:cs="宋体"/>
                <w:sz w:val="21"/>
                <w:szCs w:val="21"/>
                <w:highlight w:val="none"/>
                <w:u w:val="single"/>
              </w:rPr>
              <w:t>月</w:t>
            </w:r>
            <w:r>
              <w:rPr>
                <w:rFonts w:hint="eastAsia" w:ascii="宋体" w:hAnsi="宋体" w:cs="宋体"/>
                <w:sz w:val="21"/>
                <w:szCs w:val="21"/>
                <w:highlight w:val="none"/>
                <w:u w:val="single"/>
                <w:lang w:val="en-US" w:eastAsia="zh-CN"/>
              </w:rPr>
              <w:t>8</w:t>
            </w:r>
            <w:r>
              <w:rPr>
                <w:rFonts w:hint="eastAsia" w:ascii="宋体" w:hAnsi="宋体" w:cs="宋体"/>
                <w:sz w:val="21"/>
                <w:szCs w:val="21"/>
                <w:highlight w:val="none"/>
                <w:u w:val="single"/>
              </w:rPr>
              <w:t>日 17:00</w:t>
            </w:r>
            <w:r>
              <w:rPr>
                <w:rFonts w:hint="eastAsia" w:ascii="宋体" w:hAnsi="宋体" w:cs="宋体"/>
                <w:sz w:val="21"/>
                <w:szCs w:val="21"/>
                <w:highlight w:val="none"/>
              </w:rPr>
              <w:t>采购人有权拒绝回复供应商在上述时间后提出的任何澄清要求。</w:t>
            </w:r>
          </w:p>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形式：供应商将加盖公章的要求澄清文件以电子邮件形式发送至代理机构电子邮箱</w:t>
            </w:r>
            <w:r>
              <w:rPr>
                <w:rFonts w:hint="eastAsia" w:ascii="宋体" w:hAnsi="宋体" w:cs="宋体"/>
                <w:sz w:val="21"/>
                <w:szCs w:val="21"/>
                <w:highlight w:val="none"/>
                <w:u w:val="single"/>
              </w:rPr>
              <w:t>1614454577@qq.com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3.2.3</w:t>
            </w:r>
          </w:p>
        </w:tc>
        <w:tc>
          <w:tcPr>
            <w:tcW w:w="1112" w:type="pct"/>
            <w:noWrap w:val="0"/>
            <w:vAlign w:val="center"/>
          </w:tcPr>
          <w:p>
            <w:pPr>
              <w:spacing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rPr>
              <w:t>最高限价</w:t>
            </w:r>
          </w:p>
        </w:tc>
        <w:tc>
          <w:tcPr>
            <w:tcW w:w="3334" w:type="pct"/>
            <w:noWrap w:val="0"/>
            <w:vAlign w:val="center"/>
          </w:tcPr>
          <w:p>
            <w:pPr>
              <w:spacing w:before="156" w:after="156" w:line="300" w:lineRule="auto"/>
              <w:ind w:left="-31" w:leftChars="-13" w:firstLine="29" w:firstLineChars="14"/>
              <w:jc w:val="left"/>
              <w:rPr>
                <w:rFonts w:hint="eastAsia" w:ascii="宋体" w:hAnsi="宋体" w:eastAsia="宋体" w:cs="宋体"/>
                <w:sz w:val="21"/>
                <w:szCs w:val="21"/>
                <w:highlight w:val="none"/>
                <w:u w:val="single"/>
                <w:lang w:eastAsia="zh-CN"/>
              </w:rPr>
            </w:pPr>
            <w:r>
              <w:rPr>
                <w:rFonts w:hint="eastAsia" w:ascii="宋体" w:hAnsi="宋体" w:cs="宋体"/>
                <w:sz w:val="21"/>
                <w:szCs w:val="21"/>
                <w:highlight w:val="none"/>
              </w:rPr>
              <w:t>本项目</w:t>
            </w:r>
            <w:r>
              <w:rPr>
                <w:rFonts w:hint="eastAsia" w:ascii="宋体" w:hAnsi="宋体" w:cs="宋体"/>
                <w:sz w:val="21"/>
                <w:szCs w:val="21"/>
              </w:rPr>
              <w:t>最高限价</w:t>
            </w:r>
            <w:r>
              <w:rPr>
                <w:rFonts w:hint="eastAsia" w:ascii="宋体" w:hAnsi="宋体" w:cs="宋体"/>
                <w:sz w:val="21"/>
                <w:szCs w:val="21"/>
                <w:highlight w:val="none"/>
              </w:rPr>
              <w:t>：单份限价101元，项</w:t>
            </w:r>
            <w:bookmarkStart w:id="29" w:name="_GoBack"/>
            <w:bookmarkEnd w:id="29"/>
            <w:r>
              <w:rPr>
                <w:rFonts w:hint="eastAsia" w:ascii="宋体" w:hAnsi="宋体" w:cs="宋体"/>
                <w:sz w:val="21"/>
                <w:szCs w:val="21"/>
                <w:highlight w:val="none"/>
              </w:rPr>
              <w:t>目累计执行金额不超过124万元（人民币含税）</w:t>
            </w:r>
          </w:p>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供应商的报价超过最高限价的，其响应文件将被视为无效。</w:t>
            </w:r>
          </w:p>
          <w:p>
            <w:pPr>
              <w:spacing w:line="240" w:lineRule="auto"/>
              <w:ind w:firstLine="0" w:firstLineChars="0"/>
              <w:jc w:val="left"/>
              <w:rPr>
                <w:rFonts w:ascii="宋体" w:hAnsi="宋体" w:cs="宋体"/>
                <w:sz w:val="21"/>
                <w:szCs w:val="21"/>
                <w:highlight w:val="none"/>
              </w:rPr>
            </w:pPr>
          </w:p>
          <w:p>
            <w:pPr>
              <w:spacing w:before="156" w:after="156" w:line="300" w:lineRule="auto"/>
              <w:ind w:left="-31" w:leftChars="-13" w:firstLine="29" w:firstLineChars="14"/>
              <w:jc w:val="left"/>
              <w:rPr>
                <w:rFonts w:ascii="宋体" w:hAnsi="宋体" w:cs="宋体"/>
                <w:sz w:val="21"/>
                <w:szCs w:val="21"/>
                <w:highlight w:val="none"/>
              </w:rPr>
            </w:pPr>
          </w:p>
          <w:p>
            <w:pPr>
              <w:spacing w:before="156" w:after="156" w:line="300" w:lineRule="auto"/>
              <w:ind w:left="-31" w:leftChars="-13" w:firstLine="29" w:firstLineChars="14"/>
              <w:jc w:val="left"/>
              <w:rPr>
                <w:rFonts w:ascii="宋体" w:hAnsi="宋体" w:cs="宋体"/>
                <w:sz w:val="21"/>
                <w:szCs w:val="21"/>
                <w:highlight w:val="none"/>
              </w:rPr>
            </w:pPr>
          </w:p>
          <w:p>
            <w:pPr>
              <w:spacing w:line="300" w:lineRule="auto"/>
              <w:ind w:left="-31" w:leftChars="-13" w:firstLine="30" w:firstLineChars="14"/>
              <w:jc w:val="left"/>
              <w:rPr>
                <w:rFonts w:ascii="宋体" w:hAnsi="宋体" w:cs="宋体"/>
                <w:b/>
                <w:bCs/>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3.3</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响应文件有效期</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u w:val="single"/>
              </w:rPr>
              <w:t>90日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3.4</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响应保证金</w:t>
            </w:r>
          </w:p>
        </w:tc>
        <w:tc>
          <w:tcPr>
            <w:tcW w:w="3334" w:type="pct"/>
            <w:noWrap w:val="0"/>
            <w:vAlign w:val="bottom"/>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3.6</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是否允许递交备选报价方案</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3.7.5</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响应文件份数</w:t>
            </w:r>
          </w:p>
        </w:tc>
        <w:tc>
          <w:tcPr>
            <w:tcW w:w="3334" w:type="pct"/>
            <w:noWrap w:val="0"/>
            <w:vAlign w:val="center"/>
          </w:tcPr>
          <w:p>
            <w:pPr>
              <w:spacing w:before="156" w:after="156" w:line="300" w:lineRule="auto"/>
              <w:ind w:left="-29" w:leftChars="-12" w:firstLine="31" w:firstLineChars="0"/>
              <w:jc w:val="left"/>
              <w:rPr>
                <w:rFonts w:ascii="宋体" w:hAnsi="宋体" w:cs="宋体"/>
                <w:sz w:val="21"/>
                <w:szCs w:val="21"/>
                <w:highlight w:val="none"/>
              </w:rPr>
            </w:pPr>
            <w:r>
              <w:rPr>
                <w:rFonts w:hint="eastAsia" w:ascii="宋体" w:hAnsi="宋体" w:cs="宋体"/>
                <w:sz w:val="21"/>
                <w:szCs w:val="21"/>
                <w:highlight w:val="none"/>
              </w:rPr>
              <w:t>响应文件正本</w:t>
            </w:r>
            <w:r>
              <w:rPr>
                <w:rFonts w:hint="eastAsia" w:ascii="宋体" w:hAnsi="宋体" w:cs="宋体"/>
                <w:sz w:val="21"/>
                <w:szCs w:val="21"/>
                <w:highlight w:val="none"/>
                <w:u w:val="single"/>
              </w:rPr>
              <w:t xml:space="preserve"> 1</w:t>
            </w:r>
            <w:r>
              <w:rPr>
                <w:rFonts w:hint="eastAsia" w:ascii="宋体" w:hAnsi="宋体" w:cs="宋体"/>
                <w:sz w:val="21"/>
                <w:szCs w:val="21"/>
                <w:highlight w:val="none"/>
              </w:rPr>
              <w:t>份，副本</w:t>
            </w:r>
            <w:r>
              <w:rPr>
                <w:rFonts w:hint="eastAsia" w:ascii="宋体" w:hAnsi="宋体" w:cs="宋体"/>
                <w:sz w:val="21"/>
                <w:szCs w:val="21"/>
                <w:highlight w:val="none"/>
                <w:u w:val="single"/>
              </w:rPr>
              <w:t>4</w:t>
            </w:r>
            <w:r>
              <w:rPr>
                <w:rFonts w:hint="eastAsia" w:ascii="宋体" w:hAnsi="宋体" w:cs="宋体"/>
                <w:sz w:val="21"/>
                <w:szCs w:val="21"/>
                <w:highlight w:val="none"/>
              </w:rPr>
              <w:t>份，电子文本</w:t>
            </w:r>
            <w:r>
              <w:rPr>
                <w:rFonts w:hint="eastAsia" w:ascii="宋体" w:hAnsi="宋体" w:cs="宋体"/>
                <w:sz w:val="21"/>
                <w:szCs w:val="21"/>
                <w:highlight w:val="none"/>
                <w:u w:val="single"/>
              </w:rPr>
              <w:t>1</w:t>
            </w:r>
            <w:r>
              <w:rPr>
                <w:rFonts w:hint="eastAsia" w:ascii="宋体" w:hAnsi="宋体" w:cs="宋体"/>
                <w:sz w:val="21"/>
                <w:szCs w:val="21"/>
                <w:highlight w:val="none"/>
              </w:rPr>
              <w:t>份（存放U盘介质中，含响应文件正本扫描件PDF版本以及可编辑的word或excel版本）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3.7.6</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装订</w:t>
            </w:r>
          </w:p>
        </w:tc>
        <w:tc>
          <w:tcPr>
            <w:tcW w:w="3334" w:type="pct"/>
            <w:noWrap w:val="0"/>
            <w:vAlign w:val="center"/>
          </w:tcPr>
          <w:p>
            <w:pPr>
              <w:spacing w:before="156" w:after="156" w:line="300" w:lineRule="auto"/>
              <w:ind w:left="-29" w:leftChars="-12" w:firstLine="31" w:firstLineChars="0"/>
              <w:jc w:val="left"/>
              <w:rPr>
                <w:rFonts w:ascii="宋体" w:hAnsi="宋体" w:cs="宋体"/>
                <w:sz w:val="21"/>
                <w:szCs w:val="21"/>
                <w:highlight w:val="none"/>
              </w:rPr>
            </w:pPr>
            <w:r>
              <w:rPr>
                <w:rFonts w:hint="eastAsia" w:ascii="宋体" w:hAnsi="宋体" w:cs="宋体"/>
                <w:b/>
                <w:bCs/>
                <w:sz w:val="21"/>
                <w:szCs w:val="21"/>
                <w:highlight w:val="none"/>
              </w:rPr>
              <w:t>需要，分册装订，响应文件第一册“ 资格审查”、第二册“商务技术部分”和第三册“报价部分”单独装订，并分开密封，《电子文本》单独密封。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4.1.2</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封袋上应载明的信息</w:t>
            </w:r>
          </w:p>
        </w:tc>
        <w:tc>
          <w:tcPr>
            <w:tcW w:w="3334" w:type="pct"/>
            <w:noWrap w:val="0"/>
            <w:vAlign w:val="center"/>
          </w:tcPr>
          <w:p>
            <w:pPr>
              <w:ind w:left="-31" w:leftChars="-13" w:firstLine="29" w:firstLineChars="14"/>
              <w:jc w:val="left"/>
              <w:rPr>
                <w:rFonts w:ascii="宋体" w:hAnsi="宋体" w:cs="宋体"/>
                <w:bCs/>
                <w:sz w:val="21"/>
                <w:szCs w:val="21"/>
                <w:highlight w:val="none"/>
              </w:rPr>
            </w:pPr>
            <w:r>
              <w:rPr>
                <w:rFonts w:hint="eastAsia" w:ascii="宋体" w:hAnsi="宋体" w:cs="宋体"/>
                <w:bCs/>
                <w:sz w:val="21"/>
                <w:szCs w:val="21"/>
                <w:highlight w:val="none"/>
              </w:rPr>
              <w:t>见第六章“响应文件格式/1 响应文件封面”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4.2</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递交响应文件的截止时间和地点</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4.2</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是否退还响应文件</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5.1</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评审的时间和地点</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u w:val="single"/>
              </w:rPr>
            </w:pPr>
            <w:r>
              <w:rPr>
                <w:rFonts w:hint="eastAsia" w:ascii="宋体" w:hAnsi="宋体" w:cs="宋体"/>
                <w:sz w:val="21"/>
                <w:szCs w:val="21"/>
                <w:highlight w:val="none"/>
              </w:rPr>
              <w:t>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5.2</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开启顺序</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u w:val="single"/>
              </w:rPr>
            </w:pPr>
            <w:r>
              <w:rPr>
                <w:rFonts w:ascii="宋体" w:hAnsi="宋体" w:cs="宋体"/>
                <w:sz w:val="21"/>
                <w:szCs w:val="21"/>
                <w:highlight w:val="none"/>
              </w:rPr>
              <w:t>按</w:t>
            </w:r>
            <w:r>
              <w:rPr>
                <w:rFonts w:hint="eastAsia" w:ascii="宋体" w:hAnsi="宋体" w:cs="宋体"/>
                <w:sz w:val="21"/>
                <w:szCs w:val="21"/>
                <w:highlight w:val="none"/>
              </w:rPr>
              <w:t>供应商</w:t>
            </w:r>
            <w:r>
              <w:rPr>
                <w:rFonts w:hint="eastAsia" w:ascii="宋体" w:hAnsi="宋体" w:cs="宋体"/>
                <w:sz w:val="21"/>
                <w:szCs w:val="21"/>
                <w:highlight w:val="none"/>
                <w:lang w:eastAsia="zh-CN"/>
              </w:rPr>
              <w:t>签到</w:t>
            </w:r>
            <w:r>
              <w:rPr>
                <w:rFonts w:ascii="宋体" w:hAnsi="宋体" w:cs="宋体"/>
                <w:sz w:val="21"/>
                <w:szCs w:val="21"/>
                <w:highlight w:val="none"/>
              </w:rPr>
              <w:t>的先后顺序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6.1</w:t>
            </w:r>
          </w:p>
        </w:tc>
        <w:tc>
          <w:tcPr>
            <w:tcW w:w="1112" w:type="pct"/>
            <w:noWrap w:val="0"/>
            <w:vAlign w:val="center"/>
          </w:tcPr>
          <w:p>
            <w:pPr>
              <w:spacing w:before="156" w:after="156" w:line="300" w:lineRule="auto"/>
              <w:ind w:left="-31" w:leftChars="-13" w:firstLine="29" w:firstLineChars="14"/>
              <w:jc w:val="center"/>
              <w:rPr>
                <w:rFonts w:ascii="宋体" w:hAnsi="宋体" w:cs="宋体"/>
                <w:sz w:val="21"/>
                <w:szCs w:val="21"/>
                <w:highlight w:val="none"/>
              </w:rPr>
            </w:pPr>
            <w:r>
              <w:rPr>
                <w:rFonts w:hint="eastAsia" w:ascii="宋体" w:hAnsi="宋体" w:cs="宋体"/>
                <w:sz w:val="21"/>
                <w:szCs w:val="21"/>
                <w:highlight w:val="none"/>
              </w:rPr>
              <w:t>评审小组的组建</w:t>
            </w:r>
          </w:p>
        </w:tc>
        <w:tc>
          <w:tcPr>
            <w:tcW w:w="3334" w:type="pct"/>
            <w:noWrap w:val="0"/>
            <w:vAlign w:val="center"/>
          </w:tcPr>
          <w:p>
            <w:pPr>
              <w:spacing w:before="156" w:after="156" w:line="300" w:lineRule="auto"/>
              <w:ind w:left="-31" w:leftChars="-13" w:firstLine="29" w:firstLineChars="14"/>
              <w:jc w:val="left"/>
              <w:rPr>
                <w:rFonts w:ascii="宋体" w:hAnsi="宋体" w:cs="宋体"/>
                <w:sz w:val="21"/>
                <w:szCs w:val="21"/>
                <w:highlight w:val="none"/>
              </w:rPr>
            </w:pPr>
            <w:r>
              <w:rPr>
                <w:rFonts w:ascii="宋体" w:hAnsi="宋体" w:cs="宋体"/>
                <w:sz w:val="21"/>
                <w:szCs w:val="21"/>
                <w:highlight w:val="none"/>
                <w:u w:val="single"/>
              </w:rPr>
              <w:t>5</w:t>
            </w:r>
            <w:r>
              <w:rPr>
                <w:rFonts w:hint="eastAsia" w:ascii="宋体" w:hAnsi="宋体" w:cs="宋体"/>
                <w:sz w:val="21"/>
                <w:szCs w:val="21"/>
                <w:highlight w:val="none"/>
              </w:rPr>
              <w:t>人及以上单数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6.2.3</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推荐候选成交供应商的排序及数量</w:t>
            </w:r>
          </w:p>
        </w:tc>
        <w:tc>
          <w:tcPr>
            <w:tcW w:w="3334" w:type="pct"/>
            <w:noWrap w:val="0"/>
            <w:vAlign w:val="center"/>
          </w:tcPr>
          <w:p>
            <w:pPr>
              <w:ind w:firstLine="0" w:firstLineChars="0"/>
              <w:jc w:val="left"/>
              <w:rPr>
                <w:rFonts w:ascii="宋体" w:hAnsi="宋体" w:cs="宋体"/>
                <w:sz w:val="21"/>
                <w:szCs w:val="21"/>
                <w:highlight w:val="none"/>
              </w:rPr>
            </w:pPr>
            <w:r>
              <w:rPr>
                <w:rFonts w:hint="eastAsia" w:ascii="宋体" w:hAnsi="宋体" w:cs="宋体"/>
                <w:sz w:val="21"/>
                <w:szCs w:val="21"/>
              </w:rPr>
              <w:t>按照最终得分由高到低的顺序推荐</w:t>
            </w:r>
            <w:r>
              <w:rPr>
                <w:rFonts w:hint="eastAsia" w:ascii="宋体" w:hAnsi="宋体" w:cs="宋体"/>
                <w:sz w:val="21"/>
                <w:szCs w:val="21"/>
                <w:u w:val="single"/>
              </w:rPr>
              <w:t>1</w:t>
            </w:r>
            <w:r>
              <w:rPr>
                <w:rFonts w:hint="eastAsia" w:ascii="宋体" w:hAnsi="宋体" w:cs="宋体"/>
                <w:sz w:val="21"/>
                <w:szCs w:val="21"/>
              </w:rPr>
              <w:t>名候选成交供应商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7.4</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履约保证金</w:t>
            </w:r>
          </w:p>
        </w:tc>
        <w:tc>
          <w:tcPr>
            <w:tcW w:w="3334" w:type="pct"/>
            <w:noWrap w:val="0"/>
            <w:vAlign w:val="center"/>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exact"/>
        </w:trPr>
        <w:tc>
          <w:tcPr>
            <w:tcW w:w="553" w:type="pct"/>
            <w:noWrap w:val="0"/>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8.1</w:t>
            </w:r>
          </w:p>
        </w:tc>
        <w:tc>
          <w:tcPr>
            <w:tcW w:w="1112" w:type="pct"/>
            <w:noWrap w:val="0"/>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监督部门</w:t>
            </w:r>
          </w:p>
        </w:tc>
        <w:tc>
          <w:tcPr>
            <w:tcW w:w="3334" w:type="pct"/>
            <w:noWrap w:val="0"/>
            <w:vAlign w:val="center"/>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见第一章“采购公告”</w:t>
            </w:r>
          </w:p>
        </w:tc>
      </w:tr>
    </w:tbl>
    <w:p>
      <w:pPr>
        <w:ind w:firstLine="480"/>
        <w:rPr>
          <w:highlight w:val="none"/>
        </w:rPr>
      </w:pPr>
    </w:p>
    <w:p>
      <w:pPr>
        <w:widowControl/>
        <w:spacing w:line="240" w:lineRule="auto"/>
        <w:ind w:firstLine="0" w:firstLineChars="0"/>
        <w:jc w:val="left"/>
        <w:rPr>
          <w:highlight w:val="none"/>
        </w:rPr>
      </w:pPr>
      <w:r>
        <w:rPr>
          <w:highlight w:val="none"/>
        </w:rPr>
        <w:br w:type="page"/>
      </w:r>
    </w:p>
    <w:p>
      <w:pPr>
        <w:pStyle w:val="2"/>
        <w:ind w:firstLine="482"/>
        <w:jc w:val="left"/>
        <w:rPr>
          <w:highlight w:val="none"/>
        </w:rPr>
      </w:pPr>
      <w:r>
        <w:rPr>
          <w:rFonts w:hint="eastAsia"/>
          <w:highlight w:val="none"/>
        </w:rPr>
        <w:t>1</w:t>
      </w:r>
      <w:r>
        <w:rPr>
          <w:highlight w:val="none"/>
        </w:rPr>
        <w:t xml:space="preserve"> </w:t>
      </w:r>
      <w:r>
        <w:rPr>
          <w:rFonts w:hint="eastAsia"/>
          <w:highlight w:val="none"/>
        </w:rPr>
        <w:t>总则</w:t>
      </w:r>
    </w:p>
    <w:p>
      <w:pPr>
        <w:pStyle w:val="4"/>
        <w:ind w:firstLine="482"/>
        <w:rPr>
          <w:highlight w:val="none"/>
        </w:rPr>
      </w:pPr>
      <w:r>
        <w:rPr>
          <w:rFonts w:hint="eastAsia"/>
          <w:highlight w:val="none"/>
        </w:rPr>
        <w:t>1.1采购方式</w:t>
      </w:r>
    </w:p>
    <w:p>
      <w:pPr>
        <w:ind w:firstLine="480"/>
        <w:rPr>
          <w:highlight w:val="none"/>
        </w:rPr>
      </w:pPr>
      <w:r>
        <w:rPr>
          <w:rFonts w:hint="eastAsia"/>
          <w:highlight w:val="none"/>
        </w:rPr>
        <w:t>本项目已具备条件，现对本项目采用</w:t>
      </w:r>
      <w:r>
        <w:rPr>
          <w:rFonts w:hint="eastAsia"/>
          <w:highlight w:val="none"/>
          <w:lang w:eastAsia="zh-CN"/>
        </w:rPr>
        <w:t>公开招标</w:t>
      </w:r>
      <w:r>
        <w:rPr>
          <w:rFonts w:hint="eastAsia"/>
          <w:highlight w:val="none"/>
        </w:rPr>
        <w:t>方式进行采购。</w:t>
      </w:r>
    </w:p>
    <w:p>
      <w:pPr>
        <w:pStyle w:val="4"/>
        <w:ind w:firstLine="482"/>
        <w:rPr>
          <w:highlight w:val="none"/>
        </w:rPr>
      </w:pPr>
      <w:r>
        <w:rPr>
          <w:rFonts w:hint="eastAsia"/>
          <w:highlight w:val="none"/>
        </w:rPr>
        <w:t>1.</w:t>
      </w:r>
      <w:r>
        <w:rPr>
          <w:highlight w:val="none"/>
        </w:rPr>
        <w:t>2</w:t>
      </w:r>
      <w:r>
        <w:rPr>
          <w:rFonts w:hint="eastAsia"/>
          <w:highlight w:val="none"/>
        </w:rPr>
        <w:t>项目概况采购范围及相关要求</w:t>
      </w:r>
    </w:p>
    <w:p>
      <w:pPr>
        <w:ind w:firstLine="480"/>
        <w:rPr>
          <w:rFonts w:hint="eastAsia" w:eastAsia="宋体"/>
          <w:highlight w:val="none"/>
          <w:lang w:eastAsia="zh-CN"/>
        </w:rPr>
      </w:pPr>
      <w:r>
        <w:rPr>
          <w:rFonts w:hint="eastAsia"/>
          <w:highlight w:val="none"/>
        </w:rPr>
        <w:t>见第一章“采购公告”</w:t>
      </w:r>
      <w:r>
        <w:rPr>
          <w:rFonts w:hint="eastAsia"/>
          <w:highlight w:val="none"/>
          <w:lang w:eastAsia="zh-CN"/>
        </w:rPr>
        <w:t>。</w:t>
      </w:r>
    </w:p>
    <w:p>
      <w:pPr>
        <w:pStyle w:val="4"/>
        <w:ind w:firstLine="482"/>
        <w:rPr>
          <w:highlight w:val="none"/>
        </w:rPr>
      </w:pPr>
      <w:r>
        <w:rPr>
          <w:rFonts w:hint="eastAsia"/>
          <w:highlight w:val="none"/>
        </w:rPr>
        <w:t>1.3供应商资格要求</w:t>
      </w:r>
    </w:p>
    <w:p>
      <w:pPr>
        <w:ind w:firstLine="480"/>
        <w:rPr>
          <w:highlight w:val="none"/>
        </w:rPr>
      </w:pPr>
      <w:r>
        <w:rPr>
          <w:rFonts w:hint="eastAsia"/>
          <w:highlight w:val="none"/>
        </w:rPr>
        <w:t>见第一章“采购公告”。</w:t>
      </w:r>
    </w:p>
    <w:p>
      <w:pPr>
        <w:pStyle w:val="4"/>
        <w:ind w:firstLine="482"/>
        <w:rPr>
          <w:highlight w:val="none"/>
        </w:rPr>
      </w:pPr>
      <w:r>
        <w:rPr>
          <w:rFonts w:hint="eastAsia"/>
          <w:highlight w:val="none"/>
        </w:rPr>
        <w:t>1.4费用承担</w:t>
      </w:r>
    </w:p>
    <w:p>
      <w:pPr>
        <w:ind w:firstLine="480"/>
        <w:rPr>
          <w:highlight w:val="none"/>
        </w:rPr>
      </w:pPr>
      <w:r>
        <w:rPr>
          <w:rFonts w:hint="eastAsia"/>
          <w:highlight w:val="none"/>
        </w:rPr>
        <w:t>供应商准备和参加采购活动发生的费用自理。</w:t>
      </w:r>
    </w:p>
    <w:p>
      <w:pPr>
        <w:pStyle w:val="4"/>
        <w:ind w:firstLine="482"/>
        <w:rPr>
          <w:highlight w:val="none"/>
        </w:rPr>
      </w:pPr>
      <w:r>
        <w:rPr>
          <w:rFonts w:hint="eastAsia"/>
          <w:highlight w:val="none"/>
        </w:rPr>
        <w:t>1.5 保密</w:t>
      </w:r>
    </w:p>
    <w:p>
      <w:pPr>
        <w:ind w:firstLine="480"/>
        <w:rPr>
          <w:highlight w:val="none"/>
        </w:rPr>
      </w:pPr>
      <w:r>
        <w:rPr>
          <w:rFonts w:hint="eastAsia"/>
          <w:highlight w:val="none"/>
        </w:rPr>
        <w:t>供应商应对采购文件及采购活动中获知的采购人商业和技术等未公开信息保密，违者应对由此造成的后果承担法律责任。</w:t>
      </w:r>
    </w:p>
    <w:p>
      <w:pPr>
        <w:pStyle w:val="4"/>
        <w:ind w:firstLine="482"/>
        <w:rPr>
          <w:highlight w:val="none"/>
        </w:rPr>
      </w:pPr>
      <w:r>
        <w:rPr>
          <w:rFonts w:hint="eastAsia"/>
          <w:highlight w:val="none"/>
        </w:rPr>
        <w:t>1.6 语言文字</w:t>
      </w:r>
    </w:p>
    <w:p>
      <w:pPr>
        <w:ind w:firstLine="480"/>
        <w:rPr>
          <w:highlight w:val="none"/>
        </w:rPr>
      </w:pPr>
      <w:r>
        <w:rPr>
          <w:rFonts w:hint="eastAsia"/>
          <w:highlight w:val="none"/>
        </w:rPr>
        <w:t>除专用术语外，语言均使用中文（必要时专用术语应附有中文注释）。</w:t>
      </w:r>
    </w:p>
    <w:p>
      <w:pPr>
        <w:pStyle w:val="4"/>
        <w:ind w:firstLine="482"/>
        <w:rPr>
          <w:highlight w:val="none"/>
        </w:rPr>
      </w:pPr>
      <w:r>
        <w:rPr>
          <w:rFonts w:hint="eastAsia"/>
          <w:highlight w:val="none"/>
        </w:rPr>
        <w:t>1.7 计量单位</w:t>
      </w:r>
    </w:p>
    <w:p>
      <w:pPr>
        <w:ind w:firstLine="480"/>
        <w:rPr>
          <w:highlight w:val="none"/>
        </w:rPr>
      </w:pPr>
      <w:r>
        <w:rPr>
          <w:rFonts w:hint="eastAsia"/>
          <w:highlight w:val="none"/>
        </w:rPr>
        <w:t>所有计量均采用中华人民共和国法定计量单位（采购文件另有要求的，按照采购文件要求执行）。</w:t>
      </w:r>
    </w:p>
    <w:p>
      <w:pPr>
        <w:pStyle w:val="4"/>
        <w:ind w:firstLine="482"/>
        <w:rPr>
          <w:highlight w:val="none"/>
        </w:rPr>
      </w:pPr>
      <w:r>
        <w:rPr>
          <w:rFonts w:hint="eastAsia"/>
          <w:highlight w:val="none"/>
        </w:rPr>
        <w:t>1.8 踏勘现场</w:t>
      </w:r>
    </w:p>
    <w:p>
      <w:pPr>
        <w:ind w:firstLine="480"/>
        <w:rPr>
          <w:highlight w:val="none"/>
        </w:rPr>
      </w:pPr>
      <w:r>
        <w:rPr>
          <w:rFonts w:hint="eastAsia"/>
          <w:highlight w:val="none"/>
        </w:rPr>
        <w:t>1.8.1采购人不组织踏勘现场，供应商自行踏勘现场。</w:t>
      </w:r>
    </w:p>
    <w:p>
      <w:pPr>
        <w:ind w:firstLine="480"/>
        <w:rPr>
          <w:highlight w:val="none"/>
        </w:rPr>
      </w:pPr>
      <w:r>
        <w:rPr>
          <w:rFonts w:hint="eastAsia"/>
          <w:highlight w:val="none"/>
        </w:rPr>
        <w:t>1.8.2供应商踏勘现场发生的费用自理。</w:t>
      </w:r>
    </w:p>
    <w:p>
      <w:pPr>
        <w:ind w:firstLine="480"/>
        <w:rPr>
          <w:highlight w:val="none"/>
        </w:rPr>
      </w:pPr>
      <w:r>
        <w:rPr>
          <w:rFonts w:hint="eastAsia"/>
          <w:highlight w:val="none"/>
        </w:rPr>
        <w:t>1.8.</w:t>
      </w:r>
      <w:r>
        <w:rPr>
          <w:highlight w:val="none"/>
        </w:rPr>
        <w:t>3</w:t>
      </w:r>
      <w:r>
        <w:rPr>
          <w:rFonts w:hint="eastAsia"/>
          <w:highlight w:val="none"/>
        </w:rPr>
        <w:t>供应商自行负责在踏勘现场中所发生的人员伤亡和财产损失等全部责任。</w:t>
      </w:r>
    </w:p>
    <w:p>
      <w:pPr>
        <w:pStyle w:val="4"/>
        <w:ind w:firstLine="482"/>
        <w:rPr>
          <w:highlight w:val="none"/>
        </w:rPr>
      </w:pPr>
      <w:r>
        <w:rPr>
          <w:rFonts w:hint="eastAsia"/>
          <w:highlight w:val="none"/>
        </w:rPr>
        <w:t>1.9 分包</w:t>
      </w:r>
    </w:p>
    <w:p>
      <w:pPr>
        <w:ind w:firstLine="480"/>
        <w:rPr>
          <w:highlight w:val="none"/>
        </w:rPr>
      </w:pPr>
      <w:r>
        <w:rPr>
          <w:rFonts w:hint="eastAsia"/>
          <w:highlight w:val="none"/>
        </w:rPr>
        <w:t>不允许供应商在成交后将本项目的任何部分工作进行分包。</w:t>
      </w:r>
    </w:p>
    <w:p>
      <w:pPr>
        <w:pStyle w:val="2"/>
        <w:ind w:firstLine="482"/>
        <w:jc w:val="left"/>
        <w:rPr>
          <w:highlight w:val="none"/>
        </w:rPr>
      </w:pPr>
      <w:r>
        <w:rPr>
          <w:rFonts w:hint="eastAsia"/>
          <w:highlight w:val="none"/>
        </w:rPr>
        <w:t>2</w:t>
      </w:r>
      <w:r>
        <w:rPr>
          <w:highlight w:val="none"/>
        </w:rPr>
        <w:t xml:space="preserve"> </w:t>
      </w:r>
      <w:r>
        <w:rPr>
          <w:rFonts w:hint="eastAsia"/>
          <w:highlight w:val="none"/>
        </w:rPr>
        <w:t>采购文件</w:t>
      </w:r>
    </w:p>
    <w:p>
      <w:pPr>
        <w:pStyle w:val="4"/>
        <w:ind w:firstLine="482"/>
        <w:rPr>
          <w:highlight w:val="none"/>
        </w:rPr>
      </w:pPr>
      <w:r>
        <w:rPr>
          <w:rFonts w:hint="eastAsia"/>
          <w:highlight w:val="none"/>
        </w:rPr>
        <w:t>2.1采购文件组成</w:t>
      </w:r>
    </w:p>
    <w:p>
      <w:pPr>
        <w:ind w:firstLine="480"/>
        <w:rPr>
          <w:highlight w:val="none"/>
        </w:rPr>
      </w:pPr>
      <w:r>
        <w:rPr>
          <w:rFonts w:hint="eastAsia"/>
          <w:highlight w:val="none"/>
        </w:rPr>
        <w:t>本采购文件共六章，内容如下：</w:t>
      </w:r>
    </w:p>
    <w:p>
      <w:pPr>
        <w:ind w:firstLine="480"/>
        <w:rPr>
          <w:highlight w:val="none"/>
        </w:rPr>
      </w:pPr>
      <w:r>
        <w:rPr>
          <w:rFonts w:hint="eastAsia"/>
          <w:highlight w:val="none"/>
        </w:rPr>
        <w:t>第一章 采购公告</w:t>
      </w:r>
    </w:p>
    <w:p>
      <w:pPr>
        <w:ind w:firstLine="480"/>
        <w:rPr>
          <w:highlight w:val="none"/>
        </w:rPr>
      </w:pPr>
      <w:r>
        <w:rPr>
          <w:rFonts w:hint="eastAsia"/>
          <w:highlight w:val="none"/>
        </w:rPr>
        <w:t>第二章 供应商须知</w:t>
      </w:r>
    </w:p>
    <w:p>
      <w:pPr>
        <w:ind w:firstLine="480"/>
        <w:rPr>
          <w:highlight w:val="none"/>
        </w:rPr>
      </w:pPr>
      <w:r>
        <w:rPr>
          <w:rFonts w:hint="eastAsia"/>
          <w:highlight w:val="none"/>
        </w:rPr>
        <w:t>第三章 评审方法</w:t>
      </w:r>
    </w:p>
    <w:p>
      <w:pPr>
        <w:ind w:firstLine="480"/>
        <w:rPr>
          <w:highlight w:val="none"/>
        </w:rPr>
      </w:pPr>
      <w:r>
        <w:rPr>
          <w:rFonts w:hint="eastAsia"/>
          <w:highlight w:val="none"/>
        </w:rPr>
        <w:t>第四章 合同条款及格式</w:t>
      </w:r>
    </w:p>
    <w:p>
      <w:pPr>
        <w:ind w:firstLine="480"/>
        <w:rPr>
          <w:highlight w:val="none"/>
        </w:rPr>
      </w:pPr>
      <w:r>
        <w:rPr>
          <w:rFonts w:hint="eastAsia"/>
          <w:highlight w:val="none"/>
        </w:rPr>
        <w:t>第五章 采购需求</w:t>
      </w:r>
    </w:p>
    <w:p>
      <w:pPr>
        <w:ind w:firstLine="480"/>
        <w:rPr>
          <w:highlight w:val="none"/>
        </w:rPr>
      </w:pPr>
      <w:r>
        <w:rPr>
          <w:rFonts w:hint="eastAsia"/>
          <w:highlight w:val="none"/>
        </w:rPr>
        <w:t>第六章</w:t>
      </w:r>
      <w:r>
        <w:rPr>
          <w:highlight w:val="none"/>
        </w:rPr>
        <w:t xml:space="preserve"> </w:t>
      </w:r>
      <w:r>
        <w:rPr>
          <w:rFonts w:hint="eastAsia"/>
          <w:highlight w:val="none"/>
        </w:rPr>
        <w:t>响应文件格式</w:t>
      </w:r>
    </w:p>
    <w:p>
      <w:pPr>
        <w:ind w:firstLine="480"/>
        <w:rPr>
          <w:highlight w:val="none"/>
        </w:rPr>
      </w:pPr>
      <w:r>
        <w:rPr>
          <w:rFonts w:hint="eastAsia"/>
          <w:highlight w:val="none"/>
        </w:rPr>
        <w:t>采购人根据本章规定对采购文件所作的澄清、修改，构成采购文件的组成部分。</w:t>
      </w:r>
    </w:p>
    <w:p>
      <w:pPr>
        <w:pStyle w:val="4"/>
        <w:ind w:firstLine="482"/>
        <w:rPr>
          <w:highlight w:val="none"/>
        </w:rPr>
      </w:pPr>
      <w:r>
        <w:rPr>
          <w:rFonts w:hint="eastAsia"/>
          <w:highlight w:val="none"/>
        </w:rPr>
        <w:t>2.2 采购文件的澄清</w:t>
      </w:r>
    </w:p>
    <w:p>
      <w:pPr>
        <w:ind w:firstLine="480"/>
        <w:rPr>
          <w:highlight w:val="none"/>
        </w:rPr>
      </w:pPr>
      <w:r>
        <w:rPr>
          <w:rFonts w:hint="eastAsia"/>
          <w:highlight w:val="none"/>
        </w:rPr>
        <w:t>2.2.1供应商应仔细阅读和检查采购文件的全部内容。如发现缺页或附件不全，应及时向采购人提出，以便补齐。如有疑问，应在供应商须知前附表规定的时间前以书面形式，要求采购人对采购文件予以澄清。</w:t>
      </w:r>
    </w:p>
    <w:p>
      <w:pPr>
        <w:ind w:firstLine="480"/>
        <w:rPr>
          <w:highlight w:val="none"/>
        </w:rPr>
      </w:pPr>
      <w:r>
        <w:rPr>
          <w:rFonts w:hint="eastAsia"/>
          <w:highlight w:val="none"/>
        </w:rPr>
        <w:t>2</w:t>
      </w:r>
      <w:r>
        <w:rPr>
          <w:highlight w:val="none"/>
        </w:rPr>
        <w:t>.2.2</w:t>
      </w:r>
      <w:r>
        <w:rPr>
          <w:rFonts w:hint="eastAsia"/>
          <w:highlight w:val="none"/>
        </w:rPr>
        <w:t>采购人可视具体情况在补充文件中通知供应商推迟递交响应文件的截止时间。</w:t>
      </w:r>
    </w:p>
    <w:p>
      <w:pPr>
        <w:ind w:firstLine="480"/>
        <w:rPr>
          <w:highlight w:val="none"/>
        </w:rPr>
      </w:pPr>
      <w:r>
        <w:rPr>
          <w:rFonts w:hint="eastAsia"/>
          <w:highlight w:val="none"/>
        </w:rPr>
        <w:t>2.2.3供应商在收到补充文件后，应按供应商须知前附表规定的时间和方式通知采购人，确认已收到该补充文件，逾期未通知采购人的默认为充分认可采购人发出的补充文件。</w:t>
      </w:r>
    </w:p>
    <w:p>
      <w:pPr>
        <w:ind w:firstLine="480"/>
        <w:rPr>
          <w:highlight w:val="none"/>
        </w:rPr>
      </w:pPr>
      <w:r>
        <w:rPr>
          <w:rFonts w:hint="eastAsia"/>
          <w:highlight w:val="none"/>
        </w:rPr>
        <w:t>2</w:t>
      </w:r>
      <w:r>
        <w:rPr>
          <w:highlight w:val="none"/>
        </w:rPr>
        <w:t>.2.4</w:t>
      </w:r>
      <w:r>
        <w:rPr>
          <w:rFonts w:hint="eastAsia"/>
          <w:highlight w:val="none"/>
        </w:rPr>
        <w:t>采购人有权拒绝回复供应商在供应商须知前附表规定的时间后提出的任何澄清要求。</w:t>
      </w:r>
    </w:p>
    <w:p>
      <w:pPr>
        <w:pStyle w:val="2"/>
        <w:ind w:firstLine="482"/>
        <w:jc w:val="left"/>
        <w:rPr>
          <w:highlight w:val="none"/>
        </w:rPr>
      </w:pPr>
      <w:r>
        <w:rPr>
          <w:rFonts w:hint="eastAsia"/>
          <w:highlight w:val="none"/>
        </w:rPr>
        <w:t>3</w:t>
      </w:r>
      <w:r>
        <w:rPr>
          <w:highlight w:val="none"/>
        </w:rPr>
        <w:t xml:space="preserve"> </w:t>
      </w:r>
      <w:r>
        <w:rPr>
          <w:rFonts w:hint="eastAsia"/>
          <w:highlight w:val="none"/>
        </w:rPr>
        <w:t>响应文件</w:t>
      </w:r>
    </w:p>
    <w:p>
      <w:pPr>
        <w:pStyle w:val="4"/>
        <w:ind w:firstLine="482"/>
        <w:rPr>
          <w:highlight w:val="none"/>
        </w:rPr>
      </w:pPr>
      <w:r>
        <w:rPr>
          <w:rFonts w:hint="eastAsia"/>
          <w:highlight w:val="none"/>
        </w:rPr>
        <w:t>3.1 响应文件的组成</w:t>
      </w:r>
    </w:p>
    <w:p>
      <w:pPr>
        <w:ind w:firstLine="480"/>
        <w:rPr>
          <w:highlight w:val="none"/>
        </w:rPr>
      </w:pPr>
      <w:r>
        <w:rPr>
          <w:rFonts w:hint="eastAsia"/>
          <w:highlight w:val="none"/>
        </w:rPr>
        <w:t>3</w:t>
      </w:r>
      <w:r>
        <w:rPr>
          <w:highlight w:val="none"/>
        </w:rPr>
        <w:t>.1.1</w:t>
      </w:r>
      <w:r>
        <w:rPr>
          <w:rFonts w:hint="eastAsia"/>
          <w:highlight w:val="none"/>
        </w:rPr>
        <w:t>响应文件应包含下列内容</w:t>
      </w:r>
    </w:p>
    <w:p>
      <w:pPr>
        <w:ind w:firstLine="480"/>
      </w:pPr>
      <w:r>
        <w:rPr>
          <w:rFonts w:hint="eastAsia"/>
        </w:rPr>
        <w:t>第一册 资格审查部分</w:t>
      </w:r>
    </w:p>
    <w:p>
      <w:pPr>
        <w:ind w:firstLine="480"/>
      </w:pPr>
      <w:r>
        <w:rPr>
          <w:rFonts w:hint="eastAsia"/>
        </w:rPr>
        <w:t>（1）承诺函</w:t>
      </w:r>
    </w:p>
    <w:p>
      <w:pPr>
        <w:ind w:firstLine="480"/>
      </w:pPr>
      <w:r>
        <w:rPr>
          <w:rFonts w:hint="eastAsia"/>
        </w:rPr>
        <w:t>（2）企业营业执照或事业单位法人证书（提供复印件并加盖公章）</w:t>
      </w:r>
    </w:p>
    <w:p>
      <w:pPr>
        <w:ind w:firstLine="480"/>
      </w:pPr>
      <w:r>
        <w:rPr>
          <w:rFonts w:hint="eastAsia"/>
        </w:rPr>
        <w:t>（3）法定代表人身份证明书（提供复印件并加盖公章）</w:t>
      </w:r>
    </w:p>
    <w:p>
      <w:pPr>
        <w:ind w:firstLine="480"/>
      </w:pPr>
      <w:r>
        <w:rPr>
          <w:rFonts w:hint="eastAsia"/>
        </w:rPr>
        <w:t>（4）授权委托书原件，授权代理人本人身份证复印件（如有授权）</w:t>
      </w:r>
    </w:p>
    <w:p>
      <w:pPr>
        <w:ind w:firstLine="480"/>
        <w:rPr>
          <w:rFonts w:hint="eastAsia" w:eastAsia="宋体"/>
          <w:lang w:val="en-US" w:eastAsia="zh-CN"/>
        </w:rPr>
      </w:pPr>
      <w:r>
        <w:rPr>
          <w:rFonts w:hint="eastAsia"/>
        </w:rPr>
        <w:t>（</w:t>
      </w:r>
      <w:r>
        <w:rPr>
          <w:rFonts w:hint="eastAsia"/>
          <w:lang w:val="en-US" w:eastAsia="zh-CN"/>
        </w:rPr>
        <w:t>5</w:t>
      </w:r>
      <w:r>
        <w:rPr>
          <w:rFonts w:hint="eastAsia"/>
        </w:rPr>
        <w:t>）业绩材料</w:t>
      </w:r>
    </w:p>
    <w:p>
      <w:pPr>
        <w:ind w:firstLine="480"/>
      </w:pPr>
      <w:r>
        <w:rPr>
          <w:rFonts w:hint="eastAsia"/>
        </w:rPr>
        <w:t>（</w:t>
      </w:r>
      <w:r>
        <w:rPr>
          <w:rFonts w:hint="eastAsia"/>
          <w:lang w:val="en-US" w:eastAsia="zh-CN"/>
        </w:rPr>
        <w:t>5</w:t>
      </w:r>
      <w:r>
        <w:rPr>
          <w:rFonts w:hint="eastAsia"/>
        </w:rPr>
        <w:t>）供应商认为需要提交的其他资料</w:t>
      </w:r>
    </w:p>
    <w:p>
      <w:pPr>
        <w:ind w:firstLine="480"/>
      </w:pPr>
      <w:r>
        <w:rPr>
          <w:rFonts w:hint="eastAsia"/>
        </w:rPr>
        <w:t>第二册 商务技术部分</w:t>
      </w:r>
    </w:p>
    <w:p>
      <w:pPr>
        <w:numPr>
          <w:ilvl w:val="0"/>
          <w:numId w:val="2"/>
        </w:numPr>
        <w:ind w:firstLine="480"/>
      </w:pPr>
      <w:r>
        <w:rPr>
          <w:rFonts w:hint="eastAsia"/>
        </w:rPr>
        <w:t>商务和技术偏离表</w:t>
      </w:r>
    </w:p>
    <w:p>
      <w:pPr>
        <w:ind w:left="480" w:firstLine="0" w:firstLineChars="0"/>
        <w:rPr>
          <w:color w:val="000000"/>
        </w:rPr>
      </w:pPr>
      <w:r>
        <w:rPr>
          <w:rFonts w:hint="eastAsia"/>
          <w:color w:val="000000"/>
        </w:rPr>
        <w:t>（2）物资参数表</w:t>
      </w:r>
    </w:p>
    <w:p>
      <w:pPr>
        <w:ind w:firstLine="480"/>
        <w:rPr>
          <w:rFonts w:hint="eastAsia" w:eastAsia="宋体"/>
          <w:lang w:val="en-US" w:eastAsia="zh-CN"/>
        </w:rPr>
      </w:pPr>
      <w:r>
        <w:rPr>
          <w:rFonts w:hint="eastAsia"/>
        </w:rPr>
        <w:t>（3）</w:t>
      </w:r>
      <w:r>
        <w:rPr>
          <w:rFonts w:hint="eastAsia"/>
          <w:lang w:val="en-US" w:eastAsia="zh-CN"/>
        </w:rPr>
        <w:t>承诺函</w:t>
      </w:r>
    </w:p>
    <w:p>
      <w:pPr>
        <w:ind w:firstLine="480"/>
        <w:rPr>
          <w:rFonts w:hint="eastAsia"/>
        </w:rPr>
      </w:pPr>
      <w:r>
        <w:rPr>
          <w:rFonts w:hint="eastAsia"/>
        </w:rPr>
        <w:t>（</w:t>
      </w:r>
      <w:r>
        <w:rPr>
          <w:rFonts w:hint="eastAsia"/>
          <w:lang w:val="en-US" w:eastAsia="zh-CN"/>
        </w:rPr>
        <w:t>4</w:t>
      </w:r>
      <w:r>
        <w:rPr>
          <w:rFonts w:hint="eastAsia"/>
        </w:rPr>
        <w:t>）业绩材料</w:t>
      </w:r>
    </w:p>
    <w:p>
      <w:pPr>
        <w:ind w:firstLine="480"/>
      </w:pPr>
      <w:r>
        <w:rPr>
          <w:rFonts w:hint="eastAsia"/>
        </w:rPr>
        <w:t>第三册 报价部分</w:t>
      </w:r>
    </w:p>
    <w:p>
      <w:pPr>
        <w:ind w:firstLine="480"/>
      </w:pPr>
      <w:r>
        <w:rPr>
          <w:rFonts w:hint="eastAsia"/>
        </w:rPr>
        <w:t>（1）响应函</w:t>
      </w:r>
    </w:p>
    <w:p>
      <w:pPr>
        <w:ind w:firstLine="480"/>
      </w:pPr>
      <w:r>
        <w:rPr>
          <w:rFonts w:hint="eastAsia"/>
        </w:rPr>
        <w:t>（2）分项报价表</w:t>
      </w:r>
    </w:p>
    <w:p>
      <w:pPr>
        <w:ind w:firstLine="480"/>
      </w:pPr>
      <w:r>
        <w:rPr>
          <w:rFonts w:hint="eastAsia"/>
        </w:rPr>
        <w:t>供应商在评审过程中做出的符合采购文件要求的澄清、说明、补正，构成响应文件的组成部分。</w:t>
      </w:r>
    </w:p>
    <w:p>
      <w:pPr>
        <w:pStyle w:val="4"/>
        <w:ind w:firstLine="482"/>
        <w:rPr>
          <w:highlight w:val="none"/>
        </w:rPr>
      </w:pPr>
      <w:r>
        <w:rPr>
          <w:rFonts w:hint="eastAsia"/>
          <w:highlight w:val="none"/>
        </w:rPr>
        <w:t>3</w:t>
      </w:r>
      <w:r>
        <w:rPr>
          <w:highlight w:val="none"/>
        </w:rPr>
        <w:t xml:space="preserve">.2 </w:t>
      </w:r>
      <w:r>
        <w:rPr>
          <w:rFonts w:hint="eastAsia"/>
          <w:highlight w:val="none"/>
        </w:rPr>
        <w:t>报价</w:t>
      </w:r>
    </w:p>
    <w:p>
      <w:pPr>
        <w:ind w:firstLine="480"/>
        <w:rPr>
          <w:color w:val="000000"/>
          <w:highlight w:val="none"/>
        </w:rPr>
      </w:pPr>
      <w:r>
        <w:rPr>
          <w:rFonts w:hint="eastAsia"/>
          <w:color w:val="000000"/>
          <w:highlight w:val="none"/>
        </w:rPr>
        <w:t>3</w:t>
      </w:r>
      <w:r>
        <w:rPr>
          <w:color w:val="000000"/>
          <w:highlight w:val="none"/>
        </w:rPr>
        <w:t>.2.1</w:t>
      </w:r>
      <w:r>
        <w:rPr>
          <w:rFonts w:hint="eastAsia"/>
          <w:color w:val="000000"/>
          <w:highlight w:val="none"/>
        </w:rPr>
        <w:t>供应商应按采购文件提供的格式（见第六章“响应文件格式”）在响应函和分项报价表中进行报价。响应函和分项报价表中报价应为包含国家规定的增值税在内的含税价格，同时应列明增值税税率。</w:t>
      </w:r>
    </w:p>
    <w:p>
      <w:pPr>
        <w:ind w:firstLine="480"/>
        <w:rPr>
          <w:highlight w:val="none"/>
        </w:rPr>
      </w:pPr>
      <w:r>
        <w:rPr>
          <w:rFonts w:hint="eastAsia"/>
          <w:highlight w:val="none"/>
        </w:rPr>
        <w:t>3.2.2供应商应充分了解采购项目的情况以及影响报价的其他要素。采购人在合同履行过程中，有权对项目实施的内容进行增加或减少。</w:t>
      </w:r>
    </w:p>
    <w:p>
      <w:pPr>
        <w:ind w:firstLine="480"/>
        <w:rPr>
          <w:highlight w:val="none"/>
        </w:rPr>
      </w:pPr>
      <w:r>
        <w:rPr>
          <w:rFonts w:hint="eastAsia"/>
          <w:highlight w:val="none"/>
        </w:rPr>
        <w:t>3.2.3采购人设有</w:t>
      </w:r>
      <w:r>
        <w:rPr>
          <w:rFonts w:hint="eastAsia"/>
          <w:highlight w:val="none"/>
          <w:lang w:val="en-US" w:eastAsia="zh-CN"/>
        </w:rPr>
        <w:t>最高</w:t>
      </w:r>
      <w:r>
        <w:rPr>
          <w:rFonts w:hint="eastAsia"/>
          <w:highlight w:val="none"/>
        </w:rPr>
        <w:t>限价的，</w:t>
      </w:r>
      <w:r>
        <w:rPr>
          <w:rFonts w:hint="eastAsia"/>
        </w:rPr>
        <w:t>供应商的报价不得超过最高限价</w:t>
      </w:r>
      <w:r>
        <w:rPr>
          <w:rFonts w:hint="eastAsia"/>
          <w:highlight w:val="none"/>
        </w:rPr>
        <w:t>。</w:t>
      </w:r>
    </w:p>
    <w:p>
      <w:pPr>
        <w:pStyle w:val="4"/>
        <w:ind w:firstLine="482"/>
        <w:rPr>
          <w:highlight w:val="none"/>
        </w:rPr>
      </w:pPr>
      <w:r>
        <w:rPr>
          <w:rFonts w:hint="eastAsia"/>
          <w:highlight w:val="none"/>
        </w:rPr>
        <w:t>3.3</w:t>
      </w:r>
      <w:r>
        <w:rPr>
          <w:highlight w:val="none"/>
        </w:rPr>
        <w:t xml:space="preserve"> </w:t>
      </w:r>
      <w:r>
        <w:rPr>
          <w:rFonts w:hint="eastAsia"/>
          <w:highlight w:val="none"/>
        </w:rPr>
        <w:t>响应文件有效期</w:t>
      </w:r>
    </w:p>
    <w:p>
      <w:pPr>
        <w:ind w:firstLine="480"/>
        <w:rPr>
          <w:highlight w:val="none"/>
        </w:rPr>
      </w:pPr>
      <w:r>
        <w:rPr>
          <w:rFonts w:hint="eastAsia"/>
          <w:highlight w:val="none"/>
        </w:rPr>
        <w:t>除供应商须知前附表另有规定外，响应文件有效期应为9</w:t>
      </w:r>
      <w:r>
        <w:rPr>
          <w:highlight w:val="none"/>
        </w:rPr>
        <w:t>0</w:t>
      </w:r>
      <w:r>
        <w:rPr>
          <w:rFonts w:hint="eastAsia"/>
          <w:highlight w:val="none"/>
        </w:rPr>
        <w:t>日，从采购文件规定的递交响应文件的截止时间开始计算。</w:t>
      </w:r>
    </w:p>
    <w:p>
      <w:pPr>
        <w:pStyle w:val="4"/>
        <w:ind w:firstLine="482"/>
        <w:rPr>
          <w:highlight w:val="none"/>
        </w:rPr>
      </w:pPr>
      <w:r>
        <w:rPr>
          <w:rFonts w:hint="eastAsia"/>
          <w:highlight w:val="none"/>
        </w:rPr>
        <w:t>3.4</w:t>
      </w:r>
      <w:r>
        <w:rPr>
          <w:highlight w:val="none"/>
        </w:rPr>
        <w:t xml:space="preserve"> </w:t>
      </w:r>
      <w:r>
        <w:rPr>
          <w:rFonts w:hint="eastAsia"/>
          <w:highlight w:val="none"/>
        </w:rPr>
        <w:t>响应保证金</w:t>
      </w:r>
    </w:p>
    <w:p>
      <w:pPr>
        <w:ind w:firstLine="480"/>
        <w:rPr>
          <w:highlight w:val="none"/>
        </w:rPr>
      </w:pPr>
      <w:r>
        <w:rPr>
          <w:rFonts w:hint="eastAsia"/>
          <w:highlight w:val="none"/>
        </w:rPr>
        <w:t>本项目免收保证金</w:t>
      </w:r>
    </w:p>
    <w:p>
      <w:pPr>
        <w:pStyle w:val="4"/>
        <w:ind w:firstLine="482"/>
        <w:rPr>
          <w:highlight w:val="none"/>
        </w:rPr>
      </w:pPr>
      <w:r>
        <w:rPr>
          <w:rFonts w:hint="eastAsia"/>
          <w:highlight w:val="none"/>
        </w:rPr>
        <w:t>3.5</w:t>
      </w:r>
      <w:r>
        <w:rPr>
          <w:highlight w:val="none"/>
        </w:rPr>
        <w:t xml:space="preserve"> </w:t>
      </w:r>
      <w:r>
        <w:rPr>
          <w:rFonts w:hint="eastAsia"/>
          <w:highlight w:val="none"/>
        </w:rPr>
        <w:t>资格审查</w:t>
      </w:r>
    </w:p>
    <w:p>
      <w:pPr>
        <w:ind w:firstLine="480"/>
        <w:rPr>
          <w:highlight w:val="none"/>
        </w:rPr>
      </w:pPr>
      <w:r>
        <w:rPr>
          <w:rFonts w:hint="eastAsia"/>
          <w:highlight w:val="none"/>
        </w:rPr>
        <w:t>供应商应提供第三章“评审方法”规定的资格审查资料。</w:t>
      </w:r>
    </w:p>
    <w:p>
      <w:pPr>
        <w:pStyle w:val="4"/>
        <w:ind w:firstLine="482"/>
        <w:rPr>
          <w:highlight w:val="none"/>
        </w:rPr>
      </w:pPr>
      <w:r>
        <w:rPr>
          <w:rFonts w:hint="eastAsia"/>
          <w:highlight w:val="none"/>
        </w:rPr>
        <w:t>3</w:t>
      </w:r>
      <w:r>
        <w:rPr>
          <w:highlight w:val="none"/>
        </w:rPr>
        <w:t xml:space="preserve">.6 </w:t>
      </w:r>
      <w:r>
        <w:rPr>
          <w:rFonts w:hint="eastAsia"/>
          <w:highlight w:val="none"/>
        </w:rPr>
        <w:t>响应方案</w:t>
      </w:r>
    </w:p>
    <w:p>
      <w:pPr>
        <w:ind w:firstLine="480"/>
      </w:pPr>
      <w:r>
        <w:rPr>
          <w:rFonts w:hint="eastAsia"/>
        </w:rPr>
        <w:t>3.6.1 响应文件应当对采购文件中的实质性内容作出响应。采购需求中明确为关键条款的，供应商应提供有关证据或证明材料。</w:t>
      </w:r>
    </w:p>
    <w:p>
      <w:pPr>
        <w:ind w:firstLine="480"/>
      </w:pPr>
      <w:r>
        <w:rPr>
          <w:rFonts w:hint="eastAsia"/>
        </w:rPr>
        <w:t>3.6.2 供应商只能提出唯一的响应方案。供应商在响应文件中提出多个响应方案的其响应文件将被视为无效。</w:t>
      </w:r>
    </w:p>
    <w:p>
      <w:pPr>
        <w:ind w:firstLine="480"/>
      </w:pPr>
      <w:r>
        <w:rPr>
          <w:rFonts w:hint="eastAsia"/>
        </w:rPr>
        <w:t>3.6.3 响应文件对采购文件的全部偏差，均应在响应文件的商务和技术偏差表中列明。响应文件偏差表中未列明的内容，将视为供应商响应采购文件的要求；但如发现响应文件的其他部分与商务和技术偏差表的描述不一致或供应商的响应缺乏支持性文件，则评审小组有权要求供应商对相关问题进行澄清，并根据澄清结果对供应商的响应文件进行评审。</w:t>
      </w:r>
    </w:p>
    <w:p>
      <w:pPr>
        <w:pStyle w:val="4"/>
        <w:ind w:firstLine="482"/>
        <w:rPr>
          <w:highlight w:val="none"/>
        </w:rPr>
      </w:pPr>
      <w:r>
        <w:rPr>
          <w:rFonts w:hint="eastAsia"/>
          <w:highlight w:val="none"/>
        </w:rPr>
        <w:t>3</w:t>
      </w:r>
      <w:r>
        <w:rPr>
          <w:highlight w:val="none"/>
        </w:rPr>
        <w:t xml:space="preserve">.7 </w:t>
      </w:r>
      <w:r>
        <w:rPr>
          <w:rFonts w:hint="eastAsia"/>
          <w:highlight w:val="none"/>
        </w:rPr>
        <w:t>响应文件的编制</w:t>
      </w:r>
    </w:p>
    <w:p>
      <w:pPr>
        <w:ind w:firstLine="480"/>
        <w:rPr>
          <w:highlight w:val="none"/>
        </w:rPr>
      </w:pPr>
      <w:r>
        <w:rPr>
          <w:rFonts w:hint="eastAsia"/>
          <w:highlight w:val="none"/>
        </w:rPr>
        <w:t>3</w:t>
      </w:r>
      <w:r>
        <w:rPr>
          <w:highlight w:val="none"/>
        </w:rPr>
        <w:t>.7.1</w:t>
      </w:r>
      <w:r>
        <w:rPr>
          <w:rFonts w:hint="eastAsia"/>
          <w:highlight w:val="none"/>
        </w:rPr>
        <w:t>响应文件应按第六章“响应文件格式”进行编写，如有必要，可以增加附件作为响应文件的组成部分。</w:t>
      </w:r>
    </w:p>
    <w:p>
      <w:pPr>
        <w:ind w:firstLine="480"/>
        <w:rPr>
          <w:highlight w:val="none"/>
        </w:rPr>
      </w:pPr>
      <w:r>
        <w:rPr>
          <w:rFonts w:hint="eastAsia"/>
          <w:highlight w:val="none"/>
        </w:rPr>
        <w:t>3.7.2 响应文件应用不褪色的材料书写或打印。</w:t>
      </w:r>
    </w:p>
    <w:p>
      <w:pPr>
        <w:ind w:firstLine="480"/>
        <w:rPr>
          <w:highlight w:val="none"/>
        </w:rPr>
      </w:pPr>
      <w:r>
        <w:rPr>
          <w:rFonts w:hint="eastAsia"/>
          <w:highlight w:val="none"/>
          <w:lang w:val="en-US" w:eastAsia="zh-CN"/>
        </w:rPr>
        <w:t>分项</w:t>
      </w:r>
      <w:r>
        <w:rPr>
          <w:rFonts w:hint="eastAsia"/>
          <w:highlight w:val="none"/>
          <w:lang w:eastAsia="zh-CN"/>
        </w:rPr>
        <w:t>报价表</w:t>
      </w:r>
      <w:r>
        <w:rPr>
          <w:rFonts w:hint="eastAsia"/>
          <w:highlight w:val="none"/>
        </w:rPr>
        <w:t>应由供应商的法定代表人（单位负责人）或其授权代理人签字并加盖单位公章。</w:t>
      </w:r>
    </w:p>
    <w:p>
      <w:pPr>
        <w:ind w:firstLine="480"/>
        <w:rPr>
          <w:highlight w:val="none"/>
        </w:rPr>
      </w:pPr>
      <w:r>
        <w:rPr>
          <w:rFonts w:hint="eastAsia"/>
          <w:highlight w:val="none"/>
          <w:lang w:val="en-US" w:eastAsia="zh-CN"/>
        </w:rPr>
        <w:t>分项</w:t>
      </w:r>
      <w:r>
        <w:rPr>
          <w:rFonts w:hint="eastAsia"/>
          <w:highlight w:val="none"/>
          <w:lang w:eastAsia="zh-CN"/>
        </w:rPr>
        <w:t>报价表</w:t>
      </w:r>
      <w:r>
        <w:rPr>
          <w:rFonts w:hint="eastAsia"/>
          <w:highlight w:val="none"/>
        </w:rPr>
        <w:t>由代理人签字的，应在响应文件中附授权委托书，授权委托书应由供应商法定代表人（单位负责人）签字并加盖单位公章。</w:t>
      </w:r>
    </w:p>
    <w:p>
      <w:pPr>
        <w:ind w:firstLine="480"/>
        <w:rPr>
          <w:highlight w:val="none"/>
        </w:rPr>
      </w:pPr>
      <w:r>
        <w:rPr>
          <w:rFonts w:hint="eastAsia"/>
          <w:highlight w:val="none"/>
        </w:rPr>
        <w:t>3.7.3评审过程中供应商对响应文件的澄清、说明和补正应由供应商的法定代表人（单位负责人）或其授权的代理人签字或加盖单位公章。</w:t>
      </w:r>
    </w:p>
    <w:p>
      <w:pPr>
        <w:ind w:firstLine="480"/>
        <w:rPr>
          <w:highlight w:val="none"/>
        </w:rPr>
      </w:pPr>
      <w:r>
        <w:rPr>
          <w:rFonts w:hint="eastAsia"/>
          <w:highlight w:val="none"/>
        </w:rPr>
        <w:t>3.7.4响应文件应尽量避免涂改、行间插字或删除。如果出现上述情况，改动之处由供应商的法定代表人（单位负责人）或其授权的代理人签字或加盖单位章。</w:t>
      </w:r>
    </w:p>
    <w:p>
      <w:pPr>
        <w:ind w:firstLine="480"/>
        <w:rPr>
          <w:highlight w:val="none"/>
        </w:rPr>
      </w:pPr>
      <w:r>
        <w:rPr>
          <w:rFonts w:hint="eastAsia"/>
          <w:highlight w:val="none"/>
        </w:rPr>
        <w:t>3.7.5响应文件正本一份副本份数见供应商须知前附表。正本和副本的封面右上应清楚地标记“正本”或“副本”的字样。供应商应根据供应商须知前附表要求提交电子版文件。当副本和正本不一致或电子版文件和纸质正本文件不一致时，以纸质正本文件为准。</w:t>
      </w:r>
    </w:p>
    <w:p>
      <w:pPr>
        <w:ind w:firstLine="480"/>
        <w:rPr>
          <w:highlight w:val="none"/>
        </w:rPr>
      </w:pPr>
      <w:r>
        <w:rPr>
          <w:rFonts w:hint="eastAsia"/>
          <w:highlight w:val="none"/>
        </w:rPr>
        <w:t>3.7.6响应文件的正本与副本应分别装订，并编制目录。响应文件需分册装订的，具体分册装订要求见供应商须知前附表规定。</w:t>
      </w:r>
    </w:p>
    <w:p>
      <w:pPr>
        <w:pStyle w:val="2"/>
        <w:ind w:firstLine="482"/>
        <w:jc w:val="left"/>
        <w:rPr>
          <w:highlight w:val="none"/>
        </w:rPr>
      </w:pPr>
      <w:r>
        <w:rPr>
          <w:rFonts w:hint="eastAsia"/>
          <w:highlight w:val="none"/>
        </w:rPr>
        <w:t>4</w:t>
      </w:r>
      <w:r>
        <w:rPr>
          <w:highlight w:val="none"/>
        </w:rPr>
        <w:t xml:space="preserve"> </w:t>
      </w:r>
      <w:r>
        <w:rPr>
          <w:rFonts w:hint="eastAsia"/>
          <w:highlight w:val="none"/>
        </w:rPr>
        <w:t>响应文件的递交</w:t>
      </w:r>
    </w:p>
    <w:p>
      <w:pPr>
        <w:pStyle w:val="4"/>
        <w:ind w:firstLine="482"/>
        <w:rPr>
          <w:highlight w:val="none"/>
        </w:rPr>
      </w:pPr>
      <w:r>
        <w:rPr>
          <w:rFonts w:hint="eastAsia"/>
          <w:highlight w:val="none"/>
        </w:rPr>
        <w:t>4</w:t>
      </w:r>
      <w:r>
        <w:rPr>
          <w:highlight w:val="none"/>
        </w:rPr>
        <w:t>.</w:t>
      </w:r>
      <w:r>
        <w:rPr>
          <w:rFonts w:hint="eastAsia"/>
          <w:highlight w:val="none"/>
        </w:rPr>
        <w:t>1</w:t>
      </w:r>
      <w:r>
        <w:rPr>
          <w:highlight w:val="none"/>
        </w:rPr>
        <w:t xml:space="preserve"> </w:t>
      </w:r>
      <w:r>
        <w:rPr>
          <w:rFonts w:hint="eastAsia"/>
          <w:highlight w:val="none"/>
        </w:rPr>
        <w:t>响应文件的包装与标记</w:t>
      </w:r>
    </w:p>
    <w:p>
      <w:pPr>
        <w:ind w:firstLine="480"/>
        <w:rPr>
          <w:highlight w:val="none"/>
        </w:rPr>
      </w:pPr>
      <w:r>
        <w:rPr>
          <w:rFonts w:hint="eastAsia"/>
          <w:highlight w:val="none"/>
        </w:rPr>
        <w:t>4.1.1 响应文件应密封包装，未密封的响应文件，采购人将拒绝接收；</w:t>
      </w:r>
    </w:p>
    <w:p>
      <w:pPr>
        <w:ind w:firstLine="480"/>
        <w:rPr>
          <w:highlight w:val="none"/>
        </w:rPr>
      </w:pPr>
      <w:r>
        <w:rPr>
          <w:rFonts w:hint="eastAsia"/>
          <w:highlight w:val="none"/>
        </w:rPr>
        <w:t>4.1.2</w:t>
      </w:r>
      <w:r>
        <w:rPr>
          <w:highlight w:val="none"/>
        </w:rPr>
        <w:t xml:space="preserve"> </w:t>
      </w:r>
      <w:r>
        <w:rPr>
          <w:rFonts w:hint="eastAsia"/>
          <w:highlight w:val="none"/>
        </w:rPr>
        <w:t>响应文件封面上应载明的内容见供应商须知前附表。</w:t>
      </w:r>
    </w:p>
    <w:p>
      <w:pPr>
        <w:pStyle w:val="4"/>
        <w:ind w:firstLine="482"/>
        <w:rPr>
          <w:highlight w:val="none"/>
        </w:rPr>
      </w:pPr>
      <w:r>
        <w:rPr>
          <w:rFonts w:hint="eastAsia"/>
          <w:highlight w:val="none"/>
        </w:rPr>
        <w:t>4.2</w:t>
      </w:r>
      <w:r>
        <w:rPr>
          <w:highlight w:val="none"/>
        </w:rPr>
        <w:t xml:space="preserve"> </w:t>
      </w:r>
      <w:r>
        <w:rPr>
          <w:rFonts w:hint="eastAsia"/>
          <w:highlight w:val="none"/>
        </w:rPr>
        <w:t>响应文件的递交</w:t>
      </w:r>
    </w:p>
    <w:p>
      <w:pPr>
        <w:ind w:firstLine="480"/>
        <w:rPr>
          <w:highlight w:val="none"/>
        </w:rPr>
      </w:pPr>
      <w:r>
        <w:rPr>
          <w:rFonts w:hint="eastAsia"/>
          <w:highlight w:val="none"/>
        </w:rPr>
        <w:t>4.2</w:t>
      </w:r>
      <w:r>
        <w:rPr>
          <w:highlight w:val="none"/>
        </w:rPr>
        <w:t>.</w:t>
      </w:r>
      <w:r>
        <w:rPr>
          <w:rFonts w:hint="eastAsia"/>
          <w:highlight w:val="none"/>
        </w:rPr>
        <w:t>1</w:t>
      </w:r>
      <w:r>
        <w:rPr>
          <w:highlight w:val="none"/>
        </w:rPr>
        <w:t xml:space="preserve"> </w:t>
      </w:r>
      <w:r>
        <w:rPr>
          <w:rFonts w:hint="eastAsia"/>
          <w:highlight w:val="none"/>
        </w:rPr>
        <w:t>供应商应在供应商须知前附表规定的递交响应文件的截止时间前，将响应文件递交至供应商须知前附表规定的地点。逾期送达的或者未送达指定地点的响应文件采购人将拒绝接收。</w:t>
      </w:r>
    </w:p>
    <w:p>
      <w:pPr>
        <w:ind w:firstLine="480"/>
        <w:rPr>
          <w:highlight w:val="none"/>
        </w:rPr>
      </w:pPr>
      <w:r>
        <w:rPr>
          <w:rFonts w:hint="eastAsia"/>
          <w:highlight w:val="none"/>
        </w:rPr>
        <w:t>4.2.2</w:t>
      </w:r>
      <w:r>
        <w:rPr>
          <w:highlight w:val="none"/>
        </w:rPr>
        <w:t xml:space="preserve"> </w:t>
      </w:r>
      <w:r>
        <w:rPr>
          <w:rFonts w:hint="eastAsia"/>
          <w:highlight w:val="none"/>
        </w:rPr>
        <w:t>除供应商须知前附表另有规定外，供应商所递交的响应文件不予退还。</w:t>
      </w:r>
    </w:p>
    <w:p>
      <w:pPr>
        <w:pStyle w:val="4"/>
        <w:ind w:firstLine="482"/>
        <w:rPr>
          <w:highlight w:val="none"/>
        </w:rPr>
      </w:pPr>
      <w:r>
        <w:rPr>
          <w:rFonts w:hint="eastAsia"/>
          <w:highlight w:val="none"/>
        </w:rPr>
        <w:t>4.3响应文件的修改与撤回</w:t>
      </w:r>
    </w:p>
    <w:p>
      <w:pPr>
        <w:ind w:firstLine="480"/>
        <w:rPr>
          <w:highlight w:val="none"/>
        </w:rPr>
      </w:pPr>
      <w:r>
        <w:rPr>
          <w:rFonts w:hint="eastAsia"/>
          <w:highlight w:val="none"/>
        </w:rPr>
        <w:t>4.3.1在供应商须知前附表规定的递交响应文件的截止时间前供应商可以修改或撤回已递交的响应文件，但应以书面形式通知采购人。</w:t>
      </w:r>
    </w:p>
    <w:p>
      <w:pPr>
        <w:ind w:firstLine="480"/>
        <w:rPr>
          <w:highlight w:val="none"/>
        </w:rPr>
      </w:pPr>
      <w:r>
        <w:rPr>
          <w:rFonts w:hint="eastAsia"/>
          <w:highlight w:val="none"/>
        </w:rPr>
        <w:t>4.3.2响应文件的修改文件或供应商撤回已递交响应文件的书面通知应由供应商的法定代表人（单位负责人）或其授权的代理人签字并加盖单位公章。采购人收到供应商撤回响应文件的书面通知后，退回供应商的响应文件。修改的内容为响应文件的组成部分，响应文件的修改文件应按照本章第3条第4条的规定进行编制、包装、标记和递交，并标明“修改”字样。</w:t>
      </w:r>
    </w:p>
    <w:p>
      <w:pPr>
        <w:pStyle w:val="2"/>
        <w:ind w:firstLine="482"/>
        <w:jc w:val="left"/>
        <w:rPr>
          <w:highlight w:val="none"/>
        </w:rPr>
      </w:pPr>
      <w:r>
        <w:rPr>
          <w:rFonts w:hint="eastAsia"/>
          <w:highlight w:val="none"/>
        </w:rPr>
        <w:t>5</w:t>
      </w:r>
      <w:r>
        <w:rPr>
          <w:highlight w:val="none"/>
        </w:rPr>
        <w:t xml:space="preserve"> </w:t>
      </w:r>
      <w:r>
        <w:rPr>
          <w:rFonts w:hint="eastAsia"/>
          <w:highlight w:val="none"/>
        </w:rPr>
        <w:t>开启响应文件</w:t>
      </w:r>
    </w:p>
    <w:p>
      <w:pPr>
        <w:pStyle w:val="4"/>
        <w:ind w:firstLine="482"/>
        <w:rPr>
          <w:highlight w:val="none"/>
        </w:rPr>
      </w:pPr>
      <w:r>
        <w:rPr>
          <w:rFonts w:hint="eastAsia"/>
          <w:highlight w:val="none"/>
        </w:rPr>
        <w:t>5</w:t>
      </w:r>
      <w:r>
        <w:rPr>
          <w:highlight w:val="none"/>
        </w:rPr>
        <w:t>.</w:t>
      </w:r>
      <w:r>
        <w:rPr>
          <w:rFonts w:hint="eastAsia"/>
          <w:highlight w:val="none"/>
        </w:rPr>
        <w:t>1</w:t>
      </w:r>
      <w:r>
        <w:rPr>
          <w:highlight w:val="none"/>
        </w:rPr>
        <w:t xml:space="preserve"> </w:t>
      </w:r>
      <w:r>
        <w:rPr>
          <w:rFonts w:hint="eastAsia"/>
          <w:highlight w:val="none"/>
        </w:rPr>
        <w:t>开启响应文件的时间和地点</w:t>
      </w:r>
    </w:p>
    <w:p>
      <w:pPr>
        <w:ind w:firstLine="480"/>
        <w:rPr>
          <w:highlight w:val="none"/>
        </w:rPr>
      </w:pPr>
      <w:r>
        <w:rPr>
          <w:rFonts w:hint="eastAsia"/>
        </w:rPr>
        <w:t>采购人在供应商须知前附表规定的评审时间和地点公开开启响应文件，并邀请所有供应商的法定代表人（单位负责人）或其授权的代理人参加开启会议。</w:t>
      </w:r>
    </w:p>
    <w:p>
      <w:pPr>
        <w:pStyle w:val="4"/>
        <w:ind w:firstLine="482"/>
        <w:rPr>
          <w:highlight w:val="none"/>
        </w:rPr>
      </w:pPr>
      <w:r>
        <w:rPr>
          <w:rFonts w:hint="eastAsia"/>
          <w:highlight w:val="none"/>
        </w:rPr>
        <w:t>5</w:t>
      </w:r>
      <w:r>
        <w:rPr>
          <w:highlight w:val="none"/>
        </w:rPr>
        <w:t xml:space="preserve">.2 </w:t>
      </w:r>
      <w:r>
        <w:rPr>
          <w:rFonts w:hint="eastAsia"/>
          <w:highlight w:val="none"/>
        </w:rPr>
        <w:t>开启程序</w:t>
      </w:r>
    </w:p>
    <w:p>
      <w:pPr>
        <w:ind w:firstLine="480"/>
        <w:rPr>
          <w:highlight w:val="none"/>
        </w:rPr>
      </w:pPr>
      <w:r>
        <w:rPr>
          <w:rFonts w:hint="eastAsia"/>
          <w:highlight w:val="none"/>
        </w:rPr>
        <w:t>主持人按下列程序公开开启响应文件</w:t>
      </w:r>
    </w:p>
    <w:p>
      <w:pPr>
        <w:ind w:firstLine="480"/>
        <w:rPr>
          <w:highlight w:val="none"/>
        </w:rPr>
      </w:pPr>
      <w:r>
        <w:rPr>
          <w:rFonts w:hint="eastAsia"/>
          <w:highlight w:val="none"/>
        </w:rPr>
        <w:t>（1）宣布开启会议纪律；</w:t>
      </w:r>
    </w:p>
    <w:p>
      <w:pPr>
        <w:ind w:firstLine="480"/>
        <w:rPr>
          <w:highlight w:val="none"/>
        </w:rPr>
      </w:pPr>
      <w:r>
        <w:rPr>
          <w:rFonts w:hint="eastAsia"/>
          <w:highlight w:val="none"/>
        </w:rPr>
        <w:t>（2）宣布参加开启会议的工作人员姓名；</w:t>
      </w:r>
    </w:p>
    <w:p>
      <w:pPr>
        <w:ind w:firstLine="480"/>
        <w:rPr>
          <w:highlight w:val="none"/>
        </w:rPr>
      </w:pPr>
      <w:r>
        <w:rPr>
          <w:rFonts w:hint="eastAsia"/>
          <w:highlight w:val="none"/>
        </w:rPr>
        <w:t>（3）纪检监督员检查确认响应文件的密封情况；</w:t>
      </w:r>
    </w:p>
    <w:p>
      <w:pPr>
        <w:ind w:firstLine="480"/>
        <w:rPr>
          <w:highlight w:val="none"/>
        </w:rPr>
      </w:pPr>
      <w:r>
        <w:rPr>
          <w:rFonts w:hint="eastAsia"/>
          <w:highlight w:val="none"/>
        </w:rPr>
        <w:t>（4）按照供应商前附表规定的开启顺序开启响应文件，公布递交响应文件的供应商名称；</w:t>
      </w:r>
    </w:p>
    <w:p>
      <w:pPr>
        <w:ind w:firstLine="480"/>
        <w:rPr>
          <w:highlight w:val="none"/>
        </w:rPr>
      </w:pPr>
      <w:r>
        <w:rPr>
          <w:rFonts w:hint="eastAsia"/>
          <w:highlight w:val="none"/>
        </w:rPr>
        <w:t>（5）相关工作人员等在响应文件开启记录上签字确认；</w:t>
      </w:r>
    </w:p>
    <w:p>
      <w:pPr>
        <w:ind w:firstLine="480"/>
        <w:rPr>
          <w:highlight w:val="none"/>
        </w:rPr>
      </w:pPr>
      <w:r>
        <w:rPr>
          <w:rFonts w:hint="eastAsia"/>
          <w:highlight w:val="none"/>
        </w:rPr>
        <w:t>（6）宣布有关注意事项；</w:t>
      </w:r>
    </w:p>
    <w:p>
      <w:pPr>
        <w:ind w:firstLine="480"/>
        <w:rPr>
          <w:highlight w:val="none"/>
        </w:rPr>
      </w:pPr>
      <w:r>
        <w:rPr>
          <w:rFonts w:hint="eastAsia"/>
          <w:highlight w:val="none"/>
        </w:rPr>
        <w:t>（7）开启会议结束。</w:t>
      </w:r>
    </w:p>
    <w:p>
      <w:pPr>
        <w:pStyle w:val="4"/>
        <w:ind w:firstLine="482"/>
        <w:rPr>
          <w:highlight w:val="none"/>
        </w:rPr>
      </w:pPr>
      <w:r>
        <w:rPr>
          <w:rFonts w:hint="eastAsia"/>
          <w:highlight w:val="none"/>
        </w:rPr>
        <w:t>5.3</w:t>
      </w:r>
      <w:r>
        <w:rPr>
          <w:highlight w:val="none"/>
        </w:rPr>
        <w:t xml:space="preserve"> </w:t>
      </w:r>
      <w:r>
        <w:rPr>
          <w:rFonts w:hint="eastAsia"/>
          <w:highlight w:val="none"/>
        </w:rPr>
        <w:t>递交响应文件的供应商不足的情形</w:t>
      </w:r>
    </w:p>
    <w:p>
      <w:pPr>
        <w:ind w:firstLine="480"/>
        <w:rPr>
          <w:b w:val="0"/>
          <w:bCs w:val="0"/>
          <w:highlight w:val="none"/>
        </w:rPr>
      </w:pPr>
      <w:r>
        <w:rPr>
          <w:rFonts w:hint="eastAsia"/>
        </w:rPr>
        <w:t>递交响应文件的供应商数量不足三家的本项目中止。</w:t>
      </w:r>
    </w:p>
    <w:p>
      <w:pPr>
        <w:pStyle w:val="2"/>
        <w:ind w:firstLine="482"/>
        <w:jc w:val="left"/>
        <w:rPr>
          <w:highlight w:val="none"/>
        </w:rPr>
      </w:pPr>
      <w:r>
        <w:rPr>
          <w:rFonts w:hint="eastAsia"/>
          <w:highlight w:val="none"/>
        </w:rPr>
        <w:t>6</w:t>
      </w:r>
      <w:r>
        <w:rPr>
          <w:highlight w:val="none"/>
        </w:rPr>
        <w:t xml:space="preserve"> </w:t>
      </w:r>
      <w:r>
        <w:rPr>
          <w:rFonts w:hint="eastAsia"/>
          <w:highlight w:val="none"/>
        </w:rPr>
        <w:t>评审</w:t>
      </w:r>
    </w:p>
    <w:p>
      <w:pPr>
        <w:pStyle w:val="4"/>
        <w:ind w:firstLine="482"/>
        <w:rPr>
          <w:highlight w:val="none"/>
        </w:rPr>
      </w:pPr>
      <w:r>
        <w:rPr>
          <w:rFonts w:hint="eastAsia"/>
          <w:highlight w:val="none"/>
        </w:rPr>
        <w:t>6.1</w:t>
      </w:r>
      <w:r>
        <w:rPr>
          <w:highlight w:val="none"/>
        </w:rPr>
        <w:t xml:space="preserve"> </w:t>
      </w:r>
      <w:r>
        <w:rPr>
          <w:rFonts w:hint="eastAsia"/>
          <w:highlight w:val="none"/>
        </w:rPr>
        <w:t>评审小组</w:t>
      </w:r>
    </w:p>
    <w:p>
      <w:pPr>
        <w:ind w:firstLine="480"/>
        <w:rPr>
          <w:highlight w:val="none"/>
        </w:rPr>
      </w:pPr>
      <w:r>
        <w:rPr>
          <w:rFonts w:hint="eastAsia"/>
          <w:highlight w:val="none"/>
        </w:rPr>
        <w:t>6.1.1评审由采购人组建的评审小组负责，评委的人数见供应商须知前附表。</w:t>
      </w:r>
    </w:p>
    <w:p>
      <w:pPr>
        <w:ind w:firstLine="480"/>
        <w:rPr>
          <w:highlight w:val="none"/>
        </w:rPr>
      </w:pPr>
      <w:r>
        <w:rPr>
          <w:rFonts w:hint="eastAsia"/>
          <w:highlight w:val="none"/>
        </w:rPr>
        <w:t>6.1.2评审小组成员有下列情形之一的，应当回避：</w:t>
      </w:r>
    </w:p>
    <w:p>
      <w:pPr>
        <w:ind w:firstLine="480"/>
        <w:rPr>
          <w:highlight w:val="none"/>
        </w:rPr>
      </w:pPr>
      <w:r>
        <w:rPr>
          <w:rFonts w:hint="eastAsia"/>
          <w:highlight w:val="none"/>
        </w:rPr>
        <w:t>（1）供应商主要负责人或供应商主要负责人的近亲属；</w:t>
      </w:r>
    </w:p>
    <w:p>
      <w:pPr>
        <w:ind w:firstLine="480"/>
        <w:rPr>
          <w:highlight w:val="none"/>
        </w:rPr>
      </w:pPr>
      <w:r>
        <w:rPr>
          <w:rFonts w:hint="eastAsia"/>
          <w:highlight w:val="none"/>
        </w:rPr>
        <w:t>（2）与供应商有经济利益关系或其他利害关系，可能影响公正评审的。</w:t>
      </w:r>
    </w:p>
    <w:p>
      <w:pPr>
        <w:ind w:firstLine="480"/>
        <w:rPr>
          <w:highlight w:val="none"/>
        </w:rPr>
      </w:pPr>
      <w:r>
        <w:rPr>
          <w:rFonts w:hint="eastAsia"/>
          <w:highlight w:val="none"/>
        </w:rPr>
        <w:t>6.1.3 评审小组组建后，评审小组成员共同推选评审小组组长，评审小组组长负责组织评审工作。</w:t>
      </w:r>
    </w:p>
    <w:p>
      <w:pPr>
        <w:ind w:firstLine="480"/>
        <w:rPr>
          <w:highlight w:val="none"/>
        </w:rPr>
      </w:pPr>
      <w:r>
        <w:rPr>
          <w:rFonts w:hint="eastAsia"/>
          <w:highlight w:val="none"/>
        </w:rPr>
        <w:t>6.1.4在评审过程中评审小组成员对需要共同认定的事项存在争议的，将按照少数服从多数的原则作出结论。持不同意见的评审小组成员应当在评审报告上签署不同意见及理由，否则视为同意评审报告。</w:t>
      </w:r>
    </w:p>
    <w:p>
      <w:pPr>
        <w:pStyle w:val="4"/>
        <w:ind w:firstLine="482"/>
        <w:rPr>
          <w:highlight w:val="none"/>
        </w:rPr>
      </w:pPr>
      <w:r>
        <w:rPr>
          <w:rFonts w:hint="eastAsia"/>
          <w:highlight w:val="none"/>
        </w:rPr>
        <w:t>6.2</w:t>
      </w:r>
      <w:r>
        <w:rPr>
          <w:highlight w:val="none"/>
        </w:rPr>
        <w:t xml:space="preserve"> </w:t>
      </w:r>
      <w:r>
        <w:rPr>
          <w:rFonts w:hint="eastAsia"/>
          <w:highlight w:val="none"/>
        </w:rPr>
        <w:t>评审</w:t>
      </w:r>
    </w:p>
    <w:p>
      <w:pPr>
        <w:ind w:firstLine="480"/>
        <w:rPr>
          <w:highlight w:val="none"/>
        </w:rPr>
      </w:pPr>
      <w:r>
        <w:rPr>
          <w:rFonts w:hint="eastAsia"/>
          <w:highlight w:val="none"/>
        </w:rPr>
        <w:t>6.2</w:t>
      </w:r>
      <w:r>
        <w:rPr>
          <w:highlight w:val="none"/>
        </w:rPr>
        <w:t>.</w:t>
      </w:r>
      <w:r>
        <w:rPr>
          <w:rFonts w:hint="eastAsia"/>
          <w:highlight w:val="none"/>
        </w:rPr>
        <w:t>1评审小组按照第三章“评审方法”规定的评审标准和程序对响应文件进行评审和比较。</w:t>
      </w:r>
    </w:p>
    <w:p>
      <w:pPr>
        <w:ind w:firstLine="480"/>
        <w:rPr>
          <w:highlight w:val="none"/>
        </w:rPr>
      </w:pPr>
      <w:r>
        <w:rPr>
          <w:rFonts w:hint="eastAsia"/>
          <w:highlight w:val="none"/>
        </w:rPr>
        <w:t>6</w:t>
      </w:r>
      <w:r>
        <w:rPr>
          <w:highlight w:val="none"/>
        </w:rPr>
        <w:t>.2.2</w:t>
      </w:r>
      <w:r>
        <w:rPr>
          <w:rFonts w:hint="eastAsia"/>
          <w:highlight w:val="none"/>
        </w:rPr>
        <w:t>评审时发现供应商有串通报价、弄虚作假等违法行为的，其响应文件将被视为无效。</w:t>
      </w:r>
    </w:p>
    <w:p>
      <w:pPr>
        <w:ind w:firstLine="480"/>
        <w:rPr>
          <w:highlight w:val="none"/>
        </w:rPr>
      </w:pPr>
      <w:r>
        <w:rPr>
          <w:rFonts w:hint="eastAsia"/>
          <w:highlight w:val="none"/>
        </w:rPr>
        <w:t>6.2.</w:t>
      </w:r>
      <w:r>
        <w:rPr>
          <w:highlight w:val="none"/>
        </w:rPr>
        <w:t>3</w:t>
      </w:r>
      <w:r>
        <w:rPr>
          <w:rFonts w:hint="eastAsia"/>
          <w:highlight w:val="none"/>
        </w:rPr>
        <w:t>评审完成后，评审小组应当向采购人提交书面评审报告和候选成交供应商名单。评审小组推荐候选成交供应商的排序要求及数量见供应商须知前附表。</w:t>
      </w:r>
    </w:p>
    <w:p>
      <w:pPr>
        <w:pStyle w:val="4"/>
        <w:ind w:firstLine="482"/>
        <w:rPr>
          <w:highlight w:val="none"/>
        </w:rPr>
      </w:pPr>
      <w:r>
        <w:rPr>
          <w:rFonts w:hint="eastAsia"/>
          <w:highlight w:val="none"/>
        </w:rPr>
        <w:t>6.3</w:t>
      </w:r>
      <w:r>
        <w:rPr>
          <w:highlight w:val="none"/>
        </w:rPr>
        <w:t xml:space="preserve"> </w:t>
      </w:r>
      <w:r>
        <w:rPr>
          <w:rFonts w:hint="eastAsia"/>
          <w:highlight w:val="none"/>
        </w:rPr>
        <w:t>定标</w:t>
      </w:r>
    </w:p>
    <w:p>
      <w:pPr>
        <w:ind w:firstLine="482"/>
        <w:rPr>
          <w:highlight w:val="none"/>
        </w:rPr>
      </w:pPr>
      <w:r>
        <w:rPr>
          <w:rFonts w:hint="eastAsia"/>
          <w:b/>
          <w:bCs/>
          <w:highlight w:val="none"/>
        </w:rPr>
        <w:t>按照须知前附表的规定，授权评审小组依法确定成交供应商。</w:t>
      </w:r>
    </w:p>
    <w:p>
      <w:pPr>
        <w:pStyle w:val="2"/>
        <w:ind w:firstLine="482"/>
        <w:jc w:val="left"/>
        <w:rPr>
          <w:highlight w:val="none"/>
        </w:rPr>
      </w:pPr>
      <w:r>
        <w:rPr>
          <w:rFonts w:hint="eastAsia"/>
          <w:highlight w:val="none"/>
        </w:rPr>
        <w:t>7</w:t>
      </w:r>
      <w:r>
        <w:rPr>
          <w:highlight w:val="none"/>
        </w:rPr>
        <w:t xml:space="preserve"> </w:t>
      </w:r>
      <w:r>
        <w:rPr>
          <w:rFonts w:hint="eastAsia"/>
          <w:highlight w:val="none"/>
        </w:rPr>
        <w:t>合同授予</w:t>
      </w:r>
    </w:p>
    <w:p>
      <w:pPr>
        <w:pStyle w:val="4"/>
        <w:ind w:firstLine="482"/>
        <w:rPr>
          <w:highlight w:val="none"/>
        </w:rPr>
      </w:pPr>
      <w:r>
        <w:rPr>
          <w:rFonts w:hint="eastAsia"/>
          <w:highlight w:val="none"/>
        </w:rPr>
        <w:t>7.</w:t>
      </w:r>
      <w:r>
        <w:rPr>
          <w:highlight w:val="none"/>
        </w:rPr>
        <w:t>1</w:t>
      </w:r>
      <w:r>
        <w:rPr>
          <w:rFonts w:hint="eastAsia"/>
          <w:highlight w:val="none"/>
        </w:rPr>
        <w:t>确定成交供应商</w:t>
      </w:r>
    </w:p>
    <w:p>
      <w:pPr>
        <w:ind w:firstLine="480"/>
        <w:rPr>
          <w:highlight w:val="none"/>
        </w:rPr>
      </w:pPr>
      <w:r>
        <w:rPr>
          <w:rFonts w:hint="eastAsia"/>
          <w:highlight w:val="none"/>
        </w:rPr>
        <w:t>采购人依据评审小组推荐的成交候选供应商根据相关规定确定成交供应商。</w:t>
      </w:r>
    </w:p>
    <w:p>
      <w:pPr>
        <w:pStyle w:val="4"/>
        <w:ind w:firstLine="482"/>
        <w:rPr>
          <w:highlight w:val="none"/>
        </w:rPr>
      </w:pPr>
      <w:r>
        <w:rPr>
          <w:rFonts w:hint="eastAsia"/>
          <w:highlight w:val="none"/>
        </w:rPr>
        <w:t>7.</w:t>
      </w:r>
      <w:r>
        <w:rPr>
          <w:highlight w:val="none"/>
        </w:rPr>
        <w:t>2</w:t>
      </w:r>
      <w:r>
        <w:rPr>
          <w:rFonts w:hint="eastAsia"/>
          <w:highlight w:val="none"/>
        </w:rPr>
        <w:t>成交结果公示</w:t>
      </w:r>
    </w:p>
    <w:p>
      <w:pPr>
        <w:ind w:firstLine="480"/>
        <w:rPr>
          <w:highlight w:val="none"/>
        </w:rPr>
      </w:pPr>
      <w:r>
        <w:rPr>
          <w:rFonts w:hint="eastAsia"/>
          <w:highlight w:val="none"/>
        </w:rPr>
        <w:t>成交供应商选定后，采购人将在“南通轨道交通官方网站（https://www.ntrailway.com/）”发布成交公示。</w:t>
      </w:r>
    </w:p>
    <w:p>
      <w:pPr>
        <w:pStyle w:val="4"/>
        <w:ind w:firstLine="482"/>
        <w:rPr>
          <w:highlight w:val="none"/>
        </w:rPr>
      </w:pPr>
      <w:r>
        <w:rPr>
          <w:rFonts w:hint="eastAsia"/>
          <w:highlight w:val="none"/>
        </w:rPr>
        <w:t>7</w:t>
      </w:r>
      <w:r>
        <w:rPr>
          <w:highlight w:val="none"/>
        </w:rPr>
        <w:t>.3</w:t>
      </w:r>
      <w:r>
        <w:rPr>
          <w:rFonts w:hint="eastAsia"/>
          <w:highlight w:val="none"/>
        </w:rPr>
        <w:t>发出成交通知书</w:t>
      </w:r>
    </w:p>
    <w:p>
      <w:pPr>
        <w:ind w:firstLine="480"/>
        <w:rPr>
          <w:highlight w:val="none"/>
        </w:rPr>
      </w:pPr>
      <w:r>
        <w:rPr>
          <w:rFonts w:hint="eastAsia"/>
          <w:highlight w:val="none"/>
        </w:rPr>
        <w:t>公示期结束后，采购人以书面形式向成交供应商发出成交通知书。</w:t>
      </w:r>
    </w:p>
    <w:p>
      <w:pPr>
        <w:pStyle w:val="4"/>
        <w:ind w:firstLine="482"/>
        <w:rPr>
          <w:highlight w:val="none"/>
        </w:rPr>
      </w:pPr>
      <w:r>
        <w:rPr>
          <w:rFonts w:hint="eastAsia"/>
          <w:highlight w:val="none"/>
        </w:rPr>
        <w:t>7</w:t>
      </w:r>
      <w:r>
        <w:rPr>
          <w:highlight w:val="none"/>
        </w:rPr>
        <w:t>.4</w:t>
      </w:r>
      <w:r>
        <w:rPr>
          <w:rFonts w:hint="eastAsia"/>
          <w:highlight w:val="none"/>
        </w:rPr>
        <w:t>履约保证金（本项目无）</w:t>
      </w:r>
    </w:p>
    <w:p>
      <w:pPr>
        <w:pStyle w:val="4"/>
        <w:ind w:firstLine="482"/>
        <w:rPr>
          <w:highlight w:val="none"/>
        </w:rPr>
      </w:pPr>
      <w:r>
        <w:rPr>
          <w:rFonts w:hint="eastAsia"/>
          <w:highlight w:val="none"/>
        </w:rPr>
        <w:t>7.</w:t>
      </w:r>
      <w:r>
        <w:rPr>
          <w:highlight w:val="none"/>
        </w:rPr>
        <w:t>5</w:t>
      </w:r>
      <w:r>
        <w:rPr>
          <w:rFonts w:hint="eastAsia"/>
          <w:highlight w:val="none"/>
        </w:rPr>
        <w:t>签订合同</w:t>
      </w:r>
    </w:p>
    <w:p>
      <w:pPr>
        <w:ind w:firstLine="480"/>
        <w:rPr>
          <w:highlight w:val="none"/>
        </w:rPr>
      </w:pPr>
      <w:r>
        <w:rPr>
          <w:rFonts w:hint="eastAsia"/>
          <w:highlight w:val="none"/>
        </w:rPr>
        <w:t>7</w:t>
      </w:r>
      <w:r>
        <w:rPr>
          <w:highlight w:val="none"/>
        </w:rPr>
        <w:t>.5</w:t>
      </w:r>
      <w:r>
        <w:rPr>
          <w:rFonts w:hint="eastAsia"/>
          <w:highlight w:val="none"/>
        </w:rPr>
        <w:t>.1采购人和成交供应商应当在成交通知书规定的期限内，根据采购文件和成交供应商的响应文件订立书面合同。</w:t>
      </w:r>
    </w:p>
    <w:p>
      <w:pPr>
        <w:ind w:firstLine="480"/>
        <w:rPr>
          <w:highlight w:val="none"/>
        </w:rPr>
      </w:pPr>
      <w:r>
        <w:rPr>
          <w:rFonts w:hint="eastAsia"/>
          <w:highlight w:val="none"/>
        </w:rPr>
        <w:t>7.</w:t>
      </w:r>
      <w:r>
        <w:rPr>
          <w:highlight w:val="none"/>
        </w:rPr>
        <w:t>5</w:t>
      </w:r>
      <w:r>
        <w:rPr>
          <w:rFonts w:hint="eastAsia"/>
          <w:highlight w:val="none"/>
        </w:rPr>
        <w:t>.</w:t>
      </w:r>
      <w:r>
        <w:rPr>
          <w:highlight w:val="none"/>
        </w:rPr>
        <w:t>2</w:t>
      </w:r>
      <w:r>
        <w:rPr>
          <w:rFonts w:hint="eastAsia"/>
          <w:highlight w:val="none"/>
        </w:rPr>
        <w:t>除供应商须知前附表另有规定外，按照第三章“评审方法”规定对响应报价进行修正后，若修正后的响应报价小于按照第三章“评审方法”规定确定的评审价格，则签订合同时以修正后的响应报价为准。</w:t>
      </w:r>
    </w:p>
    <w:p>
      <w:pPr>
        <w:pStyle w:val="2"/>
        <w:ind w:firstLine="482"/>
        <w:jc w:val="left"/>
        <w:rPr>
          <w:highlight w:val="none"/>
        </w:rPr>
      </w:pPr>
      <w:r>
        <w:rPr>
          <w:rFonts w:hint="eastAsia"/>
          <w:highlight w:val="none"/>
        </w:rPr>
        <w:t>8</w:t>
      </w:r>
      <w:r>
        <w:rPr>
          <w:highlight w:val="none"/>
        </w:rPr>
        <w:t xml:space="preserve"> </w:t>
      </w:r>
      <w:r>
        <w:rPr>
          <w:rFonts w:hint="eastAsia"/>
          <w:highlight w:val="none"/>
        </w:rPr>
        <w:t>监督与异议</w:t>
      </w:r>
    </w:p>
    <w:p>
      <w:pPr>
        <w:ind w:firstLine="480"/>
        <w:rPr>
          <w:highlight w:val="none"/>
        </w:rPr>
      </w:pPr>
      <w:r>
        <w:rPr>
          <w:rFonts w:hint="eastAsia"/>
          <w:highlight w:val="none"/>
        </w:rPr>
        <w:t>8.1监督部门及联系方式见供应商须知前附表。</w:t>
      </w:r>
    </w:p>
    <w:p>
      <w:pPr>
        <w:ind w:firstLine="480"/>
        <w:rPr>
          <w:highlight w:val="none"/>
        </w:rPr>
      </w:pPr>
      <w:r>
        <w:rPr>
          <w:rFonts w:hint="eastAsia"/>
          <w:highlight w:val="none"/>
        </w:rPr>
        <w:t>8.2供应商或者其他利害关系人可以对成交结果提出异议。异议应在成交结果公示期间以书面形式向监督部门提出，并递交异议函和必要的证明材料，异议函包括但不限于下列内容：</w:t>
      </w:r>
    </w:p>
    <w:p>
      <w:pPr>
        <w:ind w:firstLine="480"/>
        <w:rPr>
          <w:highlight w:val="none"/>
        </w:rPr>
      </w:pPr>
      <w:r>
        <w:rPr>
          <w:rFonts w:hint="eastAsia"/>
          <w:highlight w:val="none"/>
        </w:rPr>
        <w:t>（1）异议人名称、地址、邮政编码、联系人及联系电话：</w:t>
      </w:r>
    </w:p>
    <w:p>
      <w:pPr>
        <w:ind w:firstLine="480"/>
        <w:rPr>
          <w:highlight w:val="none"/>
        </w:rPr>
      </w:pPr>
      <w:r>
        <w:rPr>
          <w:rFonts w:hint="eastAsia"/>
          <w:highlight w:val="none"/>
        </w:rPr>
        <w:t>（2）具体、明确的异议事项、事实依据及与异议事项相关的请求。</w:t>
      </w:r>
    </w:p>
    <w:p>
      <w:pPr>
        <w:ind w:firstLine="480"/>
        <w:rPr>
          <w:highlight w:val="none"/>
        </w:rPr>
      </w:pPr>
      <w:r>
        <w:rPr>
          <w:rFonts w:hint="eastAsia"/>
          <w:highlight w:val="none"/>
        </w:rPr>
        <w:t>（3）异议函应由异议人的法定代表人（单位负责人）或其授权的代理人签字并加盖印章。</w:t>
      </w:r>
    </w:p>
    <w:p>
      <w:pPr>
        <w:ind w:firstLine="480"/>
        <w:rPr>
          <w:highlight w:val="none"/>
        </w:rPr>
      </w:pPr>
      <w:r>
        <w:rPr>
          <w:rFonts w:hint="eastAsia"/>
          <w:highlight w:val="none"/>
        </w:rPr>
        <w:t>供应商或者其他利害关系人未按照本条要求提出的异议不予受理。</w:t>
      </w:r>
    </w:p>
    <w:p>
      <w:pPr>
        <w:pStyle w:val="2"/>
        <w:ind w:firstLine="482"/>
        <w:jc w:val="left"/>
        <w:rPr>
          <w:highlight w:val="none"/>
        </w:rPr>
      </w:pPr>
      <w:r>
        <w:rPr>
          <w:rFonts w:hint="eastAsia"/>
          <w:highlight w:val="none"/>
        </w:rPr>
        <w:t>9</w:t>
      </w:r>
      <w:r>
        <w:rPr>
          <w:highlight w:val="none"/>
        </w:rPr>
        <w:t xml:space="preserve"> </w:t>
      </w:r>
      <w:r>
        <w:rPr>
          <w:rFonts w:hint="eastAsia"/>
          <w:highlight w:val="none"/>
        </w:rPr>
        <w:t>纪律要求</w:t>
      </w:r>
    </w:p>
    <w:p>
      <w:pPr>
        <w:pStyle w:val="4"/>
        <w:ind w:firstLine="482"/>
        <w:rPr>
          <w:highlight w:val="none"/>
        </w:rPr>
      </w:pPr>
      <w:r>
        <w:rPr>
          <w:rFonts w:hint="eastAsia"/>
          <w:highlight w:val="none"/>
        </w:rPr>
        <w:t>9.1对采购人的纪律要求</w:t>
      </w:r>
    </w:p>
    <w:p>
      <w:pPr>
        <w:ind w:firstLine="480"/>
        <w:rPr>
          <w:highlight w:val="none"/>
        </w:rPr>
      </w:pPr>
      <w:r>
        <w:rPr>
          <w:rFonts w:hint="eastAsia"/>
          <w:highlight w:val="none"/>
        </w:rPr>
        <w:t>采购人不得泄露采购活动中应当保密的情况和资料，不得与供应商串通损害国家利益、社会公共利益或者他人合法权益。</w:t>
      </w:r>
    </w:p>
    <w:p>
      <w:pPr>
        <w:pStyle w:val="4"/>
        <w:ind w:firstLine="482"/>
        <w:rPr>
          <w:highlight w:val="none"/>
        </w:rPr>
      </w:pPr>
      <w:r>
        <w:rPr>
          <w:rFonts w:hint="eastAsia"/>
          <w:highlight w:val="none"/>
        </w:rPr>
        <w:t>9.2对供应商的纪律要求</w:t>
      </w:r>
    </w:p>
    <w:p>
      <w:pPr>
        <w:ind w:firstLine="480"/>
        <w:rPr>
          <w:highlight w:val="none"/>
        </w:rPr>
      </w:pPr>
      <w:r>
        <w:rPr>
          <w:rFonts w:hint="eastAsia"/>
          <w:highlight w:val="none"/>
        </w:rPr>
        <w:t>供应商不得相互串通或者与采购人串通，不得向采购人或者评审小组成员行贿谋取成交，不得以他人名义参加采购活动或者以其他方式弄虚作假骗取成交；供应商不得以任何方式干扰、影响评审工作。</w:t>
      </w:r>
    </w:p>
    <w:p>
      <w:pPr>
        <w:pStyle w:val="4"/>
        <w:ind w:firstLine="482"/>
        <w:rPr>
          <w:highlight w:val="none"/>
        </w:rPr>
      </w:pPr>
      <w:r>
        <w:rPr>
          <w:rFonts w:hint="eastAsia"/>
          <w:highlight w:val="none"/>
        </w:rPr>
        <w:t>9.3对评审小组成员的纪律要求</w:t>
      </w:r>
    </w:p>
    <w:p>
      <w:pPr>
        <w:ind w:firstLine="480"/>
        <w:rPr>
          <w:highlight w:val="none"/>
        </w:rPr>
      </w:pPr>
      <w:r>
        <w:rPr>
          <w:rFonts w:hint="eastAsia"/>
          <w:highlight w:val="none"/>
        </w:rPr>
        <w:t>评审小组成员不得收受他人的财物或者其他好处，不得向他人透露对响应文件的评审和比较、候选成交供应商的推荐情况以及评审有关的其他情况。在评审活动中评审小组成员应当客观、公正地履行职责，遵守职业道德，不得擅离职守，影响评审工作正常进行，不得使用第三章“评审方法”没有规定的评审因素和标准进行评审。</w:t>
      </w:r>
    </w:p>
    <w:p>
      <w:pPr>
        <w:pStyle w:val="4"/>
        <w:ind w:firstLine="482"/>
        <w:rPr>
          <w:highlight w:val="none"/>
        </w:rPr>
      </w:pPr>
      <w:r>
        <w:rPr>
          <w:rFonts w:hint="eastAsia"/>
          <w:highlight w:val="none"/>
        </w:rPr>
        <w:t>9.4对与采购活动有关的工作人员的纪律要求</w:t>
      </w:r>
    </w:p>
    <w:p>
      <w:pPr>
        <w:ind w:firstLine="480"/>
        <w:rPr>
          <w:highlight w:val="none"/>
        </w:rPr>
      </w:pPr>
      <w:r>
        <w:rPr>
          <w:rFonts w:hint="eastAsia"/>
          <w:highlight w:val="none"/>
        </w:rPr>
        <w:t>与采购活动有关的工作人员不得收受他人的财物或者其他好处，不得向他人透露对响应文件的评审和比较、候选成交供应商的推荐情况以及其他有关的情况。在采购活动中，与采购活动有关的工作人员不得擅离职守，影响评审工作正常进行。</w:t>
      </w:r>
    </w:p>
    <w:p>
      <w:pPr>
        <w:pStyle w:val="2"/>
        <w:ind w:firstLine="482"/>
        <w:jc w:val="left"/>
        <w:rPr>
          <w:highlight w:val="none"/>
        </w:rPr>
      </w:pPr>
      <w:r>
        <w:rPr>
          <w:rFonts w:hint="eastAsia"/>
          <w:highlight w:val="none"/>
        </w:rPr>
        <w:t>10 需要补充的内容</w:t>
      </w:r>
    </w:p>
    <w:p>
      <w:pPr>
        <w:ind w:firstLine="480"/>
        <w:rPr>
          <w:highlight w:val="none"/>
        </w:rPr>
      </w:pPr>
      <w:r>
        <w:rPr>
          <w:rFonts w:hint="eastAsia"/>
          <w:highlight w:val="none"/>
        </w:rPr>
        <w:t>见供应商须知前附表</w:t>
      </w:r>
    </w:p>
    <w:p>
      <w:pPr>
        <w:ind w:firstLine="480"/>
        <w:rPr>
          <w:highlight w:val="none"/>
        </w:rPr>
      </w:pPr>
      <w:r>
        <w:rPr>
          <w:rFonts w:hint="eastAsia"/>
          <w:highlight w:val="none"/>
        </w:rPr>
        <w:br w:type="page"/>
      </w:r>
    </w:p>
    <w:p>
      <w:pPr>
        <w:widowControl/>
        <w:spacing w:line="240" w:lineRule="auto"/>
        <w:ind w:firstLine="0" w:firstLineChars="0"/>
        <w:jc w:val="left"/>
        <w:rPr>
          <w:rFonts w:cs="Times New Roman"/>
          <w:b/>
          <w:bCs/>
          <w:szCs w:val="32"/>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keepNext/>
        <w:keepLines/>
        <w:ind w:firstLine="141" w:firstLineChars="32"/>
        <w:jc w:val="center"/>
        <w:outlineLvl w:val="0"/>
        <w:rPr>
          <w:rFonts w:eastAsia="黑体"/>
          <w:b/>
          <w:bCs/>
          <w:kern w:val="44"/>
          <w:sz w:val="44"/>
          <w:szCs w:val="44"/>
          <w:highlight w:val="none"/>
        </w:rPr>
      </w:pPr>
      <w:bookmarkStart w:id="7" w:name="_Toc30142"/>
      <w:r>
        <w:rPr>
          <w:rFonts w:hint="eastAsia" w:eastAsia="黑体"/>
          <w:b/>
          <w:bCs/>
          <w:kern w:val="44"/>
          <w:sz w:val="44"/>
          <w:szCs w:val="44"/>
          <w:highlight w:val="none"/>
        </w:rPr>
        <w:t>第三章 评审方法</w:t>
      </w:r>
      <w:bookmarkEnd w:id="7"/>
    </w:p>
    <w:p>
      <w:pPr>
        <w:widowControl/>
        <w:spacing w:line="240" w:lineRule="auto"/>
        <w:ind w:firstLine="0" w:firstLineChars="0"/>
        <w:jc w:val="left"/>
        <w:rPr>
          <w:rFonts w:eastAsia="黑体"/>
          <w:bCs/>
          <w:kern w:val="44"/>
          <w:sz w:val="44"/>
          <w:szCs w:val="44"/>
          <w:highlight w:val="none"/>
        </w:rPr>
      </w:pPr>
      <w:r>
        <w:rPr>
          <w:highlight w:val="none"/>
        </w:rPr>
        <w:br w:type="page"/>
      </w:r>
    </w:p>
    <w:p>
      <w:pPr>
        <w:widowControl/>
        <w:spacing w:line="240" w:lineRule="auto"/>
        <w:ind w:firstLine="0" w:firstLineChars="0"/>
        <w:jc w:val="center"/>
        <w:rPr>
          <w:rFonts w:ascii="宋体" w:hAnsi="宋体" w:cs="宋体"/>
          <w:b/>
          <w:sz w:val="28"/>
          <w:szCs w:val="28"/>
          <w:highlight w:val="none"/>
        </w:rPr>
      </w:pPr>
      <w:r>
        <w:rPr>
          <w:rFonts w:hint="eastAsia" w:ascii="宋体" w:hAnsi="宋体" w:cs="宋体"/>
          <w:b/>
          <w:kern w:val="44"/>
          <w:sz w:val="28"/>
          <w:szCs w:val="28"/>
          <w:highlight w:val="none"/>
        </w:rPr>
        <w:t>评审方法</w:t>
      </w:r>
    </w:p>
    <w:p>
      <w:pPr>
        <w:pStyle w:val="2"/>
        <w:ind w:firstLine="482"/>
        <w:jc w:val="left"/>
        <w:rPr>
          <w:highlight w:val="none"/>
        </w:rPr>
      </w:pPr>
      <w:r>
        <w:rPr>
          <w:rFonts w:hint="eastAsia"/>
          <w:highlight w:val="none"/>
        </w:rPr>
        <w:t>1</w:t>
      </w:r>
      <w:r>
        <w:rPr>
          <w:highlight w:val="none"/>
        </w:rPr>
        <w:t xml:space="preserve"> </w:t>
      </w:r>
      <w:r>
        <w:rPr>
          <w:rFonts w:hint="eastAsia"/>
          <w:highlight w:val="none"/>
        </w:rPr>
        <w:t>评审方法</w:t>
      </w:r>
    </w:p>
    <w:p>
      <w:pPr>
        <w:ind w:firstLine="480"/>
      </w:pPr>
      <w:r>
        <w:rPr>
          <w:rFonts w:hint="eastAsia"/>
          <w:highlight w:val="none"/>
        </w:rPr>
        <w:t>本项目采用</w:t>
      </w:r>
      <w:r>
        <w:rPr>
          <w:rFonts w:hint="eastAsia"/>
          <w:b/>
          <w:bCs/>
          <w:highlight w:val="none"/>
          <w:u w:val="single"/>
          <w:lang w:val="en-US" w:eastAsia="zh-CN"/>
        </w:rPr>
        <w:t>综合评分法</w:t>
      </w:r>
      <w:r>
        <w:rPr>
          <w:rFonts w:hint="eastAsia"/>
          <w:highlight w:val="none"/>
        </w:rPr>
        <w:t>，评审小组对满足采购文件实质性要求的响应文件按照本章规定的方法进行评审，</w:t>
      </w:r>
      <w:r>
        <w:rPr>
          <w:rFonts w:hint="eastAsia"/>
        </w:rPr>
        <w:t>并按照得分由高到低的顺序推荐1名候选成交供应商。</w:t>
      </w:r>
    </w:p>
    <w:p>
      <w:pPr>
        <w:pStyle w:val="2"/>
        <w:ind w:firstLine="482"/>
        <w:jc w:val="left"/>
        <w:rPr>
          <w:highlight w:val="none"/>
        </w:rPr>
      </w:pPr>
      <w:r>
        <w:rPr>
          <w:rFonts w:hint="eastAsia"/>
          <w:highlight w:val="none"/>
        </w:rPr>
        <w:t>2</w:t>
      </w:r>
      <w:r>
        <w:rPr>
          <w:highlight w:val="none"/>
        </w:rPr>
        <w:t xml:space="preserve"> </w:t>
      </w:r>
      <w:r>
        <w:rPr>
          <w:rFonts w:hint="eastAsia"/>
          <w:highlight w:val="none"/>
        </w:rPr>
        <w:t>评审程序</w:t>
      </w:r>
    </w:p>
    <w:p>
      <w:pPr>
        <w:pStyle w:val="4"/>
        <w:ind w:firstLine="482"/>
        <w:rPr>
          <w:highlight w:val="none"/>
        </w:rPr>
      </w:pPr>
      <w:r>
        <w:rPr>
          <w:rFonts w:hint="eastAsia"/>
          <w:highlight w:val="none"/>
        </w:rPr>
        <w:t>2</w:t>
      </w:r>
      <w:r>
        <w:rPr>
          <w:highlight w:val="none"/>
        </w:rPr>
        <w:t>.1</w:t>
      </w:r>
      <w:r>
        <w:rPr>
          <w:rFonts w:hint="eastAsia"/>
          <w:highlight w:val="none"/>
        </w:rPr>
        <w:t>初步评审</w:t>
      </w:r>
    </w:p>
    <w:p>
      <w:pPr>
        <w:ind w:firstLine="480"/>
        <w:rPr>
          <w:highlight w:val="none"/>
        </w:rPr>
      </w:pPr>
      <w:r>
        <w:rPr>
          <w:highlight w:val="none"/>
        </w:rPr>
        <w:t>2.1.1</w:t>
      </w:r>
      <w:r>
        <w:rPr>
          <w:rFonts w:hint="eastAsia"/>
          <w:highlight w:val="none"/>
        </w:rPr>
        <w:t>资格审查</w:t>
      </w:r>
    </w:p>
    <w:p>
      <w:pPr>
        <w:ind w:firstLine="480"/>
        <w:rPr>
          <w:highlight w:val="none"/>
        </w:rPr>
      </w:pPr>
      <w:r>
        <w:rPr>
          <w:rFonts w:hint="eastAsia"/>
          <w:highlight w:val="none"/>
        </w:rPr>
        <w:t>供应商未按照附件</w:t>
      </w:r>
      <w:r>
        <w:rPr>
          <w:rFonts w:hint="eastAsia"/>
          <w:highlight w:val="none"/>
          <w:lang w:val="en-US" w:eastAsia="zh-CN"/>
        </w:rPr>
        <w:t>一</w:t>
      </w:r>
      <w:r>
        <w:rPr>
          <w:rFonts w:hint="eastAsia"/>
          <w:highlight w:val="none"/>
        </w:rPr>
        <w:t>“评审标准”中要求的提供证明材料的，其响应文件视为无效。</w:t>
      </w:r>
    </w:p>
    <w:p>
      <w:pPr>
        <w:ind w:firstLine="480"/>
        <w:rPr>
          <w:highlight w:val="none"/>
        </w:rPr>
      </w:pPr>
      <w:r>
        <w:rPr>
          <w:rFonts w:hint="eastAsia"/>
          <w:highlight w:val="none"/>
        </w:rPr>
        <w:t>2</w:t>
      </w:r>
      <w:r>
        <w:rPr>
          <w:highlight w:val="none"/>
        </w:rPr>
        <w:t>.1.2</w:t>
      </w:r>
      <w:r>
        <w:rPr>
          <w:rFonts w:hint="eastAsia"/>
          <w:highlight w:val="none"/>
        </w:rPr>
        <w:t>符合性审查</w:t>
      </w:r>
    </w:p>
    <w:p>
      <w:pPr>
        <w:ind w:firstLine="480"/>
        <w:rPr>
          <w:highlight w:val="none"/>
        </w:rPr>
      </w:pPr>
      <w:r>
        <w:rPr>
          <w:rFonts w:hint="eastAsia"/>
          <w:highlight w:val="none"/>
        </w:rPr>
        <w:t>有下列情形之一的其响应文件将被视为无效：</w:t>
      </w:r>
    </w:p>
    <w:p>
      <w:pPr>
        <w:ind w:firstLine="480"/>
        <w:rPr>
          <w:highlight w:val="none"/>
        </w:rPr>
      </w:pPr>
      <w:r>
        <w:rPr>
          <w:rFonts w:hint="eastAsia"/>
          <w:highlight w:val="none"/>
        </w:rPr>
        <w:t>（1）响应文件未密封或者未按规定密封，或有明显拆封现象的；</w:t>
      </w:r>
    </w:p>
    <w:p>
      <w:pPr>
        <w:ind w:firstLine="480"/>
        <w:rPr>
          <w:highlight w:val="none"/>
        </w:rPr>
      </w:pPr>
      <w:r>
        <w:rPr>
          <w:rFonts w:hint="eastAsia"/>
          <w:highlight w:val="none"/>
        </w:rPr>
        <w:t>（2）不符合供应商须知前附表中规定的响应文件装订要求的；</w:t>
      </w:r>
    </w:p>
    <w:p>
      <w:pPr>
        <w:ind w:firstLine="480"/>
        <w:rPr>
          <w:highlight w:val="none"/>
        </w:rPr>
      </w:pPr>
      <w:r>
        <w:rPr>
          <w:rFonts w:hint="eastAsia"/>
          <w:highlight w:val="none"/>
        </w:rPr>
        <w:t>（3）响应文件未加盖供应商公章，未经法定代表人或其授权代理人签署；</w:t>
      </w:r>
    </w:p>
    <w:p>
      <w:pPr>
        <w:ind w:firstLine="480"/>
        <w:rPr>
          <w:highlight w:val="none"/>
        </w:rPr>
      </w:pPr>
      <w:r>
        <w:rPr>
          <w:rFonts w:hint="eastAsia"/>
          <w:highlight w:val="none"/>
        </w:rPr>
        <w:t>（4）如需要授权，未提供合法、有效的授权委托书原件；</w:t>
      </w:r>
    </w:p>
    <w:p>
      <w:pPr>
        <w:ind w:firstLine="480"/>
        <w:rPr>
          <w:highlight w:val="none"/>
        </w:rPr>
      </w:pPr>
      <w:r>
        <w:rPr>
          <w:rFonts w:hint="eastAsia"/>
          <w:highlight w:val="none"/>
        </w:rPr>
        <w:t>（5）未按采购文件规定的格式、内容和要求编制，关键内容字迹潦草、模糊，无法辨认的；</w:t>
      </w:r>
    </w:p>
    <w:p>
      <w:pPr>
        <w:ind w:firstLine="480"/>
        <w:rPr>
          <w:highlight w:val="none"/>
        </w:rPr>
      </w:pPr>
      <w:r>
        <w:rPr>
          <w:rFonts w:hint="eastAsia"/>
          <w:highlight w:val="none"/>
        </w:rPr>
        <w:t>（6）响应文件未对采购文件中的实质性内容作出响应的或未提供采购文件关键条款的相关证据或证明材料的；</w:t>
      </w:r>
    </w:p>
    <w:p>
      <w:pPr>
        <w:ind w:firstLine="480"/>
        <w:rPr>
          <w:highlight w:val="none"/>
        </w:rPr>
      </w:pPr>
      <w:r>
        <w:rPr>
          <w:rFonts w:hint="eastAsia"/>
          <w:highlight w:val="none"/>
        </w:rPr>
        <w:t>（</w:t>
      </w:r>
      <w:r>
        <w:rPr>
          <w:rFonts w:hint="eastAsia"/>
          <w:highlight w:val="none"/>
          <w:lang w:val="en-US" w:eastAsia="zh-CN"/>
        </w:rPr>
        <w:t>7</w:t>
      </w:r>
      <w:r>
        <w:rPr>
          <w:rFonts w:hint="eastAsia"/>
          <w:highlight w:val="none"/>
        </w:rPr>
        <w:t>）存在负偏离的。</w:t>
      </w:r>
    </w:p>
    <w:p>
      <w:pPr>
        <w:pStyle w:val="2"/>
        <w:ind w:firstLine="480"/>
        <w:rPr>
          <w:rFonts w:cs="Times New Roman"/>
          <w:b w:val="0"/>
          <w:bCs w:val="0"/>
          <w:szCs w:val="22"/>
          <w:highlight w:val="none"/>
        </w:rPr>
      </w:pPr>
      <w:r>
        <w:rPr>
          <w:rFonts w:hint="eastAsia" w:cs="Times New Roman"/>
          <w:b/>
          <w:bCs/>
          <w:szCs w:val="22"/>
          <w:highlight w:val="none"/>
        </w:rPr>
        <w:t>2.1.3</w:t>
      </w:r>
      <w:r>
        <w:rPr>
          <w:rFonts w:hint="eastAsia"/>
          <w:b/>
          <w:bCs/>
        </w:rPr>
        <w:t>如通过初步评审供应商不足三家的，评审小组应当终止评审，后续评审不再进行。</w:t>
      </w:r>
    </w:p>
    <w:p>
      <w:pPr>
        <w:pStyle w:val="4"/>
        <w:ind w:firstLine="482"/>
        <w:rPr>
          <w:color w:val="000000"/>
        </w:rPr>
      </w:pPr>
      <w:r>
        <w:rPr>
          <w:color w:val="000000"/>
        </w:rPr>
        <w:t>2.2</w:t>
      </w:r>
      <w:r>
        <w:rPr>
          <w:rFonts w:hint="eastAsia"/>
          <w:color w:val="000000"/>
        </w:rPr>
        <w:t>商务技术评审</w:t>
      </w:r>
    </w:p>
    <w:p>
      <w:pPr>
        <w:ind w:firstLine="480"/>
        <w:rPr>
          <w:color w:val="000000"/>
        </w:rPr>
      </w:pPr>
      <w:r>
        <w:rPr>
          <w:rFonts w:hint="eastAsia"/>
          <w:color w:val="000000"/>
        </w:rPr>
        <w:t>通过“商务和技术偏离表”及“物资参数表”符合性审查的响应文件进行商务技术评分评审。未通过符合性审查的响应文件，将被判为不满足采购文件实质性要求。</w:t>
      </w:r>
    </w:p>
    <w:p>
      <w:pPr>
        <w:ind w:firstLine="482"/>
        <w:rPr>
          <w:rFonts w:hint="eastAsia"/>
          <w:color w:val="000000"/>
        </w:rPr>
      </w:pPr>
      <w:r>
        <w:rPr>
          <w:rFonts w:hint="eastAsia"/>
          <w:color w:val="000000"/>
        </w:rPr>
        <w:t>2</w:t>
      </w:r>
      <w:r>
        <w:rPr>
          <w:color w:val="000000"/>
        </w:rPr>
        <w:t>.2.1</w:t>
      </w:r>
      <w:r>
        <w:rPr>
          <w:rFonts w:hint="eastAsia"/>
          <w:color w:val="000000"/>
        </w:rPr>
        <w:t>商务技术评分标准见附件</w:t>
      </w:r>
      <w:r>
        <w:rPr>
          <w:rFonts w:hint="eastAsia"/>
          <w:color w:val="000000"/>
          <w:lang w:val="en-US" w:eastAsia="zh-CN"/>
        </w:rPr>
        <w:t>一</w:t>
      </w:r>
      <w:r>
        <w:rPr>
          <w:rFonts w:hint="eastAsia"/>
          <w:color w:val="000000"/>
        </w:rPr>
        <w:t>“评审标准”。</w:t>
      </w:r>
    </w:p>
    <w:p>
      <w:pPr>
        <w:keepNext w:val="0"/>
        <w:keepLines w:val="0"/>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Times New Roman" w:hAnsi="Times New Roman" w:eastAsia="宋体" w:cs="Times New Roman"/>
          <w:b/>
          <w:bCs/>
          <w:highlight w:val="none"/>
        </w:rPr>
      </w:pPr>
      <w:r>
        <w:rPr>
          <w:rFonts w:hint="eastAsia"/>
          <w:b/>
          <w:bCs/>
          <w:highlight w:val="none"/>
        </w:rPr>
        <w:t>2.2.2</w:t>
      </w:r>
      <w:r>
        <w:rPr>
          <w:rFonts w:hint="eastAsia" w:cs="Times New Roman"/>
          <w:b/>
          <w:bCs/>
          <w:highlight w:val="none"/>
          <w:lang w:val="en-US" w:eastAsia="zh-CN"/>
        </w:rPr>
        <w:t>本项目中的参考品牌，是所采购产品（设备）的档次。供应商可以选择参考品牌，也可以选择参考品牌以外的品牌，但所选品牌档次须等于或高于参考品牌档次。所选品牌档次低于参考品牌档次的，将作无效响应处理。供应商的自我阐述及宣传彩页等不作采信依据。供应商拟在参考品牌外自行选择品牌的，须同时提交该品牌（产品）设备在品牌、技术指标等方面不低于采购人参考品牌的相关证明材料（含技术白皮书、权威机构出具的品牌产品不低于参考品牌技术参数、档次的推荐报告等材料），经评审小组三分之二以上人员论证，确认该品牌产品（设备）符合本项目要求的，论证没有通过的品牌不予接受，其相应的响应文件将视为未能对本采购文件作出实质性响应，将作无效响应处理。</w:t>
      </w:r>
    </w:p>
    <w:p>
      <w:pPr>
        <w:pStyle w:val="4"/>
        <w:ind w:firstLine="482"/>
        <w:rPr>
          <w:highlight w:val="none"/>
        </w:rPr>
      </w:pPr>
      <w:r>
        <w:rPr>
          <w:rFonts w:hint="eastAsia"/>
          <w:highlight w:val="none"/>
        </w:rPr>
        <w:t>2</w:t>
      </w:r>
      <w:r>
        <w:rPr>
          <w:highlight w:val="none"/>
        </w:rPr>
        <w:t>.</w:t>
      </w:r>
      <w:r>
        <w:rPr>
          <w:rFonts w:hint="eastAsia"/>
          <w:highlight w:val="none"/>
          <w:lang w:val="en-US" w:eastAsia="zh-CN"/>
        </w:rPr>
        <w:t>3</w:t>
      </w:r>
      <w:r>
        <w:rPr>
          <w:rFonts w:hint="eastAsia"/>
          <w:highlight w:val="none"/>
        </w:rPr>
        <w:t>报价评审</w:t>
      </w:r>
    </w:p>
    <w:p>
      <w:pPr>
        <w:ind w:firstLine="480"/>
        <w:rPr>
          <w:highlight w:val="none"/>
        </w:rPr>
      </w:pPr>
      <w:r>
        <w:rPr>
          <w:rFonts w:hint="eastAsia"/>
          <w:highlight w:val="none"/>
        </w:rPr>
        <w:t>2.</w:t>
      </w:r>
      <w:r>
        <w:rPr>
          <w:rFonts w:hint="eastAsia"/>
          <w:highlight w:val="none"/>
          <w:lang w:val="en-US" w:eastAsia="zh-CN"/>
        </w:rPr>
        <w:t>3</w:t>
      </w:r>
      <w:r>
        <w:rPr>
          <w:highlight w:val="none"/>
        </w:rPr>
        <w:t>.1</w:t>
      </w:r>
      <w:r>
        <w:rPr>
          <w:rFonts w:hint="eastAsia"/>
          <w:highlight w:val="none"/>
        </w:rPr>
        <w:t>评审价格为供应商在</w:t>
      </w:r>
      <w:r>
        <w:rPr>
          <w:rFonts w:hint="eastAsia"/>
          <w:highlight w:val="none"/>
          <w:lang w:eastAsia="zh-CN"/>
        </w:rPr>
        <w:t>投标报价表</w:t>
      </w:r>
      <w:r>
        <w:rPr>
          <w:rFonts w:hint="eastAsia"/>
          <w:highlight w:val="none"/>
        </w:rPr>
        <w:t>中填写的大写含税价格。</w:t>
      </w:r>
    </w:p>
    <w:p>
      <w:pPr>
        <w:ind w:firstLine="480"/>
        <w:rPr>
          <w:color w:val="000000"/>
          <w:highlight w:val="none"/>
        </w:rPr>
      </w:pPr>
      <w:r>
        <w:rPr>
          <w:color w:val="000000"/>
          <w:highlight w:val="none"/>
        </w:rPr>
        <w:t>2.</w:t>
      </w:r>
      <w:r>
        <w:rPr>
          <w:rFonts w:hint="eastAsia"/>
          <w:color w:val="000000"/>
          <w:highlight w:val="none"/>
          <w:lang w:val="en-US" w:eastAsia="zh-CN"/>
        </w:rPr>
        <w:t>3</w:t>
      </w:r>
      <w:r>
        <w:rPr>
          <w:color w:val="000000"/>
          <w:highlight w:val="none"/>
        </w:rPr>
        <w:t>.2</w:t>
      </w:r>
      <w:r>
        <w:rPr>
          <w:rFonts w:hint="eastAsia"/>
          <w:color w:val="000000"/>
          <w:highlight w:val="none"/>
        </w:rPr>
        <w:t>报价评分计算方法见附件</w:t>
      </w:r>
      <w:r>
        <w:rPr>
          <w:rFonts w:hint="eastAsia"/>
          <w:color w:val="000000"/>
          <w:highlight w:val="none"/>
          <w:lang w:val="en-US" w:eastAsia="zh-CN"/>
        </w:rPr>
        <w:t>一</w:t>
      </w:r>
      <w:r>
        <w:rPr>
          <w:rFonts w:hint="eastAsia"/>
          <w:color w:val="000000"/>
          <w:highlight w:val="none"/>
        </w:rPr>
        <w:t>“评审标准”。</w:t>
      </w:r>
    </w:p>
    <w:p>
      <w:pPr>
        <w:ind w:firstLine="480"/>
        <w:rPr>
          <w:highlight w:val="none"/>
        </w:rPr>
      </w:pPr>
      <w:r>
        <w:rPr>
          <w:rFonts w:hint="eastAsia"/>
          <w:highlight w:val="none"/>
        </w:rPr>
        <w:t>2</w:t>
      </w:r>
      <w:r>
        <w:rPr>
          <w:highlight w:val="none"/>
        </w:rPr>
        <w:t>.</w:t>
      </w:r>
      <w:r>
        <w:rPr>
          <w:rFonts w:hint="eastAsia"/>
          <w:highlight w:val="none"/>
          <w:lang w:val="en-US" w:eastAsia="zh-CN"/>
        </w:rPr>
        <w:t>3</w:t>
      </w:r>
      <w:r>
        <w:rPr>
          <w:highlight w:val="none"/>
        </w:rPr>
        <w:t>.</w:t>
      </w:r>
      <w:r>
        <w:rPr>
          <w:rFonts w:hint="eastAsia"/>
          <w:highlight w:val="none"/>
          <w:lang w:val="en-US" w:eastAsia="zh-CN"/>
        </w:rPr>
        <w:t>3</w:t>
      </w:r>
      <w:r>
        <w:rPr>
          <w:rFonts w:hint="eastAsia"/>
          <w:highlight w:val="none"/>
        </w:rPr>
        <w:t>有下列情形之一的其响应文件将被视为无效：</w:t>
      </w:r>
    </w:p>
    <w:p>
      <w:pPr>
        <w:ind w:firstLine="480"/>
      </w:pPr>
      <w:r>
        <w:rPr>
          <w:rFonts w:hint="eastAsia"/>
        </w:rPr>
        <w:t>（1）评审价格超过最高限价的；</w:t>
      </w:r>
    </w:p>
    <w:p>
      <w:pPr>
        <w:ind w:firstLine="480"/>
      </w:pPr>
      <w:r>
        <w:rPr>
          <w:rFonts w:hint="eastAsia"/>
        </w:rPr>
        <w:t>（2）响应文件有效期不满足采购文件要求的；</w:t>
      </w:r>
    </w:p>
    <w:p>
      <w:pPr>
        <w:ind w:firstLine="480"/>
      </w:pPr>
      <w:r>
        <w:rPr>
          <w:rFonts w:hint="eastAsia"/>
        </w:rPr>
        <w:t>（3）响应文件未对采购的全部内容进行报价，只响应其中部分内容或出现选择性报价的。</w:t>
      </w:r>
    </w:p>
    <w:p>
      <w:pPr>
        <w:ind w:firstLine="480"/>
        <w:rPr>
          <w:highlight w:val="none"/>
        </w:rPr>
      </w:pPr>
      <w:r>
        <w:rPr>
          <w:rFonts w:hint="eastAsia"/>
        </w:rPr>
        <w:t>（4）按照本章要求对报价进行修正，供应商拒不澄清确认的。</w:t>
      </w:r>
    </w:p>
    <w:p>
      <w:pPr>
        <w:pStyle w:val="2"/>
        <w:ind w:firstLine="482"/>
        <w:rPr>
          <w:highlight w:val="none"/>
        </w:rPr>
      </w:pPr>
      <w:r>
        <w:rPr>
          <w:rFonts w:hint="eastAsia"/>
          <w:highlight w:val="none"/>
        </w:rPr>
        <w:t>3</w:t>
      </w:r>
      <w:r>
        <w:rPr>
          <w:highlight w:val="none"/>
        </w:rPr>
        <w:t xml:space="preserve"> </w:t>
      </w:r>
      <w:r>
        <w:rPr>
          <w:rFonts w:hint="eastAsia"/>
          <w:highlight w:val="none"/>
        </w:rPr>
        <w:t>响应文件的澄清和补正</w:t>
      </w:r>
    </w:p>
    <w:p>
      <w:pPr>
        <w:ind w:firstLine="480"/>
        <w:rPr>
          <w:highlight w:val="none"/>
        </w:rPr>
      </w:pPr>
      <w:r>
        <w:rPr>
          <w:rFonts w:hint="eastAsia"/>
          <w:highlight w:val="none"/>
        </w:rPr>
        <w:t>3</w:t>
      </w:r>
      <w:r>
        <w:rPr>
          <w:highlight w:val="none"/>
        </w:rPr>
        <w:t>.1</w:t>
      </w:r>
      <w:r>
        <w:rPr>
          <w:rFonts w:hint="eastAsia"/>
          <w:highlight w:val="none"/>
        </w:rPr>
        <w:t>响应文件中有含义不明确、同类问题表述不一致或有明显文字和计算错误的内容评审小组可要求供应商在规定时间内进行澄清、说明和补正。供应商澄清、说明和补正的内容应由法定代表人（单位负责人）或其授权的代理人签字或加盖单位公章。澄清、说明和补正不得超出响应文件的范围且不得改变响应文件的实质性内容，并构成响应文件的组成部分。评审小组不接受供应商主动提出的澄清、说明和补正。</w:t>
      </w:r>
    </w:p>
    <w:p>
      <w:pPr>
        <w:ind w:firstLine="480"/>
        <w:rPr>
          <w:highlight w:val="none"/>
        </w:rPr>
      </w:pPr>
      <w:r>
        <w:rPr>
          <w:rFonts w:hint="eastAsia"/>
          <w:highlight w:val="none"/>
        </w:rPr>
        <w:t>3</w:t>
      </w:r>
      <w:r>
        <w:rPr>
          <w:highlight w:val="none"/>
        </w:rPr>
        <w:t>.2</w:t>
      </w:r>
      <w:r>
        <w:rPr>
          <w:rFonts w:hint="eastAsia"/>
          <w:highlight w:val="none"/>
        </w:rPr>
        <w:t>响应</w:t>
      </w:r>
      <w:r>
        <w:rPr>
          <w:highlight w:val="none"/>
        </w:rPr>
        <w:t>文件报价出现前后不一致的，除</w:t>
      </w:r>
      <w:r>
        <w:rPr>
          <w:rFonts w:hint="eastAsia"/>
          <w:highlight w:val="none"/>
        </w:rPr>
        <w:t>采购</w:t>
      </w:r>
      <w:r>
        <w:rPr>
          <w:highlight w:val="none"/>
        </w:rPr>
        <w:t>文件另有规定外</w:t>
      </w:r>
      <w:r>
        <w:rPr>
          <w:rFonts w:hint="eastAsia"/>
          <w:highlight w:val="none"/>
        </w:rPr>
        <w:t>，</w:t>
      </w:r>
      <w:r>
        <w:rPr>
          <w:highlight w:val="none"/>
        </w:rPr>
        <w:t>按照下列</w:t>
      </w:r>
      <w:r>
        <w:rPr>
          <w:rFonts w:hint="eastAsia"/>
          <w:highlight w:val="none"/>
        </w:rPr>
        <w:t>原则对响应报价进行修正，并要求供应商书面澄清确认：</w:t>
      </w:r>
    </w:p>
    <w:p>
      <w:pPr>
        <w:ind w:firstLine="480"/>
        <w:rPr>
          <w:highlight w:val="none"/>
        </w:rPr>
      </w:pPr>
      <w:r>
        <w:rPr>
          <w:rFonts w:hint="eastAsia"/>
          <w:highlight w:val="none"/>
        </w:rPr>
        <w:t>（1）</w:t>
      </w:r>
      <w:r>
        <w:rPr>
          <w:rFonts w:hint="eastAsia"/>
        </w:rPr>
        <w:t>报价出现不一致的，以响应函中填写的大写含税价格为准</w:t>
      </w:r>
      <w:r>
        <w:rPr>
          <w:rFonts w:hint="eastAsia"/>
          <w:highlight w:val="none"/>
        </w:rPr>
        <w:t>；</w:t>
      </w:r>
    </w:p>
    <w:p>
      <w:pPr>
        <w:ind w:firstLine="480"/>
        <w:rPr>
          <w:highlight w:val="none"/>
        </w:rPr>
      </w:pPr>
      <w:r>
        <w:rPr>
          <w:rFonts w:hint="eastAsia"/>
          <w:highlight w:val="none"/>
        </w:rPr>
        <w:t>（2）大写金额与小写金额不一致的，以大写金额为准；</w:t>
      </w:r>
    </w:p>
    <w:p>
      <w:pPr>
        <w:ind w:firstLine="480"/>
        <w:rPr>
          <w:highlight w:val="none"/>
        </w:rPr>
      </w:pPr>
      <w:r>
        <w:rPr>
          <w:rFonts w:hint="eastAsia"/>
          <w:highlight w:val="none"/>
        </w:rPr>
        <w:t>（3）</w:t>
      </w:r>
      <w:r>
        <w:rPr>
          <w:highlight w:val="none"/>
        </w:rPr>
        <w:t>单价金额小数点或者百分比有明显错位的，以</w:t>
      </w:r>
      <w:r>
        <w:rPr>
          <w:rFonts w:hint="eastAsia"/>
          <w:highlight w:val="none"/>
          <w:lang w:eastAsia="zh-CN"/>
        </w:rPr>
        <w:t>投标报价表</w:t>
      </w:r>
      <w:r>
        <w:rPr>
          <w:rFonts w:hint="eastAsia"/>
          <w:highlight w:val="none"/>
        </w:rPr>
        <w:t>填写的大写含税价格为准</w:t>
      </w:r>
      <w:r>
        <w:rPr>
          <w:highlight w:val="none"/>
        </w:rPr>
        <w:t>，并修改单价；</w:t>
      </w:r>
    </w:p>
    <w:p>
      <w:pPr>
        <w:ind w:firstLine="480"/>
        <w:rPr>
          <w:highlight w:val="none"/>
        </w:rPr>
      </w:pPr>
      <w:r>
        <w:rPr>
          <w:rFonts w:hint="eastAsia"/>
          <w:highlight w:val="none"/>
        </w:rPr>
        <w:t>（4）总价金额与按单价汇总金额不一致的，以单价金额计算结果为准；</w:t>
      </w:r>
    </w:p>
    <w:p>
      <w:pPr>
        <w:ind w:firstLine="480"/>
        <w:rPr>
          <w:highlight w:val="none"/>
        </w:rPr>
      </w:pPr>
      <w:r>
        <w:rPr>
          <w:rFonts w:hint="eastAsia"/>
          <w:highlight w:val="none"/>
        </w:rPr>
        <w:t>同</w:t>
      </w:r>
      <w:r>
        <w:rPr>
          <w:highlight w:val="none"/>
        </w:rPr>
        <w:t>时出现 2 种以上不一致的，按照前款规定的顺序修正。</w:t>
      </w:r>
      <w:r>
        <w:rPr>
          <w:rFonts w:hint="eastAsia"/>
          <w:highlight w:val="none"/>
        </w:rPr>
        <w:t>响应报价的算术错误修正不改变评审价格。当修正后的总报价低于原响应报价时，签订合同时以修正后的报价为准。</w:t>
      </w:r>
    </w:p>
    <w:p>
      <w:pPr>
        <w:pStyle w:val="2"/>
        <w:ind w:firstLine="482"/>
        <w:rPr>
          <w:highlight w:val="none"/>
        </w:rPr>
      </w:pPr>
      <w:r>
        <w:rPr>
          <w:rFonts w:hint="eastAsia"/>
          <w:highlight w:val="none"/>
        </w:rPr>
        <w:t>4评分与汇总</w:t>
      </w:r>
    </w:p>
    <w:p>
      <w:pPr>
        <w:ind w:firstLine="480"/>
        <w:rPr>
          <w:color w:val="000000"/>
          <w:highlight w:val="none"/>
        </w:rPr>
      </w:pPr>
      <w:bookmarkStart w:id="8" w:name="OLE_LINK30"/>
      <w:bookmarkStart w:id="9" w:name="OLE_LINK31"/>
      <w:r>
        <w:rPr>
          <w:rFonts w:hint="eastAsia"/>
          <w:color w:val="000000"/>
          <w:highlight w:val="none"/>
        </w:rPr>
        <w:t>评审小组成员按照评分标准独立对每个有效的投标文件进行评价、打分，然后汇总每个供应商各项评分因素的得分。各项得分汇总后为该供应商的评分总分。</w:t>
      </w:r>
    </w:p>
    <w:bookmarkEnd w:id="8"/>
    <w:bookmarkEnd w:id="9"/>
    <w:p>
      <w:pPr>
        <w:pStyle w:val="2"/>
        <w:ind w:firstLine="482"/>
        <w:rPr>
          <w:highlight w:val="none"/>
        </w:rPr>
      </w:pPr>
      <w:r>
        <w:rPr>
          <w:rFonts w:hint="eastAsia"/>
          <w:highlight w:val="none"/>
        </w:rPr>
        <w:t>5</w:t>
      </w:r>
      <w:r>
        <w:rPr>
          <w:highlight w:val="none"/>
        </w:rPr>
        <w:t xml:space="preserve"> </w:t>
      </w:r>
      <w:r>
        <w:rPr>
          <w:rFonts w:hint="eastAsia"/>
          <w:highlight w:val="none"/>
        </w:rPr>
        <w:t>评审结果</w:t>
      </w:r>
    </w:p>
    <w:p>
      <w:pPr>
        <w:pStyle w:val="4"/>
        <w:ind w:firstLine="482"/>
        <w:rPr>
          <w:highlight w:val="none"/>
        </w:rPr>
      </w:pPr>
      <w:r>
        <w:rPr>
          <w:rFonts w:hint="eastAsia"/>
          <w:highlight w:val="none"/>
        </w:rPr>
        <w:t>5</w:t>
      </w:r>
      <w:r>
        <w:rPr>
          <w:highlight w:val="none"/>
        </w:rPr>
        <w:t>.</w:t>
      </w:r>
      <w:r>
        <w:rPr>
          <w:rFonts w:hint="eastAsia"/>
          <w:highlight w:val="none"/>
        </w:rPr>
        <w:t>1提交书面评审报告</w:t>
      </w:r>
    </w:p>
    <w:p>
      <w:pPr>
        <w:ind w:firstLine="480"/>
        <w:rPr>
          <w:highlight w:val="none"/>
        </w:rPr>
      </w:pPr>
      <w:r>
        <w:rPr>
          <w:rFonts w:hint="eastAsia"/>
          <w:highlight w:val="none"/>
        </w:rPr>
        <w:t>评审小组完成评审后，向采购人提交书面评审报告。</w:t>
      </w:r>
    </w:p>
    <w:p>
      <w:pPr>
        <w:pStyle w:val="4"/>
        <w:ind w:firstLine="482"/>
        <w:rPr>
          <w:highlight w:val="none"/>
        </w:rPr>
      </w:pPr>
      <w:r>
        <w:rPr>
          <w:highlight w:val="none"/>
        </w:rPr>
        <w:t>5</w:t>
      </w:r>
      <w:r>
        <w:rPr>
          <w:rFonts w:hint="eastAsia"/>
          <w:highlight w:val="none"/>
        </w:rPr>
        <w:t>.2推荐候选成交供应商</w:t>
      </w:r>
    </w:p>
    <w:p>
      <w:pPr>
        <w:ind w:firstLine="480"/>
        <w:rPr>
          <w:highlight w:val="none"/>
        </w:rPr>
        <w:sectPr>
          <w:footerReference r:id="rId12" w:type="default"/>
          <w:pgSz w:w="11906" w:h="16838"/>
          <w:pgMar w:top="1418" w:right="1588" w:bottom="1418" w:left="1588" w:header="851" w:footer="992" w:gutter="0"/>
          <w:pgNumType w:fmt="decimal" w:start="1"/>
          <w:cols w:space="720" w:num="1"/>
          <w:docGrid w:linePitch="312" w:charSpace="0"/>
        </w:sectPr>
      </w:pPr>
      <w:r>
        <w:rPr>
          <w:rFonts w:hint="eastAsia"/>
          <w:highlight w:val="none"/>
        </w:rPr>
        <w:t>5</w:t>
      </w:r>
      <w:r>
        <w:rPr>
          <w:highlight w:val="none"/>
        </w:rPr>
        <w:t>.2.1</w:t>
      </w:r>
      <w:r>
        <w:rPr>
          <w:rFonts w:hint="eastAsia"/>
          <w:highlight w:val="none"/>
        </w:rPr>
        <w:t>评审小组应在书面评审报告中按照供应商最终得分由高到低的顺序推荐1名候选成交供应商。如果供应商最终得分相同，以评审价格低的优先，评审价格也相同的，将通过抽签形式确定候选成交供应商。</w:t>
      </w:r>
    </w:p>
    <w:p>
      <w:pPr>
        <w:pStyle w:val="2"/>
        <w:ind w:firstLine="482"/>
        <w:rPr>
          <w:highlight w:val="none"/>
        </w:rPr>
      </w:pPr>
      <w:bookmarkStart w:id="10" w:name="_Toc5079"/>
      <w:r>
        <w:rPr>
          <w:rFonts w:hint="eastAsia"/>
          <w:highlight w:val="none"/>
        </w:rPr>
        <w:t>附件</w:t>
      </w:r>
      <w:r>
        <w:rPr>
          <w:rFonts w:hint="eastAsia"/>
          <w:highlight w:val="none"/>
          <w:lang w:val="en-US" w:eastAsia="zh-CN"/>
        </w:rPr>
        <w:t>一</w:t>
      </w:r>
      <w:r>
        <w:rPr>
          <w:rFonts w:hint="eastAsia"/>
          <w:highlight w:val="none"/>
        </w:rPr>
        <w:t xml:space="preserve"> </w:t>
      </w:r>
      <w:bookmarkEnd w:id="10"/>
      <w:r>
        <w:rPr>
          <w:rFonts w:hint="eastAsia"/>
          <w:highlight w:val="none"/>
        </w:rPr>
        <w:t>评审标准</w:t>
      </w:r>
    </w:p>
    <w:p>
      <w:pPr>
        <w:ind w:firstLine="0" w:firstLineChars="0"/>
        <w:jc w:val="center"/>
        <w:rPr>
          <w:b/>
          <w:bCs/>
          <w:highlight w:val="none"/>
        </w:rPr>
      </w:pPr>
      <w:r>
        <w:rPr>
          <w:rFonts w:hint="eastAsia"/>
          <w:b/>
          <w:bCs/>
          <w:highlight w:val="none"/>
        </w:rPr>
        <w:t>资格审查表</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436"/>
        <w:gridCol w:w="4285"/>
        <w:gridCol w:w="3815"/>
        <w:gridCol w:w="36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242" w:type="pct"/>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b/>
                <w:bCs/>
                <w:sz w:val="22"/>
                <w:szCs w:val="21"/>
                <w:highlight w:val="none"/>
              </w:rPr>
            </w:pPr>
            <w:bookmarkStart w:id="11" w:name="_Hlk135650722"/>
            <w:r>
              <w:rPr>
                <w:rFonts w:hint="eastAsia"/>
                <w:b/>
                <w:bCs/>
                <w:sz w:val="22"/>
                <w:szCs w:val="21"/>
                <w:highlight w:val="none"/>
              </w:rPr>
              <w:t>序号</w:t>
            </w:r>
          </w:p>
        </w:tc>
        <w:tc>
          <w:tcPr>
            <w:tcW w:w="2060" w:type="pct"/>
            <w:gridSpan w:val="2"/>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b/>
                <w:bCs/>
                <w:sz w:val="22"/>
                <w:szCs w:val="21"/>
                <w:highlight w:val="none"/>
              </w:rPr>
            </w:pPr>
            <w:r>
              <w:rPr>
                <w:rFonts w:hint="eastAsia"/>
                <w:b/>
                <w:bCs/>
                <w:sz w:val="22"/>
                <w:szCs w:val="21"/>
                <w:highlight w:val="none"/>
              </w:rPr>
              <w:t>供应商资格要求</w:t>
            </w:r>
          </w:p>
        </w:tc>
        <w:tc>
          <w:tcPr>
            <w:tcW w:w="1374" w:type="pct"/>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b/>
                <w:bCs/>
                <w:sz w:val="22"/>
                <w:szCs w:val="21"/>
                <w:highlight w:val="none"/>
              </w:rPr>
            </w:pPr>
            <w:r>
              <w:rPr>
                <w:rFonts w:hint="eastAsia"/>
                <w:b/>
                <w:bCs/>
                <w:sz w:val="22"/>
                <w:szCs w:val="21"/>
                <w:highlight w:val="none"/>
              </w:rPr>
              <w:t>响应文件对应章节</w:t>
            </w:r>
          </w:p>
        </w:tc>
        <w:tc>
          <w:tcPr>
            <w:tcW w:w="1322" w:type="pct"/>
            <w:noWrap w:val="0"/>
            <w:vAlign w:val="top"/>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b/>
                <w:bCs/>
                <w:sz w:val="22"/>
                <w:szCs w:val="21"/>
                <w:highlight w:val="none"/>
              </w:rPr>
            </w:pPr>
            <w:r>
              <w:rPr>
                <w:rFonts w:hint="eastAsia"/>
                <w:b/>
                <w:bCs/>
                <w:sz w:val="22"/>
                <w:szCs w:val="21"/>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3" w:hRule="atLeast"/>
          <w:jc w:val="center"/>
        </w:trPr>
        <w:tc>
          <w:tcPr>
            <w:tcW w:w="242" w:type="pct"/>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517" w:type="pct"/>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资格要求</w:t>
            </w:r>
          </w:p>
        </w:tc>
        <w:tc>
          <w:tcPr>
            <w:tcW w:w="1543"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注册于中华人民共和国境内，具有独立法人资格。</w:t>
            </w:r>
          </w:p>
        </w:tc>
        <w:tc>
          <w:tcPr>
            <w:tcW w:w="1374"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第一册“资格审查部分企业营业执照或事业单位法人证书”</w:t>
            </w:r>
          </w:p>
        </w:tc>
        <w:tc>
          <w:tcPr>
            <w:tcW w:w="1322"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提供符合第六章“响应文件格式”要求的企业营业执照或事业单位法人证书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6" w:hRule="atLeast"/>
          <w:jc w:val="center"/>
        </w:trPr>
        <w:tc>
          <w:tcPr>
            <w:tcW w:w="242" w:type="pct"/>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517" w:type="pct"/>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信誉要求</w:t>
            </w:r>
          </w:p>
        </w:tc>
        <w:tc>
          <w:tcPr>
            <w:tcW w:w="1543"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①</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具有良好的信誉，未被“信用中国”、“中国执行信息公开网”及各级信用平台列入失信被执行人、重大税收违法案件当事人等名单；参加采购活动前三年内，在经营活动中无重大违法记录、无不良行为记录（不良行为记录包含投标人经营过程中存在与主营业务相关行政处罚、司法裁判与执行等记录）。</w:t>
            </w:r>
          </w:p>
          <w:p>
            <w:pPr>
              <w:pStyle w:val="57"/>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②与</w:t>
            </w:r>
            <w:r>
              <w:rPr>
                <w:rFonts w:hint="eastAsia" w:ascii="宋体" w:hAnsi="宋体" w:cs="宋体"/>
                <w:sz w:val="21"/>
                <w:szCs w:val="21"/>
                <w:highlight w:val="none"/>
                <w:lang w:val="en-US" w:eastAsia="zh-CN"/>
              </w:rPr>
              <w:t>采购人</w:t>
            </w:r>
            <w:r>
              <w:rPr>
                <w:rFonts w:hint="eastAsia" w:ascii="宋体" w:hAnsi="宋体" w:eastAsia="宋体" w:cs="宋体"/>
                <w:sz w:val="21"/>
                <w:szCs w:val="21"/>
                <w:highlight w:val="none"/>
              </w:rPr>
              <w:t>存在利害关系可能影响采购公正性的法人、其他组织或者个人，不得参加本项目；单位负责人为同一人或者存在控股、管理关系的不同单位，不得参加本项目</w:t>
            </w:r>
          </w:p>
        </w:tc>
        <w:tc>
          <w:tcPr>
            <w:tcW w:w="1374"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第一册“资格审查部分 承诺函”</w:t>
            </w:r>
          </w:p>
        </w:tc>
        <w:tc>
          <w:tcPr>
            <w:tcW w:w="1322"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（1）提供符合第六章“响应文件格式”要求的承诺函</w:t>
            </w:r>
          </w:p>
          <w:p>
            <w:pPr>
              <w:pStyle w:val="57"/>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（2）</w:t>
            </w:r>
            <w:r>
              <w:rPr>
                <w:rFonts w:hint="eastAsia" w:ascii="宋体" w:hAnsi="宋体" w:eastAsia="宋体" w:cs="宋体"/>
                <w:b/>
                <w:bCs/>
                <w:sz w:val="21"/>
                <w:szCs w:val="21"/>
                <w:highlight w:val="none"/>
                <w:lang w:val="en-US" w:eastAsia="zh-CN"/>
              </w:rPr>
              <w:t>网站信息</w:t>
            </w:r>
            <w:r>
              <w:rPr>
                <w:rFonts w:hint="eastAsia" w:ascii="宋体" w:hAnsi="宋体" w:eastAsia="宋体" w:cs="宋体"/>
                <w:b/>
                <w:bCs/>
                <w:sz w:val="21"/>
                <w:szCs w:val="21"/>
                <w:highlight w:val="none"/>
              </w:rPr>
              <w:t>以评审小组现场查询结果为准。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6" w:hRule="atLeast"/>
          <w:jc w:val="center"/>
        </w:trPr>
        <w:tc>
          <w:tcPr>
            <w:tcW w:w="242" w:type="pct"/>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517" w:type="pct"/>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业绩要求</w:t>
            </w:r>
          </w:p>
        </w:tc>
        <w:tc>
          <w:tcPr>
            <w:tcW w:w="1543"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投标人自2023年1月1日起至采购公告发布之日止，具有至少一项洗护用品采购项目供货业绩（以合同签订时间为准）‌。</w:t>
            </w:r>
          </w:p>
        </w:tc>
        <w:tc>
          <w:tcPr>
            <w:tcW w:w="1374" w:type="pct"/>
            <w:noWrap w:val="0"/>
            <w:vAlign w:val="center"/>
          </w:tcPr>
          <w:p>
            <w:pPr>
              <w:ind w:left="0" w:leftChars="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第一册“资格审查部分 </w:t>
            </w:r>
            <w:r>
              <w:rPr>
                <w:rFonts w:hint="eastAsia" w:ascii="宋体" w:hAnsi="宋体" w:eastAsia="宋体" w:cs="宋体"/>
                <w:sz w:val="21"/>
                <w:szCs w:val="21"/>
                <w:highlight w:val="none"/>
                <w:lang w:val="en-US" w:eastAsia="zh-CN"/>
              </w:rPr>
              <w:t>业绩材料</w:t>
            </w:r>
            <w:r>
              <w:rPr>
                <w:rFonts w:hint="eastAsia" w:ascii="宋体" w:hAnsi="宋体" w:eastAsia="宋体" w:cs="宋体"/>
                <w:sz w:val="21"/>
                <w:szCs w:val="21"/>
                <w:highlight w:val="none"/>
              </w:rPr>
              <w:t>”</w:t>
            </w:r>
          </w:p>
        </w:tc>
        <w:tc>
          <w:tcPr>
            <w:tcW w:w="1322"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lang w:val="en-US" w:eastAsia="zh-CN"/>
              </w:rPr>
              <w:t>提供合同复印件等证明材料并加盖公章；若合同无法体现工作内容、合同签订时间的，另须提供加盖业主单位公章的业主证明</w:t>
            </w:r>
            <w:r>
              <w:rPr>
                <w:rFonts w:hint="eastAsia" w:ascii="宋体" w:hAnsi="宋体" w:eastAsia="宋体" w:cs="宋体"/>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242" w:type="pct"/>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4</w:t>
            </w:r>
          </w:p>
        </w:tc>
        <w:tc>
          <w:tcPr>
            <w:tcW w:w="517" w:type="pct"/>
            <w:noWrap w:val="0"/>
            <w:vAlign w:val="center"/>
          </w:tcPr>
          <w:p>
            <w:pPr>
              <w:keepNext w:val="0"/>
              <w:keepLines w:val="0"/>
              <w:pageBreakBefore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联合体要求</w:t>
            </w:r>
          </w:p>
        </w:tc>
        <w:tc>
          <w:tcPr>
            <w:tcW w:w="1543"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本项目不接受联合体参与</w:t>
            </w:r>
          </w:p>
        </w:tc>
        <w:tc>
          <w:tcPr>
            <w:tcW w:w="1374"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322" w:type="pct"/>
            <w:noWrap w:val="0"/>
            <w:vAlign w:val="center"/>
          </w:tcPr>
          <w:p>
            <w:pPr>
              <w:pStyle w:val="57"/>
              <w:keepNext w:val="0"/>
              <w:keepLines w:val="0"/>
              <w:pageBreakBefore w:val="0"/>
              <w:kinsoku/>
              <w:wordWrap/>
              <w:overflowPunct/>
              <w:topLinePunct w:val="0"/>
              <w:autoSpaceDE/>
              <w:autoSpaceDN/>
              <w:bidi w:val="0"/>
              <w:adjustRightInd/>
              <w:snapToGrid/>
              <w:spacing w:line="300" w:lineRule="exact"/>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bl>
    <w:p>
      <w:pPr>
        <w:ind w:firstLine="482"/>
        <w:rPr>
          <w:b/>
          <w:bCs/>
          <w:highlight w:val="none"/>
        </w:rPr>
        <w:sectPr>
          <w:pgSz w:w="16838" w:h="11906" w:orient="landscape"/>
          <w:pgMar w:top="1418" w:right="1588" w:bottom="1418" w:left="1588" w:header="851" w:footer="992" w:gutter="0"/>
          <w:pgNumType w:fmt="decimal"/>
          <w:cols w:space="720" w:num="1"/>
          <w:docGrid w:linePitch="326" w:charSpace="0"/>
        </w:sectPr>
      </w:pPr>
    </w:p>
    <w:p>
      <w:pPr>
        <w:ind w:firstLine="0" w:firstLineChars="0"/>
        <w:jc w:val="center"/>
        <w:rPr>
          <w:b/>
          <w:bCs/>
        </w:rPr>
      </w:pPr>
      <w:r>
        <w:rPr>
          <w:rFonts w:hint="eastAsia"/>
          <w:b/>
          <w:bCs/>
        </w:rPr>
        <w:t>商务技术部分评分表（5分）</w:t>
      </w:r>
    </w:p>
    <w:tbl>
      <w:tblPr>
        <w:tblStyle w:val="2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
        <w:gridCol w:w="1511"/>
        <w:gridCol w:w="5782"/>
        <w:gridCol w:w="1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 w:type="pct"/>
            <w:noWrap w:val="0"/>
            <w:vAlign w:val="top"/>
          </w:tcPr>
          <w:p>
            <w:pPr>
              <w:ind w:firstLine="0" w:firstLineChars="0"/>
              <w:jc w:val="center"/>
              <w:rPr>
                <w:rFonts w:ascii="宋体" w:hAnsi="宋体" w:cs="宋体"/>
                <w:b/>
                <w:bCs/>
                <w:sz w:val="21"/>
                <w:szCs w:val="21"/>
              </w:rPr>
            </w:pPr>
            <w:r>
              <w:rPr>
                <w:rFonts w:hint="eastAsia" w:ascii="宋体" w:hAnsi="宋体" w:cs="宋体"/>
                <w:b/>
                <w:bCs/>
                <w:sz w:val="21"/>
                <w:szCs w:val="21"/>
              </w:rPr>
              <w:t>序号</w:t>
            </w:r>
          </w:p>
        </w:tc>
        <w:tc>
          <w:tcPr>
            <w:tcW w:w="790" w:type="pct"/>
            <w:noWrap w:val="0"/>
            <w:vAlign w:val="top"/>
          </w:tcPr>
          <w:p>
            <w:pPr>
              <w:ind w:firstLine="0" w:firstLineChars="0"/>
              <w:jc w:val="center"/>
              <w:rPr>
                <w:rFonts w:ascii="宋体" w:hAnsi="宋体" w:cs="宋体"/>
                <w:b/>
                <w:bCs/>
                <w:sz w:val="21"/>
                <w:szCs w:val="21"/>
              </w:rPr>
            </w:pPr>
            <w:r>
              <w:rPr>
                <w:rFonts w:hint="eastAsia" w:ascii="宋体" w:hAnsi="宋体" w:cs="宋体"/>
                <w:b/>
                <w:bCs/>
                <w:sz w:val="21"/>
                <w:szCs w:val="21"/>
              </w:rPr>
              <w:t>评审因素</w:t>
            </w:r>
          </w:p>
        </w:tc>
        <w:tc>
          <w:tcPr>
            <w:tcW w:w="3023" w:type="pct"/>
            <w:noWrap w:val="0"/>
            <w:vAlign w:val="top"/>
          </w:tcPr>
          <w:p>
            <w:pPr>
              <w:ind w:firstLine="0" w:firstLineChars="0"/>
              <w:jc w:val="center"/>
              <w:rPr>
                <w:rFonts w:ascii="宋体" w:hAnsi="宋体" w:cs="宋体"/>
                <w:b/>
                <w:bCs/>
                <w:sz w:val="21"/>
                <w:szCs w:val="21"/>
              </w:rPr>
            </w:pPr>
            <w:r>
              <w:rPr>
                <w:rFonts w:hint="eastAsia" w:ascii="宋体" w:hAnsi="宋体" w:cs="宋体"/>
                <w:b/>
                <w:bCs/>
                <w:sz w:val="21"/>
                <w:szCs w:val="21"/>
              </w:rPr>
              <w:t>评分标准</w:t>
            </w:r>
          </w:p>
        </w:tc>
        <w:tc>
          <w:tcPr>
            <w:tcW w:w="664" w:type="pct"/>
            <w:noWrap w:val="0"/>
            <w:vAlign w:val="top"/>
          </w:tcPr>
          <w:p>
            <w:pPr>
              <w:ind w:firstLine="0" w:firstLineChars="0"/>
              <w:jc w:val="center"/>
              <w:rPr>
                <w:rFonts w:ascii="宋体" w:hAnsi="宋体" w:cs="宋体"/>
                <w:b/>
                <w:bCs/>
                <w:sz w:val="21"/>
                <w:szCs w:val="21"/>
              </w:rPr>
            </w:pPr>
            <w:r>
              <w:rPr>
                <w:rFonts w:hint="eastAsia" w:ascii="宋体" w:hAnsi="宋体" w:cs="宋体"/>
                <w:b/>
                <w:bCs/>
                <w:sz w:val="21"/>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trPr>
        <w:tc>
          <w:tcPr>
            <w:tcW w:w="521" w:type="pct"/>
            <w:noWrap w:val="0"/>
            <w:vAlign w:val="center"/>
          </w:tcPr>
          <w:p>
            <w:pPr>
              <w:ind w:firstLine="0" w:firstLineChars="0"/>
              <w:jc w:val="center"/>
              <w:rPr>
                <w:rFonts w:ascii="宋体" w:hAnsi="宋体" w:cs="宋体"/>
                <w:sz w:val="21"/>
                <w:szCs w:val="21"/>
              </w:rPr>
            </w:pPr>
            <w:r>
              <w:rPr>
                <w:rFonts w:hint="eastAsia" w:ascii="宋体" w:hAnsi="宋体" w:cs="宋体"/>
                <w:sz w:val="21"/>
                <w:szCs w:val="21"/>
              </w:rPr>
              <w:t>1</w:t>
            </w:r>
          </w:p>
        </w:tc>
        <w:tc>
          <w:tcPr>
            <w:tcW w:w="790" w:type="pct"/>
            <w:noWrap w:val="0"/>
            <w:vAlign w:val="center"/>
          </w:tcPr>
          <w:p>
            <w:pPr>
              <w:pStyle w:val="57"/>
              <w:jc w:val="center"/>
              <w:rPr>
                <w:rFonts w:ascii="宋体" w:hAnsi="宋体" w:cs="宋体"/>
                <w:sz w:val="21"/>
                <w:szCs w:val="21"/>
              </w:rPr>
            </w:pPr>
            <w:r>
              <w:rPr>
                <w:rFonts w:hint="eastAsia" w:ascii="宋体" w:hAnsi="宋体" w:cs="宋体"/>
                <w:sz w:val="21"/>
                <w:szCs w:val="21"/>
              </w:rPr>
              <w:t>企业业绩</w:t>
            </w:r>
          </w:p>
        </w:tc>
        <w:tc>
          <w:tcPr>
            <w:tcW w:w="3023" w:type="pct"/>
            <w:noWrap w:val="0"/>
            <w:vAlign w:val="center"/>
          </w:tcPr>
          <w:p>
            <w:pPr>
              <w:pStyle w:val="57"/>
              <w:rPr>
                <w:rFonts w:hint="eastAsia" w:ascii="宋体" w:hAnsi="宋体" w:cs="宋体"/>
                <w:sz w:val="21"/>
                <w:szCs w:val="21"/>
              </w:rPr>
            </w:pPr>
            <w:r>
              <w:rPr>
                <w:rFonts w:hint="eastAsia" w:ascii="宋体" w:hAnsi="宋体" w:cs="宋体"/>
                <w:sz w:val="21"/>
                <w:szCs w:val="21"/>
              </w:rPr>
              <w:t>投标人自2023年1月1日起至采购公告发布之日止，具有单项合同金额不低于60万元的洗护用品采购项目供货业绩（以合同签订时间为准），‌提供1项得5分，满分5分‌。</w:t>
            </w:r>
          </w:p>
          <w:p>
            <w:pPr>
              <w:pStyle w:val="57"/>
              <w:rPr>
                <w:rFonts w:hint="eastAsia" w:ascii="宋体" w:hAnsi="宋体" w:cs="宋体"/>
                <w:sz w:val="21"/>
                <w:szCs w:val="21"/>
              </w:rPr>
            </w:pPr>
            <w:r>
              <w:rPr>
                <w:rFonts w:hint="eastAsia" w:ascii="宋体" w:hAnsi="宋体" w:cs="宋体"/>
                <w:sz w:val="21"/>
                <w:szCs w:val="21"/>
              </w:rPr>
              <w:t>须同时提供：①业绩合同复印件或扫描件。业绩时间以合同签订时间为准；若合同无法体现工作内容、合同签订时间的，另须提供加盖业主单位公章的业主证明。</w:t>
            </w:r>
          </w:p>
          <w:p>
            <w:pPr>
              <w:pStyle w:val="57"/>
              <w:rPr>
                <w:rFonts w:ascii="宋体" w:hAnsi="宋体" w:cs="宋体"/>
                <w:sz w:val="21"/>
                <w:szCs w:val="21"/>
              </w:rPr>
            </w:pPr>
            <w:r>
              <w:rPr>
                <w:rFonts w:hint="eastAsia" w:ascii="宋体" w:hAnsi="宋体" w:cs="宋体"/>
                <w:sz w:val="21"/>
                <w:szCs w:val="21"/>
              </w:rPr>
              <w:t>②合同执行期任一发票（或银行回单）复印件或扫描件。发票（或银行回单）须能体现相应业绩合同的业主单位名称或项目名称；发票（或银行回单）须复印清楚，模糊不清的，不予认可。</w:t>
            </w:r>
          </w:p>
        </w:tc>
        <w:tc>
          <w:tcPr>
            <w:tcW w:w="664" w:type="pct"/>
            <w:noWrap w:val="0"/>
            <w:vAlign w:val="center"/>
          </w:tcPr>
          <w:p>
            <w:pPr>
              <w:pStyle w:val="22"/>
              <w:widowControl/>
              <w:spacing w:beforeAutospacing="1" w:afterAutospacing="1"/>
              <w:ind w:firstLine="0" w:firstLineChars="0"/>
              <w:jc w:val="center"/>
              <w:rPr>
                <w:rFonts w:ascii="宋体" w:hAnsi="宋体" w:cs="宋体"/>
                <w:kern w:val="0"/>
                <w:sz w:val="21"/>
                <w:szCs w:val="21"/>
                <w:lang w:bidi="ar"/>
              </w:rPr>
            </w:pPr>
            <w:r>
              <w:rPr>
                <w:rFonts w:hint="eastAsia" w:ascii="宋体" w:hAnsi="宋体" w:cs="宋体"/>
                <w:kern w:val="0"/>
                <w:sz w:val="21"/>
                <w:szCs w:val="21"/>
                <w:lang w:bidi="ar"/>
              </w:rPr>
              <w:t>5分</w:t>
            </w:r>
          </w:p>
        </w:tc>
      </w:tr>
    </w:tbl>
    <w:p>
      <w:pPr>
        <w:ind w:firstLine="0" w:firstLineChars="0"/>
        <w:rPr>
          <w:b/>
          <w:bCs/>
          <w:color w:val="000000"/>
        </w:rPr>
      </w:pPr>
      <w:r>
        <w:rPr>
          <w:rFonts w:hint="eastAsia"/>
          <w:b/>
          <w:bCs/>
          <w:color w:val="000000"/>
        </w:rPr>
        <w:t>注：通过“商务和技术偏离表”及“物资参数表”符合性审查的响应文件进行商务技术评分评审。未通过符合性审查的响应文件，将被判为不满足采购文件实质性要求。</w:t>
      </w:r>
    </w:p>
    <w:p>
      <w:pPr>
        <w:ind w:firstLine="0" w:firstLineChars="0"/>
        <w:jc w:val="center"/>
        <w:rPr>
          <w:b/>
          <w:bCs/>
        </w:rPr>
      </w:pPr>
      <w:r>
        <w:rPr>
          <w:rFonts w:hint="eastAsia"/>
          <w:b/>
          <w:bCs/>
        </w:rPr>
        <w:br w:type="page"/>
      </w:r>
    </w:p>
    <w:p>
      <w:pPr>
        <w:ind w:firstLine="0" w:firstLineChars="0"/>
        <w:jc w:val="center"/>
        <w:rPr>
          <w:rFonts w:cs="宋体"/>
          <w:b/>
          <w:bCs/>
          <w:kern w:val="0"/>
          <w:sz w:val="21"/>
          <w:szCs w:val="21"/>
        </w:rPr>
      </w:pPr>
      <w:r>
        <w:rPr>
          <w:rFonts w:hint="eastAsia"/>
          <w:b/>
          <w:bCs/>
        </w:rPr>
        <w:t>报价部分评分表（95分）</w:t>
      </w:r>
    </w:p>
    <w:tbl>
      <w:tblPr>
        <w:tblStyle w:val="2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8"/>
        <w:gridCol w:w="6570"/>
        <w:gridCol w:w="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71" w:type="pct"/>
            <w:noWrap w:val="0"/>
            <w:vAlign w:val="top"/>
          </w:tcPr>
          <w:p>
            <w:pPr>
              <w:spacing w:line="240" w:lineRule="atLeast"/>
              <w:ind w:firstLine="0" w:firstLineChars="0"/>
              <w:jc w:val="center"/>
              <w:rPr>
                <w:rFonts w:ascii="宋体" w:hAnsi="宋体" w:cs="宋体"/>
                <w:b/>
                <w:bCs/>
                <w:sz w:val="21"/>
                <w:szCs w:val="21"/>
              </w:rPr>
            </w:pPr>
            <w:r>
              <w:rPr>
                <w:rFonts w:hint="eastAsia" w:ascii="宋体" w:hAnsi="宋体" w:cs="宋体"/>
                <w:b/>
                <w:bCs/>
                <w:sz w:val="21"/>
                <w:szCs w:val="21"/>
              </w:rPr>
              <w:t>评审因素</w:t>
            </w:r>
          </w:p>
        </w:tc>
        <w:tc>
          <w:tcPr>
            <w:tcW w:w="3436" w:type="pct"/>
            <w:noWrap w:val="0"/>
            <w:vAlign w:val="top"/>
          </w:tcPr>
          <w:p>
            <w:pPr>
              <w:ind w:firstLine="0" w:firstLineChars="0"/>
              <w:jc w:val="center"/>
              <w:rPr>
                <w:rFonts w:ascii="宋体" w:hAnsi="宋体" w:cs="宋体"/>
                <w:b/>
                <w:bCs/>
                <w:sz w:val="21"/>
                <w:szCs w:val="21"/>
              </w:rPr>
            </w:pPr>
            <w:r>
              <w:rPr>
                <w:rFonts w:hint="eastAsia" w:ascii="宋体" w:hAnsi="宋体" w:cs="宋体"/>
                <w:b/>
                <w:bCs/>
                <w:sz w:val="21"/>
                <w:szCs w:val="21"/>
              </w:rPr>
              <w:t>评分标准</w:t>
            </w:r>
          </w:p>
        </w:tc>
        <w:tc>
          <w:tcPr>
            <w:tcW w:w="492" w:type="pct"/>
            <w:noWrap w:val="0"/>
            <w:vAlign w:val="top"/>
          </w:tcPr>
          <w:p>
            <w:pPr>
              <w:ind w:firstLine="0" w:firstLineChars="0"/>
              <w:jc w:val="center"/>
              <w:rPr>
                <w:rFonts w:ascii="宋体" w:hAnsi="宋体" w:cs="宋体"/>
                <w:b/>
                <w:bCs/>
                <w:sz w:val="21"/>
                <w:szCs w:val="21"/>
              </w:rPr>
            </w:pPr>
            <w:r>
              <w:rPr>
                <w:rFonts w:hint="eastAsia" w:ascii="宋体" w:hAnsi="宋体" w:cs="宋体"/>
                <w:b/>
                <w:bCs/>
                <w:sz w:val="21"/>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trPr>
        <w:tc>
          <w:tcPr>
            <w:tcW w:w="1071" w:type="pct"/>
            <w:noWrap w:val="0"/>
            <w:vAlign w:val="center"/>
          </w:tcPr>
          <w:p>
            <w:pPr>
              <w:pStyle w:val="22"/>
              <w:widowControl/>
              <w:spacing w:line="240" w:lineRule="atLeast"/>
              <w:ind w:firstLine="0" w:firstLineChars="0"/>
              <w:jc w:val="center"/>
              <w:rPr>
                <w:rFonts w:ascii="宋体" w:hAnsi="宋体" w:cs="宋体"/>
                <w:sz w:val="21"/>
                <w:szCs w:val="21"/>
              </w:rPr>
            </w:pPr>
            <w:r>
              <w:rPr>
                <w:rFonts w:hint="eastAsia" w:ascii="宋体" w:hAnsi="宋体" w:cs="宋体"/>
                <w:sz w:val="21"/>
                <w:szCs w:val="21"/>
              </w:rPr>
              <w:t>评标基准价计算方法</w:t>
            </w:r>
          </w:p>
          <w:p>
            <w:pPr>
              <w:pStyle w:val="22"/>
              <w:widowControl/>
              <w:spacing w:line="240" w:lineRule="atLeast"/>
              <w:ind w:firstLine="0" w:firstLineChars="0"/>
              <w:jc w:val="center"/>
              <w:rPr>
                <w:rFonts w:ascii="宋体" w:hAnsi="宋体" w:cs="宋体"/>
                <w:sz w:val="21"/>
                <w:szCs w:val="21"/>
              </w:rPr>
            </w:pPr>
          </w:p>
        </w:tc>
        <w:tc>
          <w:tcPr>
            <w:tcW w:w="3436" w:type="pct"/>
            <w:noWrap w:val="0"/>
            <w:vAlign w:val="center"/>
          </w:tcPr>
          <w:p>
            <w:pPr>
              <w:pStyle w:val="22"/>
              <w:widowControl/>
              <w:snapToGrid w:val="0"/>
              <w:ind w:firstLine="0" w:firstLineChars="0"/>
              <w:rPr>
                <w:rFonts w:ascii="宋体" w:hAnsi="宋体" w:cs="宋体"/>
                <w:sz w:val="21"/>
                <w:szCs w:val="21"/>
              </w:rPr>
            </w:pPr>
            <w:r>
              <w:rPr>
                <w:rFonts w:hint="eastAsia" w:ascii="宋体" w:hAnsi="宋体" w:cs="宋体"/>
                <w:sz w:val="21"/>
                <w:szCs w:val="21"/>
              </w:rPr>
              <w:t>取供应商有效报价中的最低价为评标基准价。除确认存在计算错误外，评标基准价不因投标当事人质疑、投诉、复议以及其它任何情形而改变。</w:t>
            </w:r>
          </w:p>
        </w:tc>
        <w:tc>
          <w:tcPr>
            <w:tcW w:w="492" w:type="pct"/>
            <w:vMerge w:val="restart"/>
            <w:noWrap w:val="0"/>
            <w:vAlign w:val="center"/>
          </w:tcPr>
          <w:p>
            <w:pPr>
              <w:ind w:firstLine="0" w:firstLineChars="0"/>
              <w:jc w:val="center"/>
              <w:rPr>
                <w:rFonts w:ascii="宋体" w:hAnsi="宋体" w:cs="宋体"/>
                <w:sz w:val="21"/>
                <w:szCs w:val="21"/>
              </w:rPr>
            </w:pPr>
            <w:r>
              <w:rPr>
                <w:rFonts w:hint="eastAsia" w:ascii="宋体" w:hAnsi="宋体" w:cs="宋体"/>
                <w:sz w:val="21"/>
                <w:szCs w:val="21"/>
              </w:rPr>
              <w:t>95分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trPr>
        <w:tc>
          <w:tcPr>
            <w:tcW w:w="1071" w:type="pct"/>
            <w:noWrap w:val="0"/>
            <w:vAlign w:val="center"/>
          </w:tcPr>
          <w:p>
            <w:pPr>
              <w:pStyle w:val="22"/>
              <w:widowControl/>
              <w:spacing w:line="240" w:lineRule="atLeast"/>
              <w:ind w:firstLine="0" w:firstLineChars="0"/>
              <w:jc w:val="center"/>
              <w:rPr>
                <w:rFonts w:ascii="宋体" w:hAnsi="宋体" w:cs="宋体"/>
                <w:sz w:val="21"/>
                <w:szCs w:val="21"/>
              </w:rPr>
            </w:pPr>
            <w:r>
              <w:rPr>
                <w:rFonts w:hint="eastAsia" w:ascii="宋体" w:hAnsi="宋体" w:cs="宋体"/>
                <w:sz w:val="21"/>
                <w:szCs w:val="21"/>
              </w:rPr>
              <w:t>报价得分计算方法</w:t>
            </w:r>
          </w:p>
          <w:p>
            <w:pPr>
              <w:pStyle w:val="22"/>
              <w:widowControl/>
              <w:spacing w:line="240" w:lineRule="atLeast"/>
              <w:ind w:firstLine="0" w:firstLineChars="0"/>
              <w:jc w:val="center"/>
              <w:rPr>
                <w:rFonts w:ascii="宋体" w:hAnsi="宋体" w:cs="宋体"/>
                <w:sz w:val="21"/>
                <w:szCs w:val="21"/>
              </w:rPr>
            </w:pPr>
          </w:p>
        </w:tc>
        <w:tc>
          <w:tcPr>
            <w:tcW w:w="3436" w:type="pct"/>
            <w:noWrap w:val="0"/>
            <w:vAlign w:val="center"/>
          </w:tcPr>
          <w:p>
            <w:pPr>
              <w:pStyle w:val="22"/>
              <w:widowControl/>
              <w:snapToGrid w:val="0"/>
              <w:ind w:firstLine="0" w:firstLineChars="0"/>
              <w:rPr>
                <w:rFonts w:ascii="宋体" w:hAnsi="宋体" w:cs="宋体"/>
                <w:sz w:val="21"/>
                <w:szCs w:val="21"/>
              </w:rPr>
            </w:pPr>
            <w:r>
              <w:rPr>
                <w:rFonts w:hint="eastAsia" w:ascii="宋体" w:hAnsi="宋体" w:cs="宋体"/>
                <w:sz w:val="21"/>
                <w:szCs w:val="21"/>
              </w:rPr>
              <w:t>偏差率=100%×（投标人报价－评标基准价）/评标基准价报价得分计算公式示例：报价得分=95-偏差率×100×E1；其中：E1是评标价每高于评标基准价一个百分点的扣分值，E1=0.6，报价得分扣完为止。报价得分四舍五入后保留两位小数。</w:t>
            </w:r>
          </w:p>
        </w:tc>
        <w:tc>
          <w:tcPr>
            <w:tcW w:w="492" w:type="pct"/>
            <w:vMerge w:val="continue"/>
            <w:noWrap w:val="0"/>
            <w:vAlign w:val="center"/>
          </w:tcPr>
          <w:p>
            <w:pPr>
              <w:ind w:firstLine="0" w:firstLineChars="0"/>
              <w:jc w:val="center"/>
              <w:rPr>
                <w:rFonts w:ascii="宋体" w:hAnsi="宋体" w:cs="宋体"/>
                <w:sz w:val="21"/>
                <w:szCs w:val="21"/>
              </w:rPr>
            </w:pPr>
          </w:p>
        </w:tc>
      </w:tr>
    </w:tbl>
    <w:p>
      <w:pPr>
        <w:ind w:firstLine="480"/>
        <w:rPr>
          <w:highlight w:val="none"/>
        </w:rPr>
      </w:pPr>
      <w:r>
        <w:rPr>
          <w:highlight w:val="none"/>
        </w:rPr>
        <w:br w:type="page"/>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keepNext/>
        <w:keepLines/>
        <w:ind w:firstLine="140" w:firstLineChars="32"/>
        <w:jc w:val="center"/>
        <w:outlineLvl w:val="0"/>
        <w:rPr>
          <w:rFonts w:eastAsia="黑体"/>
          <w:bCs/>
          <w:kern w:val="44"/>
          <w:sz w:val="44"/>
          <w:szCs w:val="44"/>
          <w:highlight w:val="none"/>
        </w:rPr>
      </w:pPr>
      <w:bookmarkStart w:id="12" w:name="_Toc27013"/>
      <w:r>
        <w:rPr>
          <w:rFonts w:hint="eastAsia" w:eastAsia="黑体"/>
          <w:bCs/>
          <w:kern w:val="44"/>
          <w:sz w:val="44"/>
          <w:szCs w:val="44"/>
          <w:highlight w:val="none"/>
        </w:rPr>
        <w:t>第四章 合同主要条款及格式</w:t>
      </w:r>
      <w:bookmarkEnd w:id="11"/>
      <w:bookmarkEnd w:id="12"/>
    </w:p>
    <w:p>
      <w:pPr>
        <w:ind w:firstLine="880"/>
        <w:rPr>
          <w:rFonts w:eastAsia="黑体"/>
          <w:bCs/>
          <w:kern w:val="44"/>
          <w:sz w:val="44"/>
          <w:szCs w:val="44"/>
          <w:highlight w:val="none"/>
        </w:rPr>
      </w:pPr>
      <w:r>
        <w:rPr>
          <w:rFonts w:hint="eastAsia" w:eastAsia="黑体"/>
          <w:bCs/>
          <w:kern w:val="44"/>
          <w:sz w:val="44"/>
          <w:szCs w:val="44"/>
          <w:highlight w:val="none"/>
        </w:rPr>
        <w:br w:type="page"/>
      </w:r>
    </w:p>
    <w:p>
      <w:pPr>
        <w:ind w:firstLine="0" w:firstLineChars="0"/>
        <w:jc w:val="center"/>
        <w:rPr>
          <w:rFonts w:ascii="宋体" w:hAnsi="宋体"/>
          <w:szCs w:val="21"/>
          <w:highlight w:val="none"/>
        </w:rPr>
      </w:pPr>
      <w:bookmarkStart w:id="13" w:name="_Toc22432"/>
      <w:r>
        <w:rPr>
          <w:rStyle w:val="42"/>
          <w:rFonts w:hint="eastAsia" w:ascii="宋体" w:hAnsi="宋体" w:cs="宋体"/>
          <w:szCs w:val="44"/>
          <w:highlight w:val="none"/>
        </w:rPr>
        <w:t>合同条款</w:t>
      </w:r>
      <w:bookmarkEnd w:id="13"/>
    </w:p>
    <w:p>
      <w:pPr>
        <w:ind w:firstLine="0" w:firstLineChars="0"/>
        <w:jc w:val="left"/>
        <w:rPr>
          <w:rFonts w:ascii="宋体" w:hAnsi="宋体" w:cs="宋体"/>
          <w:szCs w:val="24"/>
          <w:highlight w:val="none"/>
        </w:rPr>
      </w:pPr>
      <w:r>
        <w:rPr>
          <w:rFonts w:hint="eastAsia" w:ascii="宋体" w:hAnsi="宋体" w:cs="宋体"/>
          <w:szCs w:val="24"/>
          <w:highlight w:val="none"/>
        </w:rPr>
        <w:t xml:space="preserve">甲方：           </w:t>
      </w:r>
    </w:p>
    <w:p>
      <w:pPr>
        <w:ind w:left="-204" w:leftChars="-85" w:firstLine="204" w:firstLineChars="85"/>
        <w:jc w:val="left"/>
        <w:rPr>
          <w:rFonts w:ascii="宋体" w:hAnsi="宋体" w:cs="宋体"/>
          <w:b/>
          <w:szCs w:val="24"/>
          <w:highlight w:val="none"/>
        </w:rPr>
        <w:sectPr>
          <w:headerReference r:id="rId13" w:type="default"/>
          <w:footerReference r:id="rId14" w:type="default"/>
          <w:footerReference r:id="rId15" w:type="even"/>
          <w:pgSz w:w="11906" w:h="16838"/>
          <w:pgMar w:top="1418" w:right="1134" w:bottom="1134" w:left="1418" w:header="777" w:footer="1134" w:gutter="0"/>
          <w:pgNumType w:fmt="decimal"/>
          <w:cols w:space="720" w:num="1"/>
        </w:sectPr>
      </w:pPr>
      <w:r>
        <w:rPr>
          <w:rFonts w:hint="eastAsia" w:ascii="宋体" w:hAnsi="宋体" w:cs="宋体"/>
          <w:szCs w:val="24"/>
          <w:highlight w:val="none"/>
        </w:rPr>
        <w:t xml:space="preserve">乙方：    </w:t>
      </w:r>
      <w:r>
        <w:rPr>
          <w:rFonts w:hint="eastAsia" w:ascii="宋体" w:hAnsi="宋体" w:cs="宋体"/>
          <w:b/>
          <w:szCs w:val="24"/>
          <w:highlight w:val="none"/>
        </w:rPr>
        <w:t xml:space="preserve">                                                                                                           </w:t>
      </w:r>
    </w:p>
    <w:p>
      <w:pPr>
        <w:ind w:firstLine="480"/>
        <w:rPr>
          <w:rFonts w:ascii="宋体" w:hAnsi="宋体" w:cs="宋体"/>
          <w:szCs w:val="24"/>
          <w:highlight w:val="none"/>
        </w:rPr>
      </w:pPr>
    </w:p>
    <w:p>
      <w:pPr>
        <w:ind w:firstLine="480"/>
        <w:rPr>
          <w:rFonts w:ascii="宋体" w:hAnsi="宋体" w:cs="宋体"/>
          <w:szCs w:val="24"/>
          <w:highlight w:val="none"/>
        </w:rPr>
      </w:pPr>
      <w:r>
        <w:rPr>
          <w:rFonts w:hint="eastAsia" w:ascii="宋体" w:hAnsi="宋体" w:cs="宋体"/>
          <w:szCs w:val="24"/>
          <w:highlight w:val="none"/>
        </w:rPr>
        <w:t>买卖双方遵循自愿、平等、公平、诚实信用的原则，经过协商按照下述条款，甲方同意购买、乙方同意出售本合同项下所有货物及伴随服务。</w:t>
      </w:r>
    </w:p>
    <w:p>
      <w:pPr>
        <w:ind w:firstLine="480"/>
        <w:rPr>
          <w:rFonts w:ascii="宋体" w:hAnsi="宋体" w:cs="宋体"/>
          <w:szCs w:val="24"/>
          <w:highlight w:val="none"/>
        </w:rPr>
      </w:pPr>
    </w:p>
    <w:p>
      <w:pPr>
        <w:numPr>
          <w:ilvl w:val="0"/>
          <w:numId w:val="0"/>
        </w:numPr>
        <w:ind w:firstLine="482" w:firstLineChars="200"/>
        <w:rPr>
          <w:rFonts w:ascii="宋体" w:hAnsi="宋体" w:cs="宋体"/>
          <w:b/>
          <w:bCs/>
          <w:szCs w:val="24"/>
          <w:highlight w:val="none"/>
        </w:rPr>
      </w:pPr>
      <w:r>
        <w:rPr>
          <w:rFonts w:hint="default" w:ascii="宋体" w:hAnsi="宋体" w:eastAsia="宋体" w:cs="宋体"/>
          <w:b/>
          <w:bCs/>
          <w:color w:val="auto"/>
          <w:kern w:val="2"/>
          <w:sz w:val="24"/>
          <w:szCs w:val="24"/>
          <w:lang w:val="en-US" w:eastAsia="zh-CN" w:bidi="ar-SA"/>
        </w:rPr>
        <w:t>1.</w:t>
      </w:r>
      <w:r>
        <w:rPr>
          <w:rFonts w:hint="eastAsia" w:ascii="宋体" w:hAnsi="宋体" w:cs="宋体"/>
          <w:b/>
          <w:bCs/>
          <w:szCs w:val="24"/>
          <w:highlight w:val="none"/>
        </w:rPr>
        <w:t xml:space="preserve">合同标的 </w:t>
      </w:r>
    </w:p>
    <w:p>
      <w:pPr>
        <w:ind w:firstLine="480"/>
        <w:rPr>
          <w:rFonts w:ascii="宋体" w:hAnsi="宋体" w:cs="宋体"/>
          <w:szCs w:val="24"/>
          <w:highlight w:val="none"/>
        </w:rPr>
      </w:pPr>
      <w:r>
        <w:rPr>
          <w:rFonts w:hint="eastAsia" w:ascii="宋体" w:hAnsi="宋体" w:cs="宋体"/>
          <w:szCs w:val="24"/>
          <w:highlight w:val="none"/>
        </w:rPr>
        <w:t>货物的名称、规格、数量、单价、技术要求详见附件《货物清单》。</w:t>
      </w:r>
    </w:p>
    <w:p>
      <w:pPr>
        <w:numPr>
          <w:ilvl w:val="0"/>
          <w:numId w:val="0"/>
        </w:numPr>
        <w:ind w:firstLine="482" w:firstLineChars="200"/>
        <w:rPr>
          <w:rFonts w:ascii="宋体" w:hAnsi="宋体" w:cs="宋体"/>
          <w:b/>
          <w:szCs w:val="24"/>
          <w:highlight w:val="none"/>
        </w:rPr>
      </w:pPr>
      <w:r>
        <w:rPr>
          <w:rFonts w:hint="default" w:ascii="宋体" w:hAnsi="宋体" w:eastAsia="宋体" w:cs="宋体"/>
          <w:b/>
          <w:bCs/>
          <w:color w:val="auto"/>
          <w:kern w:val="2"/>
          <w:sz w:val="24"/>
          <w:szCs w:val="24"/>
          <w:lang w:val="en-US" w:eastAsia="zh-CN" w:bidi="ar-SA"/>
        </w:rPr>
        <w:t>2.</w:t>
      </w:r>
      <w:r>
        <w:rPr>
          <w:rFonts w:hint="eastAsia" w:ascii="宋体" w:hAnsi="宋体" w:cs="宋体"/>
          <w:b/>
          <w:szCs w:val="24"/>
          <w:highlight w:val="none"/>
        </w:rPr>
        <w:t>合同价款</w:t>
      </w:r>
    </w:p>
    <w:p>
      <w:pPr>
        <w:numPr>
          <w:ilvl w:val="1"/>
          <w:numId w:val="0"/>
        </w:numPr>
        <w:ind w:left="0" w:leftChars="0" w:firstLine="480" w:firstLineChars="200"/>
        <w:jc w:val="left"/>
        <w:rPr>
          <w:rFonts w:ascii="宋体" w:hAnsi="宋体" w:cs="宋体"/>
          <w:kern w:val="28"/>
          <w:szCs w:val="24"/>
          <w:highlight w:val="none"/>
        </w:rPr>
      </w:pPr>
      <w:r>
        <w:rPr>
          <w:rFonts w:hint="default" w:ascii="宋体" w:hAnsi="宋体" w:eastAsia="宋体" w:cs="宋体"/>
          <w:b w:val="0"/>
          <w:bCs w:val="0"/>
          <w:kern w:val="28"/>
          <w:sz w:val="24"/>
          <w:szCs w:val="24"/>
          <w:lang w:val="en-US" w:eastAsia="zh-CN" w:bidi="ar-SA"/>
        </w:rPr>
        <w:t>2.1</w:t>
      </w:r>
      <w:r>
        <w:rPr>
          <w:rFonts w:hint="eastAsia" w:ascii="宋体" w:hAnsi="宋体" w:cs="宋体"/>
          <w:kern w:val="28"/>
          <w:szCs w:val="24"/>
          <w:highlight w:val="none"/>
        </w:rPr>
        <w:t>本合同价款是指乙方在指定地点交货并履行完合同项下的其他义务所需的全部费用，包含货物设计、制造、包装、仓储、运输、装卸、安装、保险、培训、售后服务、第三方法定计量检定机构检测费用等所发生的一切含税费用。</w:t>
      </w:r>
    </w:p>
    <w:p>
      <w:pPr>
        <w:numPr>
          <w:ilvl w:val="1"/>
          <w:numId w:val="0"/>
        </w:numPr>
        <w:ind w:left="0" w:leftChars="0" w:firstLine="480" w:firstLineChars="200"/>
        <w:jc w:val="left"/>
        <w:rPr>
          <w:rFonts w:hint="eastAsia" w:ascii="宋体" w:hAnsi="宋体" w:eastAsia="宋体" w:cs="宋体"/>
          <w:szCs w:val="24"/>
          <w:highlight w:val="none"/>
          <w:lang w:eastAsia="zh-CN"/>
        </w:rPr>
      </w:pPr>
      <w:r>
        <w:rPr>
          <w:rFonts w:hint="default" w:ascii="宋体" w:hAnsi="宋体" w:eastAsia="宋体" w:cs="宋体"/>
          <w:b w:val="0"/>
          <w:bCs w:val="0"/>
          <w:kern w:val="2"/>
          <w:sz w:val="24"/>
          <w:szCs w:val="24"/>
          <w:lang w:val="en-US" w:eastAsia="zh-CN" w:bidi="ar-SA"/>
        </w:rPr>
        <w:t>2.2本合同为综合单价合同，综合单价为¥</w:t>
      </w:r>
      <w:r>
        <w:rPr>
          <w:rFonts w:hint="eastAsia" w:ascii="宋体" w:hAnsi="宋体" w:cs="宋体"/>
          <w:b w:val="0"/>
          <w:bCs w:val="0"/>
          <w:kern w:val="2"/>
          <w:sz w:val="24"/>
          <w:szCs w:val="24"/>
          <w:u w:val="single"/>
          <w:lang w:val="en-US" w:eastAsia="zh-CN" w:bidi="ar-SA"/>
        </w:rPr>
        <w:t xml:space="preserve">   </w:t>
      </w:r>
      <w:r>
        <w:rPr>
          <w:rFonts w:hint="default" w:ascii="宋体" w:hAnsi="宋体" w:eastAsia="宋体" w:cs="宋体"/>
          <w:b w:val="0"/>
          <w:bCs w:val="0"/>
          <w:kern w:val="2"/>
          <w:sz w:val="24"/>
          <w:szCs w:val="24"/>
          <w:lang w:val="en-US" w:eastAsia="zh-CN" w:bidi="ar-SA"/>
        </w:rPr>
        <w:t>元/份(含税)，税率为</w:t>
      </w:r>
      <w:r>
        <w:rPr>
          <w:rFonts w:hint="eastAsia" w:ascii="宋体" w:hAnsi="宋体" w:cs="宋体"/>
          <w:b w:val="0"/>
          <w:bCs w:val="0"/>
          <w:kern w:val="2"/>
          <w:sz w:val="24"/>
          <w:szCs w:val="24"/>
          <w:u w:val="single"/>
          <w:lang w:val="en-US" w:eastAsia="zh-CN" w:bidi="ar-SA"/>
        </w:rPr>
        <w:t xml:space="preserve">  </w:t>
      </w:r>
      <w:r>
        <w:rPr>
          <w:rFonts w:hint="default" w:ascii="宋体" w:hAnsi="宋体" w:eastAsia="宋体" w:cs="宋体"/>
          <w:b w:val="0"/>
          <w:bCs w:val="0"/>
          <w:kern w:val="2"/>
          <w:sz w:val="24"/>
          <w:szCs w:val="24"/>
          <w:lang w:val="en-US" w:eastAsia="zh-CN" w:bidi="ar-SA"/>
        </w:rPr>
        <w:t>%，不含税金额为¥</w:t>
      </w:r>
      <w:r>
        <w:rPr>
          <w:rFonts w:hint="eastAsia" w:ascii="宋体" w:hAnsi="宋体" w:cs="宋体"/>
          <w:b w:val="0"/>
          <w:bCs w:val="0"/>
          <w:kern w:val="2"/>
          <w:sz w:val="24"/>
          <w:szCs w:val="24"/>
          <w:u w:val="single"/>
          <w:lang w:val="en-US" w:eastAsia="zh-CN" w:bidi="ar-SA"/>
        </w:rPr>
        <w:t xml:space="preserve">   </w:t>
      </w:r>
      <w:r>
        <w:rPr>
          <w:rFonts w:hint="default" w:ascii="宋体" w:hAnsi="宋体" w:eastAsia="宋体" w:cs="宋体"/>
          <w:b w:val="0"/>
          <w:bCs w:val="0"/>
          <w:kern w:val="2"/>
          <w:sz w:val="24"/>
          <w:szCs w:val="24"/>
          <w:lang w:val="en-US" w:eastAsia="zh-CN" w:bidi="ar-SA"/>
        </w:rPr>
        <w:t>元，税额为¥</w:t>
      </w:r>
      <w:r>
        <w:rPr>
          <w:rFonts w:hint="eastAsia" w:ascii="宋体" w:hAnsi="宋体" w:cs="宋体"/>
          <w:b w:val="0"/>
          <w:bCs w:val="0"/>
          <w:kern w:val="2"/>
          <w:sz w:val="24"/>
          <w:szCs w:val="24"/>
          <w:u w:val="single"/>
          <w:lang w:val="en-US" w:eastAsia="zh-CN" w:bidi="ar-SA"/>
        </w:rPr>
        <w:t xml:space="preserve">    </w:t>
      </w:r>
      <w:r>
        <w:rPr>
          <w:rFonts w:hint="default" w:ascii="宋体" w:hAnsi="宋体" w:eastAsia="宋体" w:cs="宋体"/>
          <w:b w:val="0"/>
          <w:bCs w:val="0"/>
          <w:kern w:val="2"/>
          <w:sz w:val="24"/>
          <w:szCs w:val="24"/>
          <w:lang w:val="en-US" w:eastAsia="zh-CN" w:bidi="ar-SA"/>
        </w:rPr>
        <w:t>元。本合同累计执行金额不超过124万元人民币</w:t>
      </w:r>
      <w:r>
        <w:rPr>
          <w:rFonts w:hint="eastAsia" w:ascii="宋体" w:hAnsi="宋体" w:cs="宋体"/>
          <w:kern w:val="28"/>
          <w:szCs w:val="24"/>
          <w:highlight w:val="none"/>
          <w:lang w:eastAsia="zh-CN"/>
        </w:rPr>
        <w:t>，</w:t>
      </w:r>
      <w:r>
        <w:rPr>
          <w:rFonts w:hint="eastAsia" w:ascii="宋体" w:hAnsi="宋体" w:cs="宋体"/>
          <w:kern w:val="28"/>
          <w:szCs w:val="24"/>
          <w:highlight w:val="none"/>
        </w:rPr>
        <w:t>3年总数量约12000份，数量为预估数，最终按实际供货数量结算</w:t>
      </w:r>
      <w:r>
        <w:rPr>
          <w:rFonts w:hint="eastAsia" w:ascii="宋体" w:hAnsi="宋体" w:cs="宋体"/>
          <w:kern w:val="28"/>
          <w:szCs w:val="24"/>
          <w:highlight w:val="none"/>
          <w:lang w:eastAsia="zh-CN"/>
        </w:rPr>
        <w:t>。</w:t>
      </w:r>
    </w:p>
    <w:p>
      <w:pPr>
        <w:pStyle w:val="53"/>
        <w:numPr>
          <w:ilvl w:val="1"/>
          <w:numId w:val="0"/>
        </w:numPr>
        <w:tabs>
          <w:tab w:val="left" w:pos="560"/>
          <w:tab w:val="right" w:leader="middleDot" w:pos="8400"/>
        </w:tabs>
        <w:spacing w:line="360" w:lineRule="auto"/>
        <w:ind w:left="0" w:leftChars="0" w:firstLine="480" w:firstLineChars="200"/>
        <w:rPr>
          <w:rFonts w:hint="eastAsia" w:ascii="宋体" w:hAnsi="宋体" w:cs="宋体"/>
          <w:sz w:val="24"/>
          <w:szCs w:val="24"/>
          <w:highlight w:val="none"/>
        </w:rPr>
      </w:pPr>
      <w:r>
        <w:rPr>
          <w:rFonts w:hint="default" w:ascii="宋体" w:hAnsi="宋体" w:eastAsia="宋体" w:cs="宋体"/>
          <w:b w:val="0"/>
          <w:bCs w:val="0"/>
          <w:kern w:val="28"/>
          <w:sz w:val="24"/>
          <w:szCs w:val="24"/>
          <w:lang w:val="en-US" w:eastAsia="zh-CN" w:bidi="ar-SA"/>
        </w:rPr>
        <w:t>2.3</w:t>
      </w:r>
      <w:r>
        <w:rPr>
          <w:rFonts w:hint="eastAsia" w:ascii="宋体" w:hAnsi="宋体" w:cs="宋体"/>
          <w:sz w:val="24"/>
          <w:szCs w:val="24"/>
          <w:highlight w:val="none"/>
        </w:rPr>
        <w:t>甲方下达订单后，乙方根据甲方订单交货，在货物交付前甲方可要求乙方延迟交货</w:t>
      </w:r>
      <w:r>
        <w:rPr>
          <w:rFonts w:hint="eastAsia" w:ascii="宋体" w:hAnsi="宋体" w:cs="宋体"/>
          <w:kern w:val="28"/>
          <w:szCs w:val="24"/>
          <w:highlight w:val="none"/>
        </w:rPr>
        <w:t>。</w:t>
      </w:r>
    </w:p>
    <w:p>
      <w:pPr>
        <w:pStyle w:val="53"/>
        <w:numPr>
          <w:ilvl w:val="1"/>
          <w:numId w:val="0"/>
        </w:numPr>
        <w:tabs>
          <w:tab w:val="left" w:pos="560"/>
          <w:tab w:val="right" w:leader="middleDot" w:pos="8400"/>
        </w:tabs>
        <w:spacing w:line="360" w:lineRule="auto"/>
        <w:ind w:left="0" w:leftChars="0" w:firstLine="480" w:firstLineChars="200"/>
        <w:rPr>
          <w:rFonts w:ascii="宋体" w:hAnsi="宋体" w:cs="宋体"/>
          <w:sz w:val="24"/>
          <w:szCs w:val="24"/>
          <w:highlight w:val="none"/>
        </w:rPr>
      </w:pPr>
      <w:r>
        <w:rPr>
          <w:rFonts w:hint="default" w:ascii="宋体" w:hAnsi="宋体" w:eastAsia="宋体" w:cs="宋体"/>
          <w:b w:val="0"/>
          <w:bCs w:val="0"/>
          <w:kern w:val="28"/>
          <w:sz w:val="24"/>
          <w:szCs w:val="24"/>
          <w:lang w:val="en-US" w:eastAsia="zh-CN" w:bidi="ar-SA"/>
        </w:rPr>
        <w:t>2.4</w:t>
      </w:r>
      <w:r>
        <w:rPr>
          <w:rFonts w:hint="eastAsia" w:ascii="宋体" w:hAnsi="宋体" w:cs="宋体"/>
          <w:sz w:val="24"/>
          <w:szCs w:val="24"/>
          <w:highlight w:val="none"/>
        </w:rPr>
        <w:t>本合同约定的货物单价为固定价格，在合同执行期间不受政策、法规变化以及汇率浮动、物价指数浮动等影响。但条款2.5的情形除外。</w:t>
      </w:r>
    </w:p>
    <w:p>
      <w:pPr>
        <w:pStyle w:val="53"/>
        <w:numPr>
          <w:ilvl w:val="1"/>
          <w:numId w:val="0"/>
        </w:numPr>
        <w:tabs>
          <w:tab w:val="left" w:pos="560"/>
          <w:tab w:val="right" w:leader="middleDot" w:pos="8400"/>
        </w:tabs>
        <w:spacing w:line="360" w:lineRule="auto"/>
        <w:ind w:left="0" w:leftChars="0" w:firstLine="480" w:firstLineChars="200"/>
        <w:rPr>
          <w:rFonts w:ascii="宋体" w:hAnsi="宋体" w:cs="宋体"/>
          <w:sz w:val="24"/>
          <w:szCs w:val="24"/>
          <w:highlight w:val="none"/>
        </w:rPr>
      </w:pPr>
      <w:r>
        <w:rPr>
          <w:rFonts w:hint="default" w:ascii="宋体" w:hAnsi="宋体" w:eastAsia="宋体" w:cs="宋体"/>
          <w:b w:val="0"/>
          <w:bCs w:val="0"/>
          <w:kern w:val="28"/>
          <w:sz w:val="24"/>
          <w:szCs w:val="24"/>
          <w:lang w:val="en-US" w:eastAsia="zh-CN" w:bidi="ar-SA"/>
        </w:rPr>
        <w:t>2.5</w:t>
      </w:r>
      <w:r>
        <w:rPr>
          <w:rFonts w:hint="eastAsia" w:ascii="宋体" w:hAnsi="宋体" w:cs="宋体"/>
          <w:kern w:val="0"/>
          <w:sz w:val="24"/>
          <w:szCs w:val="24"/>
          <w:highlight w:val="none"/>
          <w:lang w:bidi="ar"/>
        </w:rPr>
        <w:t>在合同执行期间，如国家对涉及税的相关税率进行调整的，则执行最新的规定，以原不含税合同价*（1+新税率），计算合同总价或未履行部分金额。其中原不含税合同价应以原合同价按旧税率换算得出（税率低于3%的合同不适用）。</w:t>
      </w:r>
    </w:p>
    <w:p>
      <w:pPr>
        <w:numPr>
          <w:ilvl w:val="0"/>
          <w:numId w:val="0"/>
        </w:numPr>
        <w:ind w:firstLine="482" w:firstLineChars="200"/>
        <w:rPr>
          <w:rFonts w:ascii="宋体" w:hAnsi="宋体" w:cs="宋体"/>
          <w:b/>
          <w:szCs w:val="24"/>
          <w:highlight w:val="none"/>
        </w:rPr>
      </w:pPr>
      <w:r>
        <w:rPr>
          <w:rFonts w:hint="default" w:ascii="宋体" w:hAnsi="宋体" w:eastAsia="宋体" w:cs="宋体"/>
          <w:b/>
          <w:bCs/>
          <w:color w:val="auto"/>
          <w:kern w:val="2"/>
          <w:sz w:val="24"/>
          <w:szCs w:val="24"/>
          <w:lang w:val="en-US" w:eastAsia="zh-CN" w:bidi="ar-SA"/>
        </w:rPr>
        <w:t>3.</w:t>
      </w:r>
      <w:r>
        <w:rPr>
          <w:rFonts w:hint="eastAsia" w:ascii="宋体" w:hAnsi="宋体" w:cs="宋体"/>
          <w:b/>
          <w:szCs w:val="24"/>
          <w:highlight w:val="none"/>
        </w:rPr>
        <w:t>合同支付</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3.1</w:t>
      </w:r>
      <w:r>
        <w:rPr>
          <w:rFonts w:hint="eastAsia" w:ascii="宋体" w:hAnsi="宋体" w:cs="宋体"/>
          <w:szCs w:val="24"/>
          <w:highlight w:val="none"/>
        </w:rPr>
        <w:t>本合同按照第</w:t>
      </w:r>
      <w:r>
        <w:rPr>
          <w:rFonts w:hint="eastAsia" w:ascii="宋体" w:hAnsi="宋体" w:cs="宋体"/>
          <w:szCs w:val="24"/>
          <w:highlight w:val="none"/>
          <w:lang w:val="en-US" w:eastAsia="zh-CN"/>
        </w:rPr>
        <w:t>②</w:t>
      </w:r>
      <w:r>
        <w:rPr>
          <w:rFonts w:hint="eastAsia" w:ascii="宋体" w:hAnsi="宋体" w:cs="宋体"/>
          <w:szCs w:val="24"/>
          <w:highlight w:val="none"/>
        </w:rPr>
        <w:t>种方式付款。</w:t>
      </w:r>
    </w:p>
    <w:p>
      <w:pPr>
        <w:ind w:firstLine="480"/>
        <w:jc w:val="left"/>
        <w:rPr>
          <w:rFonts w:ascii="宋体" w:hAnsi="宋体" w:cs="宋体"/>
          <w:szCs w:val="24"/>
          <w:highlight w:val="none"/>
        </w:rPr>
      </w:pPr>
      <w:r>
        <w:rPr>
          <w:rFonts w:hint="eastAsia" w:ascii="宋体" w:hAnsi="宋体" w:cs="宋体"/>
          <w:szCs w:val="24"/>
          <w:highlight w:val="none"/>
        </w:rPr>
        <w:t>①无质保金：当批合同货物到货并经甲方验收合格后，在甲方收到乙方提供的以下资料经审核无误后，60日内支付至当批货物结算价款的100%。</w:t>
      </w:r>
    </w:p>
    <w:p>
      <w:pPr>
        <w:ind w:firstLine="480"/>
        <w:jc w:val="left"/>
        <w:rPr>
          <w:rFonts w:ascii="宋体" w:hAnsi="宋体" w:cs="宋体"/>
          <w:szCs w:val="24"/>
          <w:highlight w:val="none"/>
        </w:rPr>
      </w:pPr>
      <w:r>
        <w:rPr>
          <w:rFonts w:hint="eastAsia" w:ascii="宋体" w:hAnsi="宋体" w:cs="宋体"/>
          <w:szCs w:val="24"/>
          <w:highlight w:val="none"/>
        </w:rPr>
        <w:t>②暂扣质保金：当批合同货物到货并经甲方验收合格后，在甲方收到乙方提供的以下资料经审核无误后，60日内支付至当批货物结算价款的95%，其余5%作为售后服务质保金并于</w:t>
      </w:r>
      <w:r>
        <w:rPr>
          <w:rFonts w:hint="eastAsia" w:ascii="宋体" w:hAnsi="宋体" w:cs="宋体"/>
          <w:szCs w:val="24"/>
          <w:highlight w:val="none"/>
          <w:lang w:val="en-US" w:eastAsia="zh-CN"/>
        </w:rPr>
        <w:t>最后一批</w:t>
      </w:r>
      <w:r>
        <w:rPr>
          <w:rFonts w:hint="eastAsia" w:ascii="宋体" w:hAnsi="宋体" w:cs="宋体"/>
          <w:szCs w:val="24"/>
          <w:highlight w:val="none"/>
        </w:rPr>
        <w:t>货物质保期满且无质量异议后60日内予以支付。</w:t>
      </w:r>
    </w:p>
    <w:p>
      <w:pPr>
        <w:ind w:firstLine="480"/>
        <w:jc w:val="left"/>
        <w:rPr>
          <w:rFonts w:ascii="宋体" w:hAnsi="宋体" w:cs="宋体"/>
          <w:szCs w:val="24"/>
          <w:highlight w:val="none"/>
        </w:rPr>
      </w:pPr>
      <w:r>
        <w:rPr>
          <w:rFonts w:hint="eastAsia" w:ascii="宋体" w:hAnsi="宋体" w:cs="宋体"/>
          <w:szCs w:val="24"/>
          <w:highlight w:val="none"/>
        </w:rPr>
        <w:t>（1）乙方出具的本次支付申请；</w:t>
      </w:r>
    </w:p>
    <w:p>
      <w:pPr>
        <w:ind w:firstLine="480"/>
        <w:jc w:val="left"/>
        <w:rPr>
          <w:rFonts w:ascii="宋体" w:hAnsi="宋体" w:cs="宋体"/>
          <w:szCs w:val="24"/>
          <w:highlight w:val="none"/>
        </w:rPr>
      </w:pPr>
      <w:r>
        <w:rPr>
          <w:rFonts w:hint="eastAsia" w:ascii="宋体" w:hAnsi="宋体" w:cs="宋体"/>
          <w:szCs w:val="24"/>
          <w:highlight w:val="none"/>
        </w:rPr>
        <w:t>（2）乙方出具的送货清单（签字、盖章）；</w:t>
      </w:r>
    </w:p>
    <w:p>
      <w:pPr>
        <w:ind w:firstLine="480"/>
        <w:jc w:val="left"/>
        <w:rPr>
          <w:rFonts w:ascii="宋体" w:hAnsi="宋体" w:cs="宋体"/>
          <w:szCs w:val="24"/>
          <w:highlight w:val="none"/>
        </w:rPr>
      </w:pPr>
      <w:r>
        <w:rPr>
          <w:rFonts w:hint="eastAsia" w:ascii="宋体" w:hAnsi="宋体" w:cs="宋体"/>
          <w:szCs w:val="24"/>
          <w:highlight w:val="none"/>
        </w:rPr>
        <w:t>（3）甲方验收合格入库单或验收合格证明；</w:t>
      </w:r>
    </w:p>
    <w:p>
      <w:pPr>
        <w:ind w:firstLine="480"/>
        <w:jc w:val="left"/>
        <w:rPr>
          <w:rFonts w:ascii="宋体" w:hAnsi="宋体" w:cs="宋体"/>
          <w:szCs w:val="24"/>
          <w:highlight w:val="none"/>
        </w:rPr>
      </w:pPr>
      <w:r>
        <w:rPr>
          <w:rFonts w:hint="eastAsia" w:ascii="宋体" w:hAnsi="宋体" w:cs="宋体"/>
          <w:szCs w:val="24"/>
          <w:highlight w:val="none"/>
        </w:rPr>
        <w:t xml:space="preserve">（4）该批次货物100%金额的增值税专用发票 </w:t>
      </w:r>
    </w:p>
    <w:p>
      <w:pPr>
        <w:pStyle w:val="53"/>
        <w:numPr>
          <w:ilvl w:val="1"/>
          <w:numId w:val="0"/>
        </w:numPr>
        <w:tabs>
          <w:tab w:val="left" w:pos="560"/>
          <w:tab w:val="right" w:leader="middleDot" w:pos="8400"/>
        </w:tabs>
        <w:spacing w:line="360" w:lineRule="auto"/>
        <w:ind w:left="0" w:leftChars="0" w:firstLine="480" w:firstLineChars="200"/>
        <w:rPr>
          <w:rFonts w:ascii="宋体" w:hAnsi="宋体" w:cs="宋体"/>
          <w:sz w:val="24"/>
          <w:szCs w:val="24"/>
          <w:highlight w:val="none"/>
        </w:rPr>
      </w:pPr>
      <w:r>
        <w:rPr>
          <w:rFonts w:hint="default" w:ascii="宋体" w:hAnsi="宋体" w:eastAsia="宋体" w:cs="宋体"/>
          <w:b w:val="0"/>
          <w:bCs w:val="0"/>
          <w:kern w:val="28"/>
          <w:sz w:val="24"/>
          <w:szCs w:val="24"/>
          <w:lang w:val="en-US" w:eastAsia="zh-CN" w:bidi="ar-SA"/>
        </w:rPr>
        <w:t>3.2</w:t>
      </w:r>
      <w:r>
        <w:rPr>
          <w:rFonts w:hint="eastAsia" w:ascii="宋体" w:hAnsi="宋体" w:cs="宋体"/>
          <w:sz w:val="24"/>
          <w:szCs w:val="24"/>
          <w:highlight w:val="none"/>
        </w:rPr>
        <w:t>乙方开具的正式发票应标明品名、规格型号、单价、数量、金额等货物明细信息，若供货项目较多发票上无法全部列示可附带销售货物清单。</w:t>
      </w:r>
    </w:p>
    <w:p>
      <w:pPr>
        <w:pStyle w:val="53"/>
        <w:numPr>
          <w:ilvl w:val="1"/>
          <w:numId w:val="0"/>
        </w:numPr>
        <w:tabs>
          <w:tab w:val="left" w:pos="560"/>
          <w:tab w:val="right" w:leader="middleDot" w:pos="8400"/>
        </w:tabs>
        <w:spacing w:line="360" w:lineRule="auto"/>
        <w:ind w:left="0" w:leftChars="0" w:firstLine="480" w:firstLineChars="200"/>
        <w:rPr>
          <w:rFonts w:ascii="宋体" w:hAnsi="宋体" w:cs="宋体"/>
          <w:b/>
          <w:sz w:val="24"/>
          <w:szCs w:val="24"/>
          <w:highlight w:val="none"/>
        </w:rPr>
      </w:pPr>
      <w:r>
        <w:rPr>
          <w:rFonts w:hint="default" w:ascii="宋体" w:hAnsi="宋体" w:eastAsia="宋体" w:cs="宋体"/>
          <w:b w:val="0"/>
          <w:bCs w:val="0"/>
          <w:kern w:val="28"/>
          <w:sz w:val="24"/>
          <w:szCs w:val="24"/>
          <w:lang w:val="en-US" w:eastAsia="zh-CN" w:bidi="ar-SA"/>
        </w:rPr>
        <w:t>3.3</w:t>
      </w:r>
      <w:r>
        <w:rPr>
          <w:rFonts w:hint="eastAsia" w:ascii="宋体" w:hAnsi="宋体" w:cs="宋体"/>
          <w:sz w:val="24"/>
          <w:szCs w:val="24"/>
          <w:highlight w:val="none"/>
        </w:rPr>
        <w:t>乙方应开具与合同义务相符的合规增值税专用发票，若发票内容、税率有误，发票认证超期等原因甲方有权拒收。</w:t>
      </w:r>
    </w:p>
    <w:p>
      <w:pPr>
        <w:numPr>
          <w:ilvl w:val="0"/>
          <w:numId w:val="0"/>
        </w:numPr>
        <w:ind w:firstLine="482" w:firstLineChars="200"/>
        <w:rPr>
          <w:rFonts w:ascii="宋体" w:hAnsi="宋体" w:cs="宋体"/>
          <w:b/>
          <w:bCs/>
          <w:szCs w:val="21"/>
          <w:highlight w:val="none"/>
        </w:rPr>
      </w:pPr>
      <w:r>
        <w:rPr>
          <w:rFonts w:hint="default" w:ascii="宋体" w:hAnsi="宋体" w:eastAsia="宋体" w:cs="宋体"/>
          <w:b/>
          <w:bCs/>
          <w:color w:val="auto"/>
          <w:kern w:val="2"/>
          <w:sz w:val="24"/>
          <w:szCs w:val="21"/>
          <w:lang w:val="en-US" w:eastAsia="zh-CN" w:bidi="ar-SA"/>
        </w:rPr>
        <w:t>4.</w:t>
      </w:r>
      <w:r>
        <w:rPr>
          <w:rFonts w:hint="eastAsia" w:ascii="宋体" w:hAnsi="宋体" w:cs="宋体"/>
          <w:b/>
          <w:bCs/>
          <w:szCs w:val="21"/>
          <w:highlight w:val="none"/>
        </w:rPr>
        <w:t>履约担保（本项目无）</w:t>
      </w:r>
    </w:p>
    <w:p>
      <w:pPr>
        <w:numPr>
          <w:ilvl w:val="0"/>
          <w:numId w:val="0"/>
        </w:numPr>
        <w:ind w:firstLine="482" w:firstLineChars="200"/>
        <w:rPr>
          <w:rFonts w:ascii="宋体" w:hAnsi="宋体" w:cs="宋体"/>
          <w:szCs w:val="24"/>
          <w:highlight w:val="none"/>
        </w:rPr>
      </w:pPr>
      <w:r>
        <w:rPr>
          <w:rFonts w:hint="default" w:ascii="宋体" w:hAnsi="宋体" w:eastAsia="宋体" w:cs="宋体"/>
          <w:b/>
          <w:bCs/>
          <w:color w:val="auto"/>
          <w:kern w:val="2"/>
          <w:sz w:val="24"/>
          <w:szCs w:val="24"/>
          <w:lang w:val="en-US" w:eastAsia="zh-CN" w:bidi="ar-SA"/>
        </w:rPr>
        <w:t>5.</w:t>
      </w:r>
      <w:r>
        <w:rPr>
          <w:rFonts w:hint="eastAsia" w:ascii="宋体" w:hAnsi="宋体" w:cs="宋体"/>
          <w:b/>
          <w:bCs/>
          <w:szCs w:val="24"/>
          <w:highlight w:val="none"/>
        </w:rPr>
        <w:t>预付款（本项目无）</w:t>
      </w:r>
    </w:p>
    <w:p>
      <w:pPr>
        <w:numPr>
          <w:ilvl w:val="0"/>
          <w:numId w:val="0"/>
        </w:numPr>
        <w:ind w:firstLine="482" w:firstLineChars="200"/>
        <w:rPr>
          <w:rFonts w:ascii="宋体" w:hAnsi="宋体" w:cs="宋体"/>
          <w:color w:val="FF0000"/>
          <w:szCs w:val="24"/>
          <w:highlight w:val="none"/>
        </w:rPr>
      </w:pPr>
      <w:r>
        <w:rPr>
          <w:rFonts w:hint="default" w:ascii="宋体" w:hAnsi="宋体" w:eastAsia="宋体" w:cs="宋体"/>
          <w:b/>
          <w:bCs/>
          <w:color w:val="auto"/>
          <w:kern w:val="2"/>
          <w:sz w:val="24"/>
          <w:szCs w:val="24"/>
          <w:lang w:val="en-US" w:eastAsia="zh-CN" w:bidi="ar-SA"/>
        </w:rPr>
        <w:t>6.</w:t>
      </w:r>
      <w:r>
        <w:rPr>
          <w:rFonts w:hint="eastAsia" w:ascii="宋体" w:hAnsi="宋体" w:cs="宋体"/>
          <w:b/>
          <w:szCs w:val="24"/>
          <w:highlight w:val="none"/>
        </w:rPr>
        <w:t>交货和验收</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6.1</w:t>
      </w:r>
      <w:r>
        <w:rPr>
          <w:rFonts w:hint="eastAsia" w:ascii="宋体" w:hAnsi="宋体" w:cs="宋体"/>
          <w:szCs w:val="24"/>
          <w:highlight w:val="none"/>
        </w:rPr>
        <w:t>交货地点：</w:t>
      </w:r>
      <w:r>
        <w:rPr>
          <w:rFonts w:hint="eastAsia" w:ascii="宋体" w:hAnsi="宋体" w:cs="宋体"/>
          <w:szCs w:val="24"/>
          <w:highlight w:val="none"/>
          <w:u w:val="single"/>
        </w:rPr>
        <w:t xml:space="preserve">甲方指定地点 </w:t>
      </w:r>
      <w:r>
        <w:rPr>
          <w:rFonts w:hint="eastAsia" w:ascii="宋体" w:hAnsi="宋体" w:cs="宋体"/>
          <w:szCs w:val="24"/>
          <w:highlight w:val="none"/>
        </w:rPr>
        <w:t>联系电话：</w:t>
      </w:r>
      <w:r>
        <w:rPr>
          <w:rFonts w:hint="eastAsia" w:ascii="宋体" w:hAnsi="宋体" w:cs="宋体"/>
          <w:szCs w:val="24"/>
          <w:highlight w:val="none"/>
          <w:u w:val="single"/>
        </w:rPr>
        <w:t xml:space="preserve">           （按实际）</w:t>
      </w:r>
    </w:p>
    <w:p>
      <w:pPr>
        <w:ind w:firstLine="480"/>
        <w:jc w:val="left"/>
        <w:rPr>
          <w:rFonts w:ascii="宋体" w:hAnsi="宋体" w:cs="宋体"/>
          <w:szCs w:val="24"/>
          <w:highlight w:val="none"/>
        </w:rPr>
      </w:pPr>
      <w:r>
        <w:rPr>
          <w:rFonts w:hint="eastAsia" w:ascii="宋体" w:hAnsi="宋体" w:cs="宋体"/>
          <w:szCs w:val="24"/>
          <w:highlight w:val="none"/>
        </w:rPr>
        <w:t>交货方式：按甲方要求分批交货，落地交货。</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6.2</w:t>
      </w:r>
      <w:r>
        <w:rPr>
          <w:rFonts w:hint="eastAsia" w:ascii="宋体" w:hAnsi="宋体" w:cs="宋体"/>
          <w:szCs w:val="24"/>
          <w:highlight w:val="none"/>
        </w:rPr>
        <w:t>交货时间：采购人每批次订单下达后15个工作日内完成物资交货。</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6.3</w:t>
      </w:r>
      <w:r>
        <w:rPr>
          <w:rFonts w:hint="eastAsia" w:ascii="宋体" w:hAnsi="宋体" w:cs="宋体"/>
          <w:szCs w:val="24"/>
          <w:highlight w:val="none"/>
        </w:rPr>
        <w:t>乙方应按照本合同规定的时间、地点和方式，向甲方交付货物。如未遵循送货规定，由此引起的遗失或损坏等一切问题，由乙方承担全部责任。</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6.4</w:t>
      </w:r>
      <w:r>
        <w:rPr>
          <w:rFonts w:hint="eastAsia" w:ascii="宋体" w:hAnsi="宋体" w:cs="宋体"/>
          <w:szCs w:val="24"/>
          <w:highlight w:val="none"/>
        </w:rPr>
        <w:t>乙方送货时应附有加盖乙方单位公章的详细的《送货清单》，内容应包括本合同编号、货物名称、规格/型号、品牌/生产厂、数量等。乙方须按甲方要求在交货时同时提供生产许可证、质量合格证书或者出具出厂合格证明或第三方出具的检验合格报告等文件，相关技术性能参数符合国家标准或者国际标准。</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6.5</w:t>
      </w:r>
      <w:r>
        <w:rPr>
          <w:rFonts w:hint="eastAsia" w:ascii="宋体" w:hAnsi="宋体" w:cs="宋体"/>
          <w:szCs w:val="24"/>
          <w:highlight w:val="none"/>
        </w:rPr>
        <w:t>当乙方选择第三方物流/快递公司承担运输交货工作时，除需遵照包装、包装标志及环境保护在包装箱的适当位置做出相关标记外，另需在包装箱内附上详细的送货清单，具体内容参照交货和验收相应条款执行。甲方在清点货物时发现的问题，将由乙方承担全部责任。</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6.6</w:t>
      </w:r>
      <w:r>
        <w:rPr>
          <w:rFonts w:hint="eastAsia" w:ascii="宋体" w:hAnsi="宋体" w:cs="宋体"/>
          <w:szCs w:val="24"/>
          <w:highlight w:val="none"/>
        </w:rPr>
        <w:t>乙方交付的货物，应当完全符合本合同所规定的货物名称、数量和规格型号等要求。否则，甲方有权拒收货物，由此引起的风险和损失，由乙方承担。</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6.7</w:t>
      </w:r>
      <w:r>
        <w:rPr>
          <w:rFonts w:hint="eastAsia" w:ascii="宋体" w:hAnsi="宋体" w:cs="宋体"/>
          <w:szCs w:val="24"/>
          <w:highlight w:val="none"/>
        </w:rPr>
        <w:t>甲方应当在到货后对货物进行验收，验收包括：货物名称、规格型号、数量、外观质量及货物包装是否完好，</w:t>
      </w:r>
      <w:r>
        <w:rPr>
          <w:rFonts w:hint="eastAsia" w:ascii="宋体" w:hAnsi="宋体" w:cs="宋体"/>
          <w:szCs w:val="24"/>
          <w:highlight w:val="none"/>
          <w:lang w:val="en-US" w:eastAsia="zh-CN"/>
        </w:rPr>
        <w:t>所提供货物的产品标签</w:t>
      </w:r>
      <w:r>
        <w:rPr>
          <w:rFonts w:hint="eastAsia" w:ascii="宋体" w:hAnsi="宋体" w:cs="宋体"/>
          <w:szCs w:val="24"/>
          <w:highlight w:val="none"/>
        </w:rPr>
        <w:t>是否齐全。</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6.8</w:t>
      </w:r>
      <w:r>
        <w:rPr>
          <w:rFonts w:hint="eastAsia" w:ascii="宋体" w:hAnsi="宋体" w:cs="宋体"/>
          <w:szCs w:val="24"/>
          <w:highlight w:val="none"/>
        </w:rPr>
        <w:t>货物验收按甲方的规定进行（政府有强制验收要求的按政府规定办理），如验收不合格，甲方有权要求乙方在15个工作日内无条件进行更换直至甲方满意为止。乙方在甲方要求的期限内完成换货的，不视为乙方逾期交货。</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6.9</w:t>
      </w:r>
      <w:r>
        <w:rPr>
          <w:rFonts w:hint="eastAsia" w:ascii="宋体" w:hAnsi="宋体" w:cs="宋体"/>
          <w:szCs w:val="24"/>
          <w:highlight w:val="none"/>
        </w:rPr>
        <w:t>验收标准及验收方式。验收标准：验收标准包括但不限于外观验收、开箱检验、质量验收、数量核对等方式。验收方式：到货后1周内，甲方组织需求专业相关人员进行验收。</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6.10</w:t>
      </w:r>
      <w:r>
        <w:rPr>
          <w:rFonts w:hint="eastAsia" w:ascii="宋体" w:hAnsi="宋体" w:cs="宋体"/>
          <w:szCs w:val="24"/>
          <w:highlight w:val="none"/>
        </w:rPr>
        <w:t>合同货物交货验收（合格）后，甲乙双方共同签署交货清单,货物发生灭失或损坏风险由乙方转移至甲方，但货物本身质量引起的除外。</w:t>
      </w:r>
    </w:p>
    <w:p>
      <w:pPr>
        <w:numPr>
          <w:ilvl w:val="0"/>
          <w:numId w:val="0"/>
        </w:numPr>
        <w:ind w:firstLine="482" w:firstLineChars="200"/>
        <w:rPr>
          <w:rFonts w:ascii="宋体" w:hAnsi="宋体" w:cs="宋体"/>
          <w:b/>
          <w:szCs w:val="24"/>
          <w:highlight w:val="none"/>
        </w:rPr>
      </w:pPr>
      <w:r>
        <w:rPr>
          <w:rFonts w:hint="default" w:ascii="宋体" w:hAnsi="宋体" w:eastAsia="宋体" w:cs="宋体"/>
          <w:b/>
          <w:bCs/>
          <w:color w:val="auto"/>
          <w:kern w:val="2"/>
          <w:sz w:val="24"/>
          <w:szCs w:val="24"/>
          <w:lang w:val="en-US" w:eastAsia="zh-CN" w:bidi="ar-SA"/>
        </w:rPr>
        <w:t>7.</w:t>
      </w:r>
      <w:r>
        <w:rPr>
          <w:rFonts w:hint="eastAsia" w:ascii="宋体" w:hAnsi="宋体" w:cs="宋体"/>
          <w:b/>
          <w:szCs w:val="24"/>
          <w:highlight w:val="none"/>
        </w:rPr>
        <w:t>保密</w:t>
      </w:r>
    </w:p>
    <w:p>
      <w:pPr>
        <w:ind w:firstLine="480"/>
        <w:jc w:val="left"/>
        <w:rPr>
          <w:rFonts w:ascii="宋体" w:hAnsi="宋体" w:cs="宋体"/>
          <w:szCs w:val="24"/>
          <w:highlight w:val="none"/>
        </w:rPr>
      </w:pPr>
      <w:r>
        <w:rPr>
          <w:rFonts w:hint="eastAsia" w:ascii="宋体" w:hAnsi="宋体" w:cs="宋体"/>
          <w:szCs w:val="24"/>
          <w:highlight w:val="none"/>
        </w:rPr>
        <w:t>乙方应对所有参与该项目的人员加强保密性教育，对在工作过程中接触到的甲方的任何资料，负有为甲方保密的责任，未经甲方书面同意不得外传甲方任何文件及规章制度。乙方必须严格保密甲方的生产信息，坚决杜绝无事生非，造谣生事现象的出现。由于乙方原因给甲方造成的损失由乙方赔偿，同时追究乙方相应责任。本保密义务在本协议期满、解除或终止后仍然有效。</w:t>
      </w:r>
    </w:p>
    <w:p>
      <w:pPr>
        <w:numPr>
          <w:ilvl w:val="0"/>
          <w:numId w:val="0"/>
        </w:numPr>
        <w:ind w:firstLine="482" w:firstLineChars="200"/>
        <w:rPr>
          <w:rFonts w:ascii="宋体" w:hAnsi="宋体" w:cs="宋体"/>
          <w:bCs/>
          <w:snapToGrid w:val="0"/>
          <w:szCs w:val="24"/>
          <w:highlight w:val="none"/>
        </w:rPr>
      </w:pPr>
      <w:r>
        <w:rPr>
          <w:rFonts w:hint="default" w:ascii="宋体" w:hAnsi="宋体" w:eastAsia="宋体" w:cs="宋体"/>
          <w:b/>
          <w:bCs/>
          <w:snapToGrid w:val="0"/>
          <w:color w:val="auto"/>
          <w:kern w:val="2"/>
          <w:sz w:val="24"/>
          <w:szCs w:val="24"/>
          <w:lang w:val="en-US" w:eastAsia="zh-CN" w:bidi="ar-SA"/>
        </w:rPr>
        <w:t>8.</w:t>
      </w:r>
      <w:r>
        <w:rPr>
          <w:rFonts w:hint="eastAsia" w:ascii="宋体" w:hAnsi="宋体" w:cs="宋体"/>
          <w:b/>
          <w:szCs w:val="24"/>
          <w:highlight w:val="none"/>
        </w:rPr>
        <w:t>知识产权</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8.1</w:t>
      </w:r>
      <w:r>
        <w:rPr>
          <w:rFonts w:hint="eastAsia" w:ascii="宋体" w:hAnsi="宋体" w:cs="宋体"/>
          <w:szCs w:val="24"/>
          <w:highlight w:val="none"/>
        </w:rPr>
        <w:t>乙方保证其所提供的货物包括但不限于涉及的元素、字体等，均系自主研发、设计或者经过第三方合法授权，没有违反国家的有关出版管理的法律和侵犯第三方的权利。如因本合同项下的货物与第三人包括有关国家管理部门发生任何争议，争议的解决以及由此产生的后果均由乙方负责和承担，乙方除应更换新的设计方案、货物外，还应赔偿甲方由此产生的所有损失（含直接损失和间接损失及律师费、诉讼费、赔偿款等）。</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8.2</w:t>
      </w:r>
      <w:r>
        <w:rPr>
          <w:rFonts w:hint="eastAsia" w:ascii="宋体" w:hAnsi="宋体" w:cs="宋体"/>
          <w:szCs w:val="24"/>
          <w:highlight w:val="none"/>
        </w:rPr>
        <w:t>乙方应保证甲方在使用本合同货物或其任何一部分时免受第三方提出侵犯其知识产权的起诉。如本合同项下设计方案/货物或其任何部分被依法认定为侵犯第三人的合法权利，或任何依约定使用该货物或行使任何由乙方授予的权利被认定为侵权的，乙方应采取必要的措施为甲方免费更换所涉及的货物等，或取得相关授权，以使甲方能够继续享有本合同所规定的各项权利。</w:t>
      </w:r>
    </w:p>
    <w:p>
      <w:pPr>
        <w:numPr>
          <w:ilvl w:val="0"/>
          <w:numId w:val="0"/>
        </w:numPr>
        <w:ind w:firstLine="482" w:firstLineChars="200"/>
        <w:rPr>
          <w:rFonts w:ascii="宋体" w:hAnsi="宋体" w:cs="宋体"/>
          <w:b/>
          <w:szCs w:val="24"/>
          <w:highlight w:val="none"/>
        </w:rPr>
      </w:pPr>
      <w:r>
        <w:rPr>
          <w:rFonts w:hint="default" w:ascii="宋体" w:hAnsi="宋体" w:eastAsia="宋体" w:cs="宋体"/>
          <w:b/>
          <w:bCs/>
          <w:color w:val="auto"/>
          <w:kern w:val="2"/>
          <w:sz w:val="24"/>
          <w:szCs w:val="24"/>
          <w:lang w:val="en-US" w:eastAsia="zh-CN" w:bidi="ar-SA"/>
        </w:rPr>
        <w:t>9.</w:t>
      </w:r>
      <w:r>
        <w:rPr>
          <w:rFonts w:hint="eastAsia" w:ascii="宋体" w:hAnsi="宋体" w:cs="宋体"/>
          <w:b/>
          <w:szCs w:val="24"/>
          <w:highlight w:val="none"/>
        </w:rPr>
        <w:t>包装、包装标志及环境保护</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9.1</w:t>
      </w:r>
      <w:r>
        <w:rPr>
          <w:rFonts w:hint="eastAsia" w:ascii="宋体" w:hAnsi="宋体" w:cs="宋体"/>
          <w:szCs w:val="24"/>
          <w:highlight w:val="none"/>
        </w:rPr>
        <w:t>乙方对所提供的货物应采用保护措施进行包装，乙方应对包装不妥造成的货物残损及其他损失承担责任。包装材料应采用可回收材料并确保不会造成环境污染。货物标识必须明确规范，标识种类包括但不限于特殊携带要求标识和危险品警示标识等。</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9.2</w:t>
      </w:r>
      <w:r>
        <w:rPr>
          <w:rFonts w:hint="eastAsia" w:ascii="宋体" w:hAnsi="宋体" w:cs="宋体"/>
          <w:szCs w:val="24"/>
          <w:highlight w:val="none"/>
        </w:rPr>
        <w:t>乙方在交付货物时，需确定货物外包装上注明有：生产日期、质保期等信息。如果货物包装上没有该类信息，或信息会导致歧义，甲方有权要求乙方提供证明性文件加以说明。如果甲方有需要，还可要求乙方提供货物的货源证明。</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9.3</w:t>
      </w:r>
      <w:r>
        <w:rPr>
          <w:rFonts w:hint="eastAsia" w:ascii="宋体" w:hAnsi="宋体" w:cs="宋体"/>
          <w:szCs w:val="24"/>
          <w:highlight w:val="none"/>
        </w:rPr>
        <w:t>如货物需要甲方协助装卸，装卸过程中所发生的损失由乙方承担。</w:t>
      </w:r>
    </w:p>
    <w:p>
      <w:pPr>
        <w:numPr>
          <w:ilvl w:val="0"/>
          <w:numId w:val="0"/>
        </w:numPr>
        <w:ind w:firstLine="482" w:firstLineChars="200"/>
        <w:rPr>
          <w:rFonts w:ascii="宋体" w:hAnsi="宋体" w:cs="宋体"/>
          <w:b/>
          <w:szCs w:val="24"/>
          <w:highlight w:val="none"/>
        </w:rPr>
      </w:pPr>
      <w:r>
        <w:rPr>
          <w:rFonts w:hint="default" w:ascii="宋体" w:hAnsi="宋体" w:eastAsia="宋体" w:cs="宋体"/>
          <w:b/>
          <w:bCs/>
          <w:color w:val="auto"/>
          <w:kern w:val="2"/>
          <w:sz w:val="24"/>
          <w:szCs w:val="24"/>
          <w:lang w:val="en-US" w:eastAsia="zh-CN" w:bidi="ar-SA"/>
        </w:rPr>
        <w:t>10.</w:t>
      </w:r>
      <w:r>
        <w:rPr>
          <w:rFonts w:hint="eastAsia" w:ascii="宋体" w:hAnsi="宋体" w:cs="宋体"/>
          <w:b/>
          <w:szCs w:val="24"/>
          <w:highlight w:val="none"/>
        </w:rPr>
        <w:t>质量保证与质保期</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10.1</w:t>
      </w:r>
      <w:r>
        <w:rPr>
          <w:rFonts w:hint="eastAsia" w:ascii="宋体" w:hAnsi="宋体" w:cs="宋体"/>
          <w:szCs w:val="24"/>
          <w:highlight w:val="none"/>
        </w:rPr>
        <w:t>乙方应保证货物是全新、未使用过的原装合格正品，非长期积压(注：对于有产品有效期的货物交货日期距离生产日期不得大于有效期的30%)的库存商品，并完全符合生产企业或国家规定的质量、规格和性能的要求。如有假冒伪劣产品，除换货外，还应给予甲方该货物合同价2倍的赔偿。</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10.2</w:t>
      </w:r>
      <w:r>
        <w:rPr>
          <w:rFonts w:hint="eastAsia" w:ascii="宋体" w:hAnsi="宋体" w:cs="宋体"/>
          <w:szCs w:val="24"/>
          <w:highlight w:val="none"/>
        </w:rPr>
        <w:t>乙方所提供的货物若技术性能无特殊说明，则按生产企业或国家有关部门最新颁布的标准及规范为准。对于国家强制性产品认证（CCC认证）目录内的产品必须获得3C认证证书及标志，否则甲方将不接收相关货物。</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10.3</w:t>
      </w:r>
      <w:r>
        <w:rPr>
          <w:rFonts w:hint="eastAsia" w:ascii="宋体" w:hAnsi="宋体" w:cs="宋体"/>
          <w:szCs w:val="24"/>
          <w:highlight w:val="none"/>
        </w:rPr>
        <w:t>乙方应保证其提供的货物在正确安装、正常使用和保养的条件下，在其使用寿命内具有良好的性能。货物验收后，乙方应对由于产品设计缺陷、质量缺陷、其它内在缺陷等原因造成的损失负责，所需费用由乙方承担。</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10.4</w:t>
      </w:r>
      <w:r>
        <w:rPr>
          <w:rFonts w:hint="eastAsia" w:ascii="宋体" w:hAnsi="宋体" w:cs="宋体"/>
          <w:szCs w:val="24"/>
          <w:highlight w:val="none"/>
        </w:rPr>
        <w:t>乙方出售的产品如因内在的缺陷，造成人身、他人财产损害的，乙方应当按照《中华人民共和国产品质量法》</w:t>
      </w:r>
      <w:bookmarkStart w:id="14" w:name="_Hlk18494033"/>
      <w:r>
        <w:rPr>
          <w:rFonts w:hint="eastAsia" w:ascii="宋体" w:hAnsi="宋体" w:cs="宋体"/>
          <w:szCs w:val="24"/>
          <w:highlight w:val="none"/>
        </w:rPr>
        <w:t>及相关法律法规的</w:t>
      </w:r>
      <w:bookmarkEnd w:id="14"/>
      <w:r>
        <w:rPr>
          <w:rFonts w:hint="eastAsia" w:ascii="宋体" w:hAnsi="宋体" w:cs="宋体"/>
          <w:szCs w:val="24"/>
          <w:highlight w:val="none"/>
        </w:rPr>
        <w:t>规定承担责任。</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10.5</w:t>
      </w:r>
      <w:r>
        <w:rPr>
          <w:rFonts w:hint="eastAsia" w:ascii="宋体" w:hAnsi="宋体" w:cs="宋体"/>
          <w:szCs w:val="24"/>
          <w:highlight w:val="none"/>
        </w:rPr>
        <w:t>质保期</w:t>
      </w:r>
    </w:p>
    <w:p>
      <w:pPr>
        <w:ind w:firstLine="504"/>
        <w:jc w:val="left"/>
        <w:rPr>
          <w:rFonts w:ascii="宋体" w:hAnsi="宋体" w:cs="宋体"/>
          <w:spacing w:val="6"/>
          <w:szCs w:val="24"/>
          <w:highlight w:val="none"/>
        </w:rPr>
      </w:pPr>
      <w:r>
        <w:rPr>
          <w:rFonts w:hint="eastAsia" w:ascii="宋体" w:hAnsi="宋体" w:cs="宋体"/>
          <w:spacing w:val="6"/>
          <w:szCs w:val="24"/>
          <w:highlight w:val="none"/>
        </w:rPr>
        <w:t>10.5.1自货物验收合格之日起（从次日起算）</w:t>
      </w:r>
      <w:r>
        <w:rPr>
          <w:rFonts w:hint="eastAsia" w:ascii="宋体" w:hAnsi="宋体" w:cs="宋体"/>
          <w:spacing w:val="6"/>
          <w:szCs w:val="24"/>
          <w:highlight w:val="none"/>
          <w:lang w:val="en-US" w:eastAsia="zh-CN"/>
        </w:rPr>
        <w:t>6</w:t>
      </w:r>
      <w:r>
        <w:rPr>
          <w:rFonts w:hint="eastAsia" w:ascii="宋体" w:hAnsi="宋体" w:cs="宋体"/>
          <w:spacing w:val="6"/>
          <w:szCs w:val="24"/>
          <w:highlight w:val="none"/>
        </w:rPr>
        <w:t>个月为质保期。（货物依法标注有效期或国家有期限规定的，其有效期大于质保期的，从其规定）。</w:t>
      </w:r>
    </w:p>
    <w:p>
      <w:pPr>
        <w:pStyle w:val="10"/>
        <w:ind w:firstLine="504"/>
        <w:rPr>
          <w:rFonts w:hint="eastAsia" w:ascii="宋体" w:hAnsi="宋体" w:eastAsia="宋体" w:cs="宋体"/>
          <w:spacing w:val="6"/>
          <w:kern w:val="2"/>
          <w:sz w:val="24"/>
          <w:szCs w:val="24"/>
          <w:highlight w:val="none"/>
          <w:lang w:val="en-US" w:eastAsia="zh-CN" w:bidi="ar-SA"/>
        </w:rPr>
      </w:pPr>
      <w:r>
        <w:rPr>
          <w:rFonts w:hint="eastAsia" w:ascii="宋体" w:hAnsi="宋体" w:eastAsia="宋体" w:cs="宋体"/>
          <w:spacing w:val="6"/>
          <w:kern w:val="2"/>
          <w:sz w:val="24"/>
          <w:szCs w:val="24"/>
          <w:highlight w:val="none"/>
          <w:lang w:val="en-US" w:eastAsia="zh-CN" w:bidi="ar-SA"/>
        </w:rPr>
        <w:t>10.5.2在质保期内正常使用中甲方如发现乙方产品有质量问题，乙方需在15个日历天内负责包修、包换或者包退，并承担调换或退货所产生的费用。乙方不</w:t>
      </w:r>
    </w:p>
    <w:p>
      <w:pPr>
        <w:pStyle w:val="10"/>
        <w:ind w:left="0" w:leftChars="0" w:firstLine="0" w:firstLineChars="0"/>
        <w:rPr>
          <w:rFonts w:hint="eastAsia" w:ascii="宋体" w:hAnsi="宋体" w:eastAsia="宋体" w:cs="宋体"/>
          <w:spacing w:val="6"/>
          <w:kern w:val="2"/>
          <w:sz w:val="24"/>
          <w:szCs w:val="24"/>
          <w:highlight w:val="none"/>
          <w:lang w:val="en-US" w:eastAsia="zh-CN" w:bidi="ar-SA"/>
        </w:rPr>
      </w:pPr>
      <w:r>
        <w:rPr>
          <w:rFonts w:hint="eastAsia" w:ascii="宋体" w:hAnsi="宋体" w:eastAsia="宋体" w:cs="宋体"/>
          <w:spacing w:val="6"/>
          <w:kern w:val="2"/>
          <w:sz w:val="24"/>
          <w:szCs w:val="24"/>
          <w:highlight w:val="none"/>
          <w:lang w:val="en-US" w:eastAsia="zh-CN" w:bidi="ar-SA"/>
        </w:rPr>
        <w:t>能修理和不能调换的，按不能交货处理。</w:t>
      </w:r>
    </w:p>
    <w:p>
      <w:pPr>
        <w:pStyle w:val="10"/>
        <w:ind w:firstLine="504"/>
        <w:rPr>
          <w:rFonts w:hint="eastAsia" w:hAnsi="宋体" w:eastAsia="宋体" w:cs="宋体"/>
          <w:spacing w:val="6"/>
          <w:sz w:val="24"/>
          <w:szCs w:val="24"/>
          <w:highlight w:val="none"/>
          <w:lang w:eastAsia="zh-CN"/>
        </w:rPr>
      </w:pPr>
      <w:r>
        <w:rPr>
          <w:rFonts w:hint="eastAsia" w:hAnsi="宋体" w:cs="宋体"/>
          <w:spacing w:val="6"/>
          <w:sz w:val="24"/>
          <w:szCs w:val="24"/>
          <w:highlight w:val="none"/>
        </w:rPr>
        <w:t>10.5.3若处于质保期的</w:t>
      </w:r>
      <w:r>
        <w:rPr>
          <w:rFonts w:hint="eastAsia" w:hAnsi="宋体" w:cs="宋体"/>
          <w:spacing w:val="6"/>
          <w:sz w:val="24"/>
          <w:szCs w:val="24"/>
          <w:highlight w:val="none"/>
          <w:lang w:val="en-US" w:eastAsia="zh-CN"/>
        </w:rPr>
        <w:t>货物</w:t>
      </w:r>
      <w:r>
        <w:rPr>
          <w:rFonts w:hint="eastAsia" w:hAnsi="宋体" w:cs="宋体"/>
          <w:spacing w:val="6"/>
          <w:sz w:val="24"/>
          <w:szCs w:val="24"/>
          <w:highlight w:val="none"/>
        </w:rPr>
        <w:t>损坏需要更换时，质保期从更换之日起重新计算</w:t>
      </w:r>
      <w:r>
        <w:rPr>
          <w:rFonts w:hint="eastAsia" w:hAnsi="宋体" w:cs="宋体"/>
          <w:spacing w:val="6"/>
          <w:sz w:val="24"/>
          <w:szCs w:val="24"/>
          <w:highlight w:val="none"/>
          <w:lang w:eastAsia="zh-CN"/>
        </w:rPr>
        <w:t>。</w:t>
      </w:r>
    </w:p>
    <w:p>
      <w:pPr>
        <w:numPr>
          <w:ilvl w:val="0"/>
          <w:numId w:val="0"/>
        </w:numPr>
        <w:ind w:firstLine="482" w:firstLineChars="200"/>
        <w:rPr>
          <w:rFonts w:ascii="宋体" w:hAnsi="宋体" w:cs="宋体"/>
          <w:szCs w:val="24"/>
          <w:highlight w:val="none"/>
        </w:rPr>
      </w:pPr>
      <w:r>
        <w:rPr>
          <w:rFonts w:hint="default" w:ascii="宋体" w:hAnsi="宋体" w:eastAsia="宋体" w:cs="宋体"/>
          <w:b/>
          <w:bCs/>
          <w:color w:val="auto"/>
          <w:kern w:val="2"/>
          <w:sz w:val="24"/>
          <w:szCs w:val="24"/>
          <w:lang w:val="en-US" w:eastAsia="zh-CN" w:bidi="ar-SA"/>
        </w:rPr>
        <w:t>11.</w:t>
      </w:r>
      <w:r>
        <w:rPr>
          <w:rFonts w:hint="eastAsia" w:ascii="宋体" w:hAnsi="宋体" w:cs="宋体"/>
          <w:b/>
          <w:szCs w:val="24"/>
          <w:highlight w:val="none"/>
        </w:rPr>
        <w:t>伴随服务／售后服务</w:t>
      </w:r>
      <w:r>
        <w:rPr>
          <w:rFonts w:hint="eastAsia" w:ascii="宋体" w:hAnsi="宋体" w:cs="宋体"/>
          <w:b/>
          <w:bCs/>
          <w:szCs w:val="24"/>
          <w:highlight w:val="none"/>
        </w:rPr>
        <w:t>（如有请适用）</w:t>
      </w:r>
    </w:p>
    <w:p>
      <w:pPr>
        <w:numPr>
          <w:ilvl w:val="0"/>
          <w:numId w:val="0"/>
        </w:numPr>
        <w:ind w:firstLine="482" w:firstLineChars="200"/>
        <w:rPr>
          <w:rFonts w:ascii="宋体" w:hAnsi="宋体" w:cs="宋体"/>
          <w:szCs w:val="24"/>
          <w:highlight w:val="none"/>
        </w:rPr>
      </w:pPr>
      <w:r>
        <w:rPr>
          <w:rFonts w:hint="default" w:ascii="宋体" w:hAnsi="宋体" w:eastAsia="宋体" w:cs="宋体"/>
          <w:b/>
          <w:bCs/>
          <w:color w:val="auto"/>
          <w:kern w:val="2"/>
          <w:sz w:val="24"/>
          <w:szCs w:val="24"/>
          <w:lang w:val="en-US" w:eastAsia="zh-CN" w:bidi="ar-SA"/>
        </w:rPr>
        <w:t>12.</w:t>
      </w:r>
      <w:r>
        <w:rPr>
          <w:rFonts w:hint="eastAsia" w:ascii="宋体" w:hAnsi="宋体" w:cs="宋体"/>
          <w:b/>
          <w:szCs w:val="24"/>
          <w:highlight w:val="none"/>
        </w:rPr>
        <w:t>违约责任</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12.1</w:t>
      </w:r>
      <w:r>
        <w:rPr>
          <w:rFonts w:hint="eastAsia" w:ascii="宋体" w:hAnsi="宋体" w:cs="宋体"/>
          <w:szCs w:val="24"/>
          <w:highlight w:val="none"/>
        </w:rPr>
        <w:t>除双方书面同意延迟到货的情况外，乙方逾期交货，每逾期一日,甲方可扣除未交付货物金额</w:t>
      </w:r>
      <w:r>
        <w:rPr>
          <w:rFonts w:hint="eastAsia" w:ascii="宋体" w:hAnsi="宋体" w:cs="宋体"/>
          <w:szCs w:val="24"/>
          <w:highlight w:val="none"/>
          <w:u w:val="single"/>
        </w:rPr>
        <w:t>5</w:t>
      </w:r>
      <w:r>
        <w:rPr>
          <w:rFonts w:hint="eastAsia" w:ascii="宋体" w:hAnsi="宋体" w:cs="宋体"/>
          <w:szCs w:val="24"/>
          <w:highlight w:val="none"/>
        </w:rPr>
        <w:t>‰作为违约金，但该违约金累计不超过签约合同价的10%；因不可抗力造成的延迟交付，到货时间可相应延长。逾期超过20日仍不能交货的或经甲方书面催告后，仍未在要求的时间内供货的，甲方有权单方解除合同。</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12.2</w:t>
      </w:r>
      <w:r>
        <w:rPr>
          <w:rFonts w:hint="eastAsia" w:ascii="宋体" w:hAnsi="宋体" w:cs="宋体"/>
          <w:szCs w:val="24"/>
          <w:highlight w:val="none"/>
        </w:rPr>
        <w:t>交货检验过程中，如不合格率低于2%，则更换不合格品，且处以不合格品价值10%的违约金；如不合格率高于2%，则甲方有权拒绝接收该批货物，乙方按该批货物价款的10%向甲方支付违约金。</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12.3</w:t>
      </w:r>
      <w:r>
        <w:rPr>
          <w:rFonts w:hint="eastAsia" w:ascii="宋体" w:hAnsi="宋体" w:cs="宋体"/>
          <w:szCs w:val="24"/>
          <w:highlight w:val="none"/>
        </w:rPr>
        <w:t>乙方所交付的货物品种、规格型号、技术参数等不符合合同的规定，甲方有权拒收。乙方应在甲方要求的合理时间内更换不符合品。</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12.4</w:t>
      </w:r>
      <w:r>
        <w:rPr>
          <w:rFonts w:hint="eastAsia" w:ascii="宋体" w:hAnsi="宋体" w:cs="宋体"/>
          <w:szCs w:val="24"/>
          <w:highlight w:val="none"/>
        </w:rPr>
        <w:t>如乙方无法按合同约定的货物的型号规格、性能、交货时间等要求供货，要求变更，除非原生产厂家出具了型号规格已停产或替代的证明文件，且停产、替代时间是在报价截止时间之后，并获得甲方书面同意，否则，乙方应向甲方支付该合同项下货物价格150%的违约金。</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12.5</w:t>
      </w:r>
      <w:r>
        <w:rPr>
          <w:rFonts w:hint="eastAsia" w:ascii="宋体" w:hAnsi="宋体" w:cs="宋体"/>
          <w:szCs w:val="24"/>
          <w:highlight w:val="none"/>
        </w:rPr>
        <w:t>在乙方承诺的质保期内，如经乙方2次维修或更换，货物仍不能达到合同约定的质量标准，甲方有权退货，乙方应退还所退货物的全部货款，并向甲方支付所退货物货款总额5％的违约金。</w:t>
      </w:r>
    </w:p>
    <w:p>
      <w:pPr>
        <w:numPr>
          <w:ilvl w:val="1"/>
          <w:numId w:val="0"/>
        </w:numPr>
        <w:ind w:left="0" w:leftChars="0" w:firstLine="480" w:firstLineChars="200"/>
        <w:jc w:val="left"/>
        <w:rPr>
          <w:rFonts w:hint="eastAsia" w:ascii="宋体" w:hAnsi="宋体" w:cs="宋体"/>
          <w:szCs w:val="24"/>
          <w:highlight w:val="none"/>
        </w:rPr>
      </w:pPr>
      <w:r>
        <w:rPr>
          <w:rFonts w:hint="default" w:ascii="宋体" w:hAnsi="宋体" w:eastAsia="宋体" w:cs="宋体"/>
          <w:b w:val="0"/>
          <w:bCs w:val="0"/>
          <w:kern w:val="2"/>
          <w:sz w:val="24"/>
          <w:szCs w:val="24"/>
          <w:lang w:val="en-US" w:eastAsia="zh-CN" w:bidi="ar-SA"/>
        </w:rPr>
        <w:t>12.6</w:t>
      </w:r>
      <w:r>
        <w:rPr>
          <w:rFonts w:hint="eastAsia" w:ascii="宋体" w:hAnsi="宋体" w:cs="宋体"/>
          <w:szCs w:val="24"/>
          <w:highlight w:val="none"/>
        </w:rPr>
        <w:t>乙方在质保期内不履行保修</w:t>
      </w:r>
      <w:r>
        <w:rPr>
          <w:rFonts w:hint="eastAsia" w:ascii="宋体" w:hAnsi="宋体" w:cs="宋体"/>
          <w:szCs w:val="24"/>
          <w:highlight w:val="none"/>
          <w:lang w:val="en-US" w:eastAsia="zh-CN"/>
        </w:rPr>
        <w:t>退换</w:t>
      </w:r>
      <w:r>
        <w:rPr>
          <w:rFonts w:hint="eastAsia" w:ascii="宋体" w:hAnsi="宋体" w:cs="宋体"/>
          <w:szCs w:val="24"/>
          <w:highlight w:val="none"/>
        </w:rPr>
        <w:t>义务或拖延履行保修</w:t>
      </w:r>
      <w:r>
        <w:rPr>
          <w:rFonts w:hint="eastAsia" w:ascii="宋体" w:hAnsi="宋体" w:cs="宋体"/>
          <w:szCs w:val="24"/>
          <w:highlight w:val="none"/>
          <w:lang w:val="en-US" w:eastAsia="zh-CN"/>
        </w:rPr>
        <w:t>退换</w:t>
      </w:r>
      <w:r>
        <w:rPr>
          <w:rFonts w:hint="eastAsia" w:ascii="宋体" w:hAnsi="宋体" w:cs="宋体"/>
          <w:szCs w:val="24"/>
          <w:highlight w:val="none"/>
        </w:rPr>
        <w:t>义务的，甲方有权扣除质保金或要求承担</w:t>
      </w:r>
      <w:r>
        <w:rPr>
          <w:rFonts w:hint="eastAsia" w:ascii="宋体" w:hAnsi="宋体" w:cs="宋体"/>
          <w:szCs w:val="24"/>
          <w:highlight w:val="none"/>
          <w:lang w:val="en-US" w:eastAsia="zh-CN"/>
        </w:rPr>
        <w:t>合同金额</w:t>
      </w:r>
      <w:r>
        <w:rPr>
          <w:rFonts w:hint="eastAsia" w:ascii="宋体" w:hAnsi="宋体" w:cs="宋体"/>
          <w:szCs w:val="24"/>
          <w:highlight w:val="none"/>
        </w:rPr>
        <w:t>5%违约金。</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12.7</w:t>
      </w:r>
      <w:r>
        <w:rPr>
          <w:rFonts w:hint="eastAsia" w:ascii="宋体" w:hAnsi="宋体" w:cs="宋体"/>
          <w:szCs w:val="24"/>
          <w:highlight w:val="none"/>
        </w:rPr>
        <w:t>因乙方原因导致合同不能履行，造成甲方损失的，甲方有权按实际损失情况要求乙方承担赔偿责任。</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12.8</w:t>
      </w:r>
      <w:r>
        <w:rPr>
          <w:rFonts w:hint="eastAsia" w:ascii="宋体" w:hAnsi="宋体" w:cs="宋体"/>
          <w:szCs w:val="24"/>
          <w:highlight w:val="none"/>
        </w:rPr>
        <w:t>乙方违反合同交货和验收条款的，甲方扣除签约合同价的20%作为违约金,如造成甲方损失超过违约金的，超出部分由乙方承担赔偿责任。</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12.9</w:t>
      </w:r>
      <w:r>
        <w:rPr>
          <w:rFonts w:hint="eastAsia" w:ascii="宋体" w:hAnsi="宋体" w:cs="宋体"/>
          <w:szCs w:val="24"/>
          <w:highlight w:val="none"/>
        </w:rPr>
        <w:t>对于合同中所列的违约金和赔偿款，甲方有权从货款或质保金中扣除。所有违约金和赔偿款的支付，不免除乙方继续履行合同义务，也不减轻乙方合同项下的其他责任和义务。各个条款的违约金等违约责任，甲方有权并列适用。如违约金不能弥补乙方对甲方造成的损失，乙方还需另行承担相应的赔偿。</w:t>
      </w:r>
    </w:p>
    <w:p>
      <w:pPr>
        <w:numPr>
          <w:ilvl w:val="0"/>
          <w:numId w:val="0"/>
        </w:numPr>
        <w:ind w:firstLine="482" w:firstLineChars="200"/>
        <w:rPr>
          <w:rFonts w:ascii="宋体" w:hAnsi="宋体" w:cs="宋体"/>
          <w:bCs/>
          <w:snapToGrid w:val="0"/>
          <w:szCs w:val="24"/>
          <w:highlight w:val="none"/>
        </w:rPr>
      </w:pPr>
      <w:r>
        <w:rPr>
          <w:rFonts w:hint="default" w:ascii="宋体" w:hAnsi="宋体" w:eastAsia="宋体" w:cs="宋体"/>
          <w:b/>
          <w:bCs/>
          <w:snapToGrid w:val="0"/>
          <w:color w:val="auto"/>
          <w:kern w:val="2"/>
          <w:sz w:val="24"/>
          <w:szCs w:val="24"/>
          <w:lang w:val="en-US" w:eastAsia="zh-CN" w:bidi="ar-SA"/>
        </w:rPr>
        <w:t>13.</w:t>
      </w:r>
      <w:r>
        <w:rPr>
          <w:rFonts w:hint="eastAsia" w:ascii="宋体" w:hAnsi="宋体" w:cs="宋体"/>
          <w:b/>
          <w:szCs w:val="24"/>
          <w:highlight w:val="none"/>
        </w:rPr>
        <w:t>不可抗力</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13.1</w:t>
      </w:r>
      <w:r>
        <w:rPr>
          <w:rFonts w:hint="eastAsia" w:ascii="宋体" w:hAnsi="宋体" w:cs="宋体"/>
          <w:szCs w:val="24"/>
          <w:highlight w:val="none"/>
        </w:rPr>
        <w:t xml:space="preserve"> 本合同中不可抗力是指不能预见、不能避免并不能克服的客观情况，包括但不限于自然灾害、战争、武装冲突、社会动乱、暴乱或按照本条的定义构成不可抗力的其他事件。</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13.2</w:t>
      </w:r>
      <w:r>
        <w:rPr>
          <w:rFonts w:hint="eastAsia" w:ascii="宋体" w:hAnsi="宋体" w:cs="宋体"/>
          <w:szCs w:val="24"/>
          <w:highlight w:val="none"/>
        </w:rPr>
        <w:t xml:space="preserve"> 任何一方由于不可抗力而影响合同义务履行时，可根据不可抗力的影响程度和范围延迟或免除履行部分或全部合同义务。但是受不可抗力影响的一方应尽量减小不可抗力引起的延误或其他不利影响，并在不可抗力影响消除后，立即通知对方。任何一方不得因不可抗力造成的延迟而要求调整合同价格。</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13.3</w:t>
      </w:r>
      <w:r>
        <w:rPr>
          <w:rFonts w:hint="eastAsia" w:ascii="宋体" w:hAnsi="宋体" w:cs="宋体"/>
          <w:szCs w:val="24"/>
          <w:highlight w:val="none"/>
        </w:rPr>
        <w:t xml:space="preserve"> 受到不可抗力影响的一方应在不可抗力事件发生后2周内，取得有关部门关于发生不可抗力事件的证明文件，并以传真等书面形式提交另一方确认。否则，无权以不可抗力为由要求减轻或免除合同责任。</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13.4</w:t>
      </w:r>
      <w:r>
        <w:rPr>
          <w:rFonts w:hint="eastAsia" w:ascii="宋体" w:hAnsi="宋体" w:cs="宋体"/>
          <w:szCs w:val="24"/>
          <w:highlight w:val="none"/>
        </w:rPr>
        <w:t xml:space="preserve"> 如果不可抗力事件的影响已达30天或双方预计不可抗力事件的影响将延续30天以上时，任何一方有权终止本合同。由于合同终止所引起的后续问题由双方友好协商解决。</w:t>
      </w:r>
    </w:p>
    <w:p>
      <w:pPr>
        <w:numPr>
          <w:ilvl w:val="0"/>
          <w:numId w:val="0"/>
        </w:numPr>
        <w:ind w:firstLine="482" w:firstLineChars="200"/>
        <w:rPr>
          <w:rFonts w:ascii="宋体" w:hAnsi="宋体" w:cs="宋体"/>
          <w:bCs/>
          <w:snapToGrid w:val="0"/>
          <w:szCs w:val="24"/>
          <w:highlight w:val="none"/>
        </w:rPr>
      </w:pPr>
      <w:r>
        <w:rPr>
          <w:rFonts w:hint="default" w:ascii="宋体" w:hAnsi="宋体" w:eastAsia="宋体" w:cs="宋体"/>
          <w:b/>
          <w:bCs/>
          <w:snapToGrid w:val="0"/>
          <w:color w:val="auto"/>
          <w:kern w:val="2"/>
          <w:sz w:val="24"/>
          <w:szCs w:val="24"/>
          <w:lang w:val="en-US" w:eastAsia="zh-CN" w:bidi="ar-SA"/>
        </w:rPr>
        <w:t>14.</w:t>
      </w:r>
      <w:r>
        <w:rPr>
          <w:rFonts w:hint="eastAsia" w:ascii="宋体" w:hAnsi="宋体" w:cs="宋体"/>
          <w:b/>
          <w:szCs w:val="24"/>
          <w:highlight w:val="none"/>
        </w:rPr>
        <w:t>合同的变更、终止</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14.1</w:t>
      </w:r>
      <w:r>
        <w:rPr>
          <w:rFonts w:hint="eastAsia" w:ascii="宋体" w:hAnsi="宋体" w:cs="宋体"/>
          <w:szCs w:val="24"/>
          <w:highlight w:val="none"/>
        </w:rPr>
        <w:t>除非甲乙双方签署书面变更协议，并成为本合同不可分割的一部分之情形外，本合同的条款不得有任何变化或修改。</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14.2</w:t>
      </w:r>
      <w:r>
        <w:rPr>
          <w:rFonts w:hint="eastAsia" w:ascii="宋体" w:hAnsi="宋体" w:cs="宋体"/>
          <w:szCs w:val="24"/>
          <w:highlight w:val="none"/>
        </w:rPr>
        <w:t>本合同一经签订，甲乙双方不得擅自中止或终止合同。</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14.3</w:t>
      </w:r>
      <w:r>
        <w:rPr>
          <w:rFonts w:hint="eastAsia" w:ascii="宋体" w:hAnsi="宋体" w:cs="宋体"/>
          <w:szCs w:val="24"/>
          <w:highlight w:val="none"/>
        </w:rPr>
        <w:t>当乙方破产或无清偿、履约能力时，甲方可在任何时候以书面通知乙方解除（终止）合同，该解除（终止）合同以不损害或影响甲方已采取或将采取补救措施的任何权利为条件，亦不影响合同既有债权、债务的依法处理。</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14.4</w:t>
      </w:r>
      <w:r>
        <w:rPr>
          <w:rFonts w:hint="eastAsia" w:ascii="宋体" w:hAnsi="宋体" w:cs="宋体"/>
          <w:szCs w:val="24"/>
          <w:highlight w:val="none"/>
        </w:rPr>
        <w:t xml:space="preserve"> 乙方不得擅自部分或全部转让其应履行的合同义务，如甲方发现乙方有甲方不能接受的转让行为，甲方有权中止或解除合同，由此所造成的损失由乙方承担。</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14.5</w:t>
      </w:r>
      <w:r>
        <w:rPr>
          <w:rFonts w:hint="eastAsia" w:ascii="宋体" w:hAnsi="宋体" w:cs="宋体"/>
          <w:szCs w:val="24"/>
          <w:highlight w:val="none"/>
        </w:rPr>
        <w:t>本合同出现以下任一情况的自动终止：</w:t>
      </w:r>
    </w:p>
    <w:p>
      <w:pPr>
        <w:ind w:firstLine="480"/>
        <w:rPr>
          <w:rFonts w:ascii="宋体" w:hAnsi="宋体" w:cs="宋体"/>
          <w:szCs w:val="24"/>
          <w:highlight w:val="none"/>
        </w:rPr>
      </w:pPr>
      <w:r>
        <w:rPr>
          <w:rFonts w:hint="eastAsia" w:ascii="宋体" w:hAnsi="宋体" w:cs="宋体"/>
          <w:szCs w:val="24"/>
          <w:highlight w:val="none"/>
        </w:rPr>
        <w:t>（1）法律规定的终止情形；</w:t>
      </w:r>
    </w:p>
    <w:p>
      <w:pPr>
        <w:ind w:firstLine="480"/>
        <w:rPr>
          <w:rFonts w:ascii="宋体" w:hAnsi="宋体" w:cs="宋体"/>
          <w:szCs w:val="24"/>
          <w:highlight w:val="none"/>
        </w:rPr>
      </w:pPr>
      <w:r>
        <w:rPr>
          <w:rFonts w:hint="eastAsia" w:ascii="宋体" w:hAnsi="宋体" w:cs="宋体"/>
          <w:szCs w:val="24"/>
          <w:highlight w:val="none"/>
        </w:rPr>
        <w:t>（2）合同约定的期限届满；</w:t>
      </w:r>
    </w:p>
    <w:p>
      <w:pPr>
        <w:ind w:firstLine="480"/>
        <w:rPr>
          <w:rFonts w:ascii="宋体" w:hAnsi="宋体" w:cs="宋体"/>
          <w:szCs w:val="24"/>
          <w:highlight w:val="none"/>
        </w:rPr>
      </w:pPr>
      <w:r>
        <w:rPr>
          <w:rFonts w:hint="eastAsia" w:ascii="宋体" w:hAnsi="宋体" w:cs="宋体"/>
          <w:szCs w:val="24"/>
          <w:highlight w:val="none"/>
        </w:rPr>
        <w:t>（3）合同约定的总金额/权利义务履行完毕；</w:t>
      </w:r>
    </w:p>
    <w:p>
      <w:pPr>
        <w:ind w:firstLine="480"/>
        <w:rPr>
          <w:rFonts w:ascii="宋体" w:hAnsi="宋体" w:cs="宋体"/>
          <w:szCs w:val="24"/>
          <w:highlight w:val="none"/>
        </w:rPr>
      </w:pPr>
      <w:r>
        <w:rPr>
          <w:rFonts w:hint="eastAsia" w:ascii="宋体" w:hAnsi="宋体" w:cs="宋体"/>
          <w:szCs w:val="24"/>
          <w:highlight w:val="none"/>
        </w:rPr>
        <w:t>（4）本合同中约定的其他终止情形出现。</w:t>
      </w:r>
    </w:p>
    <w:p>
      <w:pPr>
        <w:numPr>
          <w:ilvl w:val="0"/>
          <w:numId w:val="0"/>
        </w:numPr>
        <w:ind w:firstLine="482" w:firstLineChars="200"/>
        <w:rPr>
          <w:rFonts w:ascii="宋体" w:hAnsi="宋体" w:cs="宋体"/>
          <w:szCs w:val="24"/>
          <w:highlight w:val="none"/>
        </w:rPr>
      </w:pPr>
      <w:r>
        <w:rPr>
          <w:rFonts w:hint="default" w:ascii="宋体" w:hAnsi="宋体" w:eastAsia="宋体" w:cs="宋体"/>
          <w:b/>
          <w:bCs/>
          <w:color w:val="auto"/>
          <w:kern w:val="2"/>
          <w:sz w:val="24"/>
          <w:szCs w:val="24"/>
          <w:lang w:val="en-US" w:eastAsia="zh-CN" w:bidi="ar-SA"/>
        </w:rPr>
        <w:t>15.</w:t>
      </w:r>
      <w:r>
        <w:rPr>
          <w:rFonts w:hint="eastAsia" w:ascii="宋体" w:hAnsi="宋体" w:cs="宋体"/>
          <w:b/>
          <w:szCs w:val="24"/>
          <w:highlight w:val="none"/>
        </w:rPr>
        <w:t>适用法律与争议解决</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15.1</w:t>
      </w:r>
      <w:r>
        <w:rPr>
          <w:rFonts w:hint="eastAsia" w:ascii="宋体" w:hAnsi="宋体" w:cs="宋体"/>
          <w:szCs w:val="24"/>
          <w:highlight w:val="none"/>
        </w:rPr>
        <w:t>本合同的效力、履行及任何争议仅适用中华人民共和国法律。</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15.2</w:t>
      </w:r>
      <w:r>
        <w:rPr>
          <w:rFonts w:hint="eastAsia" w:ascii="宋体" w:hAnsi="宋体" w:cs="宋体"/>
          <w:szCs w:val="24"/>
          <w:highlight w:val="none"/>
        </w:rPr>
        <w:t>因履行本合同引起的或与本合同有关的争议，买卖双方应通过协商或调解解决，如果协商不成，提交南通仲裁委员会仲裁。</w:t>
      </w:r>
    </w:p>
    <w:p>
      <w:pPr>
        <w:numPr>
          <w:ilvl w:val="0"/>
          <w:numId w:val="0"/>
        </w:numPr>
        <w:ind w:firstLine="482" w:firstLineChars="200"/>
        <w:rPr>
          <w:rFonts w:ascii="宋体" w:hAnsi="宋体" w:cs="宋体"/>
          <w:b/>
          <w:bCs/>
          <w:szCs w:val="24"/>
          <w:highlight w:val="none"/>
        </w:rPr>
      </w:pPr>
      <w:r>
        <w:rPr>
          <w:rFonts w:hint="default" w:ascii="宋体" w:hAnsi="宋体" w:eastAsia="宋体" w:cs="宋体"/>
          <w:b/>
          <w:bCs/>
          <w:color w:val="auto"/>
          <w:kern w:val="2"/>
          <w:sz w:val="24"/>
          <w:szCs w:val="24"/>
          <w:lang w:val="en-US" w:eastAsia="zh-CN" w:bidi="ar-SA"/>
        </w:rPr>
        <w:t>16.</w:t>
      </w:r>
      <w:r>
        <w:rPr>
          <w:rFonts w:hint="eastAsia" w:ascii="宋体" w:hAnsi="宋体" w:cs="宋体"/>
          <w:b/>
          <w:bCs/>
          <w:szCs w:val="24"/>
          <w:highlight w:val="none"/>
        </w:rPr>
        <w:t xml:space="preserve"> 合同生效条件及其他</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16.1</w:t>
      </w:r>
      <w:r>
        <w:rPr>
          <w:rFonts w:hint="eastAsia" w:ascii="宋体" w:hAnsi="宋体" w:cs="宋体"/>
          <w:szCs w:val="24"/>
          <w:highlight w:val="none"/>
        </w:rPr>
        <w:t>本合同自甲乙双方盖章之日起生效，合同有效期为</w:t>
      </w:r>
      <w:r>
        <w:rPr>
          <w:rFonts w:hint="eastAsia" w:ascii="宋体" w:hAnsi="宋体" w:cs="宋体"/>
          <w:szCs w:val="24"/>
          <w:highlight w:val="none"/>
          <w:lang w:val="en-US" w:eastAsia="zh-CN"/>
        </w:rPr>
        <w:t>3</w:t>
      </w:r>
      <w:r>
        <w:rPr>
          <w:rFonts w:hint="eastAsia" w:ascii="宋体" w:hAnsi="宋体" w:cs="宋体"/>
          <w:szCs w:val="24"/>
          <w:highlight w:val="none"/>
        </w:rPr>
        <w:t xml:space="preserve">年。 </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16.2</w:t>
      </w:r>
      <w:r>
        <w:rPr>
          <w:rFonts w:hint="eastAsia" w:ascii="宋体" w:hAnsi="宋体" w:cs="宋体"/>
          <w:szCs w:val="24"/>
          <w:highlight w:val="none"/>
        </w:rPr>
        <w:t>下列文件是本合同不可分割的组成部分，本合同未尽事宜从其规定，相互解释，互为说明。除合同另有规定外，其优先顺序如下：</w:t>
      </w:r>
    </w:p>
    <w:p>
      <w:pPr>
        <w:ind w:firstLine="480"/>
        <w:rPr>
          <w:rFonts w:ascii="宋体" w:hAnsi="宋体" w:cs="宋体"/>
          <w:szCs w:val="24"/>
          <w:highlight w:val="none"/>
        </w:rPr>
      </w:pPr>
      <w:r>
        <w:rPr>
          <w:rFonts w:hint="eastAsia" w:ascii="宋体" w:hAnsi="宋体" w:cs="宋体"/>
          <w:szCs w:val="24"/>
          <w:highlight w:val="none"/>
        </w:rPr>
        <w:t>1）合同谈判过程中的澄清文件、会议纪要、合同附件；</w:t>
      </w:r>
    </w:p>
    <w:p>
      <w:pPr>
        <w:ind w:firstLine="480"/>
        <w:rPr>
          <w:rFonts w:ascii="宋体" w:hAnsi="宋体" w:cs="宋体"/>
          <w:szCs w:val="24"/>
          <w:highlight w:val="none"/>
        </w:rPr>
      </w:pPr>
      <w:r>
        <w:rPr>
          <w:rFonts w:hint="eastAsia" w:ascii="宋体" w:hAnsi="宋体" w:cs="宋体"/>
          <w:szCs w:val="24"/>
          <w:highlight w:val="none"/>
        </w:rPr>
        <w:t>2）成交确认通知书；</w:t>
      </w:r>
    </w:p>
    <w:p>
      <w:pPr>
        <w:ind w:firstLine="480"/>
        <w:rPr>
          <w:rFonts w:ascii="宋体" w:hAnsi="宋体" w:cs="宋体"/>
          <w:szCs w:val="24"/>
          <w:highlight w:val="none"/>
        </w:rPr>
      </w:pPr>
      <w:r>
        <w:rPr>
          <w:rFonts w:hint="eastAsia" w:ascii="宋体" w:hAnsi="宋体" w:cs="宋体"/>
          <w:szCs w:val="24"/>
          <w:highlight w:val="none"/>
        </w:rPr>
        <w:t>3）采购文件；</w:t>
      </w:r>
    </w:p>
    <w:p>
      <w:pPr>
        <w:ind w:firstLine="480"/>
        <w:rPr>
          <w:rFonts w:ascii="宋体" w:hAnsi="宋体" w:cs="宋体"/>
          <w:szCs w:val="24"/>
          <w:highlight w:val="none"/>
        </w:rPr>
      </w:pPr>
      <w:r>
        <w:rPr>
          <w:rFonts w:hint="eastAsia" w:ascii="宋体" w:hAnsi="宋体" w:cs="宋体"/>
          <w:szCs w:val="24"/>
          <w:highlight w:val="none"/>
        </w:rPr>
        <w:t>4）响应文件；</w:t>
      </w:r>
    </w:p>
    <w:p>
      <w:pPr>
        <w:ind w:firstLine="480"/>
        <w:rPr>
          <w:rFonts w:ascii="宋体" w:hAnsi="宋体" w:cs="宋体"/>
          <w:szCs w:val="24"/>
          <w:highlight w:val="none"/>
        </w:rPr>
      </w:pPr>
      <w:r>
        <w:rPr>
          <w:rFonts w:hint="eastAsia" w:ascii="宋体" w:hAnsi="宋体" w:cs="宋体"/>
          <w:szCs w:val="24"/>
          <w:highlight w:val="none"/>
        </w:rPr>
        <w:t>5）其他协议文件（包括但不限于甲方的相关管理办法和规定）。</w:t>
      </w:r>
    </w:p>
    <w:p>
      <w:pPr>
        <w:numPr>
          <w:ilvl w:val="1"/>
          <w:numId w:val="0"/>
        </w:numPr>
        <w:ind w:left="0" w:leftChars="0" w:firstLine="480" w:firstLineChars="200"/>
        <w:jc w:val="left"/>
        <w:rPr>
          <w:rFonts w:ascii="宋体" w:hAnsi="宋体" w:cs="宋体"/>
          <w:szCs w:val="24"/>
          <w:highlight w:val="none"/>
        </w:rPr>
      </w:pPr>
      <w:r>
        <w:rPr>
          <w:rFonts w:hint="default" w:ascii="宋体" w:hAnsi="宋体" w:eastAsia="宋体" w:cs="宋体"/>
          <w:b w:val="0"/>
          <w:bCs w:val="0"/>
          <w:kern w:val="2"/>
          <w:sz w:val="24"/>
          <w:szCs w:val="24"/>
          <w:lang w:val="en-US" w:eastAsia="zh-CN" w:bidi="ar-SA"/>
        </w:rPr>
        <w:t>16.3</w:t>
      </w:r>
      <w:r>
        <w:rPr>
          <w:rFonts w:hint="eastAsia" w:ascii="宋体" w:hAnsi="宋体" w:cs="宋体"/>
          <w:szCs w:val="24"/>
          <w:highlight w:val="none"/>
        </w:rPr>
        <w:t xml:space="preserve"> 本合同（包括附件）一式拾份，正本贰份，买卖双方各执壹份；副本捌份，甲方执陆份，乙方执贰份，具有同等效力。</w:t>
      </w:r>
    </w:p>
    <w:p>
      <w:pPr>
        <w:ind w:firstLine="720" w:firstLineChars="300"/>
        <w:rPr>
          <w:rFonts w:ascii="宋体" w:hAnsi="宋体" w:cs="宋体"/>
          <w:szCs w:val="24"/>
          <w:highlight w:val="none"/>
        </w:rPr>
      </w:pPr>
      <w:r>
        <w:rPr>
          <w:rFonts w:hint="eastAsia" w:ascii="宋体" w:hAnsi="宋体" w:cs="宋体"/>
          <w:szCs w:val="24"/>
          <w:highlight w:val="none"/>
        </w:rPr>
        <w:t>下列附件作为本合同的组成部分对双方具有约束力：</w:t>
      </w:r>
    </w:p>
    <w:p>
      <w:pPr>
        <w:ind w:left="720" w:leftChars="300" w:firstLine="480"/>
        <w:rPr>
          <w:rFonts w:ascii="宋体" w:hAnsi="宋体" w:cs="宋体"/>
          <w:szCs w:val="24"/>
          <w:highlight w:val="none"/>
        </w:rPr>
      </w:pPr>
      <w:r>
        <w:rPr>
          <w:rFonts w:hint="eastAsia" w:ascii="宋体" w:hAnsi="宋体" w:cs="宋体"/>
          <w:szCs w:val="24"/>
          <w:highlight w:val="none"/>
        </w:rPr>
        <w:t xml:space="preserve">附件1：货物清单  </w:t>
      </w:r>
    </w:p>
    <w:p>
      <w:pPr>
        <w:ind w:firstLine="1200" w:firstLineChars="500"/>
        <w:rPr>
          <w:rFonts w:ascii="宋体" w:hAnsi="宋体" w:cs="宋体"/>
          <w:szCs w:val="24"/>
          <w:highlight w:val="none"/>
        </w:rPr>
      </w:pPr>
      <w:r>
        <w:rPr>
          <w:rFonts w:hint="eastAsia" w:ascii="宋体" w:hAnsi="宋体" w:cs="宋体"/>
          <w:szCs w:val="24"/>
          <w:highlight w:val="none"/>
        </w:rPr>
        <w:t xml:space="preserve">附件2：廉政合同  </w:t>
      </w:r>
    </w:p>
    <w:p>
      <w:pPr>
        <w:spacing w:line="400" w:lineRule="exact"/>
        <w:ind w:firstLine="480"/>
        <w:rPr>
          <w:rFonts w:ascii="宋体" w:hAnsi="宋体" w:cs="宋体"/>
          <w:szCs w:val="24"/>
          <w:highlight w:val="none"/>
        </w:rPr>
      </w:pPr>
    </w:p>
    <w:p>
      <w:pPr>
        <w:ind w:firstLine="720" w:firstLineChars="300"/>
        <w:rPr>
          <w:rFonts w:ascii="宋体" w:hAnsi="宋体" w:cs="宋体"/>
          <w:szCs w:val="24"/>
          <w:highlight w:val="none"/>
        </w:rPr>
      </w:pPr>
    </w:p>
    <w:p>
      <w:pPr>
        <w:ind w:firstLine="480"/>
        <w:jc w:val="left"/>
        <w:rPr>
          <w:rFonts w:ascii="宋体" w:hAnsi="宋体" w:cs="宋体"/>
          <w:szCs w:val="24"/>
          <w:highlight w:val="none"/>
        </w:rPr>
      </w:pPr>
      <w:r>
        <w:rPr>
          <w:rFonts w:hint="eastAsia" w:ascii="宋体" w:hAnsi="宋体" w:cs="宋体"/>
          <w:szCs w:val="24"/>
          <w:highlight w:val="none"/>
        </w:rPr>
        <w:t>甲方（盖章）：</w:t>
      </w:r>
      <w:r>
        <w:rPr>
          <w:rFonts w:hint="eastAsia" w:ascii="宋体" w:hAnsi="宋体" w:cs="宋体"/>
          <w:szCs w:val="24"/>
          <w:highlight w:val="none"/>
          <w:u w:val="single"/>
        </w:rPr>
        <w:t>南通轨道交通集团有限公司</w:t>
      </w:r>
      <w:r>
        <w:rPr>
          <w:rFonts w:hint="eastAsia" w:ascii="宋体" w:hAnsi="宋体" w:cs="宋体"/>
          <w:szCs w:val="24"/>
          <w:highlight w:val="none"/>
        </w:rPr>
        <w:t xml:space="preserve">     乙方（盖章）：</w:t>
      </w:r>
      <w:r>
        <w:rPr>
          <w:rFonts w:hint="eastAsia" w:ascii="宋体" w:hAnsi="宋体" w:cs="宋体"/>
          <w:szCs w:val="24"/>
          <w:highlight w:val="none"/>
          <w:u w:val="single"/>
        </w:rPr>
        <w:t xml:space="preserve">                     </w:t>
      </w:r>
    </w:p>
    <w:p>
      <w:pPr>
        <w:ind w:firstLine="1735" w:firstLineChars="723"/>
        <w:rPr>
          <w:rFonts w:ascii="宋体" w:hAnsi="宋体" w:cs="宋体"/>
          <w:szCs w:val="24"/>
          <w:highlight w:val="none"/>
          <w:u w:val="single"/>
        </w:rPr>
      </w:pPr>
      <w:r>
        <w:rPr>
          <w:rFonts w:hint="eastAsia" w:ascii="宋体" w:hAnsi="宋体" w:cs="宋体"/>
          <w:szCs w:val="24"/>
          <w:highlight w:val="none"/>
          <w:u w:val="single"/>
        </w:rPr>
        <w:t xml:space="preserve">运营分公司              </w:t>
      </w:r>
      <w:r>
        <w:rPr>
          <w:rFonts w:hint="eastAsia" w:ascii="宋体" w:hAnsi="宋体" w:cs="宋体"/>
          <w:szCs w:val="24"/>
          <w:highlight w:val="none"/>
        </w:rPr>
        <w:t xml:space="preserve">                   </w:t>
      </w:r>
      <w:r>
        <w:rPr>
          <w:rFonts w:hint="eastAsia" w:ascii="宋体" w:hAnsi="宋体" w:cs="宋体"/>
          <w:szCs w:val="24"/>
          <w:highlight w:val="none"/>
          <w:u w:val="single"/>
        </w:rPr>
        <w:t xml:space="preserve">                      </w:t>
      </w:r>
    </w:p>
    <w:p>
      <w:pPr>
        <w:ind w:firstLine="480"/>
        <w:jc w:val="left"/>
        <w:rPr>
          <w:rFonts w:ascii="宋体" w:hAnsi="宋体" w:cs="宋体"/>
          <w:szCs w:val="24"/>
          <w:highlight w:val="none"/>
        </w:rPr>
      </w:pPr>
      <w:r>
        <w:rPr>
          <w:rFonts w:hint="eastAsia" w:ascii="宋体" w:hAnsi="宋体" w:cs="宋体"/>
          <w:szCs w:val="24"/>
          <w:highlight w:val="none"/>
        </w:rPr>
        <w:t>法定代表人或                               法定代表人或</w:t>
      </w:r>
    </w:p>
    <w:p>
      <w:pPr>
        <w:ind w:firstLine="480"/>
        <w:jc w:val="left"/>
        <w:rPr>
          <w:rFonts w:ascii="宋体" w:hAnsi="宋体" w:cs="宋体"/>
          <w:szCs w:val="24"/>
          <w:highlight w:val="none"/>
        </w:rPr>
      </w:pPr>
      <w:r>
        <w:rPr>
          <w:rFonts w:hint="eastAsia" w:ascii="宋体" w:hAnsi="宋体" w:cs="宋体"/>
          <w:szCs w:val="24"/>
          <w:highlight w:val="none"/>
        </w:rPr>
        <w:t>其授权委托人（签字或盖章）：</w:t>
      </w:r>
      <w:r>
        <w:rPr>
          <w:rFonts w:hint="eastAsia" w:ascii="宋体" w:hAnsi="宋体" w:cs="宋体"/>
          <w:szCs w:val="24"/>
          <w:highlight w:val="none"/>
          <w:u w:val="single"/>
        </w:rPr>
        <w:t xml:space="preserve">           </w:t>
      </w:r>
      <w:r>
        <w:rPr>
          <w:rFonts w:hint="eastAsia" w:ascii="宋体" w:hAnsi="宋体" w:cs="宋体"/>
          <w:szCs w:val="24"/>
          <w:highlight w:val="none"/>
        </w:rPr>
        <w:t xml:space="preserve">    其授权委托人（签字或盖章）：</w:t>
      </w:r>
      <w:r>
        <w:rPr>
          <w:rFonts w:hint="eastAsia" w:ascii="宋体" w:hAnsi="宋体" w:cs="宋体"/>
          <w:szCs w:val="24"/>
          <w:highlight w:val="none"/>
          <w:u w:val="single"/>
        </w:rPr>
        <w:t xml:space="preserve">        </w:t>
      </w:r>
    </w:p>
    <w:p>
      <w:pPr>
        <w:ind w:firstLine="480"/>
        <w:jc w:val="left"/>
        <w:rPr>
          <w:rFonts w:ascii="宋体" w:hAnsi="宋体" w:cs="宋体"/>
          <w:szCs w:val="24"/>
          <w:highlight w:val="none"/>
        </w:rPr>
      </w:pPr>
      <w:r>
        <w:rPr>
          <w:rFonts w:hint="eastAsia" w:ascii="宋体" w:hAnsi="宋体" w:cs="宋体"/>
          <w:szCs w:val="24"/>
          <w:highlight w:val="none"/>
        </w:rPr>
        <w:t>日期：</w:t>
      </w:r>
      <w:r>
        <w:rPr>
          <w:rFonts w:hint="eastAsia" w:ascii="宋体" w:hAnsi="宋体" w:cs="宋体"/>
          <w:szCs w:val="24"/>
          <w:highlight w:val="none"/>
          <w:u w:val="single"/>
        </w:rPr>
        <w:t xml:space="preserve">                                 </w:t>
      </w:r>
      <w:r>
        <w:rPr>
          <w:rFonts w:hint="eastAsia" w:ascii="宋体" w:hAnsi="宋体" w:cs="宋体"/>
          <w:szCs w:val="24"/>
          <w:highlight w:val="none"/>
        </w:rPr>
        <w:t xml:space="preserve">    日期：</w:t>
      </w:r>
      <w:r>
        <w:rPr>
          <w:rFonts w:hint="eastAsia" w:ascii="宋体" w:hAnsi="宋体" w:cs="宋体"/>
          <w:szCs w:val="24"/>
          <w:highlight w:val="none"/>
          <w:u w:val="single"/>
        </w:rPr>
        <w:t xml:space="preserve">                              </w:t>
      </w:r>
    </w:p>
    <w:p>
      <w:pPr>
        <w:ind w:firstLine="480"/>
        <w:jc w:val="left"/>
        <w:rPr>
          <w:rFonts w:ascii="宋体" w:hAnsi="宋体" w:cs="宋体"/>
          <w:szCs w:val="24"/>
          <w:highlight w:val="none"/>
        </w:rPr>
      </w:pPr>
      <w:r>
        <w:rPr>
          <w:rFonts w:hint="eastAsia" w:ascii="宋体" w:hAnsi="宋体" w:cs="宋体"/>
          <w:szCs w:val="24"/>
          <w:highlight w:val="none"/>
        </w:rPr>
        <w:t>地址：</w:t>
      </w:r>
      <w:r>
        <w:rPr>
          <w:rFonts w:hint="eastAsia" w:ascii="宋体" w:hAnsi="宋体" w:cs="宋体"/>
          <w:szCs w:val="24"/>
          <w:highlight w:val="none"/>
          <w:u w:val="single"/>
        </w:rPr>
        <w:t xml:space="preserve">南通市通州区平潮镇               </w:t>
      </w:r>
      <w:r>
        <w:rPr>
          <w:rFonts w:hint="eastAsia" w:ascii="宋体" w:hAnsi="宋体" w:cs="宋体"/>
          <w:szCs w:val="24"/>
          <w:highlight w:val="none"/>
        </w:rPr>
        <w:t xml:space="preserve">    地址：</w:t>
      </w:r>
      <w:r>
        <w:rPr>
          <w:rFonts w:hint="eastAsia" w:ascii="宋体" w:hAnsi="宋体" w:cs="宋体"/>
          <w:szCs w:val="24"/>
          <w:highlight w:val="none"/>
          <w:u w:val="single"/>
        </w:rPr>
        <w:t xml:space="preserve">                              </w:t>
      </w:r>
    </w:p>
    <w:p>
      <w:pPr>
        <w:ind w:firstLine="720" w:firstLineChars="300"/>
        <w:jc w:val="left"/>
        <w:rPr>
          <w:rFonts w:ascii="宋体" w:hAnsi="宋体" w:cs="宋体"/>
          <w:szCs w:val="24"/>
          <w:highlight w:val="none"/>
        </w:rPr>
      </w:pPr>
      <w:r>
        <w:rPr>
          <w:rFonts w:hint="eastAsia" w:ascii="宋体" w:hAnsi="宋体" w:cs="宋体"/>
          <w:szCs w:val="24"/>
          <w:highlight w:val="none"/>
          <w:u w:val="single"/>
        </w:rPr>
        <w:t xml:space="preserve">南通轨道交通集团平东车辆段       </w:t>
      </w:r>
      <w:r>
        <w:rPr>
          <w:rFonts w:hint="eastAsia" w:ascii="宋体" w:hAnsi="宋体" w:cs="宋体"/>
          <w:szCs w:val="24"/>
          <w:highlight w:val="none"/>
        </w:rPr>
        <w:t xml:space="preserve">          </w:t>
      </w:r>
      <w:r>
        <w:rPr>
          <w:rFonts w:hint="eastAsia" w:ascii="宋体" w:hAnsi="宋体" w:cs="宋体"/>
          <w:szCs w:val="24"/>
          <w:highlight w:val="none"/>
          <w:u w:val="single"/>
        </w:rPr>
        <w:t xml:space="preserve">                              </w:t>
      </w:r>
    </w:p>
    <w:p>
      <w:pPr>
        <w:ind w:firstLine="480"/>
        <w:jc w:val="left"/>
        <w:rPr>
          <w:rFonts w:ascii="宋体" w:hAnsi="宋体" w:cs="宋体"/>
          <w:szCs w:val="21"/>
          <w:highlight w:val="none"/>
        </w:rPr>
      </w:pPr>
      <w:r>
        <w:rPr>
          <w:rFonts w:hint="eastAsia" w:ascii="宋体" w:hAnsi="宋体" w:cs="宋体"/>
          <w:szCs w:val="24"/>
          <w:highlight w:val="none"/>
        </w:rPr>
        <w:t>电话：</w:t>
      </w:r>
      <w:r>
        <w:rPr>
          <w:rFonts w:hint="eastAsia" w:ascii="宋体" w:hAnsi="宋体" w:cs="宋体"/>
          <w:szCs w:val="24"/>
          <w:highlight w:val="none"/>
          <w:u w:val="single"/>
        </w:rPr>
        <w:t xml:space="preserve">                                 </w:t>
      </w:r>
      <w:r>
        <w:rPr>
          <w:rFonts w:hint="eastAsia" w:ascii="宋体" w:hAnsi="宋体" w:cs="宋体"/>
          <w:szCs w:val="24"/>
          <w:highlight w:val="none"/>
        </w:rPr>
        <w:t xml:space="preserve">    电话：</w:t>
      </w:r>
      <w:r>
        <w:rPr>
          <w:rFonts w:hint="eastAsia" w:ascii="宋体" w:hAnsi="宋体" w:cs="宋体"/>
          <w:szCs w:val="24"/>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pPr>
        <w:snapToGrid w:val="0"/>
        <w:ind w:firstLine="480"/>
        <w:rPr>
          <w:rFonts w:ascii="宋体" w:hAnsi="宋体" w:cs="宋体"/>
          <w:szCs w:val="21"/>
          <w:highlight w:val="none"/>
        </w:rPr>
        <w:sectPr>
          <w:type w:val="continuous"/>
          <w:pgSz w:w="11906" w:h="16838"/>
          <w:pgMar w:top="1440" w:right="1440" w:bottom="1440" w:left="1587" w:header="850" w:footer="850" w:gutter="0"/>
          <w:pgNumType w:fmt="decimal"/>
          <w:cols w:space="720" w:num="1"/>
        </w:sectPr>
      </w:pPr>
    </w:p>
    <w:p>
      <w:pPr>
        <w:ind w:firstLine="482"/>
        <w:rPr>
          <w:rFonts w:ascii="宋体" w:hAnsi="宋体" w:cs="宋体"/>
          <w:b/>
          <w:bCs/>
          <w:szCs w:val="21"/>
          <w:highlight w:val="none"/>
        </w:rPr>
      </w:pPr>
      <w:r>
        <w:rPr>
          <w:rFonts w:hint="eastAsia" w:ascii="宋体" w:hAnsi="宋体" w:cs="宋体"/>
          <w:b/>
          <w:bCs/>
          <w:szCs w:val="21"/>
          <w:highlight w:val="none"/>
        </w:rPr>
        <w:t>附件1</w:t>
      </w:r>
    </w:p>
    <w:p>
      <w:pPr>
        <w:ind w:firstLine="157" w:firstLineChars="49"/>
        <w:jc w:val="center"/>
        <w:rPr>
          <w:rFonts w:ascii="宋体" w:hAnsi="宋体" w:cs="宋体"/>
          <w:b/>
          <w:sz w:val="32"/>
          <w:szCs w:val="36"/>
          <w:highlight w:val="none"/>
        </w:rPr>
      </w:pPr>
      <w:r>
        <w:rPr>
          <w:rFonts w:hint="eastAsia" w:ascii="宋体" w:hAnsi="宋体" w:cs="宋体"/>
          <w:b/>
          <w:sz w:val="32"/>
          <w:szCs w:val="36"/>
          <w:highlight w:val="none"/>
        </w:rPr>
        <w:t>货 物 清 单</w:t>
      </w:r>
    </w:p>
    <w:p>
      <w:pPr>
        <w:ind w:firstLine="102" w:firstLineChars="49"/>
        <w:jc w:val="left"/>
        <w:rPr>
          <w:rFonts w:ascii="宋体" w:hAnsi="宋体" w:cs="宋体"/>
          <w:b/>
          <w:bCs/>
          <w:szCs w:val="21"/>
          <w:highlight w:val="none"/>
        </w:rPr>
      </w:pPr>
      <w:r>
        <w:rPr>
          <w:rFonts w:hint="eastAsia" w:ascii="宋体" w:hAnsi="宋体" w:cs="宋体"/>
          <w:kern w:val="0"/>
          <w:sz w:val="21"/>
          <w:szCs w:val="21"/>
          <w:highlight w:val="none"/>
        </w:rPr>
        <w:t>合同号：</w:t>
      </w:r>
      <w:r>
        <w:rPr>
          <w:rFonts w:hint="eastAsia" w:ascii="宋体" w:hAnsi="宋体" w:cs="宋体"/>
          <w:b/>
          <w:sz w:val="21"/>
          <w:szCs w:val="21"/>
          <w:highlight w:val="none"/>
        </w:rPr>
        <w:t xml:space="preserve">                                       </w:t>
      </w:r>
      <w:r>
        <w:rPr>
          <w:rFonts w:hint="eastAsia" w:ascii="宋体" w:hAnsi="宋体" w:cs="宋体"/>
          <w:kern w:val="0"/>
          <w:sz w:val="21"/>
          <w:szCs w:val="21"/>
          <w:highlight w:val="none"/>
        </w:rPr>
        <w:t xml:space="preserve">乙方： </w:t>
      </w:r>
    </w:p>
    <w:p>
      <w:pPr>
        <w:adjustRightInd w:val="0"/>
        <w:snapToGrid w:val="0"/>
        <w:ind w:firstLine="482"/>
        <w:rPr>
          <w:rFonts w:ascii="宋体" w:hAnsi="宋体" w:cs="宋体"/>
          <w:b/>
          <w:szCs w:val="21"/>
          <w:highlight w:val="none"/>
        </w:rPr>
      </w:pPr>
      <w:r>
        <w:rPr>
          <w:rFonts w:hint="eastAsia" w:ascii="宋体" w:hAnsi="宋体" w:cs="宋体"/>
          <w:b/>
          <w:szCs w:val="21"/>
          <w:highlight w:val="none"/>
        </w:rPr>
        <w:t>*特别提醒：</w:t>
      </w:r>
    </w:p>
    <w:p>
      <w:pPr>
        <w:adjustRightInd w:val="0"/>
        <w:snapToGrid w:val="0"/>
        <w:ind w:firstLine="482"/>
        <w:rPr>
          <w:rFonts w:ascii="宋体" w:hAnsi="宋体" w:cs="宋体"/>
          <w:b/>
          <w:szCs w:val="21"/>
          <w:highlight w:val="none"/>
        </w:rPr>
      </w:pPr>
      <w:r>
        <w:rPr>
          <w:rFonts w:hint="eastAsia" w:ascii="宋体" w:hAnsi="宋体" w:cs="宋体"/>
          <w:b/>
          <w:szCs w:val="21"/>
          <w:highlight w:val="none"/>
        </w:rPr>
        <w:t>乙方应保证供货物资与后续下达的订单一致，否则，甲方将拒收并可视为乙方不能按合同供货，甲方有权按合同追究乙方违约责任。</w:t>
      </w:r>
    </w:p>
    <w:tbl>
      <w:tblPr>
        <w:tblStyle w:val="25"/>
        <w:tblW w:w="50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1384"/>
        <w:gridCol w:w="2365"/>
        <w:gridCol w:w="807"/>
        <w:gridCol w:w="1143"/>
        <w:gridCol w:w="1290"/>
        <w:gridCol w:w="1234"/>
        <w:gridCol w:w="1634"/>
        <w:gridCol w:w="1415"/>
        <w:gridCol w:w="1415"/>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50" w:type="pct"/>
            <w:shd w:val="clear" w:color="000000" w:fill="FFFFFF"/>
            <w:noWrap w:val="0"/>
            <w:vAlign w:val="center"/>
          </w:tcPr>
          <w:p>
            <w:pPr>
              <w:ind w:firstLine="0" w:firstLineChars="0"/>
              <w:rPr>
                <w:rFonts w:ascii="宋体" w:hAnsi="宋体" w:cs="宋体"/>
                <w:color w:val="000000"/>
                <w:sz w:val="21"/>
                <w:szCs w:val="21"/>
                <w:highlight w:val="none"/>
              </w:rPr>
            </w:pPr>
            <w:r>
              <w:rPr>
                <w:rFonts w:hint="eastAsia" w:ascii="宋体" w:hAnsi="宋体" w:cs="宋体"/>
                <w:color w:val="000000"/>
                <w:sz w:val="21"/>
                <w:szCs w:val="21"/>
                <w:highlight w:val="none"/>
              </w:rPr>
              <w:t>序号</w:t>
            </w:r>
          </w:p>
        </w:tc>
        <w:tc>
          <w:tcPr>
            <w:tcW w:w="472" w:type="pct"/>
            <w:shd w:val="clear" w:color="000000" w:fill="FFFFFF"/>
            <w:noWrap w:val="0"/>
            <w:vAlign w:val="center"/>
          </w:tcPr>
          <w:p>
            <w:pPr>
              <w:ind w:firstLine="0" w:firstLineChars="0"/>
              <w:rPr>
                <w:rFonts w:ascii="宋体" w:hAnsi="宋体" w:cs="宋体"/>
                <w:color w:val="000000"/>
                <w:sz w:val="21"/>
                <w:szCs w:val="21"/>
                <w:highlight w:val="none"/>
              </w:rPr>
            </w:pPr>
            <w:r>
              <w:rPr>
                <w:rFonts w:hint="eastAsia" w:ascii="宋体" w:hAnsi="宋体" w:cs="宋体"/>
                <w:color w:val="000000"/>
                <w:sz w:val="21"/>
                <w:szCs w:val="21"/>
                <w:highlight w:val="none"/>
              </w:rPr>
              <w:t>物资名称</w:t>
            </w:r>
          </w:p>
        </w:tc>
        <w:tc>
          <w:tcPr>
            <w:tcW w:w="806" w:type="pct"/>
            <w:shd w:val="clear" w:color="000000" w:fill="FFFFFF"/>
            <w:noWrap w:val="0"/>
            <w:vAlign w:val="center"/>
          </w:tcPr>
          <w:p>
            <w:pPr>
              <w:ind w:firstLine="420"/>
              <w:jc w:val="center"/>
              <w:rPr>
                <w:rFonts w:ascii="宋体" w:hAnsi="宋体" w:cs="宋体"/>
                <w:color w:val="000000"/>
                <w:sz w:val="21"/>
                <w:szCs w:val="21"/>
                <w:highlight w:val="none"/>
              </w:rPr>
            </w:pPr>
            <w:r>
              <w:rPr>
                <w:rFonts w:hint="eastAsia" w:ascii="宋体" w:hAnsi="宋体" w:cs="宋体"/>
                <w:color w:val="000000"/>
                <w:sz w:val="21"/>
                <w:szCs w:val="21"/>
                <w:highlight w:val="none"/>
              </w:rPr>
              <w:t>物资描述</w:t>
            </w:r>
          </w:p>
        </w:tc>
        <w:tc>
          <w:tcPr>
            <w:tcW w:w="275" w:type="pct"/>
            <w:shd w:val="clear" w:color="000000" w:fill="FFFFFF"/>
            <w:noWrap w:val="0"/>
            <w:vAlign w:val="center"/>
          </w:tcPr>
          <w:p>
            <w:pPr>
              <w:ind w:firstLine="0" w:firstLineChars="0"/>
              <w:rPr>
                <w:rFonts w:ascii="宋体" w:hAnsi="宋体" w:cs="宋体"/>
                <w:color w:val="000000"/>
                <w:sz w:val="21"/>
                <w:szCs w:val="21"/>
                <w:highlight w:val="none"/>
              </w:rPr>
            </w:pPr>
            <w:r>
              <w:rPr>
                <w:rFonts w:hint="eastAsia" w:ascii="宋体" w:hAnsi="宋体" w:cs="宋体"/>
                <w:color w:val="000000"/>
                <w:sz w:val="21"/>
                <w:szCs w:val="21"/>
                <w:highlight w:val="none"/>
              </w:rPr>
              <w:t>单位</w:t>
            </w:r>
          </w:p>
        </w:tc>
        <w:tc>
          <w:tcPr>
            <w:tcW w:w="390" w:type="pct"/>
            <w:shd w:val="clear" w:color="000000" w:fill="FFFFFF"/>
            <w:noWrap w:val="0"/>
            <w:vAlign w:val="center"/>
          </w:tcPr>
          <w:p>
            <w:pPr>
              <w:ind w:firstLine="0" w:firstLineChars="0"/>
              <w:rPr>
                <w:rFonts w:ascii="宋体" w:hAnsi="宋体" w:cs="宋体"/>
                <w:color w:val="000000"/>
                <w:sz w:val="21"/>
                <w:szCs w:val="21"/>
                <w:highlight w:val="none"/>
              </w:rPr>
            </w:pPr>
            <w:r>
              <w:rPr>
                <w:rFonts w:hint="eastAsia" w:ascii="宋体" w:hAnsi="宋体" w:cs="宋体"/>
                <w:color w:val="000000"/>
                <w:sz w:val="21"/>
                <w:szCs w:val="21"/>
                <w:highlight w:val="none"/>
              </w:rPr>
              <w:t>数量</w:t>
            </w:r>
          </w:p>
        </w:tc>
        <w:tc>
          <w:tcPr>
            <w:tcW w:w="440" w:type="pct"/>
            <w:shd w:val="clear" w:color="000000" w:fill="FFFFFF"/>
            <w:noWrap w:val="0"/>
            <w:vAlign w:val="center"/>
          </w:tcPr>
          <w:p>
            <w:pPr>
              <w:ind w:firstLine="0" w:firstLineChars="0"/>
              <w:rPr>
                <w:rFonts w:ascii="宋体" w:hAnsi="宋体" w:cs="宋体"/>
                <w:color w:val="000000"/>
                <w:sz w:val="21"/>
                <w:szCs w:val="21"/>
                <w:highlight w:val="none"/>
              </w:rPr>
            </w:pPr>
            <w:r>
              <w:rPr>
                <w:rFonts w:hint="eastAsia" w:ascii="宋体" w:hAnsi="宋体" w:cs="宋体"/>
                <w:color w:val="000000"/>
                <w:sz w:val="21"/>
                <w:szCs w:val="21"/>
                <w:highlight w:val="none"/>
              </w:rPr>
              <w:t>含税</w:t>
            </w:r>
          </w:p>
          <w:p>
            <w:pPr>
              <w:ind w:firstLine="0" w:firstLineChars="0"/>
              <w:rPr>
                <w:rFonts w:ascii="宋体" w:hAnsi="宋体" w:cs="宋体"/>
                <w:color w:val="000000"/>
                <w:sz w:val="21"/>
                <w:szCs w:val="21"/>
                <w:highlight w:val="none"/>
              </w:rPr>
            </w:pPr>
            <w:r>
              <w:rPr>
                <w:rFonts w:hint="eastAsia" w:ascii="宋体" w:hAnsi="宋体" w:cs="宋体"/>
                <w:color w:val="000000"/>
                <w:sz w:val="21"/>
                <w:szCs w:val="21"/>
                <w:highlight w:val="none"/>
              </w:rPr>
              <w:t>单价（元）</w:t>
            </w:r>
          </w:p>
        </w:tc>
        <w:tc>
          <w:tcPr>
            <w:tcW w:w="421" w:type="pct"/>
            <w:shd w:val="clear" w:color="000000" w:fill="FFFFFF"/>
            <w:noWrap w:val="0"/>
            <w:vAlign w:val="center"/>
          </w:tcPr>
          <w:p>
            <w:pPr>
              <w:ind w:firstLine="0" w:firstLineChars="0"/>
              <w:rPr>
                <w:rFonts w:ascii="宋体" w:hAnsi="宋体" w:cs="宋体"/>
                <w:color w:val="000000"/>
                <w:sz w:val="21"/>
                <w:szCs w:val="21"/>
                <w:highlight w:val="none"/>
              </w:rPr>
            </w:pPr>
            <w:r>
              <w:rPr>
                <w:rFonts w:hint="eastAsia" w:ascii="宋体" w:hAnsi="宋体" w:cs="宋体"/>
                <w:color w:val="000000"/>
                <w:sz w:val="21"/>
                <w:szCs w:val="21"/>
                <w:highlight w:val="none"/>
              </w:rPr>
              <w:t>含税</w:t>
            </w:r>
          </w:p>
          <w:p>
            <w:pPr>
              <w:ind w:firstLine="0" w:firstLineChars="0"/>
              <w:rPr>
                <w:rFonts w:ascii="宋体" w:hAnsi="宋体" w:cs="宋体"/>
                <w:color w:val="000000"/>
                <w:sz w:val="21"/>
                <w:szCs w:val="21"/>
                <w:highlight w:val="none"/>
              </w:rPr>
            </w:pPr>
            <w:r>
              <w:rPr>
                <w:rFonts w:hint="eastAsia" w:ascii="宋体" w:hAnsi="宋体" w:cs="宋体"/>
                <w:color w:val="000000"/>
                <w:sz w:val="21"/>
                <w:szCs w:val="21"/>
                <w:highlight w:val="none"/>
              </w:rPr>
              <w:t>合价(元)</w:t>
            </w:r>
          </w:p>
        </w:tc>
        <w:tc>
          <w:tcPr>
            <w:tcW w:w="557" w:type="pct"/>
            <w:shd w:val="clear" w:color="000000" w:fill="FFFFFF"/>
            <w:noWrap w:val="0"/>
            <w:vAlign w:val="center"/>
          </w:tcPr>
          <w:p>
            <w:pPr>
              <w:widowControl/>
              <w:ind w:firstLine="0" w:firstLineChars="0"/>
              <w:rPr>
                <w:rFonts w:ascii="宋体" w:hAnsi="宋体" w:cs="宋体"/>
                <w:bCs/>
                <w:kern w:val="0"/>
                <w:szCs w:val="21"/>
                <w:highlight w:val="none"/>
              </w:rPr>
            </w:pPr>
            <w:r>
              <w:rPr>
                <w:rFonts w:hint="eastAsia" w:ascii="宋体" w:hAnsi="宋体" w:cs="宋体"/>
                <w:bCs/>
                <w:kern w:val="0"/>
                <w:szCs w:val="21"/>
                <w:highlight w:val="none"/>
              </w:rPr>
              <w:t>制造商/品牌</w:t>
            </w:r>
          </w:p>
        </w:tc>
        <w:tc>
          <w:tcPr>
            <w:tcW w:w="483" w:type="pct"/>
            <w:shd w:val="clear" w:color="000000" w:fill="FFFFFF"/>
            <w:noWrap w:val="0"/>
            <w:vAlign w:val="center"/>
          </w:tcPr>
          <w:p>
            <w:pPr>
              <w:widowControl/>
              <w:ind w:firstLine="0" w:firstLineChars="0"/>
              <w:rPr>
                <w:rFonts w:ascii="宋体" w:hAnsi="宋体" w:cs="宋体"/>
                <w:bCs/>
                <w:kern w:val="0"/>
                <w:szCs w:val="21"/>
                <w:highlight w:val="none"/>
              </w:rPr>
            </w:pPr>
            <w:r>
              <w:rPr>
                <w:rFonts w:hint="eastAsia" w:ascii="宋体" w:hAnsi="宋体" w:cs="宋体"/>
                <w:bCs/>
                <w:kern w:val="0"/>
                <w:szCs w:val="21"/>
                <w:highlight w:val="none"/>
              </w:rPr>
              <w:t>交货期</w:t>
            </w:r>
          </w:p>
        </w:tc>
        <w:tc>
          <w:tcPr>
            <w:tcW w:w="483" w:type="pct"/>
            <w:shd w:val="clear" w:color="000000" w:fill="FFFFFF"/>
            <w:noWrap w:val="0"/>
            <w:vAlign w:val="center"/>
          </w:tcPr>
          <w:p>
            <w:pPr>
              <w:widowControl/>
              <w:ind w:firstLine="0" w:firstLineChars="0"/>
              <w:rPr>
                <w:rFonts w:ascii="宋体" w:hAnsi="宋体" w:cs="宋体"/>
                <w:bCs/>
                <w:kern w:val="0"/>
                <w:szCs w:val="21"/>
                <w:highlight w:val="none"/>
              </w:rPr>
            </w:pPr>
            <w:r>
              <w:rPr>
                <w:rFonts w:hint="eastAsia" w:ascii="宋体" w:hAnsi="宋体" w:cs="宋体"/>
                <w:bCs/>
                <w:kern w:val="0"/>
                <w:szCs w:val="21"/>
                <w:highlight w:val="none"/>
              </w:rPr>
              <w:t>质保期</w:t>
            </w:r>
          </w:p>
        </w:tc>
        <w:tc>
          <w:tcPr>
            <w:tcW w:w="318" w:type="pct"/>
            <w:shd w:val="clear" w:color="000000" w:fill="FFFFFF"/>
            <w:noWrap w:val="0"/>
            <w:vAlign w:val="center"/>
          </w:tcPr>
          <w:p>
            <w:pPr>
              <w:widowControl/>
              <w:ind w:firstLine="0" w:firstLineChars="0"/>
              <w:rPr>
                <w:rFonts w:ascii="宋体" w:hAnsi="宋体" w:cs="宋体"/>
                <w:bCs/>
                <w:kern w:val="0"/>
                <w:szCs w:val="21"/>
                <w:highlight w:val="none"/>
              </w:rPr>
            </w:pPr>
            <w:r>
              <w:rPr>
                <w:rFonts w:hint="eastAsia" w:ascii="宋体" w:hAnsi="宋体" w:cs="宋体"/>
                <w:bCs/>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5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r>
              <w:rPr>
                <w:rFonts w:hint="eastAsia" w:ascii="宋体" w:hAnsi="宋体" w:cs="宋体"/>
                <w:color w:val="000000"/>
                <w:kern w:val="0"/>
                <w:sz w:val="21"/>
                <w:szCs w:val="21"/>
                <w:highlight w:val="none"/>
              </w:rPr>
              <w:t>1</w:t>
            </w:r>
          </w:p>
        </w:tc>
        <w:tc>
          <w:tcPr>
            <w:tcW w:w="472"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806"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275"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39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440" w:type="pct"/>
            <w:shd w:val="clear" w:color="000000" w:fill="FFFFFF"/>
            <w:noWrap w:val="0"/>
            <w:vAlign w:val="center"/>
          </w:tcPr>
          <w:p>
            <w:pPr>
              <w:widowControl/>
              <w:ind w:firstLine="420"/>
              <w:jc w:val="center"/>
              <w:rPr>
                <w:rFonts w:ascii="宋体" w:hAnsi="宋体" w:cs="宋体"/>
                <w:color w:val="000000"/>
                <w:sz w:val="21"/>
                <w:szCs w:val="21"/>
                <w:highlight w:val="none"/>
              </w:rPr>
            </w:pPr>
          </w:p>
        </w:tc>
        <w:tc>
          <w:tcPr>
            <w:tcW w:w="421" w:type="pct"/>
            <w:shd w:val="clear" w:color="000000" w:fill="FFFFFF"/>
            <w:noWrap w:val="0"/>
            <w:vAlign w:val="center"/>
          </w:tcPr>
          <w:p>
            <w:pPr>
              <w:widowControl/>
              <w:ind w:firstLine="420"/>
              <w:jc w:val="center"/>
              <w:rPr>
                <w:rFonts w:ascii="宋体" w:hAnsi="宋体" w:cs="宋体"/>
                <w:sz w:val="21"/>
                <w:szCs w:val="21"/>
                <w:highlight w:val="none"/>
              </w:rPr>
            </w:pPr>
          </w:p>
        </w:tc>
        <w:tc>
          <w:tcPr>
            <w:tcW w:w="557"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318" w:type="pct"/>
            <w:shd w:val="clear" w:color="000000" w:fill="FFFFFF"/>
            <w:noWrap w:val="0"/>
            <w:vAlign w:val="center"/>
          </w:tcPr>
          <w:p>
            <w:pPr>
              <w:ind w:firstLine="420"/>
              <w:jc w:val="center"/>
              <w:rPr>
                <w:rFonts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5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r>
              <w:rPr>
                <w:rFonts w:hint="eastAsia" w:ascii="宋体" w:hAnsi="宋体" w:cs="宋体"/>
                <w:color w:val="000000"/>
                <w:kern w:val="0"/>
                <w:sz w:val="21"/>
                <w:szCs w:val="21"/>
                <w:highlight w:val="none"/>
              </w:rPr>
              <w:t>2</w:t>
            </w:r>
          </w:p>
        </w:tc>
        <w:tc>
          <w:tcPr>
            <w:tcW w:w="472"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806"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275"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39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440" w:type="pct"/>
            <w:shd w:val="clear" w:color="000000" w:fill="FFFFFF"/>
            <w:noWrap w:val="0"/>
            <w:vAlign w:val="center"/>
          </w:tcPr>
          <w:p>
            <w:pPr>
              <w:widowControl/>
              <w:ind w:firstLine="420"/>
              <w:jc w:val="center"/>
              <w:rPr>
                <w:rFonts w:ascii="宋体" w:hAnsi="宋体" w:cs="宋体"/>
                <w:color w:val="000000"/>
                <w:sz w:val="21"/>
                <w:szCs w:val="21"/>
                <w:highlight w:val="none"/>
              </w:rPr>
            </w:pPr>
          </w:p>
        </w:tc>
        <w:tc>
          <w:tcPr>
            <w:tcW w:w="421" w:type="pct"/>
            <w:shd w:val="clear" w:color="000000" w:fill="FFFFFF"/>
            <w:noWrap w:val="0"/>
            <w:vAlign w:val="center"/>
          </w:tcPr>
          <w:p>
            <w:pPr>
              <w:widowControl/>
              <w:ind w:firstLine="420"/>
              <w:jc w:val="center"/>
              <w:rPr>
                <w:rFonts w:ascii="宋体" w:hAnsi="宋体" w:cs="宋体"/>
                <w:sz w:val="21"/>
                <w:szCs w:val="21"/>
                <w:highlight w:val="none"/>
              </w:rPr>
            </w:pPr>
          </w:p>
        </w:tc>
        <w:tc>
          <w:tcPr>
            <w:tcW w:w="557"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318" w:type="pct"/>
            <w:shd w:val="clear" w:color="000000" w:fill="FFFFFF"/>
            <w:noWrap w:val="0"/>
            <w:vAlign w:val="center"/>
          </w:tcPr>
          <w:p>
            <w:pPr>
              <w:ind w:firstLine="420"/>
              <w:jc w:val="center"/>
              <w:rPr>
                <w:rFonts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5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r>
              <w:rPr>
                <w:rFonts w:hint="eastAsia" w:ascii="宋体" w:hAnsi="宋体" w:cs="宋体"/>
                <w:color w:val="000000"/>
                <w:kern w:val="0"/>
                <w:sz w:val="21"/>
                <w:szCs w:val="21"/>
                <w:highlight w:val="none"/>
              </w:rPr>
              <w:t>3</w:t>
            </w:r>
          </w:p>
        </w:tc>
        <w:tc>
          <w:tcPr>
            <w:tcW w:w="472"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806"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275"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39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440" w:type="pct"/>
            <w:shd w:val="clear" w:color="000000" w:fill="FFFFFF"/>
            <w:noWrap w:val="0"/>
            <w:vAlign w:val="center"/>
          </w:tcPr>
          <w:p>
            <w:pPr>
              <w:widowControl/>
              <w:ind w:firstLine="420"/>
              <w:jc w:val="center"/>
              <w:rPr>
                <w:rFonts w:ascii="宋体" w:hAnsi="宋体" w:cs="宋体"/>
                <w:color w:val="000000"/>
                <w:sz w:val="21"/>
                <w:szCs w:val="21"/>
                <w:highlight w:val="none"/>
              </w:rPr>
            </w:pPr>
          </w:p>
        </w:tc>
        <w:tc>
          <w:tcPr>
            <w:tcW w:w="421" w:type="pct"/>
            <w:shd w:val="clear" w:color="000000" w:fill="FFFFFF"/>
            <w:noWrap w:val="0"/>
            <w:vAlign w:val="center"/>
          </w:tcPr>
          <w:p>
            <w:pPr>
              <w:widowControl/>
              <w:ind w:firstLine="420"/>
              <w:jc w:val="center"/>
              <w:rPr>
                <w:rFonts w:ascii="宋体" w:hAnsi="宋体" w:cs="宋体"/>
                <w:sz w:val="21"/>
                <w:szCs w:val="21"/>
                <w:highlight w:val="none"/>
              </w:rPr>
            </w:pPr>
          </w:p>
        </w:tc>
        <w:tc>
          <w:tcPr>
            <w:tcW w:w="557"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318" w:type="pct"/>
            <w:shd w:val="clear" w:color="000000" w:fill="FFFFFF"/>
            <w:noWrap w:val="0"/>
            <w:vAlign w:val="center"/>
          </w:tcPr>
          <w:p>
            <w:pPr>
              <w:ind w:firstLine="420"/>
              <w:jc w:val="center"/>
              <w:rPr>
                <w:rFonts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5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r>
              <w:rPr>
                <w:rFonts w:hint="eastAsia" w:ascii="宋体" w:hAnsi="宋体" w:cs="宋体"/>
                <w:color w:val="000000"/>
                <w:kern w:val="0"/>
                <w:sz w:val="21"/>
                <w:szCs w:val="21"/>
                <w:highlight w:val="none"/>
              </w:rPr>
              <w:t>4</w:t>
            </w:r>
          </w:p>
        </w:tc>
        <w:tc>
          <w:tcPr>
            <w:tcW w:w="472"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806"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275"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39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440" w:type="pct"/>
            <w:shd w:val="clear" w:color="000000" w:fill="FFFFFF"/>
            <w:noWrap w:val="0"/>
            <w:vAlign w:val="center"/>
          </w:tcPr>
          <w:p>
            <w:pPr>
              <w:widowControl/>
              <w:ind w:firstLine="420"/>
              <w:jc w:val="center"/>
              <w:rPr>
                <w:rFonts w:ascii="宋体" w:hAnsi="宋体" w:cs="宋体"/>
                <w:color w:val="000000"/>
                <w:sz w:val="21"/>
                <w:szCs w:val="21"/>
                <w:highlight w:val="none"/>
              </w:rPr>
            </w:pPr>
          </w:p>
        </w:tc>
        <w:tc>
          <w:tcPr>
            <w:tcW w:w="421" w:type="pct"/>
            <w:shd w:val="clear" w:color="000000" w:fill="FFFFFF"/>
            <w:noWrap w:val="0"/>
            <w:vAlign w:val="center"/>
          </w:tcPr>
          <w:p>
            <w:pPr>
              <w:widowControl/>
              <w:ind w:firstLine="420"/>
              <w:jc w:val="center"/>
              <w:rPr>
                <w:rFonts w:ascii="宋体" w:hAnsi="宋体" w:cs="宋体"/>
                <w:sz w:val="21"/>
                <w:szCs w:val="21"/>
                <w:highlight w:val="none"/>
              </w:rPr>
            </w:pPr>
          </w:p>
        </w:tc>
        <w:tc>
          <w:tcPr>
            <w:tcW w:w="557"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318" w:type="pct"/>
            <w:shd w:val="clear" w:color="000000" w:fill="FFFFFF"/>
            <w:noWrap w:val="0"/>
            <w:vAlign w:val="center"/>
          </w:tcPr>
          <w:p>
            <w:pPr>
              <w:ind w:firstLine="420"/>
              <w:jc w:val="center"/>
              <w:rPr>
                <w:rFonts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5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r>
              <w:rPr>
                <w:rFonts w:hint="eastAsia" w:ascii="宋体" w:hAnsi="宋体" w:cs="宋体"/>
                <w:color w:val="000000"/>
                <w:kern w:val="0"/>
                <w:sz w:val="21"/>
                <w:szCs w:val="21"/>
                <w:highlight w:val="none"/>
              </w:rPr>
              <w:t>5</w:t>
            </w:r>
          </w:p>
        </w:tc>
        <w:tc>
          <w:tcPr>
            <w:tcW w:w="472"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806"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275"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39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440" w:type="pct"/>
            <w:shd w:val="clear" w:color="000000" w:fill="FFFFFF"/>
            <w:noWrap w:val="0"/>
            <w:vAlign w:val="center"/>
          </w:tcPr>
          <w:p>
            <w:pPr>
              <w:widowControl/>
              <w:ind w:firstLine="420"/>
              <w:jc w:val="center"/>
              <w:rPr>
                <w:rFonts w:ascii="宋体" w:hAnsi="宋体" w:cs="宋体"/>
                <w:color w:val="000000"/>
                <w:sz w:val="21"/>
                <w:szCs w:val="21"/>
                <w:highlight w:val="none"/>
              </w:rPr>
            </w:pPr>
          </w:p>
        </w:tc>
        <w:tc>
          <w:tcPr>
            <w:tcW w:w="421" w:type="pct"/>
            <w:shd w:val="clear" w:color="000000" w:fill="FFFFFF"/>
            <w:noWrap w:val="0"/>
            <w:vAlign w:val="center"/>
          </w:tcPr>
          <w:p>
            <w:pPr>
              <w:widowControl/>
              <w:ind w:firstLine="420"/>
              <w:jc w:val="center"/>
              <w:rPr>
                <w:rFonts w:ascii="宋体" w:hAnsi="宋体" w:cs="宋体"/>
                <w:sz w:val="21"/>
                <w:szCs w:val="21"/>
                <w:highlight w:val="none"/>
              </w:rPr>
            </w:pPr>
          </w:p>
        </w:tc>
        <w:tc>
          <w:tcPr>
            <w:tcW w:w="557"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318" w:type="pct"/>
            <w:shd w:val="clear" w:color="000000" w:fill="FFFFFF"/>
            <w:noWrap w:val="0"/>
            <w:vAlign w:val="center"/>
          </w:tcPr>
          <w:p>
            <w:pPr>
              <w:ind w:firstLine="420"/>
              <w:jc w:val="center"/>
              <w:rPr>
                <w:rFonts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5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r>
              <w:rPr>
                <w:rFonts w:hint="eastAsia" w:ascii="宋体" w:hAnsi="宋体" w:cs="宋体"/>
                <w:color w:val="000000"/>
                <w:kern w:val="0"/>
                <w:sz w:val="21"/>
                <w:szCs w:val="21"/>
                <w:highlight w:val="none"/>
              </w:rPr>
              <w:t>6</w:t>
            </w:r>
          </w:p>
        </w:tc>
        <w:tc>
          <w:tcPr>
            <w:tcW w:w="472"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806"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275"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39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440" w:type="pct"/>
            <w:shd w:val="clear" w:color="000000" w:fill="FFFFFF"/>
            <w:noWrap w:val="0"/>
            <w:vAlign w:val="center"/>
          </w:tcPr>
          <w:p>
            <w:pPr>
              <w:widowControl/>
              <w:ind w:firstLine="420"/>
              <w:jc w:val="center"/>
              <w:rPr>
                <w:rFonts w:ascii="宋体" w:hAnsi="宋体" w:cs="宋体"/>
                <w:color w:val="000000"/>
                <w:sz w:val="21"/>
                <w:szCs w:val="21"/>
                <w:highlight w:val="none"/>
              </w:rPr>
            </w:pPr>
          </w:p>
        </w:tc>
        <w:tc>
          <w:tcPr>
            <w:tcW w:w="421" w:type="pct"/>
            <w:shd w:val="clear" w:color="000000" w:fill="FFFFFF"/>
            <w:noWrap w:val="0"/>
            <w:vAlign w:val="center"/>
          </w:tcPr>
          <w:p>
            <w:pPr>
              <w:widowControl/>
              <w:ind w:firstLine="420"/>
              <w:jc w:val="center"/>
              <w:rPr>
                <w:rFonts w:ascii="宋体" w:hAnsi="宋体" w:cs="宋体"/>
                <w:sz w:val="21"/>
                <w:szCs w:val="21"/>
                <w:highlight w:val="none"/>
              </w:rPr>
            </w:pPr>
          </w:p>
        </w:tc>
        <w:tc>
          <w:tcPr>
            <w:tcW w:w="557"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318" w:type="pct"/>
            <w:shd w:val="clear" w:color="000000" w:fill="FFFFFF"/>
            <w:noWrap w:val="0"/>
            <w:vAlign w:val="center"/>
          </w:tcPr>
          <w:p>
            <w:pPr>
              <w:ind w:firstLine="420"/>
              <w:jc w:val="center"/>
              <w:rPr>
                <w:rFonts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5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r>
              <w:rPr>
                <w:rFonts w:hint="eastAsia" w:ascii="宋体" w:hAnsi="宋体" w:cs="宋体"/>
                <w:color w:val="000000"/>
                <w:kern w:val="0"/>
                <w:sz w:val="21"/>
                <w:szCs w:val="21"/>
                <w:highlight w:val="none"/>
              </w:rPr>
              <w:t>7</w:t>
            </w:r>
          </w:p>
        </w:tc>
        <w:tc>
          <w:tcPr>
            <w:tcW w:w="472"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806"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275"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39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440" w:type="pct"/>
            <w:shd w:val="clear" w:color="000000" w:fill="FFFFFF"/>
            <w:noWrap w:val="0"/>
            <w:vAlign w:val="center"/>
          </w:tcPr>
          <w:p>
            <w:pPr>
              <w:widowControl/>
              <w:ind w:firstLine="420"/>
              <w:jc w:val="center"/>
              <w:rPr>
                <w:rFonts w:ascii="宋体" w:hAnsi="宋体" w:cs="宋体"/>
                <w:color w:val="000000"/>
                <w:sz w:val="21"/>
                <w:szCs w:val="21"/>
                <w:highlight w:val="none"/>
              </w:rPr>
            </w:pPr>
          </w:p>
        </w:tc>
        <w:tc>
          <w:tcPr>
            <w:tcW w:w="421" w:type="pct"/>
            <w:shd w:val="clear" w:color="000000" w:fill="FFFFFF"/>
            <w:noWrap w:val="0"/>
            <w:vAlign w:val="center"/>
          </w:tcPr>
          <w:p>
            <w:pPr>
              <w:widowControl/>
              <w:ind w:firstLine="420"/>
              <w:jc w:val="center"/>
              <w:rPr>
                <w:rFonts w:ascii="宋体" w:hAnsi="宋体" w:cs="宋体"/>
                <w:sz w:val="21"/>
                <w:szCs w:val="21"/>
                <w:highlight w:val="none"/>
              </w:rPr>
            </w:pPr>
          </w:p>
        </w:tc>
        <w:tc>
          <w:tcPr>
            <w:tcW w:w="557"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318" w:type="pct"/>
            <w:shd w:val="clear" w:color="000000" w:fill="FFFFFF"/>
            <w:noWrap w:val="0"/>
            <w:vAlign w:val="center"/>
          </w:tcPr>
          <w:p>
            <w:pPr>
              <w:ind w:firstLine="420"/>
              <w:jc w:val="center"/>
              <w:rPr>
                <w:rFonts w:ascii="宋体" w:hAnsi="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5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r>
              <w:rPr>
                <w:rFonts w:hint="eastAsia" w:ascii="宋体" w:hAnsi="宋体" w:cs="宋体"/>
                <w:color w:val="000000"/>
                <w:kern w:val="0"/>
                <w:sz w:val="21"/>
                <w:szCs w:val="21"/>
                <w:highlight w:val="none"/>
              </w:rPr>
              <w:t>8</w:t>
            </w:r>
          </w:p>
        </w:tc>
        <w:tc>
          <w:tcPr>
            <w:tcW w:w="472"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806"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275"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390" w:type="pct"/>
            <w:shd w:val="clear" w:color="000000" w:fill="FFFFFF"/>
            <w:noWrap w:val="0"/>
            <w:vAlign w:val="center"/>
          </w:tcPr>
          <w:p>
            <w:pPr>
              <w:widowControl/>
              <w:ind w:firstLine="420"/>
              <w:jc w:val="center"/>
              <w:textAlignment w:val="center"/>
              <w:rPr>
                <w:rFonts w:ascii="宋体" w:hAnsi="宋体" w:cs="宋体"/>
                <w:color w:val="000000"/>
                <w:sz w:val="21"/>
                <w:szCs w:val="21"/>
                <w:highlight w:val="none"/>
              </w:rPr>
            </w:pPr>
          </w:p>
        </w:tc>
        <w:tc>
          <w:tcPr>
            <w:tcW w:w="440" w:type="pct"/>
            <w:shd w:val="clear" w:color="000000" w:fill="FFFFFF"/>
            <w:noWrap w:val="0"/>
            <w:vAlign w:val="center"/>
          </w:tcPr>
          <w:p>
            <w:pPr>
              <w:widowControl/>
              <w:ind w:firstLine="420"/>
              <w:jc w:val="center"/>
              <w:rPr>
                <w:rFonts w:ascii="宋体" w:hAnsi="宋体" w:cs="宋体"/>
                <w:color w:val="000000"/>
                <w:sz w:val="21"/>
                <w:szCs w:val="21"/>
                <w:highlight w:val="none"/>
              </w:rPr>
            </w:pPr>
          </w:p>
        </w:tc>
        <w:tc>
          <w:tcPr>
            <w:tcW w:w="421" w:type="pct"/>
            <w:shd w:val="clear" w:color="000000" w:fill="FFFFFF"/>
            <w:noWrap w:val="0"/>
            <w:vAlign w:val="center"/>
          </w:tcPr>
          <w:p>
            <w:pPr>
              <w:widowControl/>
              <w:ind w:firstLine="420"/>
              <w:jc w:val="center"/>
              <w:rPr>
                <w:rFonts w:ascii="宋体" w:hAnsi="宋体" w:cs="宋体"/>
                <w:sz w:val="21"/>
                <w:szCs w:val="21"/>
                <w:highlight w:val="none"/>
              </w:rPr>
            </w:pPr>
          </w:p>
        </w:tc>
        <w:tc>
          <w:tcPr>
            <w:tcW w:w="557"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483" w:type="pct"/>
            <w:shd w:val="clear" w:color="000000" w:fill="FFFFFF"/>
            <w:noWrap w:val="0"/>
            <w:vAlign w:val="center"/>
          </w:tcPr>
          <w:p>
            <w:pPr>
              <w:ind w:firstLine="420"/>
              <w:jc w:val="center"/>
              <w:rPr>
                <w:rFonts w:ascii="宋体" w:hAnsi="宋体" w:cs="宋体"/>
                <w:sz w:val="21"/>
                <w:szCs w:val="21"/>
                <w:highlight w:val="none"/>
              </w:rPr>
            </w:pPr>
          </w:p>
        </w:tc>
        <w:tc>
          <w:tcPr>
            <w:tcW w:w="318" w:type="pct"/>
            <w:shd w:val="clear" w:color="000000" w:fill="FFFFFF"/>
            <w:noWrap w:val="0"/>
            <w:vAlign w:val="center"/>
          </w:tcPr>
          <w:p>
            <w:pPr>
              <w:ind w:firstLine="420"/>
              <w:jc w:val="center"/>
              <w:rPr>
                <w:rFonts w:ascii="宋体" w:hAnsi="宋体" w:cs="宋体"/>
                <w:sz w:val="21"/>
                <w:szCs w:val="21"/>
                <w:highlight w:val="none"/>
              </w:rPr>
            </w:pPr>
          </w:p>
        </w:tc>
      </w:tr>
    </w:tbl>
    <w:p>
      <w:pPr>
        <w:adjustRightInd w:val="0"/>
        <w:snapToGrid w:val="0"/>
        <w:ind w:firstLine="482"/>
        <w:rPr>
          <w:rFonts w:ascii="宋体" w:hAnsi="宋体" w:cs="宋体"/>
          <w:b/>
          <w:szCs w:val="21"/>
          <w:highlight w:val="none"/>
        </w:rPr>
      </w:pPr>
      <w:r>
        <w:rPr>
          <w:rFonts w:hint="eastAsia" w:ascii="宋体" w:hAnsi="宋体" w:cs="宋体"/>
          <w:b/>
          <w:szCs w:val="21"/>
          <w:highlight w:val="none"/>
        </w:rPr>
        <w:t>注：</w:t>
      </w:r>
      <w:r>
        <w:rPr>
          <w:rFonts w:hint="eastAsia" w:ascii="宋体" w:hAnsi="宋体" w:cs="宋体"/>
          <w:b/>
          <w:szCs w:val="21"/>
          <w:highlight w:val="none"/>
        </w:rPr>
        <w:fldChar w:fldCharType="begin"/>
      </w:r>
      <w:r>
        <w:rPr>
          <w:rFonts w:hint="eastAsia" w:ascii="宋体" w:hAnsi="宋体" w:cs="宋体"/>
          <w:b/>
          <w:szCs w:val="21"/>
          <w:highlight w:val="none"/>
        </w:rPr>
        <w:instrText xml:space="preserve"> = 1 \* GB2 </w:instrText>
      </w:r>
      <w:r>
        <w:rPr>
          <w:rFonts w:hint="eastAsia" w:ascii="宋体" w:hAnsi="宋体" w:cs="宋体"/>
          <w:b/>
          <w:szCs w:val="21"/>
          <w:highlight w:val="none"/>
        </w:rPr>
        <w:fldChar w:fldCharType="separate"/>
      </w:r>
      <w:r>
        <w:rPr>
          <w:rFonts w:hint="eastAsia" w:ascii="宋体" w:hAnsi="宋体" w:cs="宋体"/>
          <w:b/>
          <w:szCs w:val="21"/>
          <w:highlight w:val="none"/>
        </w:rPr>
        <w:t>⑴</w:t>
      </w:r>
      <w:r>
        <w:rPr>
          <w:rFonts w:hint="eastAsia" w:ascii="宋体" w:hAnsi="宋体" w:cs="宋体"/>
          <w:b/>
          <w:szCs w:val="21"/>
          <w:highlight w:val="none"/>
        </w:rPr>
        <w:fldChar w:fldCharType="end"/>
      </w:r>
      <w:r>
        <w:rPr>
          <w:rFonts w:hint="eastAsia" w:ascii="宋体" w:hAnsi="宋体" w:cs="宋体"/>
          <w:b/>
          <w:szCs w:val="21"/>
          <w:highlight w:val="none"/>
        </w:rPr>
        <w:t>“货物清单”所列的数量为预计数，具体需求数量以甲方当批交货通知的数量为准。甲方未发出交货通知，乙方进行备货/发货的，所产生的风险或损失由乙方自行承担。</w:t>
      </w:r>
    </w:p>
    <w:p>
      <w:pPr>
        <w:adjustRightInd w:val="0"/>
        <w:snapToGrid w:val="0"/>
        <w:ind w:firstLine="482"/>
        <w:rPr>
          <w:rFonts w:ascii="宋体" w:hAnsi="宋体" w:cs="宋体"/>
          <w:b/>
          <w:szCs w:val="21"/>
          <w:highlight w:val="none"/>
        </w:rPr>
        <w:sectPr>
          <w:pgSz w:w="16838" w:h="11906" w:orient="landscape"/>
          <w:pgMar w:top="1418" w:right="1418" w:bottom="1134" w:left="1134" w:header="777" w:footer="1134" w:gutter="0"/>
          <w:pgNumType w:fmt="decimal"/>
          <w:cols w:space="720" w:num="1"/>
          <w:docGrid w:linePitch="286" w:charSpace="0"/>
        </w:sectPr>
      </w:pPr>
      <w:r>
        <w:rPr>
          <w:rFonts w:hint="eastAsia" w:ascii="宋体" w:hAnsi="宋体" w:cs="宋体"/>
          <w:b/>
          <w:szCs w:val="21"/>
          <w:highlight w:val="none"/>
        </w:rPr>
        <w:fldChar w:fldCharType="begin"/>
      </w:r>
      <w:r>
        <w:rPr>
          <w:rFonts w:hint="eastAsia" w:ascii="宋体" w:hAnsi="宋体" w:cs="宋体"/>
          <w:b/>
          <w:szCs w:val="21"/>
          <w:highlight w:val="none"/>
        </w:rPr>
        <w:instrText xml:space="preserve"> = 2 \* GB2 </w:instrText>
      </w:r>
      <w:r>
        <w:rPr>
          <w:rFonts w:hint="eastAsia" w:ascii="宋体" w:hAnsi="宋体" w:cs="宋体"/>
          <w:b/>
          <w:szCs w:val="21"/>
          <w:highlight w:val="none"/>
        </w:rPr>
        <w:fldChar w:fldCharType="separate"/>
      </w:r>
      <w:r>
        <w:rPr>
          <w:rFonts w:hint="eastAsia" w:ascii="宋体" w:hAnsi="宋体" w:cs="宋体"/>
          <w:b/>
          <w:szCs w:val="21"/>
          <w:highlight w:val="none"/>
        </w:rPr>
        <w:t>⑵</w:t>
      </w:r>
      <w:r>
        <w:rPr>
          <w:rFonts w:hint="eastAsia" w:ascii="宋体" w:hAnsi="宋体" w:cs="宋体"/>
          <w:b/>
          <w:szCs w:val="21"/>
          <w:highlight w:val="none"/>
        </w:rPr>
        <w:fldChar w:fldCharType="end"/>
      </w:r>
      <w:r>
        <w:rPr>
          <w:rFonts w:hint="eastAsia" w:ascii="宋体" w:hAnsi="宋体" w:cs="宋体"/>
          <w:b/>
          <w:szCs w:val="21"/>
          <w:highlight w:val="none"/>
        </w:rPr>
        <w:t xml:space="preserve">在合同执行期间，若国家税率调整则价格按不含税价与新税率进行重新核定（税率≤3%不适用）。 </w:t>
      </w:r>
    </w:p>
    <w:p>
      <w:pPr>
        <w:ind w:firstLine="0" w:firstLineChars="0"/>
        <w:rPr>
          <w:rFonts w:ascii="宋体" w:hAnsi="宋体" w:cs="宋体"/>
          <w:b/>
          <w:highlight w:val="none"/>
        </w:rPr>
      </w:pPr>
      <w:r>
        <w:rPr>
          <w:rFonts w:hint="eastAsia" w:ascii="宋体" w:hAnsi="宋体" w:cs="宋体"/>
          <w:b/>
          <w:highlight w:val="none"/>
        </w:rPr>
        <w:t>附件2</w:t>
      </w:r>
    </w:p>
    <w:p>
      <w:pPr>
        <w:ind w:firstLine="643"/>
        <w:jc w:val="center"/>
        <w:rPr>
          <w:rFonts w:ascii="宋体" w:hAnsi="宋体" w:cs="宋体"/>
          <w:b/>
          <w:szCs w:val="21"/>
          <w:highlight w:val="none"/>
        </w:rPr>
      </w:pPr>
      <w:r>
        <w:rPr>
          <w:rFonts w:hint="eastAsia" w:ascii="宋体" w:hAnsi="宋体" w:cs="宋体"/>
          <w:b/>
          <w:sz w:val="32"/>
          <w:szCs w:val="36"/>
          <w:highlight w:val="none"/>
        </w:rPr>
        <w:t>廉政合同</w:t>
      </w:r>
    </w:p>
    <w:p>
      <w:pPr>
        <w:ind w:firstLine="480"/>
        <w:rPr>
          <w:rFonts w:ascii="宋体" w:hAnsi="宋体" w:cs="宋体"/>
          <w:highlight w:val="none"/>
        </w:rPr>
      </w:pPr>
      <w:r>
        <w:rPr>
          <w:rFonts w:hint="eastAsia" w:ascii="宋体" w:hAnsi="宋体" w:cs="宋体"/>
          <w:highlight w:val="none"/>
        </w:rPr>
        <w:t>甲方：</w:t>
      </w:r>
      <w:r>
        <w:rPr>
          <w:rFonts w:hint="eastAsia" w:ascii="宋体" w:hAnsi="宋体" w:cs="宋体"/>
          <w:highlight w:val="none"/>
          <w:u w:val="single"/>
        </w:rPr>
        <w:t xml:space="preserve">南通轨道交通集团有限公司运营分公司  </w:t>
      </w:r>
    </w:p>
    <w:p>
      <w:pPr>
        <w:ind w:firstLine="480"/>
        <w:rPr>
          <w:rFonts w:ascii="宋体" w:hAnsi="宋体" w:cs="宋体"/>
          <w:highlight w:val="none"/>
          <w:u w:val="single"/>
        </w:rPr>
      </w:pPr>
      <w:r>
        <w:rPr>
          <w:rFonts w:hint="eastAsia" w:ascii="宋体" w:hAnsi="宋体" w:cs="宋体"/>
          <w:highlight w:val="none"/>
        </w:rPr>
        <w:t>乙方：</w:t>
      </w:r>
      <w:r>
        <w:rPr>
          <w:rFonts w:hint="eastAsia" w:ascii="宋体" w:hAnsi="宋体" w:cs="宋体"/>
          <w:highlight w:val="none"/>
          <w:u w:val="single"/>
        </w:rPr>
        <w:t xml:space="preserve">                                    </w:t>
      </w:r>
    </w:p>
    <w:p>
      <w:pPr>
        <w:ind w:firstLine="480"/>
        <w:rPr>
          <w:rFonts w:ascii="宋体" w:hAnsi="宋体" w:cs="宋体"/>
          <w:highlight w:val="none"/>
        </w:rPr>
      </w:pPr>
      <w:r>
        <w:rPr>
          <w:rFonts w:hint="eastAsia" w:ascii="宋体" w:hAnsi="宋体" w:cs="宋体"/>
          <w:highlight w:val="none"/>
        </w:rPr>
        <w:t>为加强廉政建设，规范甲、乙双方的各项活动，防止发生各种谋取不正当利益的违法违纪行为，保护国家、集体和当事人的合法权益，根据国家有关廉政建设规定，特订立本廉政合同。</w:t>
      </w:r>
    </w:p>
    <w:p>
      <w:pPr>
        <w:ind w:firstLine="480"/>
        <w:rPr>
          <w:rFonts w:ascii="宋体" w:hAnsi="宋体" w:cs="宋体"/>
          <w:highlight w:val="none"/>
        </w:rPr>
      </w:pPr>
      <w:r>
        <w:rPr>
          <w:rFonts w:hint="eastAsia" w:ascii="宋体" w:hAnsi="宋体" w:cs="宋体"/>
          <w:highlight w:val="none"/>
        </w:rPr>
        <w:t>第一条 双方的权利和义务</w:t>
      </w:r>
    </w:p>
    <w:p>
      <w:pPr>
        <w:ind w:firstLine="480"/>
        <w:rPr>
          <w:rFonts w:ascii="宋体" w:hAnsi="宋体" w:cs="宋体"/>
          <w:highlight w:val="none"/>
        </w:rPr>
      </w:pPr>
      <w:r>
        <w:rPr>
          <w:rFonts w:hint="eastAsia" w:ascii="宋体" w:hAnsi="宋体" w:cs="宋体"/>
          <w:highlight w:val="none"/>
        </w:rPr>
        <w:t>(一) 应严格遵守国家关于市场准入、项目招标投标、采购工作、招标代理管理、市场活动的有关法律、法规，相关政策，以及廉政建设的各项规定。</w:t>
      </w:r>
    </w:p>
    <w:p>
      <w:pPr>
        <w:ind w:firstLine="480"/>
        <w:rPr>
          <w:rFonts w:ascii="宋体" w:hAnsi="宋体" w:cs="宋体"/>
          <w:highlight w:val="none"/>
        </w:rPr>
      </w:pPr>
      <w:r>
        <w:rPr>
          <w:rFonts w:hint="eastAsia" w:ascii="宋体" w:hAnsi="宋体" w:cs="宋体"/>
          <w:highlight w:val="none"/>
        </w:rPr>
        <w:t>(二) 严格执行本项目甲、乙双方签订的合同（协议）文件，自觉按合同（协议）办事。</w:t>
      </w:r>
    </w:p>
    <w:p>
      <w:pPr>
        <w:ind w:firstLine="480"/>
        <w:rPr>
          <w:rFonts w:ascii="宋体" w:hAnsi="宋体" w:cs="宋体"/>
          <w:highlight w:val="none"/>
        </w:rPr>
      </w:pPr>
      <w:r>
        <w:rPr>
          <w:rFonts w:hint="eastAsia" w:ascii="宋体" w:hAnsi="宋体" w:cs="宋体"/>
          <w:highlight w:val="none"/>
        </w:rPr>
        <w:t>(三) 业务活动必须坚持公开、公平、公正、诚信、透明的原则（除法律法规和合同文件另有规定者外），双方人员不得获取不正当利益，不得损害国家和集体利益。</w:t>
      </w:r>
    </w:p>
    <w:p>
      <w:pPr>
        <w:ind w:firstLine="480"/>
        <w:rPr>
          <w:rFonts w:ascii="宋体" w:hAnsi="宋体" w:cs="宋体"/>
          <w:highlight w:val="none"/>
        </w:rPr>
      </w:pPr>
      <w:r>
        <w:rPr>
          <w:rFonts w:hint="eastAsia" w:ascii="宋体" w:hAnsi="宋体" w:cs="宋体"/>
          <w:highlight w:val="none"/>
        </w:rPr>
        <w:t>(四) 建立健全廉政制度，开展廉政教育，公布举报电话，监督并认真查处违法违纪行为。发现对方在业务活动中有违反本合同行为的，有及时提醒对方纠正的权利和义务。情节严重的，有向其上级有关部门举报、建议给予处理并要求告知处理结果的权利。</w:t>
      </w:r>
    </w:p>
    <w:p>
      <w:pPr>
        <w:ind w:firstLine="480"/>
        <w:rPr>
          <w:rFonts w:ascii="宋体" w:hAnsi="宋体" w:cs="宋体"/>
          <w:highlight w:val="none"/>
        </w:rPr>
      </w:pPr>
      <w:r>
        <w:rPr>
          <w:rFonts w:hint="eastAsia" w:ascii="宋体" w:hAnsi="宋体" w:cs="宋体"/>
          <w:highlight w:val="none"/>
        </w:rPr>
        <w:t>第二条  甲方的责任</w:t>
      </w:r>
    </w:p>
    <w:p>
      <w:pPr>
        <w:ind w:firstLine="480"/>
        <w:rPr>
          <w:rFonts w:ascii="宋体" w:hAnsi="宋体" w:cs="宋体"/>
          <w:highlight w:val="none"/>
        </w:rPr>
      </w:pPr>
      <w:r>
        <w:rPr>
          <w:rFonts w:hint="eastAsia" w:ascii="宋体" w:hAnsi="宋体" w:cs="宋体"/>
          <w:highlight w:val="none"/>
        </w:rPr>
        <w:t>甲方的领导和从事该项目的工作人员，在项目的事前、事中、事后应遵守以下规定：</w:t>
      </w:r>
    </w:p>
    <w:p>
      <w:pPr>
        <w:ind w:firstLine="480"/>
        <w:rPr>
          <w:rFonts w:ascii="宋体" w:hAnsi="宋体" w:cs="宋体"/>
          <w:highlight w:val="none"/>
        </w:rPr>
      </w:pPr>
      <w:r>
        <w:rPr>
          <w:rFonts w:hint="eastAsia" w:ascii="宋体" w:hAnsi="宋体" w:cs="宋体"/>
          <w:highlight w:val="none"/>
        </w:rPr>
        <w:t>(一) 不准向乙方索要或接受回扣、礼金、有价证券、贵重物品和好处费、感谢费等；不准在乙方报销任何由甲方或个人支付的费用。</w:t>
      </w:r>
    </w:p>
    <w:p>
      <w:pPr>
        <w:ind w:firstLine="480"/>
        <w:rPr>
          <w:rFonts w:ascii="宋体" w:hAnsi="宋体" w:cs="宋体"/>
          <w:highlight w:val="none"/>
        </w:rPr>
      </w:pPr>
      <w:r>
        <w:rPr>
          <w:rFonts w:hint="eastAsia" w:ascii="宋体" w:hAnsi="宋体" w:cs="宋体"/>
          <w:highlight w:val="none"/>
        </w:rPr>
        <w:t>(二) 不准参加乙方安排的超标准宴请及健身、娱乐等活动；不得接受乙方提供的通讯工具、交通工具、高档办公用品等。</w:t>
      </w:r>
    </w:p>
    <w:p>
      <w:pPr>
        <w:ind w:firstLine="480"/>
        <w:rPr>
          <w:rFonts w:ascii="宋体" w:hAnsi="宋体" w:cs="宋体"/>
          <w:highlight w:val="none"/>
        </w:rPr>
      </w:pPr>
      <w:r>
        <w:rPr>
          <w:rFonts w:hint="eastAsia" w:ascii="宋体" w:hAnsi="宋体" w:cs="宋体"/>
          <w:highlight w:val="none"/>
        </w:rPr>
        <w:t>(三) 不准要求、暗示和接受乙方为个人装修住房、婚丧嫁娶、配偶子女工作安排以及出国（境）、旅游等提供方便。</w:t>
      </w:r>
    </w:p>
    <w:p>
      <w:pPr>
        <w:ind w:firstLine="480"/>
        <w:rPr>
          <w:rFonts w:ascii="宋体" w:hAnsi="宋体" w:cs="宋体"/>
          <w:highlight w:val="none"/>
        </w:rPr>
      </w:pPr>
      <w:r>
        <w:rPr>
          <w:rFonts w:hint="eastAsia" w:ascii="宋体" w:hAnsi="宋体" w:cs="宋体"/>
          <w:highlight w:val="none"/>
        </w:rPr>
        <w:t>(四) 配偶、子女不得从事与乙方承接本项目工作有关业务活动。</w:t>
      </w:r>
    </w:p>
    <w:p>
      <w:pPr>
        <w:ind w:firstLine="480"/>
        <w:rPr>
          <w:rFonts w:ascii="宋体" w:hAnsi="宋体" w:cs="宋体"/>
          <w:highlight w:val="none"/>
        </w:rPr>
      </w:pPr>
      <w:r>
        <w:rPr>
          <w:rFonts w:hint="eastAsia" w:ascii="宋体" w:hAnsi="宋体" w:cs="宋体"/>
          <w:highlight w:val="none"/>
        </w:rPr>
        <w:t>第三条  乙方责任</w:t>
      </w:r>
    </w:p>
    <w:p>
      <w:pPr>
        <w:ind w:firstLine="480"/>
        <w:rPr>
          <w:rFonts w:ascii="宋体" w:hAnsi="宋体" w:cs="宋体"/>
          <w:highlight w:val="none"/>
        </w:rPr>
      </w:pPr>
      <w:r>
        <w:rPr>
          <w:rFonts w:hint="eastAsia" w:ascii="宋体" w:hAnsi="宋体" w:cs="宋体"/>
          <w:highlight w:val="none"/>
        </w:rPr>
        <w:t>乙方应与甲方保持正常的业务交往，按照有关法律法规和程序开展业务工作，并遵守以下规定：</w:t>
      </w:r>
    </w:p>
    <w:p>
      <w:pPr>
        <w:ind w:firstLine="480"/>
        <w:rPr>
          <w:rFonts w:ascii="宋体" w:hAnsi="宋体" w:cs="宋体"/>
          <w:highlight w:val="none"/>
        </w:rPr>
      </w:pPr>
      <w:r>
        <w:rPr>
          <w:rFonts w:hint="eastAsia" w:ascii="宋体" w:hAnsi="宋体" w:cs="宋体"/>
          <w:highlight w:val="none"/>
        </w:rPr>
        <w:t>(一) 不准以任何理由向甲方及其工作人员行贿或赠送礼金、有价证券、贵重物品。</w:t>
      </w:r>
    </w:p>
    <w:p>
      <w:pPr>
        <w:ind w:firstLine="480"/>
        <w:rPr>
          <w:rFonts w:ascii="宋体" w:hAnsi="宋体" w:cs="宋体"/>
          <w:highlight w:val="none"/>
        </w:rPr>
      </w:pPr>
      <w:r>
        <w:rPr>
          <w:rFonts w:hint="eastAsia" w:ascii="宋体" w:hAnsi="宋体" w:cs="宋体"/>
          <w:highlight w:val="none"/>
        </w:rPr>
        <w:t>(二) 不准以任何名义为甲方及其工作人员报销应由对方或个人支付的费用。</w:t>
      </w:r>
    </w:p>
    <w:p>
      <w:pPr>
        <w:ind w:firstLine="480"/>
        <w:rPr>
          <w:rFonts w:ascii="宋体" w:hAnsi="宋体" w:cs="宋体"/>
          <w:highlight w:val="none"/>
        </w:rPr>
      </w:pPr>
      <w:r>
        <w:rPr>
          <w:rFonts w:hint="eastAsia" w:ascii="宋体" w:hAnsi="宋体" w:cs="宋体"/>
          <w:highlight w:val="none"/>
        </w:rPr>
        <w:t>(三) 不准以任何理由安排甲方工作人员参加的超标准宴请及健身、娱乐和旅游等活动。</w:t>
      </w:r>
    </w:p>
    <w:p>
      <w:pPr>
        <w:ind w:firstLine="480"/>
        <w:rPr>
          <w:rFonts w:ascii="宋体" w:hAnsi="宋体" w:cs="宋体"/>
          <w:highlight w:val="none"/>
        </w:rPr>
      </w:pPr>
      <w:r>
        <w:rPr>
          <w:rFonts w:hint="eastAsia" w:ascii="宋体" w:hAnsi="宋体" w:cs="宋体"/>
          <w:highlight w:val="none"/>
        </w:rPr>
        <w:t>(四) 不准为甲方单位和工作人员购置或提供通讯工具、交通工具、高档办公用品和装修住房等。</w:t>
      </w:r>
    </w:p>
    <w:p>
      <w:pPr>
        <w:ind w:firstLine="480"/>
        <w:rPr>
          <w:rFonts w:ascii="宋体" w:hAnsi="宋体" w:cs="宋体"/>
          <w:highlight w:val="none"/>
        </w:rPr>
      </w:pPr>
      <w:r>
        <w:rPr>
          <w:rFonts w:hint="eastAsia" w:ascii="宋体" w:hAnsi="宋体" w:cs="宋体"/>
          <w:highlight w:val="none"/>
        </w:rPr>
        <w:t>第四条  违约责任</w:t>
      </w:r>
    </w:p>
    <w:p>
      <w:pPr>
        <w:ind w:firstLine="480"/>
        <w:rPr>
          <w:rFonts w:ascii="宋体" w:hAnsi="宋体" w:cs="宋体"/>
          <w:highlight w:val="none"/>
        </w:rPr>
      </w:pPr>
      <w:r>
        <w:rPr>
          <w:rFonts w:hint="eastAsia" w:ascii="宋体" w:hAnsi="宋体" w:cs="宋体"/>
          <w:highlight w:val="none"/>
        </w:rPr>
        <w:t>(一) 甲方工作人员有违反本合同第一、二条责任行为的，按照管理权限，依据有关法律法规和规定给予党纪、政纪处分或组织处理；涉嫌犯罪的，移交司法机关追究刑事责任；给乙方单位造成经济损失的，应予以赔偿。</w:t>
      </w:r>
    </w:p>
    <w:p>
      <w:pPr>
        <w:ind w:firstLine="480"/>
        <w:rPr>
          <w:rFonts w:ascii="宋体" w:hAnsi="宋体" w:cs="宋体"/>
          <w:highlight w:val="none"/>
        </w:rPr>
      </w:pPr>
      <w:r>
        <w:rPr>
          <w:rFonts w:hint="eastAsia" w:ascii="宋体" w:hAnsi="宋体" w:cs="宋体"/>
          <w:highlight w:val="none"/>
        </w:rPr>
        <w:t>(二) 乙方工作人员有违反本合同第一、三条责任行为的，按照管理权限，依据有关法律法规和规定给予党纪、政纪处分或组织处理；涉嫌犯罪的，移交司法机关追究刑事责任；给甲方单位造成经济损失的，应予以赔偿。</w:t>
      </w:r>
    </w:p>
    <w:p>
      <w:pPr>
        <w:ind w:firstLine="480"/>
        <w:rPr>
          <w:rFonts w:ascii="宋体" w:hAnsi="宋体" w:cs="宋体"/>
          <w:highlight w:val="none"/>
        </w:rPr>
      </w:pPr>
      <w:r>
        <w:rPr>
          <w:rFonts w:hint="eastAsia" w:ascii="宋体" w:hAnsi="宋体" w:cs="宋体"/>
          <w:highlight w:val="none"/>
        </w:rPr>
        <w:t>第五条  双方约定：本合同由运营分公司纪检监督部负责监督，并对本合同履行情况进行检查。</w:t>
      </w:r>
    </w:p>
    <w:p>
      <w:pPr>
        <w:ind w:firstLine="480"/>
        <w:rPr>
          <w:rFonts w:ascii="宋体" w:hAnsi="宋体" w:cs="宋体"/>
          <w:sz w:val="22"/>
          <w:szCs w:val="20"/>
          <w:highlight w:val="none"/>
        </w:rPr>
      </w:pPr>
      <w:r>
        <w:rPr>
          <w:rFonts w:hint="eastAsia" w:ascii="宋体" w:hAnsi="宋体" w:cs="宋体"/>
          <w:highlight w:val="none"/>
        </w:rPr>
        <w:t>第六条  本合同作为合同的附件，与主合同具有同等法律效力。甲乙双方签署后立即生效。</w:t>
      </w:r>
    </w:p>
    <w:p>
      <w:pPr>
        <w:ind w:firstLine="440"/>
        <w:jc w:val="left"/>
        <w:rPr>
          <w:rFonts w:ascii="宋体" w:hAnsi="宋体" w:cs="宋体"/>
          <w:sz w:val="22"/>
          <w:szCs w:val="20"/>
          <w:highlight w:val="none"/>
        </w:rPr>
      </w:pPr>
    </w:p>
    <w:p>
      <w:pPr>
        <w:ind w:firstLine="480"/>
        <w:rPr>
          <w:rFonts w:ascii="宋体" w:hAnsi="宋体" w:cs="宋体"/>
          <w:highlight w:val="none"/>
        </w:rPr>
      </w:pPr>
      <w:r>
        <w:rPr>
          <w:rFonts w:hint="eastAsia" w:ascii="宋体" w:hAnsi="宋体" w:cs="宋体"/>
          <w:highlight w:val="none"/>
        </w:rPr>
        <w:t>甲方（盖章）：</w:t>
      </w:r>
      <w:r>
        <w:rPr>
          <w:rFonts w:hint="eastAsia" w:ascii="宋体" w:hAnsi="宋体" w:cs="宋体"/>
          <w:highlight w:val="none"/>
          <w:u w:val="single"/>
        </w:rPr>
        <w:t>南通轨道交通集团有限公司</w:t>
      </w:r>
      <w:r>
        <w:rPr>
          <w:rFonts w:hint="eastAsia" w:ascii="宋体" w:hAnsi="宋体" w:cs="宋体"/>
          <w:highlight w:val="none"/>
        </w:rPr>
        <w:t xml:space="preserve">    乙方（盖章）：</w:t>
      </w:r>
      <w:r>
        <w:rPr>
          <w:rFonts w:hint="eastAsia" w:ascii="宋体" w:hAnsi="宋体" w:cs="宋体"/>
          <w:highlight w:val="none"/>
          <w:u w:val="single"/>
        </w:rPr>
        <w:t xml:space="preserve">                          </w:t>
      </w:r>
    </w:p>
    <w:p>
      <w:pPr>
        <w:ind w:firstLine="1680" w:firstLineChars="700"/>
        <w:rPr>
          <w:rFonts w:ascii="宋体" w:hAnsi="宋体" w:cs="宋体"/>
          <w:highlight w:val="none"/>
        </w:rPr>
      </w:pPr>
      <w:r>
        <w:rPr>
          <w:rFonts w:hint="eastAsia" w:ascii="宋体" w:hAnsi="宋体" w:cs="宋体"/>
          <w:highlight w:val="none"/>
          <w:u w:val="single"/>
        </w:rPr>
        <w:t xml:space="preserve">运营分公司 </w:t>
      </w:r>
    </w:p>
    <w:p>
      <w:pPr>
        <w:pStyle w:val="7"/>
        <w:rPr>
          <w:highlight w:val="none"/>
        </w:rPr>
      </w:pPr>
    </w:p>
    <w:p>
      <w:pPr>
        <w:ind w:firstLine="480"/>
        <w:rPr>
          <w:highlight w:val="none"/>
        </w:rPr>
      </w:pPr>
      <w:r>
        <w:rPr>
          <w:rFonts w:hint="eastAsia"/>
          <w:highlight w:val="none"/>
        </w:rPr>
        <w:t xml:space="preserve"> </w:t>
      </w:r>
    </w:p>
    <w:p>
      <w:pPr>
        <w:ind w:firstLine="480"/>
        <w:rPr>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pStyle w:val="53"/>
        <w:rPr>
          <w:highlight w:val="none"/>
        </w:rPr>
      </w:pPr>
    </w:p>
    <w:p>
      <w:pPr>
        <w:pStyle w:val="53"/>
        <w:rPr>
          <w:highlight w:val="none"/>
        </w:rPr>
      </w:pPr>
    </w:p>
    <w:p>
      <w:pPr>
        <w:ind w:firstLine="480"/>
        <w:rPr>
          <w:highlight w:val="none"/>
        </w:rPr>
      </w:pPr>
    </w:p>
    <w:p>
      <w:pPr>
        <w:ind w:firstLine="480"/>
        <w:rPr>
          <w:highlight w:val="none"/>
        </w:rPr>
      </w:pPr>
    </w:p>
    <w:p>
      <w:pPr>
        <w:keepNext/>
        <w:keepLines/>
        <w:ind w:firstLine="140" w:firstLineChars="32"/>
        <w:jc w:val="center"/>
        <w:outlineLvl w:val="0"/>
        <w:rPr>
          <w:rFonts w:eastAsia="黑体"/>
          <w:bCs/>
          <w:kern w:val="44"/>
          <w:sz w:val="44"/>
          <w:szCs w:val="44"/>
          <w:highlight w:val="none"/>
        </w:rPr>
      </w:pPr>
      <w:bookmarkStart w:id="15" w:name="_Toc31910"/>
      <w:r>
        <w:rPr>
          <w:rFonts w:hint="eastAsia" w:eastAsia="黑体"/>
          <w:bCs/>
          <w:kern w:val="44"/>
          <w:sz w:val="44"/>
          <w:szCs w:val="44"/>
          <w:highlight w:val="none"/>
        </w:rPr>
        <w:t>第五章 采购需求</w:t>
      </w:r>
      <w:bookmarkEnd w:id="15"/>
    </w:p>
    <w:p>
      <w:pPr>
        <w:ind w:firstLine="880"/>
        <w:rPr>
          <w:rFonts w:eastAsia="黑体"/>
          <w:bCs/>
          <w:kern w:val="44"/>
          <w:sz w:val="44"/>
          <w:szCs w:val="44"/>
          <w:highlight w:val="none"/>
        </w:rPr>
      </w:pPr>
      <w:r>
        <w:rPr>
          <w:rFonts w:hint="eastAsia" w:eastAsia="黑体"/>
          <w:bCs/>
          <w:kern w:val="44"/>
          <w:sz w:val="44"/>
          <w:szCs w:val="44"/>
          <w:highlight w:val="none"/>
        </w:rPr>
        <w:br w:type="page"/>
      </w:r>
    </w:p>
    <w:p>
      <w:pPr>
        <w:widowControl/>
        <w:spacing w:line="360" w:lineRule="auto"/>
        <w:jc w:val="left"/>
        <w:rPr>
          <w:rFonts w:hint="default" w:ascii="Times New Roman" w:hAnsi="Times New Roman" w:eastAsia="宋体" w:cs="Times New Roman"/>
          <w:b/>
          <w:color w:val="auto"/>
          <w:sz w:val="22"/>
          <w:szCs w:val="22"/>
          <w:highlight w:val="none"/>
        </w:rPr>
      </w:pPr>
      <w:bookmarkStart w:id="16" w:name="_Toc366144084"/>
      <w:bookmarkStart w:id="17" w:name="_Toc425507783"/>
      <w:bookmarkStart w:id="18" w:name="_Toc19611"/>
      <w:bookmarkStart w:id="19" w:name="_Toc484775058"/>
      <w:r>
        <w:rPr>
          <w:rFonts w:hint="default" w:ascii="Times New Roman" w:hAnsi="Times New Roman" w:eastAsia="宋体" w:cs="Times New Roman"/>
          <w:b/>
          <w:color w:val="auto"/>
          <w:sz w:val="22"/>
          <w:szCs w:val="22"/>
          <w:highlight w:val="none"/>
        </w:rPr>
        <w:t>一、项目概述</w:t>
      </w:r>
    </w:p>
    <w:p>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Times New Roman" w:hAnsi="Times New Roman" w:eastAsia="宋体" w:cs="Times New Roman"/>
          <w:color w:val="auto"/>
          <w:kern w:val="58"/>
          <w:sz w:val="22"/>
          <w:szCs w:val="22"/>
          <w:highlight w:val="none"/>
        </w:rPr>
      </w:pPr>
      <w:r>
        <w:rPr>
          <w:rFonts w:hint="eastAsia" w:ascii="Times New Roman" w:hAnsi="Times New Roman" w:eastAsia="宋体" w:cs="Times New Roman"/>
          <w:color w:val="auto"/>
          <w:kern w:val="58"/>
          <w:sz w:val="22"/>
          <w:szCs w:val="22"/>
          <w:highlight w:val="none"/>
        </w:rPr>
        <w:t>南通轨道交通1</w:t>
      </w:r>
      <w:r>
        <w:rPr>
          <w:rFonts w:hint="eastAsia" w:ascii="Times New Roman" w:hAnsi="Times New Roman" w:eastAsia="宋体" w:cs="Times New Roman"/>
          <w:color w:val="auto"/>
          <w:kern w:val="58"/>
          <w:sz w:val="22"/>
          <w:szCs w:val="22"/>
          <w:highlight w:val="none"/>
          <w:lang w:eastAsia="zh-CN"/>
        </w:rPr>
        <w:t>、</w:t>
      </w:r>
      <w:r>
        <w:rPr>
          <w:rFonts w:hint="eastAsia" w:ascii="Times New Roman" w:hAnsi="Times New Roman" w:eastAsia="宋体" w:cs="Times New Roman"/>
          <w:color w:val="auto"/>
          <w:kern w:val="58"/>
          <w:sz w:val="22"/>
          <w:szCs w:val="22"/>
          <w:highlight w:val="none"/>
          <w:lang w:val="en-US" w:eastAsia="zh-CN"/>
        </w:rPr>
        <w:t>2号线</w:t>
      </w:r>
      <w:r>
        <w:rPr>
          <w:rFonts w:hint="eastAsia" w:ascii="Times New Roman" w:hAnsi="Times New Roman" w:eastAsia="宋体" w:cs="Times New Roman"/>
          <w:color w:val="auto"/>
          <w:kern w:val="58"/>
          <w:sz w:val="22"/>
          <w:szCs w:val="22"/>
          <w:highlight w:val="none"/>
        </w:rPr>
        <w:t>工程</w:t>
      </w:r>
      <w:r>
        <w:rPr>
          <w:rFonts w:hint="eastAsia" w:ascii="Times New Roman" w:hAnsi="Times New Roman" w:eastAsia="宋体" w:cs="Times New Roman"/>
          <w:color w:val="auto"/>
          <w:kern w:val="58"/>
          <w:sz w:val="22"/>
          <w:szCs w:val="22"/>
          <w:highlight w:val="none"/>
          <w:lang w:val="en-US" w:eastAsia="zh-CN"/>
        </w:rPr>
        <w:t>均已</w:t>
      </w:r>
      <w:r>
        <w:rPr>
          <w:rFonts w:hint="eastAsia" w:ascii="Times New Roman" w:hAnsi="Times New Roman" w:eastAsia="宋体" w:cs="Times New Roman"/>
          <w:color w:val="auto"/>
          <w:kern w:val="58"/>
          <w:sz w:val="22"/>
          <w:szCs w:val="22"/>
          <w:highlight w:val="none"/>
        </w:rPr>
        <w:t>开通运营，根据</w:t>
      </w:r>
      <w:r>
        <w:rPr>
          <w:rFonts w:hint="eastAsia" w:ascii="Times New Roman" w:hAnsi="Times New Roman" w:eastAsia="宋体" w:cs="Times New Roman"/>
          <w:color w:val="auto"/>
          <w:kern w:val="58"/>
          <w:sz w:val="22"/>
          <w:szCs w:val="22"/>
          <w:highlight w:val="none"/>
          <w:lang w:val="en-US" w:eastAsia="zh-CN"/>
        </w:rPr>
        <w:t>国家法律法规要求</w:t>
      </w:r>
      <w:r>
        <w:rPr>
          <w:rFonts w:hint="eastAsia" w:ascii="Times New Roman" w:hAnsi="Times New Roman" w:eastAsia="宋体" w:cs="Times New Roman"/>
          <w:color w:val="auto"/>
          <w:kern w:val="58"/>
          <w:sz w:val="22"/>
          <w:szCs w:val="22"/>
          <w:highlight w:val="none"/>
        </w:rPr>
        <w:t>，为员工提供合理的</w:t>
      </w:r>
      <w:r>
        <w:rPr>
          <w:rFonts w:hint="eastAsia" w:cs="Times New Roman"/>
          <w:color w:val="auto"/>
          <w:kern w:val="58"/>
          <w:sz w:val="22"/>
          <w:szCs w:val="22"/>
          <w:highlight w:val="none"/>
          <w:lang w:val="en-US" w:eastAsia="zh-CN"/>
        </w:rPr>
        <w:t>劳保洗护用品</w:t>
      </w:r>
      <w:r>
        <w:rPr>
          <w:rFonts w:hint="eastAsia" w:ascii="Times New Roman" w:hAnsi="Times New Roman" w:eastAsia="宋体" w:cs="Times New Roman"/>
          <w:color w:val="auto"/>
          <w:kern w:val="58"/>
          <w:sz w:val="22"/>
          <w:szCs w:val="22"/>
          <w:highlight w:val="none"/>
        </w:rPr>
        <w:t>，保证员工的安全生产权益，</w:t>
      </w:r>
      <w:r>
        <w:rPr>
          <w:rFonts w:hint="eastAsia" w:ascii="Times New Roman" w:hAnsi="Times New Roman" w:eastAsia="宋体" w:cs="Times New Roman"/>
          <w:color w:val="auto"/>
          <w:kern w:val="58"/>
          <w:sz w:val="22"/>
          <w:szCs w:val="22"/>
          <w:highlight w:val="none"/>
          <w:lang w:val="en-US" w:eastAsia="zh-CN"/>
        </w:rPr>
        <w:t>劳</w:t>
      </w:r>
      <w:r>
        <w:rPr>
          <w:rFonts w:hint="eastAsia" w:cs="Times New Roman"/>
          <w:color w:val="auto"/>
          <w:kern w:val="58"/>
          <w:sz w:val="22"/>
          <w:szCs w:val="22"/>
          <w:highlight w:val="none"/>
          <w:lang w:val="en-US" w:eastAsia="zh-CN"/>
        </w:rPr>
        <w:t>保洗护用品</w:t>
      </w:r>
      <w:r>
        <w:rPr>
          <w:rFonts w:hint="eastAsia" w:ascii="Times New Roman" w:hAnsi="Times New Roman" w:eastAsia="宋体" w:cs="Times New Roman"/>
          <w:color w:val="auto"/>
          <w:kern w:val="58"/>
          <w:sz w:val="22"/>
          <w:szCs w:val="22"/>
          <w:highlight w:val="none"/>
          <w:lang w:val="en-US" w:eastAsia="zh-CN"/>
        </w:rPr>
        <w:t>主要包含</w:t>
      </w:r>
      <w:r>
        <w:rPr>
          <w:rFonts w:hint="eastAsia" w:ascii="Times New Roman" w:hAnsi="Times New Roman" w:eastAsia="宋体" w:cs="Times New Roman"/>
          <w:color w:val="auto"/>
          <w:kern w:val="58"/>
          <w:sz w:val="22"/>
          <w:szCs w:val="22"/>
          <w:highlight w:val="none"/>
        </w:rPr>
        <w:t>毛巾</w:t>
      </w:r>
      <w:r>
        <w:rPr>
          <w:rFonts w:hint="eastAsia" w:cs="Times New Roman"/>
          <w:color w:val="auto"/>
          <w:kern w:val="58"/>
          <w:sz w:val="22"/>
          <w:szCs w:val="22"/>
          <w:highlight w:val="none"/>
          <w:lang w:eastAsia="zh-CN"/>
        </w:rPr>
        <w:t>、</w:t>
      </w:r>
      <w:r>
        <w:rPr>
          <w:rFonts w:hint="eastAsia" w:ascii="Times New Roman" w:hAnsi="Times New Roman" w:eastAsia="宋体" w:cs="Times New Roman"/>
          <w:color w:val="auto"/>
          <w:kern w:val="58"/>
          <w:sz w:val="22"/>
          <w:szCs w:val="22"/>
          <w:highlight w:val="none"/>
        </w:rPr>
        <w:t>肥皂、洗发水、洗衣液</w:t>
      </w:r>
      <w:r>
        <w:rPr>
          <w:rFonts w:hint="eastAsia" w:cs="Times New Roman"/>
          <w:color w:val="auto"/>
          <w:kern w:val="58"/>
          <w:sz w:val="22"/>
          <w:szCs w:val="22"/>
          <w:highlight w:val="none"/>
          <w:lang w:eastAsia="zh-CN"/>
        </w:rPr>
        <w:t>等</w:t>
      </w:r>
      <w:r>
        <w:rPr>
          <w:rFonts w:hint="eastAsia" w:ascii="Times New Roman" w:hAnsi="Times New Roman" w:eastAsia="宋体" w:cs="Times New Roman"/>
          <w:color w:val="auto"/>
          <w:kern w:val="58"/>
          <w:sz w:val="22"/>
          <w:szCs w:val="22"/>
          <w:highlight w:val="none"/>
        </w:rPr>
        <w:t>。</w:t>
      </w:r>
    </w:p>
    <w:p>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default" w:ascii="Times New Roman" w:hAnsi="Times New Roman" w:eastAsia="宋体" w:cs="Times New Roman"/>
          <w:color w:val="auto"/>
          <w:kern w:val="58"/>
          <w:sz w:val="22"/>
          <w:szCs w:val="22"/>
          <w:highlight w:val="none"/>
          <w:lang w:val="en-US" w:eastAsia="zh-CN"/>
        </w:rPr>
      </w:pPr>
      <w:r>
        <w:rPr>
          <w:rFonts w:hint="default" w:ascii="Times New Roman" w:hAnsi="Times New Roman" w:eastAsia="宋体" w:cs="Times New Roman"/>
          <w:color w:val="auto"/>
          <w:kern w:val="58"/>
          <w:sz w:val="22"/>
          <w:szCs w:val="22"/>
          <w:highlight w:val="none"/>
          <w:lang w:val="en-US" w:eastAsia="zh-CN"/>
        </w:rPr>
        <w:t>本次</w:t>
      </w:r>
      <w:r>
        <w:rPr>
          <w:rFonts w:hint="eastAsia" w:cs="Times New Roman"/>
          <w:color w:val="auto"/>
          <w:kern w:val="58"/>
          <w:sz w:val="22"/>
          <w:szCs w:val="22"/>
          <w:highlight w:val="none"/>
          <w:lang w:val="en-US" w:eastAsia="zh-CN"/>
        </w:rPr>
        <w:t>项目</w:t>
      </w:r>
      <w:r>
        <w:rPr>
          <w:rFonts w:hint="default" w:ascii="Times New Roman" w:hAnsi="Times New Roman" w:eastAsia="宋体" w:cs="Times New Roman"/>
          <w:color w:val="auto"/>
          <w:kern w:val="58"/>
          <w:sz w:val="22"/>
          <w:szCs w:val="22"/>
          <w:highlight w:val="none"/>
          <w:lang w:val="en-US" w:eastAsia="zh-CN"/>
        </w:rPr>
        <w:t>采购周期为2026年至202</w:t>
      </w:r>
      <w:r>
        <w:rPr>
          <w:rFonts w:hint="eastAsia" w:ascii="Times New Roman" w:hAnsi="Times New Roman" w:eastAsia="宋体" w:cs="Times New Roman"/>
          <w:color w:val="auto"/>
          <w:kern w:val="58"/>
          <w:sz w:val="22"/>
          <w:szCs w:val="22"/>
          <w:highlight w:val="none"/>
          <w:lang w:val="en-US" w:eastAsia="zh-CN"/>
        </w:rPr>
        <w:t>9</w:t>
      </w:r>
      <w:r>
        <w:rPr>
          <w:rFonts w:hint="default" w:ascii="Times New Roman" w:hAnsi="Times New Roman" w:eastAsia="宋体" w:cs="Times New Roman"/>
          <w:color w:val="auto"/>
          <w:kern w:val="58"/>
          <w:sz w:val="22"/>
          <w:szCs w:val="22"/>
          <w:highlight w:val="none"/>
          <w:lang w:val="en-US" w:eastAsia="zh-CN"/>
        </w:rPr>
        <w:t>年</w:t>
      </w:r>
      <w:r>
        <w:rPr>
          <w:rFonts w:hint="eastAsia" w:ascii="Times New Roman" w:hAnsi="Times New Roman" w:eastAsia="宋体" w:cs="Times New Roman"/>
          <w:color w:val="auto"/>
          <w:kern w:val="58"/>
          <w:sz w:val="22"/>
          <w:szCs w:val="22"/>
          <w:highlight w:val="none"/>
          <w:lang w:val="en-US" w:eastAsia="zh-CN"/>
        </w:rPr>
        <w:t>。预计每</w:t>
      </w:r>
      <w:r>
        <w:rPr>
          <w:rFonts w:hint="eastAsia" w:cs="Times New Roman"/>
          <w:color w:val="auto"/>
          <w:kern w:val="58"/>
          <w:sz w:val="22"/>
          <w:szCs w:val="22"/>
          <w:highlight w:val="none"/>
          <w:lang w:val="en-US" w:eastAsia="zh-CN"/>
        </w:rPr>
        <w:t>半</w:t>
      </w:r>
      <w:r>
        <w:rPr>
          <w:rFonts w:hint="eastAsia" w:ascii="Times New Roman" w:hAnsi="Times New Roman" w:eastAsia="宋体" w:cs="Times New Roman"/>
          <w:color w:val="auto"/>
          <w:kern w:val="58"/>
          <w:sz w:val="22"/>
          <w:szCs w:val="22"/>
          <w:highlight w:val="none"/>
          <w:lang w:val="en-US" w:eastAsia="zh-CN"/>
        </w:rPr>
        <w:t>年采购</w:t>
      </w:r>
      <w:r>
        <w:rPr>
          <w:rFonts w:hint="eastAsia" w:cs="Times New Roman"/>
          <w:color w:val="auto"/>
          <w:kern w:val="58"/>
          <w:sz w:val="22"/>
          <w:szCs w:val="22"/>
          <w:highlight w:val="none"/>
          <w:lang w:val="en-US" w:eastAsia="zh-CN"/>
        </w:rPr>
        <w:t>2</w:t>
      </w:r>
      <w:r>
        <w:rPr>
          <w:rFonts w:hint="eastAsia" w:ascii="Times New Roman" w:hAnsi="Times New Roman" w:eastAsia="宋体" w:cs="Times New Roman"/>
          <w:color w:val="auto"/>
          <w:kern w:val="58"/>
          <w:sz w:val="22"/>
          <w:szCs w:val="22"/>
          <w:highlight w:val="none"/>
          <w:lang w:val="en-US" w:eastAsia="zh-CN"/>
        </w:rPr>
        <w:t>000份左右</w:t>
      </w:r>
      <w:r>
        <w:rPr>
          <w:rFonts w:hint="default" w:ascii="Times New Roman" w:hAnsi="Times New Roman" w:eastAsia="宋体" w:cs="Times New Roman"/>
          <w:color w:val="auto"/>
          <w:kern w:val="58"/>
          <w:sz w:val="22"/>
          <w:szCs w:val="22"/>
          <w:highlight w:val="none"/>
          <w:lang w:val="en-US" w:eastAsia="zh-CN"/>
        </w:rPr>
        <w:t>，累计需采购</w:t>
      </w:r>
      <w:r>
        <w:rPr>
          <w:rFonts w:hint="eastAsia" w:ascii="Times New Roman" w:hAnsi="Times New Roman" w:eastAsia="宋体" w:cs="Times New Roman"/>
          <w:color w:val="auto"/>
          <w:kern w:val="58"/>
          <w:sz w:val="22"/>
          <w:szCs w:val="22"/>
          <w:highlight w:val="none"/>
          <w:lang w:val="en-US" w:eastAsia="zh-CN"/>
        </w:rPr>
        <w:t>约</w:t>
      </w:r>
      <w:r>
        <w:rPr>
          <w:rFonts w:hint="default" w:ascii="Times New Roman" w:hAnsi="Times New Roman" w:eastAsia="宋体" w:cs="Times New Roman"/>
          <w:color w:val="auto"/>
          <w:kern w:val="58"/>
          <w:sz w:val="22"/>
          <w:szCs w:val="22"/>
          <w:highlight w:val="none"/>
          <w:lang w:val="en-US" w:eastAsia="zh-CN"/>
        </w:rPr>
        <w:t>1</w:t>
      </w:r>
      <w:r>
        <w:rPr>
          <w:rFonts w:hint="eastAsia" w:ascii="Times New Roman" w:hAnsi="Times New Roman" w:eastAsia="宋体" w:cs="Times New Roman"/>
          <w:color w:val="auto"/>
          <w:kern w:val="58"/>
          <w:sz w:val="22"/>
          <w:szCs w:val="22"/>
          <w:highlight w:val="none"/>
          <w:lang w:val="en-US" w:eastAsia="zh-CN"/>
        </w:rPr>
        <w:t>.2万</w:t>
      </w:r>
      <w:r>
        <w:rPr>
          <w:rFonts w:hint="default" w:ascii="Times New Roman" w:hAnsi="Times New Roman" w:eastAsia="宋体" w:cs="Times New Roman"/>
          <w:color w:val="auto"/>
          <w:kern w:val="58"/>
          <w:sz w:val="22"/>
          <w:szCs w:val="22"/>
          <w:highlight w:val="none"/>
          <w:lang w:val="en-US" w:eastAsia="zh-CN"/>
        </w:rPr>
        <w:t>份。</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2" w:firstLineChars="200"/>
        <w:jc w:val="left"/>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b/>
          <w:color w:val="auto"/>
          <w:sz w:val="22"/>
          <w:szCs w:val="22"/>
          <w:highlight w:val="none"/>
          <w:lang w:val="en-US" w:eastAsia="zh-CN"/>
        </w:rPr>
        <w:t>二</w:t>
      </w:r>
      <w:r>
        <w:rPr>
          <w:rFonts w:hint="eastAsia" w:ascii="Times New Roman" w:hAnsi="Times New Roman" w:eastAsia="宋体" w:cs="Times New Roman"/>
          <w:color w:val="auto"/>
          <w:kern w:val="2"/>
          <w:sz w:val="24"/>
          <w:szCs w:val="22"/>
          <w:lang w:val="en-US" w:eastAsia="zh-CN" w:bidi="ar-SA"/>
          <w14:ligatures w14:val="standardContextual"/>
        </w:rPr>
        <w:t>、</w:t>
      </w:r>
      <w:r>
        <w:rPr>
          <w:rFonts w:hint="eastAsia" w:cs="Times New Roman"/>
          <w:b/>
          <w:color w:val="auto"/>
          <w:sz w:val="22"/>
          <w:szCs w:val="22"/>
          <w:highlight w:val="none"/>
          <w:lang w:val="en-US" w:eastAsia="zh-CN"/>
        </w:rPr>
        <w:t>项目</w:t>
      </w:r>
      <w:r>
        <w:rPr>
          <w:rFonts w:hint="default" w:ascii="Times New Roman" w:hAnsi="Times New Roman" w:eastAsia="宋体" w:cs="Times New Roman"/>
          <w:b/>
          <w:color w:val="auto"/>
          <w:sz w:val="22"/>
          <w:szCs w:val="22"/>
          <w:highlight w:val="none"/>
          <w:lang w:val="en-US" w:eastAsia="zh-CN"/>
        </w:rPr>
        <w:t>周期</w:t>
      </w:r>
    </w:p>
    <w:p>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default" w:ascii="Times New Roman" w:hAnsi="Times New Roman" w:eastAsia="宋体" w:cs="Times New Roman"/>
          <w:color w:val="auto"/>
          <w:kern w:val="58"/>
          <w:sz w:val="22"/>
          <w:szCs w:val="22"/>
          <w:highlight w:val="none"/>
        </w:rPr>
      </w:pPr>
      <w:r>
        <w:rPr>
          <w:rFonts w:hint="eastAsia" w:cs="Times New Roman"/>
          <w:color w:val="auto"/>
          <w:kern w:val="58"/>
          <w:sz w:val="22"/>
          <w:szCs w:val="22"/>
          <w:highlight w:val="none"/>
          <w:lang w:val="en-US" w:eastAsia="zh-CN"/>
        </w:rPr>
        <w:t>本项目为框架协议，协议有效期自合同签订之日起三年。采购人根据实际需求在有效期内分批次下达订单，供应商按订单要求供货</w:t>
      </w:r>
      <w:r>
        <w:rPr>
          <w:rFonts w:hint="default" w:ascii="Times New Roman" w:hAnsi="Times New Roman" w:eastAsia="宋体" w:cs="Times New Roman"/>
          <w:color w:val="auto"/>
          <w:kern w:val="58"/>
          <w:sz w:val="22"/>
          <w:szCs w:val="22"/>
          <w:highlight w:val="none"/>
        </w:rPr>
        <w:t>。</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42" w:firstLineChars="200"/>
        <w:jc w:val="left"/>
        <w:textAlignment w:val="auto"/>
        <w:rPr>
          <w:rFonts w:hint="default" w:ascii="Times New Roman" w:hAnsi="Times New Roman" w:eastAsia="宋体" w:cs="Times New Roman"/>
          <w:b/>
          <w:color w:val="auto"/>
          <w:sz w:val="22"/>
          <w:szCs w:val="22"/>
          <w:highlight w:val="none"/>
          <w:lang w:val="en-US" w:eastAsia="zh-CN"/>
        </w:rPr>
      </w:pPr>
      <w:r>
        <w:rPr>
          <w:rFonts w:hint="eastAsia" w:ascii="Times New Roman" w:hAnsi="Times New Roman" w:eastAsia="宋体" w:cs="Times New Roman"/>
          <w:b/>
          <w:color w:val="auto"/>
          <w:sz w:val="22"/>
          <w:szCs w:val="22"/>
          <w:highlight w:val="none"/>
          <w:lang w:val="en-US" w:eastAsia="zh-CN"/>
        </w:rPr>
        <w:t>三</w:t>
      </w:r>
      <w:r>
        <w:rPr>
          <w:rFonts w:hint="eastAsia" w:ascii="Times New Roman" w:hAnsi="Times New Roman" w:eastAsia="宋体" w:cs="Times New Roman"/>
          <w:b/>
          <w:color w:val="auto"/>
          <w:kern w:val="2"/>
          <w:sz w:val="22"/>
          <w:szCs w:val="22"/>
          <w:lang w:val="en-US" w:eastAsia="zh-CN" w:bidi="ar-SA"/>
          <w14:ligatures w14:val="standardContextual"/>
        </w:rPr>
        <w:t>、</w:t>
      </w:r>
      <w:r>
        <w:rPr>
          <w:rFonts w:hint="default" w:ascii="Times New Roman" w:hAnsi="Times New Roman" w:eastAsia="宋体" w:cs="Times New Roman"/>
          <w:b/>
          <w:color w:val="auto"/>
          <w:sz w:val="22"/>
          <w:szCs w:val="22"/>
          <w:highlight w:val="none"/>
          <w:lang w:val="en-US" w:eastAsia="zh-CN"/>
        </w:rPr>
        <w:t>货物交期及送货地点</w:t>
      </w:r>
    </w:p>
    <w:p>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default" w:ascii="Times New Roman" w:hAnsi="Times New Roman" w:eastAsia="宋体" w:cs="Times New Roman"/>
          <w:color w:val="auto"/>
          <w:kern w:val="58"/>
          <w:sz w:val="22"/>
          <w:szCs w:val="22"/>
          <w:highlight w:val="none"/>
        </w:rPr>
      </w:pPr>
      <w:r>
        <w:rPr>
          <w:rFonts w:hint="default" w:ascii="Times New Roman" w:hAnsi="Times New Roman" w:eastAsia="宋体" w:cs="Times New Roman"/>
          <w:color w:val="auto"/>
          <w:kern w:val="58"/>
          <w:sz w:val="22"/>
          <w:szCs w:val="22"/>
          <w:highlight w:val="none"/>
        </w:rPr>
        <w:t>交货</w:t>
      </w:r>
      <w:r>
        <w:rPr>
          <w:rFonts w:hint="default" w:ascii="Times New Roman" w:hAnsi="Times New Roman" w:eastAsia="宋体" w:cs="Times New Roman"/>
          <w:color w:val="auto"/>
          <w:kern w:val="58"/>
          <w:sz w:val="22"/>
          <w:szCs w:val="22"/>
          <w:highlight w:val="none"/>
          <w:lang w:val="en-US" w:eastAsia="zh-CN"/>
        </w:rPr>
        <w:t>期限</w:t>
      </w:r>
      <w:r>
        <w:rPr>
          <w:rFonts w:hint="default" w:ascii="Times New Roman" w:hAnsi="Times New Roman" w:eastAsia="宋体" w:cs="Times New Roman"/>
          <w:color w:val="auto"/>
          <w:kern w:val="58"/>
          <w:sz w:val="22"/>
          <w:szCs w:val="22"/>
          <w:highlight w:val="none"/>
        </w:rPr>
        <w:t>：按照</w:t>
      </w:r>
      <w:r>
        <w:rPr>
          <w:rFonts w:hint="default" w:ascii="Times New Roman" w:hAnsi="Times New Roman" w:eastAsia="宋体" w:cs="Times New Roman"/>
          <w:color w:val="auto"/>
          <w:kern w:val="58"/>
          <w:sz w:val="22"/>
          <w:szCs w:val="22"/>
          <w:highlight w:val="none"/>
          <w:lang w:val="en-US" w:eastAsia="zh-CN"/>
        </w:rPr>
        <w:t>采购</w:t>
      </w:r>
      <w:r>
        <w:rPr>
          <w:rFonts w:hint="default" w:ascii="Times New Roman" w:hAnsi="Times New Roman" w:eastAsia="宋体" w:cs="Times New Roman"/>
          <w:color w:val="auto"/>
          <w:kern w:val="58"/>
          <w:sz w:val="22"/>
          <w:szCs w:val="22"/>
          <w:highlight w:val="none"/>
        </w:rPr>
        <w:t>人</w:t>
      </w:r>
      <w:r>
        <w:rPr>
          <w:rFonts w:hint="default" w:ascii="Times New Roman" w:hAnsi="Times New Roman" w:eastAsia="宋体" w:cs="Times New Roman"/>
          <w:color w:val="auto"/>
          <w:kern w:val="58"/>
          <w:sz w:val="22"/>
          <w:szCs w:val="22"/>
          <w:highlight w:val="none"/>
          <w:lang w:val="en-US" w:eastAsia="zh-CN"/>
        </w:rPr>
        <w:t>订单进行</w:t>
      </w:r>
      <w:r>
        <w:rPr>
          <w:rFonts w:hint="default" w:ascii="Times New Roman" w:hAnsi="Times New Roman" w:eastAsia="宋体" w:cs="Times New Roman"/>
          <w:color w:val="auto"/>
          <w:kern w:val="58"/>
          <w:sz w:val="22"/>
          <w:szCs w:val="22"/>
          <w:highlight w:val="none"/>
        </w:rPr>
        <w:t>供货</w:t>
      </w:r>
      <w:r>
        <w:rPr>
          <w:rFonts w:hint="eastAsia" w:cs="Times New Roman"/>
          <w:color w:val="auto"/>
          <w:kern w:val="58"/>
          <w:sz w:val="22"/>
          <w:szCs w:val="22"/>
          <w:highlight w:val="none"/>
          <w:lang w:eastAsia="zh-CN"/>
        </w:rPr>
        <w:t>，</w:t>
      </w:r>
      <w:r>
        <w:rPr>
          <w:rFonts w:hint="default" w:ascii="Times New Roman" w:hAnsi="Times New Roman" w:eastAsia="宋体" w:cs="Times New Roman"/>
          <w:color w:val="auto"/>
          <w:kern w:val="58"/>
          <w:sz w:val="22"/>
          <w:szCs w:val="22"/>
          <w:highlight w:val="none"/>
          <w:lang w:val="en-US" w:eastAsia="zh-CN"/>
        </w:rPr>
        <w:t>采购人每批次订单下达后15个工作日内</w:t>
      </w:r>
      <w:r>
        <w:rPr>
          <w:rFonts w:hint="default" w:ascii="Times New Roman" w:hAnsi="Times New Roman" w:eastAsia="宋体" w:cs="Times New Roman"/>
          <w:color w:val="auto"/>
          <w:kern w:val="58"/>
          <w:sz w:val="22"/>
          <w:szCs w:val="22"/>
          <w:highlight w:val="none"/>
        </w:rPr>
        <w:t>完成</w:t>
      </w:r>
      <w:r>
        <w:rPr>
          <w:rFonts w:hint="default" w:ascii="Times New Roman" w:hAnsi="Times New Roman" w:eastAsia="宋体" w:cs="Times New Roman"/>
          <w:color w:val="auto"/>
          <w:kern w:val="58"/>
          <w:sz w:val="22"/>
          <w:szCs w:val="22"/>
          <w:highlight w:val="none"/>
          <w:lang w:val="en-US" w:eastAsia="zh-CN"/>
        </w:rPr>
        <w:t>物资交货</w:t>
      </w:r>
      <w:r>
        <w:rPr>
          <w:rFonts w:hint="default" w:ascii="Times New Roman" w:hAnsi="Times New Roman" w:eastAsia="宋体" w:cs="Times New Roman"/>
          <w:color w:val="auto"/>
          <w:kern w:val="58"/>
          <w:sz w:val="22"/>
          <w:szCs w:val="22"/>
          <w:highlight w:val="none"/>
        </w:rPr>
        <w:t>。</w:t>
      </w:r>
    </w:p>
    <w:p>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default" w:ascii="Times New Roman" w:hAnsi="Times New Roman" w:eastAsia="宋体" w:cs="Times New Roman"/>
          <w:color w:val="auto"/>
          <w:kern w:val="58"/>
          <w:sz w:val="22"/>
          <w:szCs w:val="22"/>
          <w:highlight w:val="none"/>
        </w:rPr>
      </w:pPr>
      <w:r>
        <w:rPr>
          <w:rFonts w:hint="default" w:ascii="Times New Roman" w:hAnsi="Times New Roman" w:eastAsia="宋体" w:cs="Times New Roman"/>
          <w:color w:val="auto"/>
          <w:kern w:val="58"/>
          <w:sz w:val="22"/>
          <w:szCs w:val="22"/>
          <w:highlight w:val="none"/>
        </w:rPr>
        <w:t>交货地点：</w:t>
      </w:r>
      <w:r>
        <w:rPr>
          <w:rFonts w:hint="default" w:ascii="Times New Roman" w:hAnsi="Times New Roman" w:eastAsia="宋体" w:cs="Times New Roman"/>
          <w:color w:val="auto"/>
          <w:kern w:val="58"/>
          <w:sz w:val="22"/>
          <w:szCs w:val="22"/>
          <w:highlight w:val="none"/>
          <w:lang w:val="en-US" w:eastAsia="zh-CN"/>
        </w:rPr>
        <w:t>南通轨道交通集团有限公司运营分公司平东</w:t>
      </w:r>
      <w:r>
        <w:rPr>
          <w:rFonts w:hint="eastAsia" w:cs="Times New Roman"/>
          <w:color w:val="auto"/>
          <w:kern w:val="58"/>
          <w:sz w:val="22"/>
          <w:szCs w:val="22"/>
          <w:highlight w:val="none"/>
          <w:lang w:val="en-US" w:eastAsia="zh-CN"/>
        </w:rPr>
        <w:t>车辆段</w:t>
      </w:r>
      <w:r>
        <w:rPr>
          <w:rFonts w:hint="default" w:ascii="Times New Roman" w:hAnsi="Times New Roman" w:eastAsia="宋体" w:cs="Times New Roman"/>
          <w:color w:val="auto"/>
          <w:kern w:val="58"/>
          <w:sz w:val="22"/>
          <w:szCs w:val="22"/>
          <w:highlight w:val="none"/>
          <w:lang w:val="en-US" w:eastAsia="zh-CN"/>
        </w:rPr>
        <w:t>、幸福车辆段</w:t>
      </w:r>
      <w:r>
        <w:rPr>
          <w:rFonts w:hint="eastAsia" w:cs="Times New Roman"/>
          <w:color w:val="auto"/>
          <w:kern w:val="58"/>
          <w:sz w:val="22"/>
          <w:szCs w:val="22"/>
          <w:highlight w:val="none"/>
          <w:lang w:val="en-US" w:eastAsia="zh-CN"/>
        </w:rPr>
        <w:t>、小海停车场、控制中心及</w:t>
      </w:r>
      <w:r>
        <w:rPr>
          <w:rFonts w:hint="default" w:ascii="Times New Roman" w:hAnsi="Times New Roman" w:eastAsia="宋体" w:cs="Times New Roman"/>
          <w:color w:val="auto"/>
          <w:kern w:val="58"/>
          <w:sz w:val="22"/>
          <w:szCs w:val="22"/>
          <w:highlight w:val="none"/>
          <w:lang w:val="en-US" w:eastAsia="zh-CN"/>
        </w:rPr>
        <w:t>南通市其它指定地点</w:t>
      </w:r>
      <w:r>
        <w:rPr>
          <w:rFonts w:hint="default" w:ascii="Times New Roman" w:hAnsi="Times New Roman" w:eastAsia="宋体" w:cs="Times New Roman"/>
          <w:color w:val="auto"/>
          <w:kern w:val="58"/>
          <w:sz w:val="22"/>
          <w:szCs w:val="22"/>
          <w:highlight w:val="none"/>
        </w:rPr>
        <w:t>。</w:t>
      </w:r>
    </w:p>
    <w:p>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42" w:firstLineChars="200"/>
        <w:jc w:val="left"/>
        <w:textAlignment w:val="auto"/>
        <w:rPr>
          <w:rFonts w:hint="eastAsia" w:ascii="Times New Roman" w:hAnsi="Times New Roman" w:eastAsia="宋体" w:cs="Times New Roman"/>
          <w:b/>
          <w:color w:val="auto"/>
          <w:sz w:val="22"/>
          <w:szCs w:val="22"/>
          <w:highlight w:val="none"/>
          <w:lang w:val="en-US" w:eastAsia="zh-CN"/>
        </w:rPr>
      </w:pPr>
      <w:r>
        <w:rPr>
          <w:rFonts w:hint="eastAsia" w:ascii="Times New Roman" w:hAnsi="Times New Roman" w:eastAsia="宋体" w:cs="Times New Roman"/>
          <w:b/>
          <w:color w:val="auto"/>
          <w:sz w:val="22"/>
          <w:szCs w:val="22"/>
          <w:highlight w:val="none"/>
          <w:lang w:val="en-US" w:eastAsia="zh-CN"/>
        </w:rPr>
        <w:t>四</w:t>
      </w:r>
      <w:r>
        <w:rPr>
          <w:rFonts w:hint="eastAsia" w:ascii="Times New Roman" w:hAnsi="Times New Roman" w:eastAsia="宋体" w:cs="Times New Roman"/>
          <w:b/>
          <w:color w:val="auto"/>
          <w:kern w:val="2"/>
          <w:sz w:val="22"/>
          <w:szCs w:val="22"/>
          <w:lang w:val="en-US" w:eastAsia="zh-CN" w:bidi="ar-SA"/>
          <w14:ligatures w14:val="standardContextual"/>
        </w:rPr>
        <w:t>、</w:t>
      </w:r>
      <w:r>
        <w:rPr>
          <w:rFonts w:hint="default" w:ascii="Times New Roman" w:hAnsi="Times New Roman" w:eastAsia="宋体" w:cs="Times New Roman"/>
          <w:b/>
          <w:color w:val="auto"/>
          <w:sz w:val="22"/>
          <w:szCs w:val="22"/>
          <w:highlight w:val="none"/>
        </w:rPr>
        <w:t>需求清单</w:t>
      </w:r>
      <w:r>
        <w:rPr>
          <w:rFonts w:hint="default" w:ascii="Times New Roman" w:hAnsi="Times New Roman" w:eastAsia="宋体" w:cs="Times New Roman"/>
          <w:b/>
          <w:color w:val="auto"/>
          <w:sz w:val="22"/>
          <w:szCs w:val="22"/>
          <w:highlight w:val="none"/>
          <w:lang w:val="en-US" w:eastAsia="zh-CN"/>
        </w:rPr>
        <w:t>及</w:t>
      </w:r>
      <w:r>
        <w:rPr>
          <w:rFonts w:hint="eastAsia" w:ascii="Times New Roman" w:hAnsi="Times New Roman" w:eastAsia="宋体" w:cs="Times New Roman"/>
          <w:b/>
          <w:color w:val="auto"/>
          <w:sz w:val="22"/>
          <w:szCs w:val="22"/>
          <w:highlight w:val="none"/>
          <w:lang w:val="en-US" w:eastAsia="zh-CN"/>
        </w:rPr>
        <w:t>描述</w:t>
      </w:r>
    </w:p>
    <w:p>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default" w:ascii="Times New Roman" w:hAnsi="Times New Roman" w:eastAsia="宋体" w:cs="Times New Roman"/>
          <w:color w:val="auto"/>
          <w:kern w:val="58"/>
          <w:sz w:val="22"/>
          <w:szCs w:val="22"/>
          <w:highlight w:val="none"/>
          <w:lang w:val="en-US" w:eastAsia="zh-CN"/>
        </w:rPr>
      </w:pPr>
      <w:r>
        <w:rPr>
          <w:rFonts w:hint="eastAsia" w:ascii="Times New Roman" w:hAnsi="Times New Roman" w:eastAsia="宋体" w:cs="Times New Roman"/>
          <w:color w:val="auto"/>
          <w:kern w:val="58"/>
          <w:sz w:val="22"/>
          <w:szCs w:val="22"/>
          <w:highlight w:val="none"/>
          <w:lang w:val="en-US" w:eastAsia="zh-CN"/>
        </w:rPr>
        <w:t>本项目供货范围包括但不限于货物的采购运输、供货、售后服务等全过程。</w:t>
      </w:r>
      <w:r>
        <w:rPr>
          <w:rFonts w:hint="eastAsia" w:cs="Times New Roman"/>
          <w:color w:val="auto"/>
          <w:kern w:val="58"/>
          <w:sz w:val="22"/>
          <w:szCs w:val="22"/>
          <w:highlight w:val="none"/>
          <w:lang w:val="en-US" w:eastAsia="zh-CN"/>
        </w:rPr>
        <w:t>供应商</w:t>
      </w:r>
      <w:r>
        <w:rPr>
          <w:rFonts w:hint="eastAsia" w:ascii="Times New Roman" w:hAnsi="Times New Roman" w:eastAsia="宋体" w:cs="Times New Roman"/>
          <w:color w:val="auto"/>
          <w:kern w:val="58"/>
          <w:sz w:val="22"/>
          <w:szCs w:val="22"/>
          <w:highlight w:val="none"/>
          <w:lang w:val="en-US" w:eastAsia="zh-CN"/>
        </w:rPr>
        <w:t>对全过程的安全、质量等承担所有责任。单份物品清单</w:t>
      </w:r>
      <w:r>
        <w:rPr>
          <w:rFonts w:hint="eastAsia" w:cs="Times New Roman"/>
          <w:color w:val="auto"/>
          <w:kern w:val="58"/>
          <w:sz w:val="22"/>
          <w:szCs w:val="22"/>
          <w:highlight w:val="none"/>
          <w:lang w:val="en-US" w:eastAsia="zh-CN"/>
        </w:rPr>
        <w:t>见下表：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1118"/>
        <w:gridCol w:w="3547"/>
        <w:gridCol w:w="893"/>
        <w:gridCol w:w="608"/>
        <w:gridCol w:w="19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78"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序号</w:t>
            </w:r>
          </w:p>
        </w:tc>
        <w:tc>
          <w:tcPr>
            <w:tcW w:w="625"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物资名称</w:t>
            </w:r>
          </w:p>
        </w:tc>
        <w:tc>
          <w:tcPr>
            <w:tcW w:w="1982"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规格型号</w:t>
            </w:r>
          </w:p>
        </w:tc>
        <w:tc>
          <w:tcPr>
            <w:tcW w:w="499"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单位</w:t>
            </w:r>
          </w:p>
        </w:tc>
        <w:tc>
          <w:tcPr>
            <w:tcW w:w="340"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数量</w:t>
            </w:r>
          </w:p>
        </w:tc>
        <w:tc>
          <w:tcPr>
            <w:tcW w:w="1073"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参考品牌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478"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1</w:t>
            </w:r>
          </w:p>
        </w:tc>
        <w:tc>
          <w:tcPr>
            <w:tcW w:w="111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毛巾</w:t>
            </w:r>
          </w:p>
        </w:tc>
        <w:tc>
          <w:tcPr>
            <w:tcW w:w="354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rPr>
            </w:pPr>
            <w:r>
              <w:rPr>
                <w:rFonts w:hint="eastAsia" w:ascii="宋体" w:hAnsi="宋体" w:cs="宋体"/>
                <w:sz w:val="22"/>
                <w:szCs w:val="22"/>
                <w:lang w:val="en-US" w:eastAsia="zh-CN" w:bidi="ar-SA"/>
              </w:rPr>
              <w:t>1.</w:t>
            </w:r>
            <w:r>
              <w:rPr>
                <w:rFonts w:hint="eastAsia" w:ascii="宋体" w:hAnsi="宋体" w:cs="宋体"/>
                <w:sz w:val="22"/>
                <w:szCs w:val="22"/>
                <w:lang w:val="en-US" w:eastAsia="zh-CN"/>
              </w:rPr>
              <w:t>材质：面料100%纯棉</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2.</w:t>
            </w:r>
            <w:r>
              <w:rPr>
                <w:rFonts w:hint="eastAsia" w:ascii="宋体" w:hAnsi="宋体" w:cs="宋体"/>
                <w:sz w:val="22"/>
                <w:szCs w:val="22"/>
                <w:lang w:val="en-US" w:eastAsia="zh-CN"/>
              </w:rPr>
              <w:t>规格：</w:t>
            </w:r>
            <w:r>
              <w:rPr>
                <w:rFonts w:hint="eastAsia" w:ascii="宋体" w:hAnsi="宋体" w:eastAsia="宋体" w:cs="宋体"/>
                <w:sz w:val="22"/>
                <w:szCs w:val="22"/>
              </w:rPr>
              <w:t>单条克重</w:t>
            </w:r>
            <w:r>
              <w:rPr>
                <w:rFonts w:hint="eastAsia" w:ascii="宋体" w:hAnsi="宋体" w:eastAsia="宋体" w:cs="宋体"/>
                <w:kern w:val="2"/>
                <w:sz w:val="22"/>
                <w:szCs w:val="22"/>
                <w:lang w:val="en-US" w:eastAsia="zh-CN" w:bidi="ar-SA"/>
                <w14:ligatures w14:val="standardContextual"/>
              </w:rPr>
              <w:t>≧</w:t>
            </w:r>
            <w:r>
              <w:rPr>
                <w:rFonts w:hint="eastAsia" w:ascii="宋体" w:hAnsi="宋体" w:eastAsia="宋体" w:cs="宋体"/>
                <w:sz w:val="22"/>
                <w:szCs w:val="22"/>
              </w:rPr>
              <w:t>100g</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3.</w:t>
            </w:r>
            <w:r>
              <w:rPr>
                <w:rFonts w:hint="eastAsia" w:ascii="宋体" w:hAnsi="宋体" w:cs="宋体"/>
                <w:sz w:val="22"/>
                <w:szCs w:val="22"/>
                <w:lang w:val="en-US" w:eastAsia="zh-CN"/>
              </w:rPr>
              <w:t>尺寸：不小于</w:t>
            </w:r>
            <w:r>
              <w:rPr>
                <w:rFonts w:hint="eastAsia" w:ascii="宋体" w:hAnsi="宋体" w:eastAsia="宋体" w:cs="宋体"/>
                <w:sz w:val="22"/>
                <w:szCs w:val="22"/>
              </w:rPr>
              <w:t>70cmx30cm</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4.</w:t>
            </w:r>
            <w:r>
              <w:rPr>
                <w:rFonts w:hint="eastAsia" w:ascii="宋体" w:hAnsi="宋体" w:cs="宋体"/>
                <w:sz w:val="22"/>
                <w:szCs w:val="22"/>
                <w:lang w:val="en-US" w:eastAsia="zh-CN"/>
              </w:rPr>
              <w:t>颜色：/</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5.</w:t>
            </w:r>
            <w:r>
              <w:rPr>
                <w:rFonts w:hint="eastAsia" w:ascii="宋体" w:hAnsi="宋体" w:cs="宋体"/>
                <w:sz w:val="22"/>
                <w:szCs w:val="22"/>
                <w:lang w:val="en-US" w:eastAsia="zh-CN"/>
              </w:rPr>
              <w:t>安全类别：A类</w:t>
            </w:r>
          </w:p>
        </w:tc>
        <w:tc>
          <w:tcPr>
            <w:tcW w:w="893"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条</w:t>
            </w:r>
          </w:p>
        </w:tc>
        <w:tc>
          <w:tcPr>
            <w:tcW w:w="60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2</w:t>
            </w:r>
          </w:p>
        </w:tc>
        <w:tc>
          <w:tcPr>
            <w:tcW w:w="192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全棉时代、金号</w:t>
            </w:r>
            <w:r>
              <w:rPr>
                <w:rFonts w:hint="eastAsia" w:ascii="宋体" w:hAnsi="宋体" w:cs="宋体"/>
                <w:sz w:val="22"/>
                <w:szCs w:val="22"/>
                <w:lang w:val="en-US" w:eastAsia="zh-CN"/>
              </w:rPr>
              <w:t>、</w:t>
            </w:r>
            <w:r>
              <w:rPr>
                <w:rFonts w:hint="eastAsia" w:ascii="宋体" w:hAnsi="宋体" w:eastAsia="宋体" w:cs="宋体"/>
                <w:sz w:val="22"/>
                <w:szCs w:val="22"/>
                <w:lang w:val="en-US" w:eastAsia="zh-CN"/>
              </w:rPr>
              <w:t>洁丽雅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78"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2</w:t>
            </w:r>
          </w:p>
        </w:tc>
        <w:tc>
          <w:tcPr>
            <w:tcW w:w="111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洗衣皂</w:t>
            </w:r>
          </w:p>
        </w:tc>
        <w:tc>
          <w:tcPr>
            <w:tcW w:w="354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rPr>
            </w:pPr>
            <w:r>
              <w:rPr>
                <w:rFonts w:hint="eastAsia" w:ascii="宋体" w:hAnsi="宋体" w:cs="宋体"/>
                <w:sz w:val="22"/>
                <w:szCs w:val="22"/>
                <w:lang w:val="en-US" w:eastAsia="zh-CN" w:bidi="ar-SA"/>
              </w:rPr>
              <w:t>1.</w:t>
            </w:r>
            <w:r>
              <w:rPr>
                <w:rFonts w:hint="eastAsia" w:ascii="宋体" w:hAnsi="宋体" w:cs="宋体"/>
                <w:sz w:val="22"/>
                <w:szCs w:val="22"/>
                <w:lang w:val="en-US" w:eastAsia="zh-CN"/>
              </w:rPr>
              <w:t>规格：单块</w:t>
            </w:r>
            <w:r>
              <w:rPr>
                <w:rFonts w:hint="eastAsia" w:ascii="宋体" w:hAnsi="宋体" w:eastAsia="宋体" w:cs="宋体"/>
                <w:sz w:val="22"/>
                <w:szCs w:val="22"/>
              </w:rPr>
              <w:t>重量</w:t>
            </w:r>
            <w:r>
              <w:rPr>
                <w:rFonts w:hint="eastAsia" w:ascii="宋体" w:hAnsi="宋体" w:eastAsia="宋体" w:cs="宋体"/>
                <w:kern w:val="2"/>
                <w:sz w:val="22"/>
                <w:szCs w:val="22"/>
                <w:lang w:val="en-US" w:eastAsia="zh-CN" w:bidi="ar-SA"/>
                <w14:ligatures w14:val="standardContextual"/>
              </w:rPr>
              <w:t>≧</w:t>
            </w:r>
            <w:r>
              <w:rPr>
                <w:rFonts w:hint="eastAsia" w:ascii="宋体" w:hAnsi="宋体" w:eastAsia="宋体" w:cs="宋体"/>
                <w:sz w:val="22"/>
                <w:szCs w:val="22"/>
              </w:rPr>
              <w:t>200g</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lang w:eastAsia="zh-CN"/>
              </w:rPr>
            </w:pPr>
            <w:r>
              <w:rPr>
                <w:rFonts w:hint="eastAsia" w:ascii="宋体" w:hAnsi="宋体" w:cs="宋体"/>
                <w:sz w:val="22"/>
                <w:szCs w:val="22"/>
                <w:lang w:val="en-US" w:eastAsia="zh-CN" w:bidi="ar-SA"/>
              </w:rPr>
              <w:t>2.</w:t>
            </w:r>
            <w:r>
              <w:rPr>
                <w:rFonts w:hint="eastAsia" w:ascii="宋体" w:hAnsi="宋体" w:cs="宋体"/>
                <w:sz w:val="22"/>
                <w:szCs w:val="22"/>
                <w:lang w:val="en-US" w:eastAsia="zh-CN"/>
              </w:rPr>
              <w:t>形态：固体</w:t>
            </w:r>
          </w:p>
        </w:tc>
        <w:tc>
          <w:tcPr>
            <w:tcW w:w="893"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块</w:t>
            </w:r>
          </w:p>
        </w:tc>
        <w:tc>
          <w:tcPr>
            <w:tcW w:w="60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2</w:t>
            </w:r>
          </w:p>
        </w:tc>
        <w:tc>
          <w:tcPr>
            <w:tcW w:w="192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汰渍、超能、奥妙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478"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3</w:t>
            </w:r>
          </w:p>
        </w:tc>
        <w:tc>
          <w:tcPr>
            <w:tcW w:w="111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香皂</w:t>
            </w:r>
          </w:p>
        </w:tc>
        <w:tc>
          <w:tcPr>
            <w:tcW w:w="354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rPr>
            </w:pPr>
            <w:r>
              <w:rPr>
                <w:rFonts w:hint="eastAsia" w:ascii="宋体" w:hAnsi="宋体" w:cs="宋体"/>
                <w:sz w:val="22"/>
                <w:szCs w:val="22"/>
                <w:lang w:val="en-US" w:eastAsia="zh-CN"/>
              </w:rPr>
              <w:t>1.规格：单块</w:t>
            </w:r>
            <w:r>
              <w:rPr>
                <w:rFonts w:hint="eastAsia" w:ascii="宋体" w:hAnsi="宋体" w:eastAsia="宋体" w:cs="宋体"/>
                <w:sz w:val="22"/>
                <w:szCs w:val="22"/>
              </w:rPr>
              <w:t>重量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sz w:val="22"/>
                <w:szCs w:val="22"/>
                <w:lang w:val="en-US" w:eastAsia="zh-CN"/>
              </w:rPr>
              <w:t>1</w:t>
            </w:r>
            <w:r>
              <w:rPr>
                <w:rFonts w:hint="eastAsia" w:ascii="宋体" w:hAnsi="宋体" w:eastAsia="宋体" w:cs="宋体"/>
                <w:sz w:val="22"/>
                <w:szCs w:val="22"/>
              </w:rPr>
              <w:t>00g</w:t>
            </w:r>
          </w:p>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2.形态：固体</w:t>
            </w:r>
          </w:p>
        </w:tc>
        <w:tc>
          <w:tcPr>
            <w:tcW w:w="893"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块</w:t>
            </w:r>
          </w:p>
        </w:tc>
        <w:tc>
          <w:tcPr>
            <w:tcW w:w="60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2</w:t>
            </w:r>
          </w:p>
        </w:tc>
        <w:tc>
          <w:tcPr>
            <w:tcW w:w="192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舒肤佳、力士、多芬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78"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111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eastAsia="宋体" w:cs="宋体"/>
                <w:kern w:val="2"/>
                <w:sz w:val="22"/>
                <w:szCs w:val="22"/>
                <w:lang w:val="en-US" w:eastAsia="zh-CN" w:bidi="ar-SA"/>
                <w14:ligatures w14:val="standardContextual"/>
              </w:rPr>
              <w:t>洗衣液</w:t>
            </w:r>
          </w:p>
        </w:tc>
        <w:tc>
          <w:tcPr>
            <w:tcW w:w="354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1.</w:t>
            </w:r>
            <w:r>
              <w:rPr>
                <w:rFonts w:hint="eastAsia" w:ascii="宋体" w:hAnsi="宋体" w:cs="宋体"/>
                <w:sz w:val="22"/>
                <w:szCs w:val="22"/>
                <w:lang w:val="en-US" w:eastAsia="zh-CN"/>
              </w:rPr>
              <w:t>规格：</w:t>
            </w:r>
            <w:r>
              <w:rPr>
                <w:rFonts w:hint="eastAsia" w:ascii="宋体" w:hAnsi="宋体" w:cs="宋体"/>
                <w:kern w:val="2"/>
                <w:sz w:val="22"/>
                <w:szCs w:val="22"/>
                <w:lang w:val="en-US" w:eastAsia="zh-CN" w:bidi="ar-SA"/>
                <w14:ligatures w14:val="standardContextual"/>
              </w:rPr>
              <w:t>净含量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w:t>
            </w:r>
            <w:r>
              <w:rPr>
                <w:rFonts w:hint="eastAsia" w:ascii="宋体" w:hAnsi="宋体" w:eastAsia="宋体" w:cs="宋体"/>
                <w:kern w:val="2"/>
                <w:sz w:val="22"/>
                <w:szCs w:val="22"/>
                <w:lang w:val="en-US" w:eastAsia="zh-CN" w:bidi="ar-SA"/>
                <w14:ligatures w14:val="standardContextual"/>
              </w:rPr>
              <w:t>kg/瓶</w:t>
            </w:r>
            <w:r>
              <w:rPr>
                <w:rFonts w:hint="eastAsia" w:ascii="宋体" w:hAnsi="宋体" w:cs="宋体"/>
                <w:kern w:val="2"/>
                <w:sz w:val="22"/>
                <w:szCs w:val="22"/>
                <w:lang w:val="en-US" w:eastAsia="zh-CN" w:bidi="ar-SA"/>
                <w14:ligatures w14:val="standardContextual"/>
              </w:rPr>
              <w:t>或</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1L</w:t>
            </w:r>
            <w:r>
              <w:rPr>
                <w:rFonts w:hint="eastAsia" w:ascii="宋体" w:hAnsi="宋体" w:eastAsia="宋体" w:cs="宋体"/>
                <w:kern w:val="2"/>
                <w:sz w:val="22"/>
                <w:szCs w:val="22"/>
                <w:lang w:val="en-US" w:eastAsia="zh-CN" w:bidi="ar-SA"/>
                <w14:ligatures w14:val="standardContextual"/>
              </w:rPr>
              <w:t>/瓶</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2.活性成分：活性物含量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15%，</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3.其他要求：非浓缩型，不含磷、无荧光剂</w:t>
            </w:r>
          </w:p>
        </w:tc>
        <w:tc>
          <w:tcPr>
            <w:tcW w:w="893"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瓶</w:t>
            </w:r>
          </w:p>
        </w:tc>
        <w:tc>
          <w:tcPr>
            <w:tcW w:w="60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92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蓝月亮、KAO花王、威露士（威莱）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8"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w:t>
            </w:r>
          </w:p>
        </w:tc>
        <w:tc>
          <w:tcPr>
            <w:tcW w:w="111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eastAsia="宋体" w:cs="宋体"/>
                <w:kern w:val="2"/>
                <w:sz w:val="22"/>
                <w:szCs w:val="22"/>
                <w:lang w:val="en-US" w:eastAsia="zh-CN" w:bidi="ar-SA"/>
                <w14:ligatures w14:val="standardContextual"/>
              </w:rPr>
              <w:t>洗衣液替换装</w:t>
            </w:r>
          </w:p>
        </w:tc>
        <w:tc>
          <w:tcPr>
            <w:tcW w:w="354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bidi="ar-SA"/>
              </w:rPr>
              <w:t>1.</w:t>
            </w:r>
            <w:r>
              <w:rPr>
                <w:rFonts w:hint="eastAsia" w:ascii="宋体" w:hAnsi="宋体" w:cs="宋体"/>
                <w:sz w:val="22"/>
                <w:szCs w:val="22"/>
                <w:lang w:val="en-US" w:eastAsia="zh-CN"/>
              </w:rPr>
              <w:t>规格：净含量≧1kg/袋</w:t>
            </w:r>
            <w:r>
              <w:rPr>
                <w:rFonts w:hint="eastAsia" w:ascii="宋体" w:hAnsi="宋体" w:cs="宋体"/>
                <w:kern w:val="2"/>
                <w:sz w:val="22"/>
                <w:szCs w:val="22"/>
                <w:lang w:val="en-US" w:eastAsia="zh-CN" w:bidi="ar-SA"/>
                <w14:ligatures w14:val="standardContextual"/>
              </w:rPr>
              <w:t>或</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1L</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sz w:val="22"/>
                <w:szCs w:val="22"/>
                <w:lang w:val="en-US" w:eastAsia="zh-CN"/>
              </w:rPr>
              <w:t>袋</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cs="宋体"/>
                <w:sz w:val="22"/>
                <w:szCs w:val="22"/>
                <w:lang w:val="en-US" w:eastAsia="zh-CN"/>
              </w:rPr>
            </w:pPr>
            <w:r>
              <w:rPr>
                <w:rFonts w:hint="eastAsia" w:ascii="宋体" w:hAnsi="宋体" w:cs="宋体"/>
                <w:sz w:val="22"/>
                <w:szCs w:val="22"/>
                <w:lang w:val="en-US" w:eastAsia="zh-CN" w:bidi="ar-SA"/>
              </w:rPr>
              <w:t>2.</w:t>
            </w:r>
            <w:r>
              <w:rPr>
                <w:rFonts w:hint="eastAsia" w:ascii="宋体" w:hAnsi="宋体" w:cs="宋体"/>
                <w:sz w:val="22"/>
                <w:szCs w:val="22"/>
                <w:lang w:val="en-US" w:eastAsia="zh-CN"/>
              </w:rPr>
              <w:t>活性成分：活性物含量≧15%，</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3.</w:t>
            </w:r>
            <w:r>
              <w:rPr>
                <w:rFonts w:hint="eastAsia" w:ascii="宋体" w:hAnsi="宋体" w:cs="宋体"/>
                <w:sz w:val="22"/>
                <w:szCs w:val="22"/>
                <w:lang w:val="en-US" w:eastAsia="zh-CN"/>
              </w:rPr>
              <w:t>其他要求：非浓缩型</w:t>
            </w:r>
            <w:r>
              <w:rPr>
                <w:rFonts w:hint="eastAsia" w:ascii="宋体" w:hAnsi="宋体" w:cs="宋体"/>
                <w:kern w:val="2"/>
                <w:sz w:val="22"/>
                <w:szCs w:val="22"/>
                <w:lang w:val="en-US" w:eastAsia="zh-CN" w:bidi="ar-SA"/>
                <w14:ligatures w14:val="standardContextual"/>
              </w:rPr>
              <w:t>，不含磷、无荧光剂</w:t>
            </w:r>
          </w:p>
        </w:tc>
        <w:tc>
          <w:tcPr>
            <w:tcW w:w="893"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袋</w:t>
            </w:r>
          </w:p>
        </w:tc>
        <w:tc>
          <w:tcPr>
            <w:tcW w:w="60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92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蓝月亮、KAO花王、威露士（威莱）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8"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c>
          <w:tcPr>
            <w:tcW w:w="111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eastAsia="宋体" w:cs="宋体"/>
                <w:kern w:val="2"/>
                <w:sz w:val="22"/>
                <w:szCs w:val="22"/>
                <w:lang w:val="en-US" w:eastAsia="zh-CN" w:bidi="ar-SA"/>
                <w14:ligatures w14:val="standardContextual"/>
              </w:rPr>
              <w:t>衣物柔顺护理剂</w:t>
            </w:r>
          </w:p>
        </w:tc>
        <w:tc>
          <w:tcPr>
            <w:tcW w:w="354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1.</w:t>
            </w:r>
            <w:r>
              <w:rPr>
                <w:rFonts w:hint="eastAsia" w:ascii="宋体" w:hAnsi="宋体" w:cs="宋体"/>
                <w:sz w:val="22"/>
                <w:szCs w:val="22"/>
                <w:lang w:val="en-US" w:eastAsia="zh-CN"/>
              </w:rPr>
              <w:t>规格</w:t>
            </w:r>
            <w:r>
              <w:rPr>
                <w:rFonts w:hint="eastAsia" w:ascii="宋体" w:hAnsi="宋体" w:cs="宋体"/>
                <w:kern w:val="2"/>
                <w:sz w:val="22"/>
                <w:szCs w:val="22"/>
                <w:lang w:val="en-US" w:eastAsia="zh-CN" w:bidi="ar-SA"/>
                <w14:ligatures w14:val="standardContextual"/>
              </w:rPr>
              <w:t>：净含量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w:t>
            </w:r>
            <w:r>
              <w:rPr>
                <w:rFonts w:hint="eastAsia" w:ascii="宋体" w:hAnsi="宋体" w:eastAsia="宋体" w:cs="宋体"/>
                <w:kern w:val="2"/>
                <w:sz w:val="22"/>
                <w:szCs w:val="22"/>
                <w:lang w:val="en-US" w:eastAsia="zh-CN" w:bidi="ar-SA"/>
                <w14:ligatures w14:val="standardContextual"/>
              </w:rPr>
              <w:t>kg/瓶</w:t>
            </w:r>
            <w:r>
              <w:rPr>
                <w:rFonts w:hint="eastAsia" w:ascii="宋体" w:hAnsi="宋体" w:cs="宋体"/>
                <w:kern w:val="2"/>
                <w:sz w:val="22"/>
                <w:szCs w:val="22"/>
                <w:lang w:val="en-US" w:eastAsia="zh-CN" w:bidi="ar-SA"/>
                <w14:ligatures w14:val="standardContextual"/>
              </w:rPr>
              <w:t>或</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1L</w:t>
            </w:r>
            <w:r>
              <w:rPr>
                <w:rFonts w:hint="eastAsia" w:ascii="宋体" w:hAnsi="宋体" w:eastAsia="宋体" w:cs="宋体"/>
                <w:kern w:val="2"/>
                <w:sz w:val="22"/>
                <w:szCs w:val="22"/>
                <w:lang w:val="en-US" w:eastAsia="zh-CN" w:bidi="ar-SA"/>
                <w14:ligatures w14:val="standardContextual"/>
              </w:rPr>
              <w:t>/瓶</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2.</w:t>
            </w:r>
            <w:r>
              <w:rPr>
                <w:rFonts w:hint="eastAsia" w:ascii="宋体" w:hAnsi="宋体" w:cs="宋体"/>
                <w:sz w:val="22"/>
                <w:szCs w:val="22"/>
                <w:lang w:val="en-US" w:eastAsia="zh-CN"/>
              </w:rPr>
              <w:t>其他要求：</w:t>
            </w:r>
            <w:r>
              <w:rPr>
                <w:rFonts w:hint="eastAsia" w:ascii="宋体" w:hAnsi="宋体" w:cs="宋体"/>
                <w:kern w:val="2"/>
                <w:sz w:val="22"/>
                <w:szCs w:val="22"/>
                <w:lang w:val="en-US" w:eastAsia="zh-CN" w:bidi="ar-SA"/>
                <w14:ligatures w14:val="standardContextual"/>
              </w:rPr>
              <w:t>非浓缩，不含磷、无荧光剂</w:t>
            </w:r>
          </w:p>
        </w:tc>
        <w:tc>
          <w:tcPr>
            <w:tcW w:w="893"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瓶</w:t>
            </w:r>
          </w:p>
        </w:tc>
        <w:tc>
          <w:tcPr>
            <w:tcW w:w="60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92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蓝月亮、金纺</w:t>
            </w:r>
            <w:r>
              <w:rPr>
                <w:rFonts w:hint="eastAsia" w:ascii="宋体" w:hAnsi="宋体" w:cs="宋体"/>
                <w:sz w:val="22"/>
                <w:szCs w:val="22"/>
                <w:lang w:val="en-US" w:eastAsia="zh-CN"/>
              </w:rPr>
              <w:t>、超能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8"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7</w:t>
            </w:r>
          </w:p>
        </w:tc>
        <w:tc>
          <w:tcPr>
            <w:tcW w:w="111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eastAsia="宋体" w:cs="宋体"/>
                <w:kern w:val="2"/>
                <w:sz w:val="22"/>
                <w:szCs w:val="22"/>
                <w:lang w:val="en-US" w:eastAsia="zh-CN" w:bidi="ar-SA"/>
                <w14:ligatures w14:val="standardContextual"/>
              </w:rPr>
              <w:t>洗发露</w:t>
            </w:r>
          </w:p>
        </w:tc>
        <w:tc>
          <w:tcPr>
            <w:tcW w:w="354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1.规格：</w:t>
            </w:r>
            <w:r>
              <w:rPr>
                <w:rFonts w:hint="eastAsia" w:ascii="宋体" w:hAnsi="宋体" w:cs="宋体"/>
                <w:b w:val="0"/>
                <w:bCs w:val="0"/>
                <w:color w:val="auto"/>
                <w:kern w:val="2"/>
                <w:sz w:val="22"/>
                <w:szCs w:val="22"/>
                <w:lang w:val="en-US" w:eastAsia="zh-CN" w:bidi="ar-SA"/>
                <w14:ligatures w14:val="standardContextual"/>
              </w:rPr>
              <w:t>单瓶容量</w:t>
            </w:r>
            <w:r>
              <w:rPr>
                <w:rFonts w:hint="eastAsia" w:ascii="宋体" w:hAnsi="宋体" w:eastAsia="宋体" w:cs="宋体"/>
                <w:b w:val="0"/>
                <w:bCs w:val="0"/>
                <w:color w:val="auto"/>
                <w:kern w:val="2"/>
                <w:sz w:val="22"/>
                <w:szCs w:val="22"/>
                <w:lang w:val="en-US" w:eastAsia="zh-CN" w:bidi="ar-SA"/>
                <w14:ligatures w14:val="standardContextual"/>
              </w:rPr>
              <w:t>≧2</w:t>
            </w:r>
            <w:r>
              <w:rPr>
                <w:rFonts w:hint="eastAsia" w:ascii="宋体" w:hAnsi="宋体" w:cs="宋体"/>
                <w:b w:val="0"/>
                <w:bCs w:val="0"/>
                <w:color w:val="auto"/>
                <w:kern w:val="2"/>
                <w:sz w:val="22"/>
                <w:szCs w:val="22"/>
                <w:lang w:val="en-US" w:eastAsia="zh-CN" w:bidi="ar-SA"/>
                <w14:ligatures w14:val="standardContextual"/>
              </w:rPr>
              <w:t>00</w:t>
            </w:r>
            <w:r>
              <w:rPr>
                <w:rFonts w:hint="eastAsia" w:ascii="宋体" w:hAnsi="宋体" w:eastAsia="宋体" w:cs="宋体"/>
                <w:b w:val="0"/>
                <w:bCs w:val="0"/>
                <w:color w:val="auto"/>
                <w:kern w:val="2"/>
                <w:sz w:val="22"/>
                <w:szCs w:val="22"/>
                <w:lang w:val="en-US" w:eastAsia="zh-CN" w:bidi="ar-SA"/>
                <w14:ligatures w14:val="standardContextual"/>
              </w:rPr>
              <w:t>ml</w:t>
            </w:r>
            <w:r>
              <w:rPr>
                <w:rFonts w:hint="eastAsia" w:ascii="宋体" w:hAnsi="宋体" w:cs="宋体"/>
                <w:b w:val="0"/>
                <w:bCs w:val="0"/>
                <w:color w:val="auto"/>
                <w:kern w:val="2"/>
                <w:sz w:val="22"/>
                <w:szCs w:val="22"/>
                <w:lang w:val="en-US" w:eastAsia="zh-CN" w:bidi="ar-SA"/>
                <w14:ligatures w14:val="standardContextual"/>
              </w:rPr>
              <w:t>或</w:t>
            </w:r>
            <w:r>
              <w:rPr>
                <w:rFonts w:hint="eastAsia" w:ascii="宋体" w:hAnsi="宋体" w:eastAsia="宋体" w:cs="宋体"/>
                <w:b w:val="0"/>
                <w:bCs w:val="0"/>
                <w:color w:val="auto"/>
                <w:kern w:val="2"/>
                <w:sz w:val="22"/>
                <w:szCs w:val="22"/>
                <w:lang w:val="en-US" w:eastAsia="zh-CN" w:bidi="ar-SA"/>
                <w14:ligatures w14:val="standardContextual"/>
              </w:rPr>
              <w:t>≧</w:t>
            </w:r>
            <w:r>
              <w:rPr>
                <w:rFonts w:hint="eastAsia" w:ascii="宋体" w:hAnsi="宋体" w:cs="宋体"/>
                <w:b w:val="0"/>
                <w:bCs w:val="0"/>
                <w:color w:val="auto"/>
                <w:kern w:val="2"/>
                <w:sz w:val="22"/>
                <w:szCs w:val="22"/>
                <w:lang w:val="en-US" w:eastAsia="zh-CN" w:bidi="ar-SA"/>
                <w14:ligatures w14:val="standardContextual"/>
              </w:rPr>
              <w:t>200g</w:t>
            </w:r>
          </w:p>
        </w:tc>
        <w:tc>
          <w:tcPr>
            <w:tcW w:w="893"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瓶</w:t>
            </w:r>
          </w:p>
        </w:tc>
        <w:tc>
          <w:tcPr>
            <w:tcW w:w="60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92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沙宣</w:t>
            </w:r>
            <w:r>
              <w:rPr>
                <w:rFonts w:hint="eastAsia" w:ascii="宋体" w:hAnsi="宋体" w:cs="宋体"/>
                <w:sz w:val="22"/>
                <w:szCs w:val="22"/>
                <w:lang w:val="en-US" w:eastAsia="zh-CN"/>
              </w:rPr>
              <w:t>、</w:t>
            </w:r>
            <w:r>
              <w:rPr>
                <w:rFonts w:hint="eastAsia" w:ascii="宋体" w:hAnsi="宋体" w:eastAsia="宋体" w:cs="宋体"/>
                <w:sz w:val="22"/>
                <w:szCs w:val="22"/>
                <w:lang w:val="en-US" w:eastAsia="zh-CN"/>
              </w:rPr>
              <w:t>清扬</w:t>
            </w:r>
            <w:r>
              <w:rPr>
                <w:rFonts w:hint="eastAsia" w:ascii="宋体" w:hAnsi="宋体" w:cs="宋体"/>
                <w:sz w:val="22"/>
                <w:szCs w:val="22"/>
                <w:lang w:val="en-US" w:eastAsia="zh-CN"/>
              </w:rPr>
              <w:t>、</w:t>
            </w:r>
            <w:r>
              <w:rPr>
                <w:rFonts w:hint="eastAsia" w:ascii="宋体" w:hAnsi="宋体" w:eastAsia="宋体" w:cs="宋体"/>
                <w:sz w:val="22"/>
                <w:szCs w:val="22"/>
                <w:lang w:val="en-US" w:eastAsia="zh-CN"/>
              </w:rPr>
              <w:t>施华寇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8"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c>
          <w:tcPr>
            <w:tcW w:w="111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eastAsia="宋体" w:cs="宋体"/>
                <w:kern w:val="2"/>
                <w:sz w:val="22"/>
                <w:szCs w:val="22"/>
                <w:lang w:val="en-US" w:eastAsia="zh-CN" w:bidi="ar-SA"/>
                <w14:ligatures w14:val="standardContextual"/>
              </w:rPr>
              <w:t>沐浴露</w:t>
            </w:r>
          </w:p>
        </w:tc>
        <w:tc>
          <w:tcPr>
            <w:tcW w:w="354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1.规格：</w:t>
            </w:r>
            <w:r>
              <w:rPr>
                <w:rFonts w:hint="eastAsia" w:ascii="宋体" w:hAnsi="宋体" w:cs="宋体"/>
                <w:b w:val="0"/>
                <w:bCs w:val="0"/>
                <w:color w:val="auto"/>
                <w:kern w:val="2"/>
                <w:sz w:val="22"/>
                <w:szCs w:val="22"/>
                <w:lang w:val="en-US" w:eastAsia="zh-CN" w:bidi="ar-SA"/>
                <w14:ligatures w14:val="standardContextual"/>
              </w:rPr>
              <w:t>单瓶容量</w:t>
            </w:r>
            <w:r>
              <w:rPr>
                <w:rFonts w:hint="eastAsia" w:ascii="宋体" w:hAnsi="宋体" w:eastAsia="宋体" w:cs="宋体"/>
                <w:b w:val="0"/>
                <w:bCs w:val="0"/>
                <w:color w:val="auto"/>
                <w:kern w:val="2"/>
                <w:sz w:val="22"/>
                <w:szCs w:val="22"/>
                <w:lang w:val="en-US" w:eastAsia="zh-CN" w:bidi="ar-SA"/>
                <w14:ligatures w14:val="standardContextual"/>
              </w:rPr>
              <w:t>≧</w:t>
            </w:r>
            <w:r>
              <w:rPr>
                <w:rFonts w:hint="eastAsia" w:ascii="宋体" w:hAnsi="宋体" w:cs="宋体"/>
                <w:b w:val="0"/>
                <w:bCs w:val="0"/>
                <w:color w:val="auto"/>
                <w:kern w:val="2"/>
                <w:sz w:val="22"/>
                <w:szCs w:val="22"/>
                <w:lang w:val="en-US" w:eastAsia="zh-CN" w:bidi="ar-SA"/>
                <w14:ligatures w14:val="standardContextual"/>
              </w:rPr>
              <w:t>380</w:t>
            </w:r>
            <w:r>
              <w:rPr>
                <w:rFonts w:hint="eastAsia" w:ascii="宋体" w:hAnsi="宋体" w:eastAsia="宋体" w:cs="宋体"/>
                <w:b w:val="0"/>
                <w:bCs w:val="0"/>
                <w:color w:val="auto"/>
                <w:kern w:val="2"/>
                <w:sz w:val="22"/>
                <w:szCs w:val="22"/>
                <w:lang w:val="en-US" w:eastAsia="zh-CN" w:bidi="ar-SA"/>
                <w14:ligatures w14:val="standardContextual"/>
              </w:rPr>
              <w:t>ml</w:t>
            </w:r>
            <w:r>
              <w:rPr>
                <w:rFonts w:hint="eastAsia" w:ascii="宋体" w:hAnsi="宋体" w:cs="宋体"/>
                <w:b w:val="0"/>
                <w:bCs w:val="0"/>
                <w:color w:val="auto"/>
                <w:kern w:val="2"/>
                <w:sz w:val="22"/>
                <w:szCs w:val="22"/>
                <w:lang w:val="en-US" w:eastAsia="zh-CN" w:bidi="ar-SA"/>
                <w14:ligatures w14:val="standardContextual"/>
              </w:rPr>
              <w:t>或</w:t>
            </w:r>
            <w:r>
              <w:rPr>
                <w:rFonts w:hint="eastAsia" w:ascii="宋体" w:hAnsi="宋体" w:eastAsia="宋体" w:cs="宋体"/>
                <w:b w:val="0"/>
                <w:bCs w:val="0"/>
                <w:color w:val="auto"/>
                <w:kern w:val="2"/>
                <w:sz w:val="22"/>
                <w:szCs w:val="22"/>
                <w:lang w:val="en-US" w:eastAsia="zh-CN" w:bidi="ar-SA"/>
                <w14:ligatures w14:val="standardContextual"/>
              </w:rPr>
              <w:t>≧</w:t>
            </w:r>
            <w:r>
              <w:rPr>
                <w:rFonts w:hint="eastAsia" w:ascii="宋体" w:hAnsi="宋体" w:cs="宋体"/>
                <w:b w:val="0"/>
                <w:bCs w:val="0"/>
                <w:color w:val="auto"/>
                <w:kern w:val="2"/>
                <w:sz w:val="22"/>
                <w:szCs w:val="22"/>
                <w:lang w:val="en-US" w:eastAsia="zh-CN" w:bidi="ar-SA"/>
                <w14:ligatures w14:val="standardContextual"/>
              </w:rPr>
              <w:t>380g</w:t>
            </w:r>
          </w:p>
        </w:tc>
        <w:tc>
          <w:tcPr>
            <w:tcW w:w="893"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瓶</w:t>
            </w:r>
          </w:p>
        </w:tc>
        <w:tc>
          <w:tcPr>
            <w:tcW w:w="608"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921"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威露士</w:t>
            </w:r>
            <w:r>
              <w:rPr>
                <w:rFonts w:hint="eastAsia" w:ascii="宋体" w:hAnsi="宋体" w:cs="宋体"/>
                <w:sz w:val="22"/>
                <w:szCs w:val="22"/>
                <w:lang w:val="en-US" w:eastAsia="zh-CN"/>
              </w:rPr>
              <w:t>（</w:t>
            </w:r>
            <w:r>
              <w:rPr>
                <w:rFonts w:hint="eastAsia" w:ascii="宋体" w:hAnsi="宋体" w:eastAsia="宋体" w:cs="宋体"/>
                <w:sz w:val="22"/>
                <w:szCs w:val="22"/>
                <w:lang w:val="en-US" w:eastAsia="zh-CN"/>
              </w:rPr>
              <w:t>威莱</w:t>
            </w:r>
            <w:r>
              <w:rPr>
                <w:rFonts w:hint="eastAsia" w:ascii="宋体" w:hAnsi="宋体" w:cs="宋体"/>
                <w:sz w:val="22"/>
                <w:szCs w:val="22"/>
                <w:lang w:val="en-US" w:eastAsia="zh-CN"/>
              </w:rPr>
              <w:t>）、多芬、蔻斯汀</w:t>
            </w:r>
          </w:p>
        </w:tc>
      </w:tr>
    </w:tbl>
    <w:p>
      <w:pPr>
        <w:pStyle w:val="6"/>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default" w:ascii="Times New Roman" w:hAnsi="Times New Roman" w:eastAsia="宋体" w:cs="Times New Roman"/>
          <w:b/>
          <w:color w:val="auto"/>
          <w:kern w:val="58"/>
          <w:sz w:val="22"/>
          <w:szCs w:val="22"/>
          <w:highlight w:val="none"/>
          <w:lang w:val="en-US" w:eastAsia="zh-CN" w:bidi="ar-SA"/>
        </w:rPr>
      </w:pPr>
      <w:r>
        <w:rPr>
          <w:rFonts w:hint="default" w:ascii="Times New Roman" w:hAnsi="Times New Roman" w:eastAsia="宋体" w:cs="Times New Roman"/>
          <w:b/>
          <w:color w:val="auto"/>
          <w:kern w:val="58"/>
          <w:sz w:val="22"/>
          <w:szCs w:val="22"/>
          <w:highlight w:val="none"/>
          <w:lang w:val="en-US" w:eastAsia="zh-CN" w:bidi="ar-SA"/>
        </w:rPr>
        <w:t>说明：</w:t>
      </w:r>
    </w:p>
    <w:p>
      <w:pPr>
        <w:pStyle w:val="6"/>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42" w:firstLineChars="200"/>
        <w:textAlignment w:val="auto"/>
        <w:rPr>
          <w:rFonts w:hint="default" w:ascii="Times New Roman" w:hAnsi="Times New Roman" w:eastAsia="宋体" w:cs="Times New Roman"/>
          <w:b/>
          <w:bCs/>
          <w:color w:val="auto"/>
          <w:kern w:val="58"/>
          <w:sz w:val="22"/>
          <w:szCs w:val="22"/>
          <w:highlight w:val="none"/>
          <w:lang w:val="en-US" w:eastAsia="zh-CN"/>
        </w:rPr>
      </w:pPr>
      <w:r>
        <w:rPr>
          <w:rFonts w:hint="default" w:ascii="Times New Roman" w:hAnsi="Times New Roman" w:eastAsia="宋体" w:cs="Times New Roman"/>
          <w:b/>
          <w:bCs/>
          <w:color w:val="auto"/>
          <w:kern w:val="58"/>
          <w:sz w:val="22"/>
          <w:szCs w:val="22"/>
          <w:highlight w:val="none"/>
        </w:rPr>
        <w:t>每份</w:t>
      </w:r>
      <w:r>
        <w:rPr>
          <w:rFonts w:hint="eastAsia" w:cs="Times New Roman"/>
          <w:b/>
          <w:bCs/>
          <w:color w:val="auto"/>
          <w:kern w:val="58"/>
          <w:sz w:val="22"/>
          <w:szCs w:val="22"/>
          <w:highlight w:val="none"/>
          <w:lang w:val="en-US" w:eastAsia="zh-CN"/>
        </w:rPr>
        <w:t>洗护用品</w:t>
      </w:r>
      <w:r>
        <w:rPr>
          <w:rFonts w:hint="default" w:ascii="Times New Roman" w:hAnsi="Times New Roman" w:eastAsia="宋体" w:cs="Times New Roman"/>
          <w:b/>
          <w:bCs/>
          <w:color w:val="auto"/>
          <w:kern w:val="58"/>
          <w:sz w:val="22"/>
          <w:szCs w:val="22"/>
          <w:highlight w:val="none"/>
        </w:rPr>
        <w:t>（按需求清单配置）所投产品需满足所列规格及参考品牌同档次品质要求</w:t>
      </w:r>
      <w:r>
        <w:rPr>
          <w:rFonts w:hint="default" w:ascii="Times New Roman" w:hAnsi="Times New Roman" w:eastAsia="宋体" w:cs="Times New Roman"/>
          <w:b/>
          <w:bCs/>
          <w:color w:val="auto"/>
          <w:kern w:val="58"/>
          <w:sz w:val="22"/>
          <w:szCs w:val="22"/>
          <w:highlight w:val="none"/>
          <w:lang w:val="en-US" w:eastAsia="zh-CN"/>
        </w:rPr>
        <w:t>。</w:t>
      </w:r>
    </w:p>
    <w:p>
      <w:pPr>
        <w:pStyle w:val="6"/>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42" w:firstLineChars="200"/>
        <w:textAlignment w:val="auto"/>
        <w:rPr>
          <w:rFonts w:hint="default" w:ascii="Times New Roman" w:hAnsi="Times New Roman" w:eastAsia="宋体" w:cs="Times New Roman"/>
          <w:b/>
          <w:bCs/>
          <w:color w:val="auto"/>
          <w:kern w:val="58"/>
          <w:sz w:val="22"/>
          <w:szCs w:val="22"/>
          <w:highlight w:val="none"/>
          <w:lang w:val="en-US" w:eastAsia="zh-CN"/>
        </w:rPr>
      </w:pPr>
      <w:r>
        <w:rPr>
          <w:rFonts w:hint="eastAsia" w:ascii="Times New Roman" w:hAnsi="Times New Roman" w:eastAsia="宋体" w:cs="Times New Roman"/>
          <w:b/>
          <w:bCs/>
          <w:color w:val="auto"/>
          <w:kern w:val="58"/>
          <w:sz w:val="22"/>
          <w:szCs w:val="22"/>
          <w:highlight w:val="none"/>
          <w:lang w:val="en-US" w:eastAsia="zh-CN"/>
        </w:rPr>
        <w:t>每份劳保洗护用品提供加厚无纺布袋，尺寸400mm*300mm*100mm，印刷南通轨道交通logo（图案、文字），颜色米白色</w:t>
      </w:r>
      <w:r>
        <w:rPr>
          <w:rFonts w:hint="eastAsia" w:cs="Times New Roman"/>
          <w:b/>
          <w:bCs/>
          <w:color w:val="auto"/>
          <w:kern w:val="58"/>
          <w:sz w:val="22"/>
          <w:szCs w:val="22"/>
          <w:highlight w:val="none"/>
          <w:lang w:val="en-US" w:eastAsia="zh-CN"/>
        </w:rPr>
        <w:t>。</w:t>
      </w:r>
    </w:p>
    <w:p>
      <w:pPr>
        <w:pStyle w:val="6"/>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42" w:firstLineChars="200"/>
        <w:textAlignment w:val="auto"/>
        <w:rPr>
          <w:rFonts w:hint="default" w:ascii="Times New Roman" w:hAnsi="Times New Roman" w:eastAsia="宋体" w:cs="Times New Roman"/>
          <w:b/>
          <w:bCs/>
          <w:color w:val="auto"/>
          <w:kern w:val="58"/>
          <w:sz w:val="22"/>
          <w:szCs w:val="22"/>
          <w:highlight w:val="none"/>
          <w:lang w:val="en-US" w:eastAsia="zh-CN"/>
        </w:rPr>
      </w:pPr>
      <w:r>
        <w:rPr>
          <w:rFonts w:hint="default" w:ascii="Times New Roman" w:hAnsi="Times New Roman" w:eastAsia="宋体" w:cs="Times New Roman"/>
          <w:b/>
          <w:bCs/>
          <w:color w:val="auto"/>
          <w:kern w:val="58"/>
          <w:sz w:val="22"/>
          <w:szCs w:val="22"/>
          <w:highlight w:val="none"/>
        </w:rPr>
        <w:t>本项目采用固定单价方式，根据本</w:t>
      </w:r>
      <w:r>
        <w:rPr>
          <w:rFonts w:hint="eastAsia" w:cs="Times New Roman"/>
          <w:b/>
          <w:bCs/>
          <w:color w:val="auto"/>
          <w:kern w:val="58"/>
          <w:sz w:val="22"/>
          <w:szCs w:val="22"/>
          <w:highlight w:val="none"/>
          <w:lang w:eastAsia="zh-CN"/>
        </w:rPr>
        <w:t>项目</w:t>
      </w:r>
      <w:r>
        <w:rPr>
          <w:rFonts w:hint="default" w:ascii="Times New Roman" w:hAnsi="Times New Roman" w:eastAsia="宋体" w:cs="Times New Roman"/>
          <w:b/>
          <w:bCs/>
          <w:color w:val="auto"/>
          <w:kern w:val="58"/>
          <w:sz w:val="22"/>
          <w:szCs w:val="22"/>
          <w:highlight w:val="none"/>
        </w:rPr>
        <w:t>实际供货的数量进行结算。</w:t>
      </w:r>
      <w:r>
        <w:rPr>
          <w:rFonts w:hint="default" w:ascii="Times New Roman" w:hAnsi="Times New Roman" w:eastAsia="宋体" w:cs="Times New Roman"/>
          <w:b/>
          <w:bCs/>
          <w:color w:val="auto"/>
          <w:kern w:val="58"/>
          <w:sz w:val="22"/>
          <w:szCs w:val="22"/>
          <w:highlight w:val="none"/>
          <w:lang w:val="en-US" w:eastAsia="zh-CN"/>
        </w:rPr>
        <w:t>报价申请单位</w:t>
      </w:r>
      <w:r>
        <w:rPr>
          <w:rFonts w:hint="default" w:ascii="Times New Roman" w:hAnsi="Times New Roman" w:eastAsia="宋体" w:cs="Times New Roman"/>
          <w:b/>
          <w:bCs/>
          <w:color w:val="auto"/>
          <w:kern w:val="58"/>
          <w:sz w:val="22"/>
          <w:szCs w:val="22"/>
          <w:highlight w:val="none"/>
        </w:rPr>
        <w:t>报价应包括但不限于：货物价格及出厂检验费、运输费、装卸费、各种税费、保险费、验收费、培训费、包装费、专利费、检验费、质保期所需相关的服务费用以及投标人企业利润、税金和政策性文件规定和合同包含的所有风险、责任等一切费用</w:t>
      </w:r>
      <w:r>
        <w:rPr>
          <w:rFonts w:hint="default" w:ascii="Times New Roman" w:hAnsi="Times New Roman" w:eastAsia="宋体" w:cs="Times New Roman"/>
          <w:b/>
          <w:bCs/>
          <w:color w:val="auto"/>
          <w:kern w:val="58"/>
          <w:sz w:val="22"/>
          <w:szCs w:val="22"/>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default" w:ascii="Times New Roman" w:hAnsi="Times New Roman" w:eastAsia="宋体" w:cs="Times New Roman"/>
          <w:b/>
          <w:color w:val="auto"/>
          <w:sz w:val="22"/>
          <w:szCs w:val="22"/>
          <w:highlight w:val="none"/>
          <w:lang w:val="en-US" w:eastAsia="zh-CN"/>
        </w:rPr>
      </w:pPr>
      <w:r>
        <w:rPr>
          <w:rFonts w:hint="default" w:ascii="Times New Roman" w:hAnsi="Times New Roman" w:eastAsia="宋体" w:cs="Times New Roman"/>
          <w:b/>
          <w:color w:val="auto"/>
          <w:sz w:val="22"/>
          <w:szCs w:val="22"/>
          <w:highlight w:val="none"/>
          <w:lang w:val="en-US" w:eastAsia="zh-CN"/>
        </w:rPr>
        <w:t>五、质量要求</w:t>
      </w:r>
      <w:bookmarkStart w:id="20" w:name="_Toc11540"/>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b w:val="0"/>
          <w:bCs/>
          <w:color w:val="auto"/>
          <w:sz w:val="22"/>
          <w:szCs w:val="22"/>
          <w:highlight w:val="none"/>
          <w:lang w:val="en-US" w:eastAsia="zh-CN"/>
        </w:rPr>
      </w:pPr>
      <w:r>
        <w:rPr>
          <w:rFonts w:hint="eastAsia" w:cs="Times New Roman"/>
          <w:b w:val="0"/>
          <w:bCs/>
          <w:color w:val="auto"/>
          <w:sz w:val="22"/>
          <w:szCs w:val="22"/>
          <w:highlight w:val="none"/>
          <w:lang w:val="en-US" w:eastAsia="zh-CN"/>
        </w:rPr>
        <w:t>1.</w:t>
      </w:r>
      <w:r>
        <w:rPr>
          <w:rFonts w:hint="default" w:ascii="Times New Roman" w:hAnsi="Times New Roman" w:eastAsia="宋体" w:cs="Times New Roman"/>
          <w:b w:val="0"/>
          <w:bCs/>
          <w:color w:val="auto"/>
          <w:sz w:val="22"/>
          <w:szCs w:val="22"/>
          <w:highlight w:val="none"/>
          <w:lang w:val="en-US" w:eastAsia="zh-CN"/>
        </w:rPr>
        <w:t>成交供货商应保证所有商品的规格、材质、数量、技术要求、设计和制造标准均为技术先进、产品优质的全新合格产品，并且是从设计、制造、包装、运输到采购人指定地点、验收直至最后交付使用及质保的完整性产品项目。</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b w:val="0"/>
          <w:bCs/>
          <w:color w:val="auto"/>
          <w:sz w:val="22"/>
          <w:szCs w:val="22"/>
          <w:highlight w:val="yellow"/>
          <w:lang w:val="en-US" w:eastAsia="zh-CN"/>
        </w:rPr>
      </w:pPr>
      <w:r>
        <w:rPr>
          <w:rFonts w:hint="eastAsia" w:cs="Times New Roman"/>
          <w:b w:val="0"/>
          <w:bCs/>
          <w:color w:val="auto"/>
          <w:sz w:val="22"/>
          <w:szCs w:val="22"/>
          <w:highlight w:val="none"/>
          <w:lang w:val="en-US" w:eastAsia="zh-CN"/>
        </w:rPr>
        <w:t>2.</w:t>
      </w:r>
      <w:r>
        <w:rPr>
          <w:rFonts w:hint="default" w:ascii="Times New Roman" w:hAnsi="Times New Roman" w:eastAsia="宋体" w:cs="Times New Roman"/>
          <w:b w:val="0"/>
          <w:bCs/>
          <w:color w:val="auto"/>
          <w:sz w:val="22"/>
          <w:szCs w:val="22"/>
          <w:highlight w:val="none"/>
          <w:lang w:val="en-US" w:eastAsia="zh-CN"/>
        </w:rPr>
        <w:t>成交供货商应保证货物完全符合采购文件及本项目合同规定的质量、规格和性能的要求。</w:t>
      </w:r>
      <w:r>
        <w:rPr>
          <w:rFonts w:hint="eastAsia" w:cs="Times New Roman"/>
          <w:b w:val="0"/>
          <w:bCs/>
          <w:color w:val="auto"/>
          <w:sz w:val="22"/>
          <w:szCs w:val="22"/>
          <w:highlight w:val="none"/>
          <w:lang w:val="en-US" w:eastAsia="zh-CN"/>
        </w:rPr>
        <w:t>毛巾、洗衣皂、香皂、洗衣液及替换装、柔顺护理剂、洗发露、沐浴露等应提供产品合格证。‌最小销售单元（每瓶/每块/每条）上必须有完整的中文标签，包括产品名称、生产厂家、生产地址、生产日期、保质期、执行标准、注意事项等。</w:t>
      </w:r>
      <w:r>
        <w:rPr>
          <w:rFonts w:hint="eastAsia" w:cs="Times New Roman"/>
          <w:b w:val="0"/>
          <w:bCs/>
          <w:color w:val="auto"/>
          <w:sz w:val="22"/>
          <w:szCs w:val="22"/>
          <w:highlight w:val="yellow"/>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b w:val="0"/>
          <w:bCs/>
          <w:color w:val="auto"/>
          <w:sz w:val="22"/>
          <w:szCs w:val="22"/>
          <w:highlight w:val="yellow"/>
          <w:lang w:val="en-US" w:eastAsia="zh-CN"/>
        </w:rPr>
      </w:pPr>
      <w:r>
        <w:rPr>
          <w:rFonts w:hint="eastAsia" w:cs="Times New Roman"/>
          <w:b w:val="0"/>
          <w:bCs/>
          <w:color w:val="auto"/>
          <w:sz w:val="22"/>
          <w:szCs w:val="22"/>
          <w:highlight w:val="none"/>
          <w:lang w:val="en-US" w:eastAsia="zh-CN"/>
        </w:rPr>
        <w:t>3.</w:t>
      </w:r>
      <w:r>
        <w:rPr>
          <w:rFonts w:hint="default" w:ascii="Times New Roman" w:hAnsi="Times New Roman" w:eastAsia="宋体" w:cs="Times New Roman"/>
          <w:bCs/>
          <w:color w:val="auto"/>
          <w:sz w:val="22"/>
          <w:szCs w:val="22"/>
          <w:highlight w:val="none"/>
        </w:rPr>
        <w:t>对于有产品有效期的货物交货日期距离生产日期不得大于有效期的</w:t>
      </w:r>
      <w:r>
        <w:rPr>
          <w:rFonts w:hint="default" w:ascii="Times New Roman" w:hAnsi="Times New Roman" w:eastAsia="宋体" w:cs="Times New Roman"/>
          <w:bCs/>
          <w:color w:val="auto"/>
          <w:sz w:val="22"/>
          <w:szCs w:val="22"/>
          <w:highlight w:val="none"/>
          <w:u w:val="none"/>
        </w:rPr>
        <w:t>30%</w:t>
      </w:r>
      <w:r>
        <w:rPr>
          <w:rFonts w:hint="default" w:ascii="Times New Roman" w:hAnsi="Times New Roman" w:eastAsia="宋体" w:cs="Times New Roman"/>
          <w:b w:val="0"/>
          <w:bCs/>
          <w:color w:val="auto"/>
          <w:sz w:val="22"/>
          <w:szCs w:val="22"/>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b w:val="0"/>
          <w:bCs/>
          <w:color w:val="auto"/>
          <w:sz w:val="22"/>
          <w:szCs w:val="22"/>
          <w:highlight w:val="none"/>
        </w:rPr>
      </w:pPr>
      <w:r>
        <w:rPr>
          <w:rFonts w:hint="eastAsia" w:cs="Times New Roman"/>
          <w:b w:val="0"/>
          <w:bCs/>
          <w:color w:val="auto"/>
          <w:sz w:val="22"/>
          <w:szCs w:val="22"/>
          <w:highlight w:val="none"/>
          <w:lang w:val="en-US" w:eastAsia="zh-CN"/>
        </w:rPr>
        <w:t>4.</w:t>
      </w:r>
      <w:r>
        <w:rPr>
          <w:rFonts w:hint="default" w:ascii="Times New Roman" w:hAnsi="Times New Roman" w:eastAsia="宋体" w:cs="Times New Roman"/>
          <w:b w:val="0"/>
          <w:bCs/>
          <w:color w:val="auto"/>
          <w:sz w:val="22"/>
          <w:szCs w:val="22"/>
          <w:highlight w:val="none"/>
          <w:lang w:val="en-US" w:eastAsia="zh-CN"/>
        </w:rPr>
        <w:t>成交产品的技术标准按国家标准执行，无国家标准的，按行业标准执行，无国家和行业标准的，按企业标准执行；但在采购文件中有特别要求的，按采购文件中规定的</w:t>
      </w:r>
      <w:r>
        <w:rPr>
          <w:rFonts w:hint="default" w:ascii="Times New Roman" w:hAnsi="Times New Roman" w:eastAsia="宋体" w:cs="Times New Roman"/>
          <w:b w:val="0"/>
          <w:bCs/>
          <w:color w:val="auto"/>
          <w:sz w:val="22"/>
          <w:szCs w:val="22"/>
          <w:highlight w:val="none"/>
        </w:rPr>
        <w:t>要求执行，并且符合相关</w:t>
      </w:r>
      <w:r>
        <w:rPr>
          <w:rFonts w:hint="eastAsia" w:cs="Times New Roman"/>
          <w:b w:val="0"/>
          <w:bCs/>
          <w:color w:val="auto"/>
          <w:sz w:val="22"/>
          <w:szCs w:val="22"/>
          <w:highlight w:val="none"/>
          <w:lang w:eastAsia="zh-CN"/>
        </w:rPr>
        <w:t>法律法规</w:t>
      </w:r>
      <w:r>
        <w:rPr>
          <w:rFonts w:hint="default" w:ascii="Times New Roman" w:hAnsi="Times New Roman" w:eastAsia="宋体" w:cs="Times New Roman"/>
          <w:b w:val="0"/>
          <w:bCs/>
          <w:color w:val="auto"/>
          <w:sz w:val="22"/>
          <w:szCs w:val="22"/>
          <w:highlight w:val="none"/>
        </w:rPr>
        <w:t>规定的要求。</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b w:val="0"/>
          <w:bCs/>
          <w:color w:val="auto"/>
          <w:sz w:val="22"/>
          <w:szCs w:val="22"/>
          <w:highlight w:val="none"/>
        </w:rPr>
      </w:pPr>
      <w:r>
        <w:rPr>
          <w:rFonts w:hint="eastAsia" w:cs="Times New Roman"/>
          <w:b w:val="0"/>
          <w:bCs/>
          <w:color w:val="auto"/>
          <w:sz w:val="22"/>
          <w:szCs w:val="22"/>
          <w:highlight w:val="none"/>
          <w:lang w:val="en-US" w:eastAsia="zh-CN"/>
        </w:rPr>
        <w:t>5.</w:t>
      </w:r>
      <w:r>
        <w:rPr>
          <w:rFonts w:hint="default" w:ascii="Times New Roman" w:hAnsi="Times New Roman" w:eastAsia="宋体" w:cs="Times New Roman"/>
          <w:b w:val="0"/>
          <w:bCs/>
          <w:color w:val="auto"/>
          <w:sz w:val="22"/>
          <w:szCs w:val="22"/>
          <w:highlight w:val="none"/>
        </w:rPr>
        <w:t xml:space="preserve">产品的包装，国家或行业主管部门有规定的，按规定执行。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b w:val="0"/>
          <w:bCs/>
          <w:color w:val="auto"/>
          <w:sz w:val="22"/>
          <w:szCs w:val="22"/>
          <w:highlight w:val="none"/>
        </w:rPr>
      </w:pPr>
      <w:r>
        <w:rPr>
          <w:rFonts w:hint="eastAsia" w:cs="Times New Roman"/>
          <w:b w:val="0"/>
          <w:bCs/>
          <w:color w:val="auto"/>
          <w:sz w:val="22"/>
          <w:szCs w:val="22"/>
          <w:highlight w:val="none"/>
          <w:lang w:val="en-US" w:eastAsia="zh-CN"/>
        </w:rPr>
        <w:t>6.</w:t>
      </w:r>
      <w:r>
        <w:rPr>
          <w:rFonts w:hint="default" w:ascii="Times New Roman" w:hAnsi="Times New Roman" w:eastAsia="宋体" w:cs="Times New Roman"/>
          <w:b w:val="0"/>
          <w:bCs/>
          <w:color w:val="auto"/>
          <w:sz w:val="22"/>
          <w:szCs w:val="22"/>
          <w:highlight w:val="none"/>
          <w:lang w:val="en-US" w:eastAsia="zh-CN"/>
        </w:rPr>
        <w:t>成交供货商</w:t>
      </w:r>
      <w:r>
        <w:rPr>
          <w:rFonts w:hint="default" w:ascii="Times New Roman" w:hAnsi="Times New Roman" w:eastAsia="宋体" w:cs="Times New Roman"/>
          <w:b w:val="0"/>
          <w:bCs/>
          <w:color w:val="auto"/>
          <w:sz w:val="22"/>
          <w:szCs w:val="22"/>
          <w:highlight w:val="none"/>
        </w:rPr>
        <w:t>应保证提供的产品不得侵犯第三方专利权、商标权和工业设计权、版权等。否则，</w:t>
      </w:r>
      <w:r>
        <w:rPr>
          <w:rFonts w:hint="default" w:ascii="Times New Roman" w:hAnsi="Times New Roman" w:eastAsia="宋体" w:cs="Times New Roman"/>
          <w:b w:val="0"/>
          <w:bCs/>
          <w:color w:val="auto"/>
          <w:sz w:val="22"/>
          <w:szCs w:val="22"/>
          <w:highlight w:val="none"/>
          <w:lang w:val="en-US" w:eastAsia="zh-CN"/>
        </w:rPr>
        <w:t>成交供货商</w:t>
      </w:r>
      <w:r>
        <w:rPr>
          <w:rFonts w:hint="default" w:ascii="Times New Roman" w:hAnsi="Times New Roman" w:eastAsia="宋体" w:cs="Times New Roman"/>
          <w:b w:val="0"/>
          <w:bCs/>
          <w:color w:val="auto"/>
          <w:sz w:val="22"/>
          <w:szCs w:val="22"/>
          <w:highlight w:val="none"/>
        </w:rPr>
        <w:t>应负全部责任，并承担由此引起的一切后果。</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b w:val="0"/>
          <w:bCs/>
          <w:color w:val="auto"/>
          <w:sz w:val="22"/>
          <w:szCs w:val="22"/>
          <w:highlight w:val="none"/>
        </w:rPr>
      </w:pPr>
      <w:r>
        <w:rPr>
          <w:rFonts w:hint="eastAsia" w:cs="Times New Roman"/>
          <w:b w:val="0"/>
          <w:bCs/>
          <w:color w:val="auto"/>
          <w:sz w:val="22"/>
          <w:szCs w:val="22"/>
          <w:highlight w:val="none"/>
          <w:lang w:val="en-US" w:eastAsia="zh-CN"/>
        </w:rPr>
        <w:t>7.</w:t>
      </w:r>
      <w:r>
        <w:rPr>
          <w:rFonts w:hint="default" w:ascii="Times New Roman" w:hAnsi="Times New Roman" w:eastAsia="宋体" w:cs="Times New Roman"/>
          <w:b w:val="0"/>
          <w:bCs/>
          <w:color w:val="auto"/>
          <w:sz w:val="22"/>
          <w:szCs w:val="22"/>
          <w:highlight w:val="none"/>
          <w:lang w:val="en-US" w:eastAsia="zh-CN"/>
        </w:rPr>
        <w:t>成交供货商</w:t>
      </w:r>
      <w:r>
        <w:rPr>
          <w:rFonts w:hint="default" w:ascii="Times New Roman" w:hAnsi="Times New Roman" w:eastAsia="宋体" w:cs="Times New Roman"/>
          <w:b w:val="0"/>
          <w:bCs/>
          <w:color w:val="auto"/>
          <w:sz w:val="22"/>
          <w:szCs w:val="22"/>
          <w:highlight w:val="none"/>
        </w:rPr>
        <w:t>应保证其货物在正常使用和保养条件下，在其使用寿命期内应具有满意的性能。</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b w:val="0"/>
          <w:bCs/>
          <w:color w:val="auto"/>
          <w:sz w:val="22"/>
          <w:szCs w:val="22"/>
          <w:highlight w:val="none"/>
        </w:rPr>
      </w:pPr>
      <w:r>
        <w:rPr>
          <w:rFonts w:hint="eastAsia" w:cs="Times New Roman"/>
          <w:b w:val="0"/>
          <w:bCs/>
          <w:color w:val="auto"/>
          <w:sz w:val="22"/>
          <w:szCs w:val="22"/>
          <w:highlight w:val="none"/>
          <w:lang w:val="en-US" w:eastAsia="zh-CN"/>
        </w:rPr>
        <w:t>8.</w:t>
      </w:r>
      <w:r>
        <w:rPr>
          <w:rFonts w:hint="default" w:ascii="Times New Roman" w:hAnsi="Times New Roman" w:eastAsia="宋体" w:cs="Times New Roman"/>
          <w:b w:val="0"/>
          <w:bCs/>
          <w:color w:val="auto"/>
          <w:sz w:val="22"/>
          <w:szCs w:val="22"/>
          <w:highlight w:val="none"/>
          <w:lang w:val="en-US" w:eastAsia="zh-CN"/>
        </w:rPr>
        <w:t>成交供货商</w:t>
      </w:r>
      <w:r>
        <w:rPr>
          <w:rFonts w:hint="default" w:ascii="Times New Roman" w:hAnsi="Times New Roman" w:eastAsia="宋体" w:cs="Times New Roman"/>
          <w:b w:val="0"/>
          <w:bCs/>
          <w:color w:val="auto"/>
          <w:sz w:val="22"/>
          <w:szCs w:val="22"/>
          <w:highlight w:val="none"/>
        </w:rPr>
        <w:t>应采取必要的安全措施保证</w:t>
      </w:r>
      <w:r>
        <w:rPr>
          <w:rFonts w:hint="eastAsia" w:cs="Times New Roman"/>
          <w:b w:val="0"/>
          <w:bCs/>
          <w:color w:val="auto"/>
          <w:sz w:val="22"/>
          <w:szCs w:val="22"/>
          <w:highlight w:val="none"/>
          <w:lang w:eastAsia="zh-CN"/>
        </w:rPr>
        <w:t>货物</w:t>
      </w:r>
      <w:r>
        <w:rPr>
          <w:rFonts w:hint="default" w:ascii="Times New Roman" w:hAnsi="Times New Roman" w:eastAsia="宋体" w:cs="Times New Roman"/>
          <w:b w:val="0"/>
          <w:bCs/>
          <w:color w:val="auto"/>
          <w:sz w:val="22"/>
          <w:szCs w:val="22"/>
          <w:highlight w:val="none"/>
        </w:rPr>
        <w:t>运输的安全，并承担货物的运输过程中产生的一切风险及全部责任。</w:t>
      </w:r>
    </w:p>
    <w:p>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default" w:ascii="Times New Roman" w:hAnsi="Times New Roman" w:eastAsia="宋体" w:cs="Times New Roman"/>
          <w:b/>
          <w:color w:val="auto"/>
          <w:sz w:val="22"/>
          <w:szCs w:val="22"/>
          <w:highlight w:val="none"/>
          <w:lang w:val="en-US" w:eastAsia="zh-CN"/>
        </w:rPr>
      </w:pPr>
      <w:r>
        <w:rPr>
          <w:rFonts w:hint="default" w:ascii="Times New Roman" w:hAnsi="Times New Roman" w:eastAsia="宋体" w:cs="Times New Roman"/>
          <w:b/>
          <w:color w:val="auto"/>
          <w:sz w:val="22"/>
          <w:szCs w:val="22"/>
          <w:highlight w:val="none"/>
          <w:lang w:val="en-US" w:eastAsia="zh-CN"/>
        </w:rPr>
        <w:t>六、运输和仓储</w:t>
      </w:r>
      <w:bookmarkEnd w:id="20"/>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Times New Roman" w:hAnsi="Times New Roman" w:eastAsia="宋体" w:cs="Times New Roman"/>
          <w:b w:val="0"/>
          <w:bCs/>
          <w:color w:val="auto"/>
          <w:sz w:val="22"/>
          <w:szCs w:val="22"/>
          <w:highlight w:val="none"/>
          <w:lang w:val="en-US" w:eastAsia="zh-CN"/>
        </w:rPr>
      </w:pPr>
      <w:r>
        <w:rPr>
          <w:rFonts w:hint="eastAsia" w:ascii="Times New Roman" w:hAnsi="Times New Roman" w:eastAsia="宋体" w:cs="Times New Roman"/>
          <w:b w:val="0"/>
          <w:bCs/>
          <w:color w:val="auto"/>
          <w:sz w:val="22"/>
          <w:szCs w:val="22"/>
          <w:highlight w:val="none"/>
          <w:lang w:val="en-US" w:eastAsia="zh-CN"/>
        </w:rPr>
        <w:t>货物包装必须与运输方式相适应，包装方式的确定及包装费用均由供应商负责，由于不适当的包装而造成货物在运输过程中有任何损坏由供应商负责。包装应足以承受整个过程中的运输、转运、装卸、储存等，充分考虑到运输途中的各种情况（如暴露于恶劣气候等）和南通地区的气候特点</w:t>
      </w:r>
      <w:r>
        <w:rPr>
          <w:rFonts w:hint="default" w:ascii="Times New Roman" w:hAnsi="Times New Roman" w:eastAsia="宋体" w:cs="Times New Roman"/>
          <w:b w:val="0"/>
          <w:bCs/>
          <w:color w:val="auto"/>
          <w:sz w:val="22"/>
          <w:szCs w:val="22"/>
          <w:highlight w:val="none"/>
          <w:lang w:val="en-US" w:eastAsia="zh-CN"/>
        </w:rPr>
        <w:t>。</w:t>
      </w:r>
      <w:bookmarkEnd w:id="16"/>
      <w:bookmarkEnd w:id="17"/>
      <w:bookmarkEnd w:id="18"/>
      <w:bookmarkEnd w:id="19"/>
    </w:p>
    <w:p>
      <w:pPr>
        <w:keepNext w:val="0"/>
        <w:keepLines w:val="0"/>
        <w:pageBreakBefore w:val="0"/>
        <w:numPr>
          <w:ilvl w:val="0"/>
          <w:numId w:val="4"/>
        </w:numPr>
        <w:kinsoku/>
        <w:wordWrap/>
        <w:overflowPunct/>
        <w:topLinePunct w:val="0"/>
        <w:autoSpaceDE/>
        <w:autoSpaceDN/>
        <w:bidi w:val="0"/>
        <w:adjustRightInd/>
        <w:snapToGrid/>
        <w:spacing w:line="360" w:lineRule="auto"/>
        <w:ind w:firstLine="442" w:firstLineChars="200"/>
        <w:jc w:val="left"/>
        <w:textAlignment w:val="auto"/>
        <w:rPr>
          <w:rFonts w:hint="eastAsia" w:ascii="Times New Roman" w:hAnsi="Times New Roman" w:eastAsia="宋体" w:cs="Times New Roman"/>
          <w:b/>
          <w:color w:val="auto"/>
          <w:sz w:val="22"/>
          <w:szCs w:val="22"/>
          <w:highlight w:val="none"/>
          <w:lang w:val="en-US" w:eastAsia="zh-CN"/>
        </w:rPr>
      </w:pPr>
      <w:r>
        <w:rPr>
          <w:rFonts w:hint="eastAsia" w:ascii="Times New Roman" w:hAnsi="Times New Roman" w:eastAsia="宋体" w:cs="Times New Roman"/>
          <w:b/>
          <w:color w:val="auto"/>
          <w:sz w:val="22"/>
          <w:szCs w:val="22"/>
          <w:highlight w:val="none"/>
          <w:lang w:val="en-US" w:eastAsia="zh-CN"/>
        </w:rPr>
        <w:t>验收流程</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imes New Roman" w:hAnsi="Times New Roman" w:eastAsia="宋体" w:cs="Times New Roman"/>
          <w:b w:val="0"/>
          <w:bCs/>
          <w:color w:val="auto"/>
          <w:sz w:val="22"/>
          <w:szCs w:val="22"/>
          <w:highlight w:val="none"/>
          <w:lang w:val="en-US" w:eastAsia="zh-CN"/>
        </w:rPr>
      </w:pPr>
      <w:r>
        <w:rPr>
          <w:rFonts w:hint="eastAsia" w:ascii="Times New Roman" w:hAnsi="Times New Roman" w:eastAsia="宋体" w:cs="Times New Roman"/>
          <w:b w:val="0"/>
          <w:bCs/>
          <w:color w:val="auto"/>
          <w:sz w:val="22"/>
          <w:szCs w:val="22"/>
          <w:highlight w:val="none"/>
          <w:lang w:val="en-US" w:eastAsia="zh-CN"/>
        </w:rPr>
        <w:t>验收标准</w:t>
      </w:r>
      <w:r>
        <w:rPr>
          <w:rFonts w:hint="eastAsia" w:cs="Times New Roman"/>
          <w:b w:val="0"/>
          <w:bCs/>
          <w:color w:val="auto"/>
          <w:sz w:val="22"/>
          <w:szCs w:val="22"/>
          <w:highlight w:val="none"/>
          <w:lang w:val="en-US" w:eastAsia="zh-CN"/>
        </w:rPr>
        <w:t>：</w:t>
      </w:r>
      <w:r>
        <w:rPr>
          <w:rFonts w:hint="eastAsia" w:ascii="Times New Roman" w:hAnsi="Times New Roman" w:eastAsia="宋体" w:cs="Times New Roman"/>
          <w:b w:val="0"/>
          <w:bCs/>
          <w:color w:val="auto"/>
          <w:sz w:val="22"/>
          <w:szCs w:val="22"/>
          <w:highlight w:val="none"/>
          <w:lang w:val="en-US" w:eastAsia="zh-CN"/>
        </w:rPr>
        <w:t>验收标准包括但不限于外观验收、开箱检验、质量验收、数量核对等方式。</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imes New Roman" w:hAnsi="Times New Roman" w:eastAsia="宋体" w:cs="Times New Roman"/>
          <w:b w:val="0"/>
          <w:bCs/>
          <w:color w:val="auto"/>
          <w:sz w:val="22"/>
          <w:szCs w:val="22"/>
          <w:highlight w:val="none"/>
          <w:lang w:val="en-US" w:eastAsia="zh-CN"/>
        </w:rPr>
      </w:pPr>
      <w:r>
        <w:rPr>
          <w:rFonts w:hint="eastAsia" w:ascii="Times New Roman" w:hAnsi="Times New Roman" w:eastAsia="宋体" w:cs="Times New Roman"/>
          <w:b w:val="0"/>
          <w:bCs/>
          <w:color w:val="auto"/>
          <w:sz w:val="22"/>
          <w:szCs w:val="22"/>
          <w:highlight w:val="none"/>
          <w:lang w:val="en-US" w:eastAsia="zh-CN"/>
        </w:rPr>
        <w:t>验收方式</w:t>
      </w:r>
      <w:r>
        <w:rPr>
          <w:rFonts w:hint="eastAsia" w:cs="Times New Roman"/>
          <w:b w:val="0"/>
          <w:bCs/>
          <w:color w:val="auto"/>
          <w:sz w:val="22"/>
          <w:szCs w:val="22"/>
          <w:highlight w:val="none"/>
          <w:lang w:val="en-US" w:eastAsia="zh-CN"/>
        </w:rPr>
        <w:t>：</w:t>
      </w:r>
      <w:r>
        <w:rPr>
          <w:rFonts w:hint="eastAsia" w:ascii="Times New Roman" w:hAnsi="Times New Roman" w:eastAsia="宋体" w:cs="Times New Roman"/>
          <w:b w:val="0"/>
          <w:bCs/>
          <w:color w:val="auto"/>
          <w:sz w:val="22"/>
          <w:szCs w:val="22"/>
          <w:highlight w:val="none"/>
          <w:lang w:val="en-US" w:eastAsia="zh-CN"/>
        </w:rPr>
        <w:t>到货后</w:t>
      </w:r>
      <w:r>
        <w:rPr>
          <w:rFonts w:hint="eastAsia" w:cs="Times New Roman"/>
          <w:b w:val="0"/>
          <w:bCs/>
          <w:color w:val="auto"/>
          <w:sz w:val="22"/>
          <w:szCs w:val="22"/>
          <w:highlight w:val="none"/>
          <w:lang w:val="en-US" w:eastAsia="zh-CN"/>
        </w:rPr>
        <w:t>1</w:t>
      </w:r>
      <w:r>
        <w:rPr>
          <w:rFonts w:hint="eastAsia" w:ascii="Times New Roman" w:hAnsi="Times New Roman" w:eastAsia="宋体" w:cs="Times New Roman"/>
          <w:b w:val="0"/>
          <w:bCs/>
          <w:color w:val="auto"/>
          <w:sz w:val="22"/>
          <w:szCs w:val="22"/>
          <w:highlight w:val="none"/>
          <w:lang w:val="en-US" w:eastAsia="zh-CN"/>
        </w:rPr>
        <w:t>周内，甲方组织需求专业相关人员进行验收。</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42" w:firstLineChars="200"/>
        <w:jc w:val="left"/>
        <w:textAlignment w:val="auto"/>
        <w:rPr>
          <w:rFonts w:hint="default" w:ascii="Times New Roman" w:hAnsi="Times New Roman" w:eastAsia="宋体" w:cs="Times New Roman"/>
          <w:b/>
          <w:color w:val="auto"/>
          <w:sz w:val="22"/>
          <w:szCs w:val="22"/>
          <w:highlight w:val="none"/>
          <w:lang w:val="en-US" w:eastAsia="zh-CN"/>
        </w:rPr>
      </w:pPr>
      <w:r>
        <w:rPr>
          <w:rFonts w:hint="eastAsia" w:cs="Times New Roman"/>
          <w:b/>
          <w:color w:val="auto"/>
          <w:kern w:val="2"/>
          <w:sz w:val="22"/>
          <w:szCs w:val="22"/>
          <w:lang w:val="en-US" w:eastAsia="zh-CN" w:bidi="ar-SA"/>
          <w14:ligatures w14:val="standardContextual"/>
        </w:rPr>
        <w:t>八</w:t>
      </w:r>
      <w:r>
        <w:rPr>
          <w:rFonts w:hint="eastAsia" w:ascii="Times New Roman" w:hAnsi="Times New Roman" w:eastAsia="宋体" w:cs="Times New Roman"/>
          <w:b/>
          <w:color w:val="auto"/>
          <w:kern w:val="2"/>
          <w:sz w:val="22"/>
          <w:szCs w:val="22"/>
          <w:lang w:val="en-US" w:eastAsia="zh-CN" w:bidi="ar-SA"/>
          <w14:ligatures w14:val="standardContextual"/>
        </w:rPr>
        <w:t>、</w:t>
      </w:r>
      <w:r>
        <w:rPr>
          <w:rFonts w:hint="eastAsia" w:cs="Times New Roman"/>
          <w:b/>
          <w:color w:val="auto"/>
          <w:sz w:val="22"/>
          <w:szCs w:val="22"/>
          <w:highlight w:val="none"/>
          <w:lang w:val="en-US" w:eastAsia="zh-CN"/>
        </w:rPr>
        <w:t>售后服务</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cs="Times New Roman"/>
          <w:b w:val="0"/>
          <w:bCs/>
          <w:color w:val="auto"/>
          <w:sz w:val="22"/>
          <w:szCs w:val="22"/>
          <w:highlight w:val="none"/>
          <w:lang w:val="en-US" w:eastAsia="zh-CN"/>
        </w:rPr>
      </w:pPr>
      <w:r>
        <w:rPr>
          <w:rFonts w:hint="default" w:cs="Times New Roman"/>
          <w:b w:val="0"/>
          <w:bCs/>
          <w:color w:val="auto"/>
          <w:sz w:val="22"/>
          <w:szCs w:val="22"/>
          <w:highlight w:val="none"/>
          <w:lang w:val="en-US" w:eastAsia="zh-CN"/>
        </w:rPr>
        <w:t>在质保期内发生问题，</w:t>
      </w:r>
      <w:r>
        <w:rPr>
          <w:rFonts w:hint="eastAsia" w:cs="Times New Roman"/>
          <w:b w:val="0"/>
          <w:bCs/>
          <w:color w:val="auto"/>
          <w:sz w:val="22"/>
          <w:szCs w:val="22"/>
          <w:highlight w:val="none"/>
          <w:lang w:val="en-US" w:eastAsia="zh-CN"/>
        </w:rPr>
        <w:t>供货商</w:t>
      </w:r>
      <w:r>
        <w:rPr>
          <w:rFonts w:hint="default" w:cs="Times New Roman"/>
          <w:b w:val="0"/>
          <w:bCs/>
          <w:color w:val="auto"/>
          <w:sz w:val="22"/>
          <w:szCs w:val="22"/>
          <w:highlight w:val="none"/>
          <w:lang w:val="en-US" w:eastAsia="zh-CN"/>
        </w:rPr>
        <w:t>应以优良的服务态度，</w:t>
      </w:r>
      <w:r>
        <w:rPr>
          <w:rFonts w:hint="eastAsia" w:cs="Times New Roman"/>
          <w:b w:val="0"/>
          <w:bCs/>
          <w:color w:val="auto"/>
          <w:sz w:val="22"/>
          <w:szCs w:val="22"/>
          <w:highlight w:val="none"/>
          <w:lang w:val="en-US" w:eastAsia="zh-CN"/>
        </w:rPr>
        <w:t>应在</w:t>
      </w:r>
      <w:r>
        <w:rPr>
          <w:rFonts w:hint="default" w:cs="Times New Roman"/>
          <w:b w:val="0"/>
          <w:bCs/>
          <w:color w:val="auto"/>
          <w:sz w:val="22"/>
          <w:szCs w:val="22"/>
          <w:highlight w:val="none"/>
          <w:lang w:val="en-US" w:eastAsia="zh-CN"/>
        </w:rPr>
        <w:t>1</w:t>
      </w:r>
      <w:r>
        <w:rPr>
          <w:rFonts w:hint="eastAsia" w:cs="Times New Roman"/>
          <w:b w:val="0"/>
          <w:bCs/>
          <w:color w:val="auto"/>
          <w:sz w:val="22"/>
          <w:szCs w:val="22"/>
          <w:highlight w:val="none"/>
          <w:lang w:val="en-US" w:eastAsia="zh-CN"/>
        </w:rPr>
        <w:t>天</w:t>
      </w:r>
      <w:r>
        <w:rPr>
          <w:rFonts w:hint="default" w:cs="Times New Roman"/>
          <w:b w:val="0"/>
          <w:bCs/>
          <w:color w:val="auto"/>
          <w:sz w:val="22"/>
          <w:szCs w:val="22"/>
          <w:highlight w:val="none"/>
          <w:lang w:val="en-US" w:eastAsia="zh-CN"/>
        </w:rPr>
        <w:t>内作出响应。如需更换货物，必须在</w:t>
      </w:r>
      <w:r>
        <w:rPr>
          <w:rFonts w:hint="eastAsia" w:cs="Times New Roman"/>
          <w:b w:val="0"/>
          <w:bCs/>
          <w:color w:val="auto"/>
          <w:sz w:val="22"/>
          <w:szCs w:val="22"/>
          <w:highlight w:val="none"/>
          <w:lang w:val="en-US" w:eastAsia="zh-CN"/>
        </w:rPr>
        <w:t>5个工作日</w:t>
      </w:r>
      <w:r>
        <w:rPr>
          <w:rFonts w:hint="default" w:cs="Times New Roman"/>
          <w:b w:val="0"/>
          <w:bCs/>
          <w:color w:val="auto"/>
          <w:sz w:val="22"/>
          <w:szCs w:val="22"/>
          <w:highlight w:val="none"/>
          <w:lang w:val="en-US" w:eastAsia="zh-CN"/>
        </w:rPr>
        <w:t>内提供符合要求的全新货物。</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cs="Times New Roman"/>
          <w:b w:val="0"/>
          <w:bCs/>
          <w:color w:val="auto"/>
          <w:sz w:val="22"/>
          <w:szCs w:val="22"/>
          <w:highlight w:val="none"/>
          <w:lang w:val="en-US" w:eastAsia="zh-CN"/>
        </w:rPr>
      </w:pPr>
      <w:r>
        <w:rPr>
          <w:rFonts w:hint="default" w:cs="Times New Roman"/>
          <w:b w:val="0"/>
          <w:bCs/>
          <w:color w:val="auto"/>
          <w:sz w:val="22"/>
          <w:szCs w:val="22"/>
          <w:highlight w:val="none"/>
          <w:lang w:val="en-US" w:eastAsia="zh-CN"/>
        </w:rPr>
        <w:t>质保期内，同一商品、同一质量问题连续出现的，</w:t>
      </w:r>
      <w:r>
        <w:rPr>
          <w:rFonts w:hint="eastAsia" w:cs="Times New Roman"/>
          <w:b w:val="0"/>
          <w:bCs/>
          <w:color w:val="auto"/>
          <w:sz w:val="22"/>
          <w:szCs w:val="22"/>
          <w:highlight w:val="none"/>
          <w:lang w:val="en-US" w:eastAsia="zh-CN"/>
        </w:rPr>
        <w:t>供货商</w:t>
      </w:r>
      <w:r>
        <w:rPr>
          <w:rFonts w:hint="default" w:cs="Times New Roman"/>
          <w:b w:val="0"/>
          <w:bCs/>
          <w:color w:val="auto"/>
          <w:sz w:val="22"/>
          <w:szCs w:val="22"/>
          <w:highlight w:val="none"/>
          <w:lang w:val="en-US" w:eastAsia="zh-CN"/>
        </w:rPr>
        <w:t>应无条件给予全套更新或退货。</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cs="Times New Roman"/>
          <w:b w:val="0"/>
          <w:bCs/>
          <w:color w:val="auto"/>
          <w:sz w:val="22"/>
          <w:szCs w:val="22"/>
          <w:highlight w:val="none"/>
          <w:lang w:val="en-US" w:eastAsia="zh-CN"/>
        </w:rPr>
      </w:pPr>
      <w:r>
        <w:rPr>
          <w:rFonts w:hint="eastAsia" w:cs="Times New Roman"/>
          <w:b w:val="0"/>
          <w:bCs/>
          <w:color w:val="auto"/>
          <w:sz w:val="22"/>
          <w:szCs w:val="22"/>
          <w:highlight w:val="none"/>
          <w:lang w:val="en-US" w:eastAsia="zh-CN"/>
        </w:rPr>
        <w:t>其他</w:t>
      </w:r>
      <w:r>
        <w:rPr>
          <w:rFonts w:hint="default" w:cs="Times New Roman"/>
          <w:b w:val="0"/>
          <w:bCs/>
          <w:color w:val="auto"/>
          <w:sz w:val="22"/>
          <w:szCs w:val="22"/>
          <w:highlight w:val="none"/>
          <w:lang w:val="en-US" w:eastAsia="zh-CN"/>
        </w:rPr>
        <w:t>未知及不可预见的意外情形出现时，</w:t>
      </w:r>
      <w:r>
        <w:rPr>
          <w:rFonts w:hint="eastAsia" w:cs="Times New Roman"/>
          <w:b w:val="0"/>
          <w:bCs/>
          <w:color w:val="auto"/>
          <w:sz w:val="22"/>
          <w:szCs w:val="22"/>
          <w:highlight w:val="none"/>
          <w:lang w:val="en-US" w:eastAsia="zh-CN"/>
        </w:rPr>
        <w:t>供货商</w:t>
      </w:r>
      <w:r>
        <w:rPr>
          <w:rFonts w:hint="default" w:cs="Times New Roman"/>
          <w:b w:val="0"/>
          <w:bCs/>
          <w:color w:val="auto"/>
          <w:sz w:val="22"/>
          <w:szCs w:val="22"/>
          <w:highlight w:val="none"/>
          <w:lang w:val="en-US" w:eastAsia="zh-CN"/>
        </w:rPr>
        <w:t>仍将以保障服务为前提条件，与</w:t>
      </w:r>
      <w:r>
        <w:rPr>
          <w:rFonts w:hint="eastAsia" w:cs="Times New Roman"/>
          <w:b w:val="0"/>
          <w:bCs/>
          <w:color w:val="auto"/>
          <w:sz w:val="22"/>
          <w:szCs w:val="22"/>
          <w:highlight w:val="none"/>
          <w:lang w:val="en-US" w:eastAsia="zh-CN"/>
        </w:rPr>
        <w:t>采购人</w:t>
      </w:r>
      <w:r>
        <w:rPr>
          <w:rFonts w:hint="default" w:cs="Times New Roman"/>
          <w:b w:val="0"/>
          <w:bCs/>
          <w:color w:val="auto"/>
          <w:sz w:val="22"/>
          <w:szCs w:val="22"/>
          <w:highlight w:val="none"/>
          <w:lang w:val="en-US" w:eastAsia="zh-CN"/>
        </w:rPr>
        <w:t>友好协商，妥善解决出现的问题。</w:t>
      </w:r>
    </w:p>
    <w:p>
      <w:pPr>
        <w:pStyle w:val="54"/>
        <w:tabs>
          <w:tab w:val="left" w:pos="2060"/>
          <w:tab w:val="left" w:pos="2061"/>
        </w:tabs>
        <w:ind w:left="0" w:leftChars="0" w:firstLine="0" w:firstLineChars="0"/>
        <w:jc w:val="left"/>
        <w:rPr>
          <w:rFonts w:ascii="宋体" w:hAnsi="宋体" w:cs="宋体"/>
          <w:highlight w:val="none"/>
        </w:rPr>
      </w:pPr>
    </w:p>
    <w:p>
      <w:pPr>
        <w:pStyle w:val="54"/>
        <w:tabs>
          <w:tab w:val="left" w:pos="2060"/>
          <w:tab w:val="left" w:pos="2061"/>
        </w:tabs>
        <w:ind w:firstLine="480"/>
        <w:jc w:val="left"/>
        <w:rPr>
          <w:rFonts w:ascii="宋体" w:hAnsi="宋体" w:cs="宋体"/>
          <w:highlight w:val="none"/>
        </w:rPr>
      </w:pPr>
    </w:p>
    <w:p>
      <w:pPr>
        <w:pStyle w:val="54"/>
        <w:tabs>
          <w:tab w:val="left" w:pos="2060"/>
          <w:tab w:val="left" w:pos="2061"/>
        </w:tabs>
        <w:ind w:firstLine="480"/>
        <w:jc w:val="left"/>
        <w:rPr>
          <w:rFonts w:ascii="宋体" w:hAnsi="宋体" w:cs="宋体"/>
          <w:highlight w:val="none"/>
        </w:rPr>
      </w:pPr>
    </w:p>
    <w:p>
      <w:pPr>
        <w:pStyle w:val="54"/>
        <w:tabs>
          <w:tab w:val="left" w:pos="2060"/>
          <w:tab w:val="left" w:pos="2061"/>
        </w:tabs>
        <w:ind w:firstLine="480"/>
        <w:jc w:val="left"/>
        <w:rPr>
          <w:rFonts w:ascii="宋体" w:hAnsi="宋体" w:cs="宋体"/>
          <w:highlight w:val="none"/>
        </w:rPr>
      </w:pPr>
    </w:p>
    <w:p>
      <w:pPr>
        <w:widowControl/>
        <w:spacing w:line="240" w:lineRule="auto"/>
        <w:ind w:firstLine="0" w:firstLineChars="0"/>
        <w:jc w:val="left"/>
        <w:rPr>
          <w:rFonts w:eastAsia="黑体"/>
          <w:bCs/>
          <w:kern w:val="44"/>
          <w:sz w:val="44"/>
          <w:szCs w:val="44"/>
          <w:highlight w:val="none"/>
        </w:rPr>
      </w:pPr>
      <w:bookmarkStart w:id="21" w:name="_Toc14421"/>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pStyle w:val="66"/>
        <w:rPr>
          <w:highlight w:val="none"/>
        </w:rPr>
      </w:pPr>
    </w:p>
    <w:p>
      <w:pPr>
        <w:keepNext/>
        <w:keepLines/>
        <w:ind w:firstLine="140" w:firstLineChars="32"/>
        <w:jc w:val="center"/>
        <w:outlineLvl w:val="0"/>
        <w:rPr>
          <w:rFonts w:eastAsia="黑体"/>
          <w:bCs/>
          <w:kern w:val="44"/>
          <w:sz w:val="44"/>
          <w:szCs w:val="44"/>
          <w:highlight w:val="none"/>
        </w:rPr>
      </w:pPr>
      <w:r>
        <w:rPr>
          <w:rFonts w:hint="eastAsia" w:eastAsia="黑体"/>
          <w:bCs/>
          <w:kern w:val="44"/>
          <w:sz w:val="44"/>
          <w:szCs w:val="44"/>
          <w:highlight w:val="none"/>
        </w:rPr>
        <w:t>第六章 响应文件格式</w:t>
      </w:r>
      <w:bookmarkEnd w:id="21"/>
    </w:p>
    <w:p>
      <w:pPr>
        <w:widowControl/>
        <w:spacing w:line="240" w:lineRule="auto"/>
        <w:ind w:firstLine="0" w:firstLineChars="0"/>
        <w:jc w:val="left"/>
        <w:rPr>
          <w:highlight w:val="none"/>
        </w:rPr>
      </w:pPr>
      <w:r>
        <w:rPr>
          <w:highlight w:val="none"/>
        </w:rPr>
        <w:br w:type="page"/>
      </w:r>
    </w:p>
    <w:p>
      <w:pPr>
        <w:pStyle w:val="2"/>
        <w:ind w:firstLine="0" w:firstLineChars="0"/>
        <w:rPr>
          <w:highlight w:val="none"/>
        </w:rPr>
      </w:pPr>
      <w:r>
        <w:rPr>
          <w:rFonts w:hint="eastAsia"/>
          <w:highlight w:val="none"/>
        </w:rPr>
        <w:t>响应文件封面</w:t>
      </w:r>
    </w:p>
    <w:p>
      <w:pPr>
        <w:ind w:firstLine="0" w:firstLineChars="0"/>
        <w:rPr>
          <w:highlight w:val="none"/>
        </w:rPr>
      </w:pPr>
      <w:r>
        <w:rPr>
          <w:rFonts w:hint="eastAsia"/>
          <w:highlight w:val="none"/>
        </w:rPr>
        <w:t>（粘贴于各封袋上）</w:t>
      </w:r>
    </w:p>
    <w:p>
      <w:pPr>
        <w:ind w:firstLine="480"/>
        <w:jc w:val="right"/>
        <w:rPr>
          <w:rFonts w:ascii="宋体" w:hAnsi="宋体" w:cs="宋体"/>
          <w:bCs/>
          <w:sz w:val="36"/>
          <w:szCs w:val="36"/>
          <w:highlight w:val="none"/>
        </w:rPr>
      </w:pPr>
      <w:r>
        <w:rPr>
          <w:rFonts w:hint="eastAsia" w:ascii="宋体" w:hAnsi="宋体" w:cs="宋体"/>
          <w:highlight w:val="none"/>
        </w:rPr>
        <w:t xml:space="preserve"> </w:t>
      </w:r>
      <w:r>
        <w:rPr>
          <w:rFonts w:ascii="宋体" w:hAnsi="宋体" w:cs="宋体"/>
          <w:highlight w:val="none"/>
        </w:rPr>
        <w:t xml:space="preserve">                                                                    </w:t>
      </w:r>
    </w:p>
    <w:p>
      <w:pPr>
        <w:ind w:firstLine="0" w:firstLineChars="0"/>
        <w:jc w:val="center"/>
        <w:rPr>
          <w:rFonts w:ascii="宋体" w:hAnsi="宋体" w:cs="宋体"/>
          <w:b/>
          <w:sz w:val="40"/>
          <w:szCs w:val="40"/>
          <w:highlight w:val="none"/>
        </w:rPr>
      </w:pPr>
    </w:p>
    <w:p>
      <w:pPr>
        <w:ind w:firstLine="0" w:firstLineChars="0"/>
        <w:jc w:val="center"/>
        <w:rPr>
          <w:rFonts w:hint="eastAsia" w:ascii="宋体" w:hAnsi="宋体" w:cs="宋体"/>
          <w:b/>
          <w:sz w:val="40"/>
          <w:szCs w:val="40"/>
          <w:highlight w:val="none"/>
          <w:lang w:eastAsia="zh-CN"/>
        </w:rPr>
      </w:pPr>
      <w:r>
        <w:rPr>
          <w:rFonts w:hint="eastAsia" w:ascii="宋体" w:hAnsi="宋体" w:cs="宋体"/>
          <w:b/>
          <w:sz w:val="40"/>
          <w:szCs w:val="40"/>
          <w:highlight w:val="none"/>
          <w:lang w:eastAsia="zh-CN"/>
        </w:rPr>
        <w:t>南通轨道交通集团有限公司运营分公司2026-2029年度劳保洗护用品采购项目（二次）</w:t>
      </w:r>
    </w:p>
    <w:p>
      <w:pPr>
        <w:ind w:firstLine="0" w:firstLineChars="0"/>
        <w:jc w:val="center"/>
        <w:rPr>
          <w:rFonts w:ascii="宋体" w:hAnsi="宋体" w:cs="宋体"/>
          <w:bCs/>
          <w:sz w:val="36"/>
          <w:szCs w:val="36"/>
          <w:highlight w:val="none"/>
        </w:rPr>
      </w:pPr>
      <w:r>
        <w:rPr>
          <w:rFonts w:hint="eastAsia" w:ascii="宋体" w:hAnsi="宋体" w:cs="宋体"/>
          <w:b/>
          <w:sz w:val="40"/>
          <w:szCs w:val="40"/>
          <w:highlight w:val="none"/>
        </w:rPr>
        <w:t>（项目编号：</w:t>
      </w:r>
      <w:r>
        <w:rPr>
          <w:rFonts w:hint="eastAsia" w:ascii="宋体" w:hAnsi="宋体" w:cs="宋体"/>
          <w:b/>
          <w:sz w:val="40"/>
          <w:szCs w:val="40"/>
          <w:highlight w:val="none"/>
          <w:lang w:eastAsia="zh-CN"/>
        </w:rPr>
        <w:t>NTGY-2026-HW-ZB-023</w:t>
      </w:r>
      <w:r>
        <w:rPr>
          <w:rFonts w:hint="eastAsia" w:ascii="宋体" w:hAnsi="宋体" w:cs="宋体"/>
          <w:b/>
          <w:sz w:val="40"/>
          <w:szCs w:val="40"/>
          <w:highlight w:val="none"/>
        </w:rPr>
        <w:t>）</w:t>
      </w: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52"/>
          <w:szCs w:val="52"/>
          <w:highlight w:val="none"/>
        </w:rPr>
      </w:pPr>
      <w:r>
        <w:rPr>
          <w:rFonts w:hint="eastAsia" w:ascii="宋体" w:hAnsi="宋体" w:cs="宋体"/>
          <w:bCs/>
          <w:sz w:val="52"/>
          <w:szCs w:val="52"/>
          <w:highlight w:val="none"/>
        </w:rPr>
        <w:t>响应文件</w:t>
      </w:r>
    </w:p>
    <w:p>
      <w:pPr>
        <w:pStyle w:val="6"/>
        <w:ind w:firstLine="0" w:firstLineChars="0"/>
        <w:jc w:val="center"/>
        <w:rPr>
          <w:b/>
          <w:bCs/>
        </w:rPr>
      </w:pPr>
      <w:r>
        <w:rPr>
          <w:rFonts w:hint="eastAsia"/>
          <w:b/>
          <w:bCs/>
        </w:rPr>
        <w:t>资格审查部分/商务技术部分/报价部分/电子文本</w:t>
      </w:r>
    </w:p>
    <w:p>
      <w:pPr>
        <w:ind w:firstLine="0" w:firstLineChars="0"/>
        <w:jc w:val="center"/>
        <w:rPr>
          <w:rFonts w:ascii="宋体" w:hAnsi="宋体" w:cs="宋体"/>
          <w:b/>
          <w:sz w:val="36"/>
          <w:szCs w:val="36"/>
          <w:highlight w:val="none"/>
        </w:rPr>
      </w:pPr>
      <w:r>
        <w:rPr>
          <w:rFonts w:hint="eastAsia" w:ascii="宋体" w:hAnsi="宋体" w:cs="宋体"/>
          <w:bCs/>
          <w:sz w:val="32"/>
          <w:szCs w:val="32"/>
          <w:highlight w:val="none"/>
        </w:rPr>
        <w:t>（在响应文件递交截止时间前不得开启）</w:t>
      </w: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rPr>
          <w:rFonts w:ascii="宋体" w:hAnsi="宋体" w:cs="宋体"/>
          <w:b/>
          <w:sz w:val="36"/>
          <w:szCs w:val="36"/>
          <w:highlight w:val="none"/>
        </w:rPr>
      </w:pPr>
    </w:p>
    <w:p>
      <w:pPr>
        <w:ind w:firstLine="480"/>
        <w:jc w:val="center"/>
        <w:rPr>
          <w:rFonts w:ascii="宋体" w:hAnsi="宋体" w:cs="宋体"/>
          <w:highlight w:val="none"/>
          <w:u w:val="single"/>
        </w:rPr>
      </w:pPr>
      <w:r>
        <w:rPr>
          <w:rFonts w:hint="eastAsia" w:ascii="宋体" w:hAnsi="宋体" w:cs="宋体"/>
          <w:highlight w:val="none"/>
        </w:rPr>
        <w:t>供应商：</w:t>
      </w:r>
      <w:r>
        <w:rPr>
          <w:rFonts w:hint="eastAsia" w:ascii="宋体" w:hAnsi="宋体" w:cs="宋体"/>
          <w:highlight w:val="none"/>
          <w:u w:val="single"/>
        </w:rPr>
        <w:t xml:space="preserve">               （加盖公章）</w:t>
      </w:r>
    </w:p>
    <w:p>
      <w:pPr>
        <w:ind w:firstLine="480"/>
        <w:jc w:val="center"/>
        <w:rPr>
          <w:rFonts w:ascii="宋体" w:hAnsi="宋体" w:cs="宋体"/>
          <w:highlight w:val="none"/>
          <w:u w:val="single"/>
        </w:rPr>
      </w:pPr>
      <w:r>
        <w:rPr>
          <w:rFonts w:hint="eastAsia" w:ascii="宋体" w:hAnsi="宋体" w:cs="宋体"/>
          <w:highlight w:val="none"/>
        </w:rPr>
        <w:t>法定代表人或授权代理人：</w:t>
      </w:r>
      <w:r>
        <w:rPr>
          <w:rFonts w:hint="eastAsia" w:ascii="宋体" w:hAnsi="宋体" w:cs="宋体"/>
          <w:highlight w:val="none"/>
          <w:u w:val="single"/>
        </w:rPr>
        <w:t xml:space="preserve">   （签字）</w:t>
      </w:r>
    </w:p>
    <w:p>
      <w:pPr>
        <w:ind w:firstLine="480"/>
        <w:jc w:val="center"/>
        <w:rPr>
          <w:rFonts w:ascii="宋体" w:hAnsi="宋体" w:cs="宋体"/>
          <w:highlight w:val="none"/>
        </w:rPr>
      </w:pPr>
      <w:r>
        <w:rPr>
          <w:rFonts w:hint="eastAsia" w:ascii="宋体" w:hAnsi="宋体" w:cs="宋体"/>
          <w:highlight w:val="none"/>
        </w:rPr>
        <w:t>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rPr>
          <w:rFonts w:hint="eastAsia"/>
          <w:highlight w:val="none"/>
        </w:rPr>
      </w:pPr>
      <w:r>
        <w:rPr>
          <w:rFonts w:hint="eastAsia"/>
          <w:highlight w:val="none"/>
        </w:rPr>
        <w:br w:type="page"/>
      </w:r>
    </w:p>
    <w:p>
      <w:pPr>
        <w:pStyle w:val="2"/>
        <w:ind w:firstLine="0" w:firstLineChars="0"/>
        <w:rPr>
          <w:highlight w:val="none"/>
        </w:rPr>
      </w:pPr>
      <w:r>
        <w:rPr>
          <w:rFonts w:hint="eastAsia"/>
          <w:highlight w:val="none"/>
        </w:rPr>
        <w:t>第一册 资格审查部分</w:t>
      </w:r>
    </w:p>
    <w:p>
      <w:pPr>
        <w:ind w:firstLine="480"/>
        <w:jc w:val="right"/>
        <w:rPr>
          <w:rFonts w:ascii="宋体" w:hAnsi="宋体" w:cs="宋体"/>
          <w:bCs/>
          <w:sz w:val="36"/>
          <w:szCs w:val="36"/>
          <w:highlight w:val="none"/>
        </w:rPr>
      </w:pPr>
      <w:r>
        <w:rPr>
          <w:rFonts w:hint="eastAsia" w:ascii="宋体" w:hAnsi="宋体" w:cs="宋体"/>
          <w:highlight w:val="none"/>
        </w:rPr>
        <w:t xml:space="preserve"> </w:t>
      </w:r>
      <w:r>
        <w:rPr>
          <w:rFonts w:ascii="宋体" w:hAnsi="宋体" w:cs="宋体"/>
          <w:highlight w:val="none"/>
        </w:rPr>
        <w:t xml:space="preserve">                                                                    </w:t>
      </w:r>
      <w:r>
        <w:rPr>
          <w:rFonts w:hint="eastAsia" w:ascii="宋体" w:hAnsi="宋体" w:cs="宋体"/>
          <w:highlight w:val="none"/>
        </w:rPr>
        <w:t>正本/副本</w:t>
      </w:r>
    </w:p>
    <w:p>
      <w:pPr>
        <w:ind w:firstLine="0" w:firstLineChars="0"/>
        <w:jc w:val="center"/>
        <w:rPr>
          <w:rFonts w:ascii="宋体" w:hAnsi="宋体" w:cs="宋体"/>
          <w:b/>
          <w:sz w:val="40"/>
          <w:szCs w:val="40"/>
          <w:highlight w:val="none"/>
        </w:rPr>
      </w:pPr>
    </w:p>
    <w:p>
      <w:pPr>
        <w:ind w:firstLine="0" w:firstLineChars="0"/>
        <w:jc w:val="center"/>
        <w:rPr>
          <w:rFonts w:hint="eastAsia" w:ascii="宋体" w:hAnsi="宋体" w:cs="宋体"/>
          <w:b/>
          <w:sz w:val="40"/>
          <w:szCs w:val="40"/>
          <w:highlight w:val="none"/>
          <w:lang w:eastAsia="zh-CN"/>
        </w:rPr>
      </w:pPr>
      <w:r>
        <w:rPr>
          <w:rFonts w:hint="eastAsia" w:ascii="宋体" w:hAnsi="宋体" w:cs="宋体"/>
          <w:b/>
          <w:sz w:val="40"/>
          <w:szCs w:val="40"/>
          <w:highlight w:val="none"/>
          <w:lang w:eastAsia="zh-CN"/>
        </w:rPr>
        <w:t>南通轨道交通集团有限公司运营分公司2026-2029年度劳保洗护用品采购项目（二次）</w:t>
      </w:r>
    </w:p>
    <w:p>
      <w:pPr>
        <w:ind w:firstLine="0" w:firstLineChars="0"/>
        <w:jc w:val="center"/>
        <w:rPr>
          <w:rFonts w:ascii="宋体" w:hAnsi="宋体" w:cs="宋体"/>
          <w:bCs/>
          <w:sz w:val="36"/>
          <w:szCs w:val="36"/>
          <w:highlight w:val="none"/>
        </w:rPr>
      </w:pPr>
      <w:r>
        <w:rPr>
          <w:rFonts w:hint="eastAsia" w:ascii="宋体" w:hAnsi="宋体" w:cs="宋体"/>
          <w:b/>
          <w:sz w:val="40"/>
          <w:szCs w:val="40"/>
          <w:highlight w:val="none"/>
        </w:rPr>
        <w:t>（项目编号：</w:t>
      </w:r>
      <w:r>
        <w:rPr>
          <w:rFonts w:hint="eastAsia" w:ascii="宋体" w:hAnsi="宋体" w:cs="宋体"/>
          <w:b/>
          <w:sz w:val="40"/>
          <w:szCs w:val="40"/>
          <w:highlight w:val="none"/>
          <w:lang w:eastAsia="zh-CN"/>
        </w:rPr>
        <w:t>NTGY-2026-HW-ZB-023</w:t>
      </w:r>
      <w:r>
        <w:rPr>
          <w:rFonts w:hint="eastAsia" w:ascii="宋体" w:hAnsi="宋体" w:cs="宋体"/>
          <w:b/>
          <w:sz w:val="40"/>
          <w:szCs w:val="40"/>
          <w:highlight w:val="none"/>
        </w:rPr>
        <w:t>）</w:t>
      </w: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52"/>
          <w:szCs w:val="52"/>
          <w:highlight w:val="none"/>
        </w:rPr>
      </w:pPr>
      <w:r>
        <w:rPr>
          <w:rFonts w:hint="eastAsia" w:ascii="宋体" w:hAnsi="宋体" w:cs="宋体"/>
          <w:bCs/>
          <w:sz w:val="52"/>
          <w:szCs w:val="52"/>
          <w:highlight w:val="none"/>
        </w:rPr>
        <w:t>响应文件</w:t>
      </w:r>
    </w:p>
    <w:p>
      <w:pPr>
        <w:ind w:firstLine="0" w:firstLineChars="0"/>
        <w:jc w:val="center"/>
        <w:rPr>
          <w:rFonts w:ascii="宋体" w:hAnsi="宋体" w:cs="宋体"/>
          <w:bCs/>
          <w:sz w:val="32"/>
          <w:szCs w:val="32"/>
          <w:highlight w:val="none"/>
        </w:rPr>
      </w:pPr>
      <w:r>
        <w:rPr>
          <w:rFonts w:hint="eastAsia" w:ascii="宋体" w:hAnsi="宋体" w:cs="宋体"/>
          <w:bCs/>
          <w:sz w:val="32"/>
          <w:szCs w:val="32"/>
          <w:highlight w:val="none"/>
        </w:rPr>
        <w:t>第一册 资格审查部分</w:t>
      </w: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highlight w:val="none"/>
          <w:u w:val="single"/>
        </w:rPr>
      </w:pPr>
      <w:r>
        <w:rPr>
          <w:rFonts w:hint="eastAsia" w:ascii="宋体" w:hAnsi="宋体" w:cs="宋体"/>
          <w:highlight w:val="none"/>
        </w:rPr>
        <w:t>供应商：</w:t>
      </w:r>
      <w:r>
        <w:rPr>
          <w:rFonts w:hint="eastAsia" w:ascii="宋体" w:hAnsi="宋体" w:cs="宋体"/>
          <w:highlight w:val="none"/>
          <w:u w:val="single"/>
        </w:rPr>
        <w:t xml:space="preserve">               （加盖公章）</w:t>
      </w:r>
    </w:p>
    <w:p>
      <w:pPr>
        <w:ind w:firstLine="0" w:firstLineChars="0"/>
        <w:jc w:val="center"/>
        <w:rPr>
          <w:rFonts w:ascii="宋体" w:hAnsi="宋体" w:cs="宋体"/>
          <w:highlight w:val="none"/>
          <w:u w:val="single"/>
        </w:rPr>
      </w:pPr>
      <w:r>
        <w:rPr>
          <w:rFonts w:hint="eastAsia" w:ascii="宋体" w:hAnsi="宋体" w:cs="宋体"/>
          <w:highlight w:val="none"/>
        </w:rPr>
        <w:t>法定代表人或授权代理人：</w:t>
      </w:r>
      <w:r>
        <w:rPr>
          <w:rFonts w:hint="eastAsia" w:ascii="宋体" w:hAnsi="宋体" w:cs="宋体"/>
          <w:highlight w:val="none"/>
          <w:u w:val="single"/>
        </w:rPr>
        <w:t xml:space="preserve">   （签字）</w:t>
      </w:r>
    </w:p>
    <w:p>
      <w:pPr>
        <w:ind w:firstLine="0" w:firstLineChars="0"/>
        <w:jc w:val="center"/>
        <w:rPr>
          <w:rFonts w:ascii="宋体" w:hAnsi="宋体" w:cs="宋体"/>
          <w:highlight w:val="none"/>
          <w:u w:val="single"/>
        </w:rPr>
      </w:pPr>
      <w:r>
        <w:rPr>
          <w:rFonts w:hint="eastAsia" w:ascii="宋体" w:hAnsi="宋体" w:cs="宋体"/>
          <w:highlight w:val="none"/>
        </w:rPr>
        <w:t>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pStyle w:val="4"/>
        <w:ind w:firstLine="482"/>
        <w:jc w:val="center"/>
        <w:rPr>
          <w:highlight w:val="none"/>
        </w:rPr>
      </w:pPr>
      <w:r>
        <w:rPr>
          <w:rFonts w:hint="eastAsia"/>
          <w:highlight w:val="none"/>
        </w:rPr>
        <w:t>目录</w:t>
      </w:r>
    </w:p>
    <w:p>
      <w:pPr>
        <w:ind w:firstLine="480"/>
        <w:rPr>
          <w:rFonts w:hint="eastAsia" w:ascii="Times New Roman" w:hAnsi="Times New Roman" w:eastAsia="宋体"/>
          <w:highlight w:val="none"/>
        </w:rPr>
      </w:pPr>
      <w:r>
        <w:rPr>
          <w:rFonts w:hint="eastAsia" w:ascii="Times New Roman" w:hAnsi="Times New Roman" w:eastAsia="宋体"/>
          <w:highlight w:val="none"/>
        </w:rPr>
        <w:t>1、承诺函</w:t>
      </w:r>
    </w:p>
    <w:p>
      <w:pPr>
        <w:ind w:firstLine="480"/>
        <w:rPr>
          <w:rFonts w:hint="eastAsia" w:ascii="Times New Roman" w:hAnsi="Times New Roman" w:eastAsia="宋体"/>
          <w:highlight w:val="none"/>
        </w:rPr>
      </w:pPr>
      <w:r>
        <w:rPr>
          <w:rFonts w:hint="eastAsia" w:ascii="Times New Roman" w:hAnsi="Times New Roman" w:eastAsia="宋体"/>
          <w:highlight w:val="none"/>
        </w:rPr>
        <w:t>2、企业营业执照或事业单位法人证书（提供复印件并加盖公章）</w:t>
      </w:r>
    </w:p>
    <w:p>
      <w:pPr>
        <w:ind w:firstLine="480"/>
        <w:rPr>
          <w:rFonts w:hint="eastAsia" w:ascii="Times New Roman" w:hAnsi="Times New Roman" w:eastAsia="宋体"/>
          <w:highlight w:val="none"/>
        </w:rPr>
      </w:pPr>
      <w:r>
        <w:rPr>
          <w:rFonts w:hint="eastAsia" w:ascii="Times New Roman" w:hAnsi="Times New Roman" w:eastAsia="宋体"/>
          <w:highlight w:val="none"/>
        </w:rPr>
        <w:t>3、法定代表人身份证明书（提供复印件并加盖公章）</w:t>
      </w:r>
    </w:p>
    <w:p>
      <w:pPr>
        <w:ind w:firstLine="480"/>
        <w:rPr>
          <w:rFonts w:hint="eastAsia" w:ascii="Times New Roman" w:hAnsi="Times New Roman" w:eastAsia="宋体"/>
          <w:highlight w:val="none"/>
        </w:rPr>
      </w:pPr>
      <w:r>
        <w:rPr>
          <w:rFonts w:hint="eastAsia" w:ascii="Times New Roman" w:hAnsi="Times New Roman" w:eastAsia="宋体"/>
          <w:highlight w:val="none"/>
        </w:rPr>
        <w:t>4、授权委托书原件，授权代理人本人身份证复印件并加盖公章（如有授权）</w:t>
      </w:r>
    </w:p>
    <w:p>
      <w:pPr>
        <w:ind w:firstLine="480"/>
        <w:rPr>
          <w:rFonts w:hint="default"/>
          <w:highlight w:val="none"/>
          <w:lang w:val="en-US" w:eastAsia="zh-CN"/>
        </w:rPr>
      </w:pPr>
      <w:r>
        <w:rPr>
          <w:rFonts w:hint="eastAsia" w:ascii="Times New Roman" w:hAnsi="Times New Roman" w:eastAsia="宋体"/>
          <w:highlight w:val="none"/>
          <w:lang w:val="en-US" w:eastAsia="zh-CN"/>
        </w:rPr>
        <w:t>5</w:t>
      </w:r>
      <w:r>
        <w:rPr>
          <w:rFonts w:hint="eastAsia"/>
          <w:highlight w:val="none"/>
          <w:lang w:val="en-US" w:eastAsia="zh-CN"/>
        </w:rPr>
        <w:t>、业绩材料</w:t>
      </w:r>
    </w:p>
    <w:p>
      <w:pPr>
        <w:ind w:firstLine="480"/>
        <w:rPr>
          <w:rFonts w:hint="eastAsia" w:ascii="Times New Roman" w:hAnsi="Times New Roman" w:eastAsia="宋体"/>
          <w:highlight w:val="none"/>
        </w:rPr>
      </w:pPr>
      <w:r>
        <w:rPr>
          <w:rFonts w:hint="eastAsia"/>
          <w:highlight w:val="none"/>
          <w:lang w:val="en-US" w:eastAsia="zh-CN"/>
        </w:rPr>
        <w:t>6、</w:t>
      </w:r>
      <w:r>
        <w:rPr>
          <w:rFonts w:hint="eastAsia" w:ascii="Times New Roman" w:hAnsi="Times New Roman" w:eastAsia="宋体"/>
          <w:highlight w:val="none"/>
        </w:rPr>
        <w:t>供应商认为需要提交的其他资料</w:t>
      </w:r>
    </w:p>
    <w:p>
      <w:pPr>
        <w:pStyle w:val="4"/>
        <w:ind w:firstLine="0" w:firstLineChars="0"/>
        <w:rPr>
          <w:rFonts w:hint="default" w:eastAsia="宋体"/>
          <w:highlight w:val="none"/>
          <w:lang w:val="en-US" w:eastAsia="zh-CN"/>
        </w:rPr>
      </w:pPr>
      <w:r>
        <w:rPr>
          <w:highlight w:val="none"/>
        </w:rPr>
        <w:br w:type="page"/>
      </w:r>
      <w:r>
        <w:rPr>
          <w:rFonts w:hint="eastAsia"/>
          <w:highlight w:val="none"/>
          <w:lang w:val="en-US" w:eastAsia="zh-CN"/>
        </w:rPr>
        <w:t>1承诺函</w:t>
      </w:r>
    </w:p>
    <w:p>
      <w:pPr>
        <w:ind w:firstLine="480"/>
        <w:rPr>
          <w:highlight w:val="none"/>
        </w:rPr>
      </w:pPr>
    </w:p>
    <w:p>
      <w:pPr>
        <w:ind w:firstLine="482"/>
        <w:jc w:val="center"/>
        <w:rPr>
          <w:b/>
          <w:bCs/>
          <w:highlight w:val="none"/>
        </w:rPr>
      </w:pPr>
    </w:p>
    <w:p>
      <w:pPr>
        <w:ind w:firstLine="482"/>
        <w:jc w:val="center"/>
        <w:rPr>
          <w:b/>
          <w:bCs/>
          <w:highlight w:val="none"/>
        </w:rPr>
      </w:pPr>
      <w:r>
        <w:rPr>
          <w:rFonts w:hint="eastAsia"/>
          <w:b/>
          <w:bCs/>
          <w:highlight w:val="none"/>
        </w:rPr>
        <w:t>承诺函</w:t>
      </w:r>
    </w:p>
    <w:p>
      <w:pPr>
        <w:ind w:firstLine="0" w:firstLineChars="0"/>
        <w:rPr>
          <w:highlight w:val="none"/>
          <w:u w:val="single"/>
        </w:rPr>
      </w:pPr>
      <w:r>
        <w:rPr>
          <w:rFonts w:hint="eastAsia"/>
          <w:highlight w:val="none"/>
        </w:rPr>
        <w:t>致</w:t>
      </w:r>
      <w:r>
        <w:rPr>
          <w:rFonts w:hint="eastAsia"/>
          <w:highlight w:val="none"/>
          <w:u w:val="single"/>
        </w:rPr>
        <w:t>南通轨道交通集团有限公司运营分公司：</w:t>
      </w:r>
    </w:p>
    <w:p>
      <w:pPr>
        <w:ind w:firstLine="480"/>
        <w:rPr>
          <w:highlight w:val="none"/>
        </w:rPr>
      </w:pPr>
      <w:r>
        <w:rPr>
          <w:rFonts w:hint="eastAsia"/>
          <w:highlight w:val="none"/>
        </w:rPr>
        <w:t>我司愿就由贵公司组织实施的</w:t>
      </w:r>
      <w:r>
        <w:rPr>
          <w:rFonts w:hint="eastAsia"/>
          <w:highlight w:val="none"/>
          <w:u w:val="single"/>
          <w:lang w:eastAsia="zh-CN"/>
        </w:rPr>
        <w:t>南通轨道交通集团有限公司运营分公司2026-2029年度劳保洗护用品采购项目（二次）</w:t>
      </w:r>
      <w:r>
        <w:rPr>
          <w:rFonts w:hint="eastAsia"/>
          <w:highlight w:val="none"/>
          <w:u w:val="single"/>
        </w:rPr>
        <w:t>（项目编号：</w:t>
      </w:r>
      <w:r>
        <w:rPr>
          <w:rFonts w:hint="eastAsia"/>
          <w:highlight w:val="none"/>
          <w:u w:val="single"/>
          <w:lang w:eastAsia="zh-CN"/>
        </w:rPr>
        <w:t>NTGY-2026-HW-ZB-023</w:t>
      </w:r>
      <w:r>
        <w:rPr>
          <w:rFonts w:hint="eastAsia"/>
          <w:highlight w:val="none"/>
          <w:u w:val="single"/>
        </w:rPr>
        <w:t>）</w:t>
      </w:r>
      <w:r>
        <w:rPr>
          <w:rFonts w:hint="eastAsia"/>
          <w:highlight w:val="none"/>
        </w:rPr>
        <w:t>采购活动进行响应。承诺如下：</w:t>
      </w:r>
    </w:p>
    <w:p>
      <w:pPr>
        <w:ind w:firstLine="480"/>
        <w:rPr>
          <w:highlight w:val="none"/>
        </w:rPr>
      </w:pPr>
      <w:r>
        <w:rPr>
          <w:rFonts w:hint="eastAsia"/>
          <w:highlight w:val="none"/>
        </w:rPr>
        <w:t>一、我司所提交的响应文件中所有的证明和陈述材料均是真实准确的，我司未提供虚假材料或存在其他弄虚作假行为；</w:t>
      </w:r>
    </w:p>
    <w:p>
      <w:pPr>
        <w:ind w:firstLine="480"/>
        <w:rPr>
          <w:highlight w:val="none"/>
        </w:rPr>
      </w:pPr>
      <w:r>
        <w:rPr>
          <w:rFonts w:hint="eastAsia"/>
          <w:highlight w:val="none"/>
        </w:rPr>
        <w:t>二、我司具有健全的财务会计制度，经营状况、商业信誉和财务信用良好，没有处于被责令停业，财产被接管、冻结、破产状态，未处于与债权人进行债务重组或其他债务安排状况下，未处于法院清盘令下，未处于自动破产申请状态下；</w:t>
      </w:r>
    </w:p>
    <w:p>
      <w:pPr>
        <w:ind w:firstLine="480"/>
        <w:rPr>
          <w:highlight w:val="none"/>
        </w:rPr>
      </w:pPr>
      <w:r>
        <w:rPr>
          <w:rFonts w:hint="eastAsia"/>
          <w:highlight w:val="none"/>
        </w:rPr>
        <w:t>三、我司没有骗取中标和严重违约引起的合同中止、纠纷、争议、仲裁和诉讼记录等情况；</w:t>
      </w:r>
    </w:p>
    <w:p>
      <w:pPr>
        <w:ind w:firstLine="480"/>
        <w:rPr>
          <w:highlight w:val="none"/>
        </w:rPr>
      </w:pPr>
      <w:r>
        <w:rPr>
          <w:rFonts w:hint="eastAsia"/>
          <w:highlight w:val="none"/>
        </w:rPr>
        <w:t>四、我司未与采购人存在利害关系；与参与本项目的其他供应商负责人不为同一人且不存在控股、管理关系；</w:t>
      </w:r>
    </w:p>
    <w:p>
      <w:pPr>
        <w:ind w:firstLine="480"/>
        <w:rPr>
          <w:highlight w:val="none"/>
        </w:rPr>
      </w:pPr>
      <w:r>
        <w:rPr>
          <w:rFonts w:hint="eastAsia"/>
          <w:highlight w:val="none"/>
        </w:rPr>
        <w:t>五、我司未以他人名义参与本项目；未与采购人及参与本项目的其他供应商串通；</w:t>
      </w:r>
    </w:p>
    <w:p>
      <w:pPr>
        <w:ind w:firstLine="480"/>
        <w:rPr>
          <w:highlight w:val="none"/>
        </w:rPr>
      </w:pPr>
      <w:r>
        <w:rPr>
          <w:rFonts w:hint="eastAsia"/>
          <w:highlight w:val="none"/>
        </w:rPr>
        <w:t>六、我司未被“信用中国”网站（www.creditchina.gov.cn）、“中国执行信息公开网（http://zxgk.court.gov.cn/）”或各级信用平台列入失信被执行人、重大税收违法案件当事人等名单；</w:t>
      </w:r>
    </w:p>
    <w:p>
      <w:pPr>
        <w:ind w:firstLine="480"/>
        <w:rPr>
          <w:highlight w:val="none"/>
        </w:rPr>
      </w:pPr>
      <w:r>
        <w:rPr>
          <w:rFonts w:hint="eastAsia"/>
          <w:highlight w:val="none"/>
        </w:rPr>
        <w:t>七、我方保证无“附件</w:t>
      </w:r>
      <w:r>
        <w:rPr>
          <w:rFonts w:hint="eastAsia"/>
          <w:highlight w:val="none"/>
          <w:lang w:val="en-US" w:eastAsia="zh-CN"/>
        </w:rPr>
        <w:t>二</w:t>
      </w:r>
      <w:r>
        <w:rPr>
          <w:rFonts w:hint="eastAsia"/>
          <w:highlight w:val="none"/>
        </w:rPr>
        <w:t xml:space="preserve"> 供应商负面清单”所列的不良行为；</w:t>
      </w:r>
    </w:p>
    <w:p>
      <w:pPr>
        <w:ind w:firstLine="480"/>
        <w:rPr>
          <w:highlight w:val="none"/>
        </w:rPr>
      </w:pPr>
      <w:r>
        <w:rPr>
          <w:rFonts w:hint="eastAsia"/>
          <w:highlight w:val="none"/>
        </w:rPr>
        <w:t>上述承诺如有不实或违反上述承诺，我方愿意接受任何处罚，包括同意你方不予退还投标保证金或履约保证金，将我方列入黑名单，并上报主管部门；我方放弃成交资格，已签订的合同无效，并放弃今后暂停期内参与你方采购活动的资格。</w:t>
      </w:r>
    </w:p>
    <w:p>
      <w:pPr>
        <w:ind w:firstLine="480"/>
        <w:rPr>
          <w:highlight w:val="none"/>
        </w:rPr>
      </w:pPr>
    </w:p>
    <w:p>
      <w:pPr>
        <w:ind w:firstLine="480"/>
        <w:jc w:val="right"/>
        <w:rPr>
          <w:highlight w:val="none"/>
        </w:rPr>
      </w:pPr>
      <w:r>
        <w:rPr>
          <w:rFonts w:hint="eastAsia"/>
          <w:highlight w:val="none"/>
        </w:rPr>
        <w:t xml:space="preserve">法定代表人或授权代理人：（签字或盖章） </w:t>
      </w: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年   月    日</w:t>
      </w:r>
    </w:p>
    <w:p>
      <w:pPr>
        <w:ind w:firstLine="480"/>
        <w:rPr>
          <w:highlight w:val="none"/>
        </w:rPr>
      </w:pPr>
    </w:p>
    <w:p>
      <w:pPr>
        <w:widowControl/>
        <w:spacing w:line="240" w:lineRule="auto"/>
        <w:ind w:firstLine="0" w:firstLineChars="0"/>
        <w:jc w:val="left"/>
        <w:rPr>
          <w:rFonts w:cs="宋体"/>
          <w:b/>
          <w:bCs/>
          <w:highlight w:val="none"/>
        </w:rPr>
      </w:pPr>
      <w:r>
        <w:rPr>
          <w:rFonts w:hint="eastAsia" w:cs="宋体"/>
          <w:b/>
          <w:bCs/>
          <w:highlight w:val="none"/>
        </w:rPr>
        <w:t>附件</w:t>
      </w:r>
      <w:r>
        <w:rPr>
          <w:rFonts w:hint="eastAsia" w:cs="宋体"/>
          <w:b/>
          <w:bCs/>
          <w:highlight w:val="none"/>
          <w:lang w:val="en-US" w:eastAsia="zh-CN"/>
        </w:rPr>
        <w:t>二</w:t>
      </w:r>
      <w:r>
        <w:rPr>
          <w:rFonts w:hint="eastAsia" w:cs="宋体"/>
          <w:b/>
          <w:bCs/>
          <w:highlight w:val="none"/>
        </w:rPr>
        <w:t xml:space="preserve"> </w:t>
      </w:r>
    </w:p>
    <w:p>
      <w:pPr>
        <w:ind w:firstLine="482"/>
        <w:jc w:val="center"/>
        <w:rPr>
          <w:rFonts w:cs="宋体"/>
          <w:b/>
          <w:bCs/>
          <w:highlight w:val="none"/>
        </w:rPr>
      </w:pPr>
      <w:r>
        <w:rPr>
          <w:rFonts w:hint="eastAsia" w:cs="宋体"/>
          <w:b/>
          <w:bCs/>
          <w:highlight w:val="none"/>
        </w:rPr>
        <w:t>供应商负面清单</w:t>
      </w:r>
    </w:p>
    <w:p>
      <w:pPr>
        <w:ind w:firstLine="480"/>
        <w:rPr>
          <w:rFonts w:cs="宋体"/>
          <w:highlight w:val="none"/>
        </w:rPr>
      </w:pPr>
      <w:r>
        <w:rPr>
          <w:rFonts w:hint="eastAsia" w:cs="宋体"/>
          <w:highlight w:val="none"/>
        </w:rPr>
        <w:t>一、与采购人、采购代理机构或者其他供应商恶意串通的，暂停12个月；</w:t>
      </w:r>
    </w:p>
    <w:p>
      <w:pPr>
        <w:ind w:firstLine="480"/>
        <w:rPr>
          <w:rFonts w:cs="宋体"/>
          <w:highlight w:val="none"/>
        </w:rPr>
      </w:pPr>
      <w:r>
        <w:rPr>
          <w:rFonts w:hint="eastAsia" w:cs="宋体"/>
          <w:highlight w:val="none"/>
        </w:rPr>
        <w:t>二、向采购人、采购代理机构或评审小组成员行贿或者提供其他不正当利益，暂停12个月；</w:t>
      </w:r>
    </w:p>
    <w:p>
      <w:pPr>
        <w:ind w:firstLine="480"/>
        <w:rPr>
          <w:rFonts w:cs="宋体"/>
          <w:highlight w:val="none"/>
        </w:rPr>
      </w:pPr>
      <w:r>
        <w:rPr>
          <w:rFonts w:hint="eastAsia" w:cs="宋体"/>
          <w:highlight w:val="none"/>
        </w:rPr>
        <w:t>三、存在以下视为串通投标情形的，暂停12个月；</w:t>
      </w:r>
    </w:p>
    <w:p>
      <w:pPr>
        <w:ind w:firstLine="480"/>
        <w:rPr>
          <w:rFonts w:cs="宋体"/>
          <w:highlight w:val="none"/>
        </w:rPr>
      </w:pPr>
      <w:r>
        <w:rPr>
          <w:rFonts w:hint="eastAsia" w:cs="宋体"/>
          <w:highlight w:val="none"/>
        </w:rPr>
        <w:t>（一）不同投标人的投标文件由同一单位或者个人编制；</w:t>
      </w:r>
    </w:p>
    <w:p>
      <w:pPr>
        <w:ind w:firstLine="480"/>
        <w:rPr>
          <w:rFonts w:cs="宋体"/>
          <w:highlight w:val="none"/>
        </w:rPr>
      </w:pPr>
      <w:r>
        <w:rPr>
          <w:rFonts w:hint="eastAsia" w:cs="宋体"/>
          <w:highlight w:val="none"/>
        </w:rPr>
        <w:t>（二）不同投标人委托同一单位或者个人办理投标事宜；</w:t>
      </w:r>
    </w:p>
    <w:p>
      <w:pPr>
        <w:ind w:firstLine="480"/>
        <w:rPr>
          <w:rFonts w:cs="宋体"/>
          <w:highlight w:val="none"/>
        </w:rPr>
      </w:pPr>
      <w:r>
        <w:rPr>
          <w:rFonts w:hint="eastAsia" w:cs="宋体"/>
          <w:highlight w:val="none"/>
        </w:rPr>
        <w:t>（三）不同投标人的投标文件载明的项目管理成员为同一人；</w:t>
      </w:r>
    </w:p>
    <w:p>
      <w:pPr>
        <w:ind w:firstLine="480"/>
        <w:rPr>
          <w:rFonts w:cs="宋体"/>
          <w:highlight w:val="none"/>
        </w:rPr>
      </w:pPr>
      <w:r>
        <w:rPr>
          <w:rFonts w:hint="eastAsia" w:cs="宋体"/>
          <w:highlight w:val="none"/>
        </w:rPr>
        <w:t>（四）不同投标人的投标文件异常一致（包括但不限于</w:t>
      </w:r>
      <w:r>
        <w:rPr>
          <w:rFonts w:ascii="Segoe UI" w:hAnsi="Segoe UI" w:cs="Segoe UI"/>
          <w:color w:val="15161F"/>
          <w:highlight w:val="none"/>
          <w:shd w:val="clear" w:color="auto" w:fill="FFFFFF"/>
        </w:rPr>
        <w:t>存在多处内容相似或雷同</w:t>
      </w:r>
      <w:r>
        <w:rPr>
          <w:rFonts w:hint="eastAsia" w:ascii="Segoe UI" w:hAnsi="Segoe UI" w:cs="Segoe UI"/>
          <w:color w:val="15161F"/>
          <w:highlight w:val="none"/>
          <w:shd w:val="clear" w:color="auto" w:fill="FFFFFF"/>
        </w:rPr>
        <w:t>、</w:t>
      </w:r>
      <w:r>
        <w:rPr>
          <w:rFonts w:ascii="Segoe UI" w:hAnsi="Segoe UI" w:cs="Segoe UI"/>
          <w:color w:val="15161F"/>
          <w:highlight w:val="none"/>
          <w:shd w:val="clear" w:color="auto" w:fill="FFFFFF"/>
        </w:rPr>
        <w:t>存在错误的地方一致</w:t>
      </w:r>
      <w:r>
        <w:rPr>
          <w:rFonts w:hint="eastAsia" w:ascii="Segoe UI" w:hAnsi="Segoe UI" w:cs="Segoe UI"/>
          <w:color w:val="15161F"/>
          <w:highlight w:val="none"/>
          <w:shd w:val="clear" w:color="auto" w:fill="FFFFFF"/>
        </w:rPr>
        <w:t>或其他可认定异常一致的情形</w:t>
      </w:r>
      <w:r>
        <w:rPr>
          <w:rFonts w:hint="eastAsia" w:cs="宋体"/>
          <w:highlight w:val="none"/>
        </w:rPr>
        <w:t>）或者投标报价呈规律性差异；</w:t>
      </w:r>
    </w:p>
    <w:p>
      <w:pPr>
        <w:ind w:firstLine="480"/>
        <w:rPr>
          <w:rFonts w:cs="宋体"/>
          <w:highlight w:val="none"/>
        </w:rPr>
      </w:pPr>
      <w:r>
        <w:rPr>
          <w:rFonts w:hint="eastAsia" w:cs="宋体"/>
          <w:highlight w:val="none"/>
        </w:rPr>
        <w:t>（五）不同投标人的投标文件相互混装；</w:t>
      </w:r>
    </w:p>
    <w:p>
      <w:pPr>
        <w:ind w:firstLine="480"/>
        <w:rPr>
          <w:rFonts w:cs="宋体"/>
          <w:highlight w:val="none"/>
        </w:rPr>
      </w:pPr>
      <w:r>
        <w:rPr>
          <w:rFonts w:hint="eastAsia" w:cs="宋体"/>
          <w:highlight w:val="none"/>
        </w:rPr>
        <w:t>（六）不同投标人的投标保证金从同一单位或者个人的账户转出；</w:t>
      </w:r>
    </w:p>
    <w:p>
      <w:pPr>
        <w:ind w:firstLine="480"/>
        <w:rPr>
          <w:rFonts w:cs="宋体"/>
          <w:highlight w:val="none"/>
        </w:rPr>
      </w:pPr>
      <w:r>
        <w:rPr>
          <w:rFonts w:hint="eastAsia" w:cs="宋体"/>
          <w:highlight w:val="none"/>
        </w:rPr>
        <w:t>四、递交时间截止后撤回投标（响应）文件或评审过程中出现因供应商自身原因弃标的，暂停12个月；</w:t>
      </w:r>
    </w:p>
    <w:p>
      <w:pPr>
        <w:ind w:firstLine="480"/>
        <w:rPr>
          <w:rFonts w:cs="宋体"/>
          <w:highlight w:val="none"/>
        </w:rPr>
      </w:pPr>
      <w:r>
        <w:rPr>
          <w:rFonts w:hint="eastAsia" w:cs="宋体"/>
          <w:highlight w:val="none"/>
        </w:rPr>
        <w:t>五、提供虚假材料或存在其他弄虚作假行为的，暂停12个月；</w:t>
      </w:r>
    </w:p>
    <w:p>
      <w:pPr>
        <w:ind w:firstLine="480"/>
        <w:rPr>
          <w:rFonts w:cs="宋体"/>
          <w:highlight w:val="none"/>
        </w:rPr>
      </w:pPr>
      <w:r>
        <w:rPr>
          <w:rFonts w:hint="eastAsia" w:cs="宋体"/>
          <w:highlight w:val="none"/>
        </w:rPr>
        <w:t>六、中标或者成交后无正当理由拒不与采购人签订采购合同，暂停12个月；</w:t>
      </w:r>
    </w:p>
    <w:p>
      <w:pPr>
        <w:ind w:firstLine="480"/>
        <w:rPr>
          <w:rFonts w:cs="宋体"/>
          <w:highlight w:val="none"/>
        </w:rPr>
      </w:pPr>
      <w:r>
        <w:rPr>
          <w:rFonts w:hint="eastAsia" w:cs="宋体"/>
          <w:highlight w:val="none"/>
        </w:rPr>
        <w:t>七、签订合同后无法履行合同的，暂停12个月；</w:t>
      </w:r>
    </w:p>
    <w:p>
      <w:pPr>
        <w:ind w:firstLine="480"/>
        <w:rPr>
          <w:rFonts w:cs="宋体"/>
          <w:highlight w:val="none"/>
        </w:rPr>
      </w:pPr>
      <w:r>
        <w:rPr>
          <w:rFonts w:hint="eastAsia" w:cs="宋体"/>
          <w:highlight w:val="none"/>
        </w:rPr>
        <w:t>八、年度评价被列为不及格供应商的，暂停12个月；</w:t>
      </w:r>
    </w:p>
    <w:p>
      <w:pPr>
        <w:ind w:firstLine="480"/>
        <w:rPr>
          <w:rFonts w:cs="宋体"/>
          <w:highlight w:val="none"/>
        </w:rPr>
      </w:pPr>
      <w:r>
        <w:rPr>
          <w:rFonts w:hint="eastAsia" w:cs="宋体"/>
          <w:highlight w:val="none"/>
        </w:rPr>
        <w:t>九、被集团公司或所属分（子）公司暂停参与采购活动的，从其处罚；</w:t>
      </w:r>
    </w:p>
    <w:p>
      <w:pPr>
        <w:pStyle w:val="53"/>
        <w:rPr>
          <w:highlight w:val="none"/>
        </w:rPr>
      </w:pPr>
    </w:p>
    <w:p>
      <w:pPr>
        <w:pStyle w:val="53"/>
        <w:rPr>
          <w:highlight w:val="none"/>
        </w:rPr>
      </w:pPr>
    </w:p>
    <w:p>
      <w:pPr>
        <w:ind w:firstLine="480"/>
        <w:jc w:val="right"/>
        <w:rPr>
          <w:highlight w:val="none"/>
        </w:rPr>
      </w:pPr>
      <w:r>
        <w:rPr>
          <w:rFonts w:hint="eastAsia"/>
          <w:highlight w:val="none"/>
        </w:rPr>
        <w:t xml:space="preserve">法定代表人或授权代理人：（签字或盖章） </w:t>
      </w: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年   月    日</w:t>
      </w:r>
    </w:p>
    <w:p>
      <w:pPr>
        <w:pStyle w:val="53"/>
        <w:rPr>
          <w:highlight w:val="none"/>
        </w:rPr>
      </w:pPr>
    </w:p>
    <w:p>
      <w:pPr>
        <w:pStyle w:val="53"/>
        <w:rPr>
          <w:highlight w:val="none"/>
        </w:rPr>
      </w:pPr>
    </w:p>
    <w:p>
      <w:pPr>
        <w:pStyle w:val="53"/>
        <w:rPr>
          <w:highlight w:val="none"/>
        </w:rPr>
      </w:pPr>
    </w:p>
    <w:p>
      <w:pPr>
        <w:pStyle w:val="53"/>
        <w:rPr>
          <w:highlight w:val="none"/>
        </w:rPr>
      </w:pPr>
    </w:p>
    <w:p>
      <w:pPr>
        <w:pStyle w:val="53"/>
        <w:rPr>
          <w:highlight w:val="none"/>
        </w:rPr>
      </w:pPr>
    </w:p>
    <w:p>
      <w:pPr>
        <w:pStyle w:val="53"/>
        <w:rPr>
          <w:highlight w:val="none"/>
        </w:rPr>
      </w:pPr>
    </w:p>
    <w:p>
      <w:pPr>
        <w:pStyle w:val="53"/>
        <w:rPr>
          <w:highlight w:val="none"/>
        </w:rPr>
      </w:pPr>
    </w:p>
    <w:p>
      <w:pPr>
        <w:pStyle w:val="4"/>
        <w:ind w:firstLine="0" w:firstLineChars="0"/>
        <w:rPr>
          <w:highlight w:val="none"/>
        </w:rPr>
      </w:pPr>
      <w:r>
        <w:rPr>
          <w:highlight w:val="none"/>
        </w:rPr>
        <w:t>2</w:t>
      </w:r>
      <w:r>
        <w:rPr>
          <w:rFonts w:hint="eastAsia"/>
          <w:highlight w:val="none"/>
        </w:rPr>
        <w:t>企业营业执照或事业单位法人证书</w:t>
      </w:r>
    </w:p>
    <w:p>
      <w:pPr>
        <w:ind w:firstLine="0" w:firstLineChars="0"/>
        <w:rPr>
          <w:highlight w:val="none"/>
        </w:rPr>
      </w:pPr>
      <w:bookmarkStart w:id="22" w:name="OLE_LINK130"/>
      <w:bookmarkStart w:id="23" w:name="OLE_LINK131"/>
      <w:r>
        <w:rPr>
          <w:rFonts w:hint="eastAsia"/>
          <w:highlight w:val="none"/>
        </w:rPr>
        <w:t>提供复印件并加盖公章</w:t>
      </w:r>
      <w:bookmarkEnd w:id="22"/>
      <w:bookmarkEnd w:id="23"/>
    </w:p>
    <w:p>
      <w:pPr>
        <w:widowControl/>
        <w:spacing w:line="240" w:lineRule="auto"/>
        <w:ind w:firstLine="0" w:firstLineChars="0"/>
        <w:jc w:val="left"/>
        <w:rPr>
          <w:b/>
          <w:bCs/>
          <w:szCs w:val="32"/>
          <w:highlight w:val="none"/>
        </w:rPr>
      </w:pPr>
      <w:r>
        <w:rPr>
          <w:highlight w:val="none"/>
        </w:rPr>
        <w:br w:type="page"/>
      </w:r>
    </w:p>
    <w:p>
      <w:pPr>
        <w:pStyle w:val="4"/>
        <w:spacing w:line="240" w:lineRule="auto"/>
        <w:ind w:firstLine="0" w:firstLineChars="0"/>
        <w:rPr>
          <w:highlight w:val="none"/>
        </w:rPr>
      </w:pPr>
      <w:r>
        <w:rPr>
          <w:rFonts w:hint="eastAsia"/>
          <w:highlight w:val="none"/>
        </w:rPr>
        <w:t>3法定代表人身份证明书</w:t>
      </w:r>
    </w:p>
    <w:p>
      <w:pPr>
        <w:ind w:firstLine="482"/>
        <w:jc w:val="center"/>
        <w:rPr>
          <w:b/>
          <w:bCs/>
          <w:highlight w:val="none"/>
        </w:rPr>
      </w:pPr>
    </w:p>
    <w:p>
      <w:pPr>
        <w:ind w:firstLine="0" w:firstLineChars="0"/>
        <w:jc w:val="center"/>
        <w:rPr>
          <w:b/>
          <w:bCs/>
          <w:highlight w:val="none"/>
        </w:rPr>
      </w:pPr>
      <w:r>
        <w:rPr>
          <w:rFonts w:hint="eastAsia"/>
          <w:b/>
          <w:bCs/>
          <w:highlight w:val="none"/>
        </w:rPr>
        <w:t>法定代表人身份证明书</w:t>
      </w:r>
    </w:p>
    <w:p>
      <w:pPr>
        <w:ind w:firstLine="480"/>
        <w:rPr>
          <w:highlight w:val="none"/>
        </w:rPr>
      </w:pPr>
    </w:p>
    <w:p>
      <w:pPr>
        <w:ind w:firstLine="480"/>
        <w:rPr>
          <w:highlight w:val="none"/>
        </w:rPr>
      </w:pPr>
      <w:r>
        <w:rPr>
          <w:rFonts w:hint="eastAsia"/>
          <w:highlight w:val="none"/>
          <w:u w:val="single"/>
        </w:rPr>
        <w:t xml:space="preserve">  （姓名）  </w:t>
      </w:r>
      <w:r>
        <w:rPr>
          <w:rFonts w:hint="eastAsia"/>
          <w:highlight w:val="none"/>
        </w:rPr>
        <w:t>先生/女士，系本单位</w:t>
      </w:r>
      <w:r>
        <w:rPr>
          <w:rFonts w:hint="eastAsia"/>
          <w:highlight w:val="none"/>
          <w:u w:val="single"/>
        </w:rPr>
        <w:t xml:space="preserve"> </w:t>
      </w:r>
      <w:r>
        <w:rPr>
          <w:highlight w:val="none"/>
          <w:u w:val="single"/>
        </w:rPr>
        <w:t xml:space="preserve">  </w:t>
      </w:r>
      <w:r>
        <w:rPr>
          <w:rFonts w:hint="eastAsia"/>
          <w:highlight w:val="none"/>
          <w:u w:val="single"/>
        </w:rPr>
        <w:t>（单位名称）</w:t>
      </w:r>
      <w:r>
        <w:rPr>
          <w:highlight w:val="none"/>
          <w:u w:val="single"/>
        </w:rPr>
        <w:t xml:space="preserve">   </w:t>
      </w:r>
      <w:r>
        <w:rPr>
          <w:rFonts w:hint="eastAsia"/>
          <w:highlight w:val="none"/>
        </w:rPr>
        <w:t>法定代表人，特此证明。</w:t>
      </w:r>
    </w:p>
    <w:p>
      <w:pPr>
        <w:ind w:firstLine="480"/>
        <w:rPr>
          <w:highlight w:val="none"/>
        </w:rPr>
      </w:pPr>
      <w:r>
        <w:rPr>
          <w:rFonts w:hint="eastAsia"/>
          <w:highlight w:val="none"/>
        </w:rPr>
        <w:t>身份证号码：</w:t>
      </w:r>
      <w:r>
        <w:rPr>
          <w:rFonts w:hint="eastAsia"/>
          <w:highlight w:val="none"/>
          <w:u w:val="single"/>
        </w:rPr>
        <w:t xml:space="preserve">                                      </w:t>
      </w:r>
      <w:r>
        <w:rPr>
          <w:rFonts w:hint="eastAsia"/>
          <w:highlight w:val="none"/>
        </w:rPr>
        <w:t xml:space="preserve">   </w:t>
      </w:r>
    </w:p>
    <w:p>
      <w:pPr>
        <w:ind w:firstLine="480"/>
        <w:rPr>
          <w:highlight w:val="none"/>
        </w:rPr>
      </w:pPr>
    </w:p>
    <w:p>
      <w:pPr>
        <w:ind w:firstLine="482"/>
        <w:rPr>
          <w:b/>
          <w:highlight w:val="none"/>
        </w:rPr>
      </w:pPr>
      <w:r>
        <w:rPr>
          <w:rFonts w:hint="eastAsia"/>
          <w:b/>
          <w:highlight w:val="none"/>
        </w:rPr>
        <w:t>注：提供法定代表人身份证（正反面）复印件</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0" w:hRule="atLeast"/>
        </w:trPr>
        <w:tc>
          <w:tcPr>
            <w:tcW w:w="5000" w:type="pct"/>
            <w:noWrap w:val="0"/>
            <w:vAlign w:val="top"/>
          </w:tcPr>
          <w:p>
            <w:pPr>
              <w:ind w:firstLine="480"/>
              <w:jc w:val="left"/>
              <w:rPr>
                <w:highlight w:val="none"/>
              </w:rPr>
            </w:pPr>
          </w:p>
        </w:tc>
      </w:tr>
    </w:tbl>
    <w:p>
      <w:pPr>
        <w:ind w:firstLine="480"/>
        <w:jc w:val="right"/>
        <w:rPr>
          <w:rFonts w:hint="eastAsia"/>
          <w:highlight w:val="none"/>
          <w:lang w:val="en-US" w:eastAsia="zh-CN"/>
        </w:rPr>
      </w:pPr>
      <w:r>
        <w:rPr>
          <w:rFonts w:hint="eastAsia"/>
          <w:highlight w:val="none"/>
          <w:lang w:val="en-US" w:eastAsia="zh-CN"/>
        </w:rPr>
        <w:t xml:space="preserve">  </w:t>
      </w:r>
    </w:p>
    <w:p>
      <w:pPr>
        <w:ind w:firstLine="480"/>
        <w:jc w:val="right"/>
        <w:rPr>
          <w:highlight w:val="none"/>
        </w:rPr>
      </w:pPr>
      <w:r>
        <w:rPr>
          <w:rFonts w:hint="eastAsia"/>
          <w:highlight w:val="none"/>
        </w:rPr>
        <w:t>供应商：（加盖公章）</w:t>
      </w:r>
    </w:p>
    <w:p>
      <w:pPr>
        <w:ind w:firstLine="480"/>
        <w:jc w:val="right"/>
        <w:rPr>
          <w:rFonts w:hint="eastAsia"/>
          <w:highlight w:val="none"/>
        </w:rPr>
      </w:pPr>
      <w:r>
        <w:rPr>
          <w:rFonts w:hint="eastAsia"/>
          <w:highlight w:val="none"/>
        </w:rPr>
        <w:t xml:space="preserve">年    月 </w:t>
      </w:r>
      <w:r>
        <w:rPr>
          <w:rFonts w:hint="eastAsia"/>
          <w:highlight w:val="none"/>
          <w:lang w:val="en-US" w:eastAsia="zh-CN"/>
        </w:rPr>
        <w:t xml:space="preserve"> 日 </w:t>
      </w:r>
      <w:r>
        <w:rPr>
          <w:rFonts w:hint="eastAsia"/>
          <w:highlight w:val="none"/>
        </w:rPr>
        <w:t xml:space="preserve">   </w:t>
      </w: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highlight w:val="none"/>
        </w:rPr>
      </w:pPr>
    </w:p>
    <w:p>
      <w:pPr>
        <w:widowControl/>
        <w:spacing w:line="240" w:lineRule="auto"/>
        <w:ind w:firstLine="0" w:firstLineChars="0"/>
        <w:jc w:val="left"/>
        <w:rPr>
          <w:highlight w:val="none"/>
        </w:rPr>
      </w:pPr>
    </w:p>
    <w:p>
      <w:pPr>
        <w:pStyle w:val="4"/>
        <w:ind w:firstLine="0" w:firstLineChars="0"/>
        <w:rPr>
          <w:highlight w:val="none"/>
        </w:rPr>
      </w:pPr>
      <w:r>
        <w:rPr>
          <w:rFonts w:hint="eastAsia"/>
          <w:highlight w:val="none"/>
        </w:rPr>
        <w:t>4授权委托书原件</w:t>
      </w:r>
    </w:p>
    <w:p>
      <w:pPr>
        <w:ind w:firstLine="0" w:firstLineChars="0"/>
        <w:jc w:val="center"/>
        <w:rPr>
          <w:b/>
          <w:bCs/>
          <w:highlight w:val="none"/>
        </w:rPr>
      </w:pPr>
      <w:r>
        <w:rPr>
          <w:rFonts w:hint="eastAsia"/>
          <w:b/>
          <w:bCs/>
          <w:highlight w:val="none"/>
        </w:rPr>
        <w:t>授权委托书</w:t>
      </w:r>
    </w:p>
    <w:p>
      <w:pPr>
        <w:spacing w:line="400" w:lineRule="exact"/>
        <w:ind w:firstLine="420"/>
        <w:jc w:val="center"/>
        <w:rPr>
          <w:rFonts w:ascii="等线" w:hAnsi="等线" w:eastAsia="等线" w:cs="等线"/>
          <w:b/>
          <w:sz w:val="21"/>
          <w:szCs w:val="21"/>
          <w:highlight w:val="none"/>
        </w:rPr>
      </w:pPr>
    </w:p>
    <w:p>
      <w:pPr>
        <w:ind w:firstLine="0" w:firstLineChars="0"/>
        <w:rPr>
          <w:highlight w:val="none"/>
        </w:rPr>
      </w:pPr>
      <w:r>
        <w:rPr>
          <w:rFonts w:hint="eastAsia"/>
          <w:highlight w:val="none"/>
        </w:rPr>
        <w:t>致</w:t>
      </w:r>
      <w:r>
        <w:rPr>
          <w:rFonts w:hint="eastAsia"/>
          <w:highlight w:val="none"/>
          <w:u w:val="single"/>
        </w:rPr>
        <w:t>南通轨道交通集团有限公司运营分公司</w:t>
      </w:r>
      <w:r>
        <w:rPr>
          <w:rFonts w:hint="eastAsia"/>
          <w:highlight w:val="none"/>
        </w:rPr>
        <w:t>：</w:t>
      </w:r>
    </w:p>
    <w:p>
      <w:pPr>
        <w:ind w:firstLine="480"/>
        <w:rPr>
          <w:highlight w:val="none"/>
        </w:rPr>
      </w:pPr>
      <w:r>
        <w:rPr>
          <w:rFonts w:hint="eastAsia"/>
          <w:highlight w:val="none"/>
        </w:rPr>
        <w:t>本授权委托书声明：本人</w:t>
      </w:r>
      <w:r>
        <w:rPr>
          <w:rFonts w:hint="eastAsia"/>
          <w:highlight w:val="none"/>
          <w:u w:val="single"/>
        </w:rPr>
        <w:t xml:space="preserve">          </w:t>
      </w:r>
      <w:r>
        <w:rPr>
          <w:rFonts w:hint="eastAsia"/>
          <w:highlight w:val="none"/>
        </w:rPr>
        <w:t>（姓名）系</w:t>
      </w:r>
      <w:r>
        <w:rPr>
          <w:rFonts w:hint="eastAsia"/>
          <w:highlight w:val="none"/>
          <w:u w:val="single"/>
        </w:rPr>
        <w:t xml:space="preserve">                  </w:t>
      </w:r>
      <w:r>
        <w:rPr>
          <w:rFonts w:hint="eastAsia"/>
          <w:highlight w:val="none"/>
        </w:rPr>
        <w:t>（供应商名称）的法定代表人现授权委托</w:t>
      </w:r>
      <w:r>
        <w:rPr>
          <w:rFonts w:hint="eastAsia"/>
          <w:highlight w:val="none"/>
          <w:u w:val="single"/>
        </w:rPr>
        <w:t xml:space="preserve">         </w:t>
      </w:r>
      <w:r>
        <w:rPr>
          <w:rFonts w:hint="eastAsia"/>
          <w:highlight w:val="none"/>
        </w:rPr>
        <w:t>（姓名）为我公司代理人，以本公司的名义参加</w:t>
      </w:r>
      <w:r>
        <w:rPr>
          <w:rFonts w:hint="eastAsia"/>
          <w:highlight w:val="none"/>
          <w:u w:val="single"/>
          <w:lang w:eastAsia="zh-CN"/>
        </w:rPr>
        <w:t>南通轨道交通集团有限公司运营分公司2026-2029年度劳保洗护用品采购项目（二次）</w:t>
      </w:r>
      <w:r>
        <w:rPr>
          <w:rFonts w:hint="eastAsia"/>
          <w:highlight w:val="none"/>
          <w:u w:val="single"/>
        </w:rPr>
        <w:t>（项目编号：</w:t>
      </w:r>
      <w:r>
        <w:rPr>
          <w:rFonts w:hint="eastAsia"/>
          <w:highlight w:val="none"/>
          <w:u w:val="single"/>
          <w:lang w:eastAsia="zh-CN"/>
        </w:rPr>
        <w:t>NTGY-2026-HW-ZB-023</w:t>
      </w:r>
      <w:r>
        <w:rPr>
          <w:rFonts w:hint="eastAsia"/>
          <w:highlight w:val="none"/>
          <w:u w:val="single"/>
        </w:rPr>
        <w:t>）</w:t>
      </w:r>
      <w:r>
        <w:rPr>
          <w:rFonts w:hint="eastAsia"/>
          <w:highlight w:val="none"/>
        </w:rPr>
        <w:t>的采购活动。</w:t>
      </w:r>
    </w:p>
    <w:p>
      <w:pPr>
        <w:ind w:firstLine="480"/>
        <w:rPr>
          <w:highlight w:val="none"/>
        </w:rPr>
      </w:pPr>
      <w:r>
        <w:rPr>
          <w:rFonts w:hint="eastAsia"/>
          <w:highlight w:val="none"/>
        </w:rPr>
        <w:t>该代理人在以上项目的采购活动过程中所签署的一切文件和处理与这有关的一切事务，本人均予以承认。</w:t>
      </w:r>
    </w:p>
    <w:p>
      <w:pPr>
        <w:ind w:firstLine="480"/>
        <w:rPr>
          <w:highlight w:val="none"/>
        </w:rPr>
      </w:pPr>
      <w:r>
        <w:rPr>
          <w:rFonts w:hint="eastAsia"/>
          <w:highlight w:val="none"/>
        </w:rPr>
        <w:t>该代理人在授权委托书有效期内签署的所有文件不因授权委托的撤销而失效，除非有撤销授权委托的书面通知，本授权委托书自响应文件开始至合同履行完毕止。</w:t>
      </w:r>
    </w:p>
    <w:p>
      <w:pPr>
        <w:ind w:firstLine="480"/>
        <w:rPr>
          <w:highlight w:val="none"/>
        </w:rPr>
      </w:pPr>
      <w:r>
        <w:rPr>
          <w:rFonts w:hint="eastAsia"/>
          <w:highlight w:val="none"/>
        </w:rPr>
        <w:t>代理人无转委托权。特此委托。</w:t>
      </w:r>
    </w:p>
    <w:p>
      <w:pPr>
        <w:ind w:firstLine="480"/>
        <w:rPr>
          <w:highlight w:val="none"/>
        </w:rPr>
      </w:pPr>
    </w:p>
    <w:p>
      <w:pPr>
        <w:ind w:firstLine="482"/>
        <w:rPr>
          <w:b/>
          <w:highlight w:val="none"/>
        </w:rPr>
      </w:pPr>
      <w:r>
        <w:rPr>
          <w:rFonts w:hint="eastAsia"/>
          <w:b/>
          <w:highlight w:val="none"/>
        </w:rPr>
        <w:t>注：提供授权代理人的身份证（正反面）复印件</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7" w:hRule="atLeast"/>
        </w:trPr>
        <w:tc>
          <w:tcPr>
            <w:tcW w:w="5000" w:type="pct"/>
            <w:noWrap w:val="0"/>
            <w:vAlign w:val="top"/>
          </w:tcPr>
          <w:p>
            <w:pPr>
              <w:ind w:firstLine="0" w:firstLineChars="0"/>
              <w:rPr>
                <w:highlight w:val="none"/>
              </w:rPr>
            </w:pPr>
          </w:p>
        </w:tc>
      </w:tr>
    </w:tbl>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法定代表人：（签字或盖章）</w:t>
      </w:r>
    </w:p>
    <w:p>
      <w:pPr>
        <w:ind w:firstLine="480"/>
        <w:jc w:val="right"/>
        <w:rPr>
          <w:rFonts w:hint="eastAsia"/>
          <w:highlight w:val="none"/>
        </w:rPr>
        <w:sectPr>
          <w:headerReference r:id="rId16" w:type="default"/>
          <w:footerReference r:id="rId17" w:type="default"/>
          <w:pgSz w:w="11906" w:h="16838"/>
          <w:pgMar w:top="1418" w:right="1588" w:bottom="1418" w:left="1588" w:header="851" w:footer="992" w:gutter="0"/>
          <w:pgNumType w:fmt="decimal"/>
          <w:cols w:space="720" w:num="1"/>
          <w:docGrid w:linePitch="326" w:charSpace="0"/>
        </w:sectPr>
      </w:pPr>
      <w:r>
        <w:rPr>
          <w:rFonts w:hint="eastAsia"/>
          <w:highlight w:val="none"/>
        </w:rPr>
        <w:t>　　　年　  月 　 日</w:t>
      </w:r>
    </w:p>
    <w:p>
      <w:pPr>
        <w:pStyle w:val="4"/>
        <w:ind w:firstLine="0" w:firstLineChars="0"/>
        <w:rPr>
          <w:rFonts w:hint="eastAsia"/>
          <w:highlight w:val="none"/>
          <w:lang w:val="en-US" w:eastAsia="zh-CN"/>
        </w:rPr>
      </w:pPr>
      <w:r>
        <w:rPr>
          <w:rFonts w:hint="eastAsia"/>
          <w:highlight w:val="none"/>
          <w:lang w:val="en-US" w:eastAsia="zh-CN"/>
        </w:rPr>
        <w:t>5业绩材料</w:t>
      </w:r>
    </w:p>
    <w:p>
      <w:pPr>
        <w:ind w:firstLine="0" w:firstLineChars="0"/>
        <w:jc w:val="center"/>
        <w:rPr>
          <w:b/>
          <w:bCs/>
        </w:rPr>
      </w:pPr>
      <w:r>
        <w:rPr>
          <w:rFonts w:hint="eastAsia"/>
          <w:b/>
          <w:bCs/>
        </w:rPr>
        <w:t>企业业绩一览表</w:t>
      </w:r>
    </w:p>
    <w:tbl>
      <w:tblPr>
        <w:tblStyle w:val="26"/>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2886"/>
        <w:gridCol w:w="1880"/>
        <w:gridCol w:w="2179"/>
        <w:gridCol w:w="2268"/>
        <w:gridCol w:w="2378"/>
        <w:gridCol w:w="1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ind w:firstLine="0" w:firstLineChars="0"/>
              <w:jc w:val="center"/>
              <w:rPr>
                <w:b/>
                <w:bCs/>
                <w:sz w:val="22"/>
                <w:szCs w:val="21"/>
              </w:rPr>
            </w:pPr>
            <w:r>
              <w:rPr>
                <w:rFonts w:hint="eastAsia"/>
                <w:b/>
                <w:bCs/>
                <w:sz w:val="22"/>
                <w:szCs w:val="21"/>
              </w:rPr>
              <w:t>序号</w:t>
            </w:r>
          </w:p>
        </w:tc>
        <w:tc>
          <w:tcPr>
            <w:tcW w:w="2886" w:type="dxa"/>
            <w:noWrap w:val="0"/>
            <w:vAlign w:val="center"/>
          </w:tcPr>
          <w:p>
            <w:pPr>
              <w:ind w:firstLine="0" w:firstLineChars="0"/>
              <w:jc w:val="center"/>
              <w:rPr>
                <w:b/>
                <w:bCs/>
                <w:sz w:val="22"/>
                <w:szCs w:val="21"/>
              </w:rPr>
            </w:pPr>
            <w:r>
              <w:rPr>
                <w:rFonts w:hint="eastAsia"/>
                <w:b/>
                <w:bCs/>
                <w:sz w:val="22"/>
                <w:szCs w:val="21"/>
              </w:rPr>
              <w:t>项目名称</w:t>
            </w:r>
          </w:p>
        </w:tc>
        <w:tc>
          <w:tcPr>
            <w:tcW w:w="1880" w:type="dxa"/>
            <w:noWrap w:val="0"/>
            <w:vAlign w:val="top"/>
          </w:tcPr>
          <w:p>
            <w:pPr>
              <w:ind w:firstLine="0" w:firstLineChars="0"/>
              <w:jc w:val="center"/>
              <w:rPr>
                <w:b/>
                <w:bCs/>
                <w:sz w:val="22"/>
                <w:szCs w:val="21"/>
              </w:rPr>
            </w:pPr>
            <w:r>
              <w:rPr>
                <w:rFonts w:hint="eastAsia"/>
                <w:b/>
                <w:bCs/>
                <w:sz w:val="22"/>
                <w:szCs w:val="21"/>
              </w:rPr>
              <w:t>项目概况</w:t>
            </w:r>
          </w:p>
        </w:tc>
        <w:tc>
          <w:tcPr>
            <w:tcW w:w="2179" w:type="dxa"/>
            <w:noWrap w:val="0"/>
            <w:vAlign w:val="top"/>
          </w:tcPr>
          <w:p>
            <w:pPr>
              <w:ind w:firstLine="0" w:firstLineChars="0"/>
              <w:jc w:val="center"/>
              <w:rPr>
                <w:b/>
                <w:bCs/>
                <w:sz w:val="22"/>
                <w:szCs w:val="21"/>
              </w:rPr>
            </w:pPr>
            <w:r>
              <w:rPr>
                <w:rFonts w:hint="eastAsia"/>
                <w:b/>
                <w:bCs/>
                <w:sz w:val="22"/>
                <w:szCs w:val="21"/>
              </w:rPr>
              <w:t>合同金额（万元）</w:t>
            </w:r>
          </w:p>
        </w:tc>
        <w:tc>
          <w:tcPr>
            <w:tcW w:w="2268" w:type="dxa"/>
            <w:noWrap w:val="0"/>
            <w:vAlign w:val="center"/>
          </w:tcPr>
          <w:p>
            <w:pPr>
              <w:ind w:firstLine="0" w:firstLineChars="0"/>
              <w:jc w:val="center"/>
              <w:rPr>
                <w:b/>
                <w:bCs/>
                <w:sz w:val="22"/>
                <w:szCs w:val="21"/>
              </w:rPr>
            </w:pPr>
            <w:r>
              <w:rPr>
                <w:rFonts w:hint="eastAsia"/>
                <w:b/>
                <w:bCs/>
                <w:sz w:val="22"/>
                <w:szCs w:val="21"/>
              </w:rPr>
              <w:t>合同签订时间</w:t>
            </w:r>
          </w:p>
        </w:tc>
        <w:tc>
          <w:tcPr>
            <w:tcW w:w="2378" w:type="dxa"/>
            <w:noWrap w:val="0"/>
            <w:vAlign w:val="center"/>
          </w:tcPr>
          <w:p>
            <w:pPr>
              <w:ind w:firstLine="0" w:firstLineChars="0"/>
              <w:jc w:val="center"/>
              <w:rPr>
                <w:b/>
                <w:bCs/>
                <w:sz w:val="22"/>
                <w:szCs w:val="21"/>
              </w:rPr>
            </w:pPr>
            <w:r>
              <w:rPr>
                <w:rFonts w:hint="eastAsia"/>
                <w:b/>
                <w:bCs/>
                <w:sz w:val="22"/>
                <w:szCs w:val="21"/>
              </w:rPr>
              <w:t>业主名称及联系方式</w:t>
            </w:r>
          </w:p>
        </w:tc>
        <w:tc>
          <w:tcPr>
            <w:tcW w:w="1369" w:type="dxa"/>
            <w:noWrap w:val="0"/>
            <w:vAlign w:val="top"/>
          </w:tcPr>
          <w:p>
            <w:pPr>
              <w:ind w:firstLine="0" w:firstLineChars="0"/>
              <w:jc w:val="center"/>
              <w:rPr>
                <w:b/>
                <w:bCs/>
                <w:sz w:val="22"/>
                <w:szCs w:val="21"/>
              </w:rPr>
            </w:pPr>
            <w:r>
              <w:rPr>
                <w:rFonts w:hint="eastAsia"/>
                <w:b/>
                <w:bCs/>
                <w:sz w:val="2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ind w:firstLine="0" w:firstLineChars="0"/>
              <w:jc w:val="center"/>
            </w:pPr>
            <w:r>
              <w:rPr>
                <w:rFonts w:hint="eastAsia"/>
              </w:rPr>
              <w:t>1</w:t>
            </w:r>
          </w:p>
        </w:tc>
        <w:tc>
          <w:tcPr>
            <w:tcW w:w="2886" w:type="dxa"/>
            <w:noWrap w:val="0"/>
            <w:vAlign w:val="top"/>
          </w:tcPr>
          <w:p>
            <w:pPr>
              <w:ind w:firstLine="0" w:firstLineChars="0"/>
            </w:pPr>
          </w:p>
        </w:tc>
        <w:tc>
          <w:tcPr>
            <w:tcW w:w="1880" w:type="dxa"/>
            <w:noWrap w:val="0"/>
            <w:vAlign w:val="top"/>
          </w:tcPr>
          <w:p>
            <w:pPr>
              <w:ind w:firstLine="0" w:firstLineChars="0"/>
            </w:pPr>
          </w:p>
        </w:tc>
        <w:tc>
          <w:tcPr>
            <w:tcW w:w="2179" w:type="dxa"/>
            <w:noWrap w:val="0"/>
            <w:vAlign w:val="top"/>
          </w:tcPr>
          <w:p>
            <w:pPr>
              <w:ind w:firstLine="0" w:firstLineChars="0"/>
            </w:pPr>
          </w:p>
        </w:tc>
        <w:tc>
          <w:tcPr>
            <w:tcW w:w="2268" w:type="dxa"/>
            <w:noWrap w:val="0"/>
            <w:vAlign w:val="top"/>
          </w:tcPr>
          <w:p>
            <w:pPr>
              <w:ind w:firstLine="0" w:firstLineChars="0"/>
            </w:pPr>
          </w:p>
        </w:tc>
        <w:tc>
          <w:tcPr>
            <w:tcW w:w="2378" w:type="dxa"/>
            <w:noWrap w:val="0"/>
            <w:vAlign w:val="top"/>
          </w:tcPr>
          <w:p>
            <w:pPr>
              <w:ind w:firstLine="0" w:firstLineChars="0"/>
            </w:pPr>
          </w:p>
        </w:tc>
        <w:tc>
          <w:tcPr>
            <w:tcW w:w="1369" w:type="dxa"/>
            <w:noWrap w:val="0"/>
            <w:vAlign w:val="top"/>
          </w:tcPr>
          <w:p>
            <w:pPr>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ind w:firstLine="0" w:firstLineChars="0"/>
              <w:jc w:val="center"/>
            </w:pPr>
            <w:r>
              <w:rPr>
                <w:rFonts w:hint="eastAsia"/>
              </w:rPr>
              <w:t>2</w:t>
            </w:r>
          </w:p>
        </w:tc>
        <w:tc>
          <w:tcPr>
            <w:tcW w:w="2886" w:type="dxa"/>
            <w:noWrap w:val="0"/>
            <w:vAlign w:val="top"/>
          </w:tcPr>
          <w:p>
            <w:pPr>
              <w:ind w:firstLine="0" w:firstLineChars="0"/>
            </w:pPr>
          </w:p>
        </w:tc>
        <w:tc>
          <w:tcPr>
            <w:tcW w:w="1880" w:type="dxa"/>
            <w:noWrap w:val="0"/>
            <w:vAlign w:val="top"/>
          </w:tcPr>
          <w:p>
            <w:pPr>
              <w:ind w:firstLine="0" w:firstLineChars="0"/>
            </w:pPr>
          </w:p>
        </w:tc>
        <w:tc>
          <w:tcPr>
            <w:tcW w:w="2179" w:type="dxa"/>
            <w:noWrap w:val="0"/>
            <w:vAlign w:val="top"/>
          </w:tcPr>
          <w:p>
            <w:pPr>
              <w:ind w:firstLine="0" w:firstLineChars="0"/>
            </w:pPr>
          </w:p>
        </w:tc>
        <w:tc>
          <w:tcPr>
            <w:tcW w:w="2268" w:type="dxa"/>
            <w:noWrap w:val="0"/>
            <w:vAlign w:val="top"/>
          </w:tcPr>
          <w:p>
            <w:pPr>
              <w:ind w:firstLine="0" w:firstLineChars="0"/>
            </w:pPr>
          </w:p>
        </w:tc>
        <w:tc>
          <w:tcPr>
            <w:tcW w:w="2378" w:type="dxa"/>
            <w:noWrap w:val="0"/>
            <w:vAlign w:val="top"/>
          </w:tcPr>
          <w:p>
            <w:pPr>
              <w:ind w:firstLine="0" w:firstLineChars="0"/>
            </w:pPr>
          </w:p>
        </w:tc>
        <w:tc>
          <w:tcPr>
            <w:tcW w:w="1369" w:type="dxa"/>
            <w:noWrap w:val="0"/>
            <w:vAlign w:val="top"/>
          </w:tcPr>
          <w:p>
            <w:pPr>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ind w:firstLine="0" w:firstLineChars="0"/>
              <w:jc w:val="center"/>
            </w:pPr>
            <w:r>
              <w:rPr>
                <w:rFonts w:hint="eastAsia"/>
              </w:rPr>
              <w:t>3</w:t>
            </w:r>
          </w:p>
        </w:tc>
        <w:tc>
          <w:tcPr>
            <w:tcW w:w="2886" w:type="dxa"/>
            <w:noWrap w:val="0"/>
            <w:vAlign w:val="top"/>
          </w:tcPr>
          <w:p>
            <w:pPr>
              <w:ind w:firstLine="0" w:firstLineChars="0"/>
            </w:pPr>
          </w:p>
        </w:tc>
        <w:tc>
          <w:tcPr>
            <w:tcW w:w="1880" w:type="dxa"/>
            <w:noWrap w:val="0"/>
            <w:vAlign w:val="top"/>
          </w:tcPr>
          <w:p>
            <w:pPr>
              <w:ind w:firstLine="0" w:firstLineChars="0"/>
            </w:pPr>
          </w:p>
        </w:tc>
        <w:tc>
          <w:tcPr>
            <w:tcW w:w="2179" w:type="dxa"/>
            <w:noWrap w:val="0"/>
            <w:vAlign w:val="top"/>
          </w:tcPr>
          <w:p>
            <w:pPr>
              <w:ind w:firstLine="0" w:firstLineChars="0"/>
            </w:pPr>
          </w:p>
        </w:tc>
        <w:tc>
          <w:tcPr>
            <w:tcW w:w="2268" w:type="dxa"/>
            <w:noWrap w:val="0"/>
            <w:vAlign w:val="top"/>
          </w:tcPr>
          <w:p>
            <w:pPr>
              <w:ind w:firstLine="0" w:firstLineChars="0"/>
            </w:pPr>
          </w:p>
        </w:tc>
        <w:tc>
          <w:tcPr>
            <w:tcW w:w="2378" w:type="dxa"/>
            <w:noWrap w:val="0"/>
            <w:vAlign w:val="top"/>
          </w:tcPr>
          <w:p>
            <w:pPr>
              <w:ind w:firstLine="0" w:firstLineChars="0"/>
            </w:pPr>
          </w:p>
        </w:tc>
        <w:tc>
          <w:tcPr>
            <w:tcW w:w="1369" w:type="dxa"/>
            <w:noWrap w:val="0"/>
            <w:vAlign w:val="top"/>
          </w:tcPr>
          <w:p>
            <w:pPr>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ind w:firstLine="0" w:firstLineChars="0"/>
              <w:jc w:val="center"/>
            </w:pPr>
            <w:r>
              <w:t>…</w:t>
            </w:r>
          </w:p>
        </w:tc>
        <w:tc>
          <w:tcPr>
            <w:tcW w:w="2886" w:type="dxa"/>
            <w:noWrap w:val="0"/>
            <w:vAlign w:val="top"/>
          </w:tcPr>
          <w:p>
            <w:pPr>
              <w:ind w:firstLine="0" w:firstLineChars="0"/>
            </w:pPr>
          </w:p>
        </w:tc>
        <w:tc>
          <w:tcPr>
            <w:tcW w:w="1880" w:type="dxa"/>
            <w:noWrap w:val="0"/>
            <w:vAlign w:val="top"/>
          </w:tcPr>
          <w:p>
            <w:pPr>
              <w:ind w:firstLine="0" w:firstLineChars="0"/>
            </w:pPr>
          </w:p>
        </w:tc>
        <w:tc>
          <w:tcPr>
            <w:tcW w:w="2179" w:type="dxa"/>
            <w:noWrap w:val="0"/>
            <w:vAlign w:val="top"/>
          </w:tcPr>
          <w:p>
            <w:pPr>
              <w:ind w:firstLine="0" w:firstLineChars="0"/>
            </w:pPr>
          </w:p>
        </w:tc>
        <w:tc>
          <w:tcPr>
            <w:tcW w:w="2268" w:type="dxa"/>
            <w:noWrap w:val="0"/>
            <w:vAlign w:val="top"/>
          </w:tcPr>
          <w:p>
            <w:pPr>
              <w:ind w:firstLine="0" w:firstLineChars="0"/>
            </w:pPr>
          </w:p>
        </w:tc>
        <w:tc>
          <w:tcPr>
            <w:tcW w:w="2378" w:type="dxa"/>
            <w:noWrap w:val="0"/>
            <w:vAlign w:val="top"/>
          </w:tcPr>
          <w:p>
            <w:pPr>
              <w:ind w:firstLine="0" w:firstLineChars="0"/>
            </w:pPr>
          </w:p>
        </w:tc>
        <w:tc>
          <w:tcPr>
            <w:tcW w:w="1369" w:type="dxa"/>
            <w:noWrap w:val="0"/>
            <w:vAlign w:val="top"/>
          </w:tcPr>
          <w:p>
            <w:pPr>
              <w:ind w:firstLine="0" w:firstLineChars="0"/>
            </w:pPr>
          </w:p>
        </w:tc>
      </w:tr>
    </w:tbl>
    <w:p>
      <w:pPr>
        <w:ind w:firstLine="482"/>
        <w:rPr>
          <w:rFonts w:cs="Arial"/>
          <w:b/>
          <w:bCs/>
          <w:kern w:val="0"/>
          <w:szCs w:val="21"/>
        </w:rPr>
      </w:pPr>
      <w:r>
        <w:rPr>
          <w:rFonts w:hint="eastAsia" w:cs="Arial"/>
          <w:b/>
          <w:bCs/>
          <w:kern w:val="0"/>
          <w:szCs w:val="21"/>
        </w:rPr>
        <w:t>注：</w:t>
      </w:r>
      <w:r>
        <w:rPr>
          <w:rFonts w:hint="eastAsia" w:cs="Arial"/>
          <w:b/>
          <w:bCs/>
          <w:kern w:val="0"/>
          <w:szCs w:val="21"/>
          <w:lang w:val="en-US" w:eastAsia="zh-CN"/>
        </w:rPr>
        <w:t>结合第三章评标办法，</w:t>
      </w:r>
      <w:r>
        <w:rPr>
          <w:rFonts w:hint="eastAsia" w:cs="Arial"/>
          <w:b/>
          <w:bCs/>
          <w:kern w:val="0"/>
          <w:szCs w:val="21"/>
        </w:rPr>
        <w:t>供应商须提供以上业绩的合同复印件并加盖公章，可附页。</w:t>
      </w:r>
    </w:p>
    <w:p>
      <w:pPr>
        <w:rPr>
          <w:rFonts w:hint="eastAsia"/>
          <w:highlight w:val="none"/>
          <w:lang w:val="en-US" w:eastAsia="zh-CN"/>
        </w:rPr>
      </w:pPr>
    </w:p>
    <w:p>
      <w:pPr>
        <w:pStyle w:val="4"/>
        <w:ind w:firstLine="0" w:firstLineChars="0"/>
        <w:rPr>
          <w:rFonts w:hint="eastAsia"/>
          <w:highlight w:val="none"/>
          <w:lang w:val="en-US" w:eastAsia="zh-CN"/>
        </w:rPr>
        <w:sectPr>
          <w:pgSz w:w="16838" w:h="11906" w:orient="landscape"/>
          <w:pgMar w:top="1800" w:right="1440" w:bottom="1800" w:left="1440" w:header="851" w:footer="992" w:gutter="0"/>
          <w:pgNumType w:fmt="decimal"/>
          <w:cols w:space="720" w:num="1"/>
          <w:docGrid w:type="lines" w:linePitch="326" w:charSpace="0"/>
        </w:sectPr>
      </w:pPr>
    </w:p>
    <w:p>
      <w:pPr>
        <w:pStyle w:val="4"/>
        <w:ind w:firstLine="0" w:firstLineChars="0"/>
        <w:rPr>
          <w:highlight w:val="none"/>
        </w:rPr>
      </w:pPr>
      <w:r>
        <w:rPr>
          <w:rFonts w:hint="eastAsia"/>
          <w:highlight w:val="none"/>
          <w:lang w:val="en-US" w:eastAsia="zh-CN"/>
        </w:rPr>
        <w:t>6</w:t>
      </w:r>
      <w:r>
        <w:rPr>
          <w:rFonts w:hint="eastAsia"/>
          <w:highlight w:val="none"/>
        </w:rPr>
        <w:t>供应商认为需要提交的其他资料</w:t>
      </w:r>
    </w:p>
    <w:p>
      <w:pPr>
        <w:ind w:firstLine="480"/>
        <w:rPr>
          <w:highlight w:val="none"/>
        </w:rPr>
      </w:pPr>
    </w:p>
    <w:p>
      <w:pPr>
        <w:ind w:firstLine="480"/>
        <w:rPr>
          <w:highlight w:val="none"/>
        </w:rPr>
      </w:pPr>
    </w:p>
    <w:p>
      <w:pPr>
        <w:spacing w:line="240" w:lineRule="auto"/>
        <w:ind w:firstLine="0" w:firstLineChars="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pStyle w:val="2"/>
        <w:ind w:firstLine="0" w:firstLineChars="0"/>
      </w:pPr>
      <w:r>
        <w:rPr>
          <w:highlight w:val="none"/>
        </w:rPr>
        <w:t xml:space="preserve"> </w:t>
      </w:r>
      <w:r>
        <w:t>第</w:t>
      </w:r>
      <w:r>
        <w:rPr>
          <w:rFonts w:hint="eastAsia"/>
        </w:rPr>
        <w:t>二</w:t>
      </w:r>
      <w:r>
        <w:t>册</w:t>
      </w:r>
      <w:r>
        <w:rPr>
          <w:rFonts w:hint="eastAsia"/>
        </w:rPr>
        <w:t xml:space="preserve"> 商务技术部分</w:t>
      </w:r>
    </w:p>
    <w:p>
      <w:pPr>
        <w:ind w:firstLine="0" w:firstLineChars="0"/>
        <w:jc w:val="right"/>
        <w:rPr>
          <w:rFonts w:ascii="宋体" w:hAnsi="宋体" w:cs="宋体"/>
          <w:bCs/>
          <w:sz w:val="36"/>
          <w:szCs w:val="36"/>
        </w:rPr>
      </w:pPr>
      <w:r>
        <w:rPr>
          <w:rStyle w:val="41"/>
          <w:rFonts w:hint="eastAsia"/>
        </w:rPr>
        <w:t xml:space="preserve">  </w:t>
      </w:r>
      <w:r>
        <w:rPr>
          <w:rFonts w:hint="eastAsia"/>
        </w:rPr>
        <w:t xml:space="preserve">                                   </w:t>
      </w:r>
      <w:r>
        <w:rPr>
          <w:rFonts w:hint="eastAsia" w:ascii="宋体" w:hAnsi="宋体" w:cs="宋体"/>
        </w:rPr>
        <w:t>正本/副本</w:t>
      </w:r>
    </w:p>
    <w:p>
      <w:pPr>
        <w:ind w:firstLine="0" w:firstLineChars="0"/>
        <w:jc w:val="center"/>
        <w:rPr>
          <w:rFonts w:ascii="宋体" w:hAnsi="宋体" w:cs="宋体"/>
          <w:b/>
          <w:sz w:val="40"/>
          <w:szCs w:val="40"/>
        </w:rPr>
      </w:pPr>
    </w:p>
    <w:p>
      <w:pPr>
        <w:ind w:firstLine="0" w:firstLineChars="0"/>
        <w:jc w:val="center"/>
        <w:rPr>
          <w:rFonts w:hint="eastAsia" w:ascii="宋体" w:hAnsi="宋体" w:cs="宋体"/>
          <w:b/>
          <w:sz w:val="40"/>
          <w:szCs w:val="40"/>
          <w:lang w:eastAsia="zh-CN"/>
        </w:rPr>
      </w:pPr>
      <w:r>
        <w:rPr>
          <w:rFonts w:hint="eastAsia" w:ascii="宋体" w:hAnsi="宋体" w:cs="宋体"/>
          <w:b/>
          <w:sz w:val="40"/>
          <w:szCs w:val="40"/>
          <w:lang w:eastAsia="zh-CN"/>
        </w:rPr>
        <w:t>南通轨道交通集团有限公司运营分公司2026-2029年度劳保洗护用品采购项目（二次）</w:t>
      </w:r>
    </w:p>
    <w:p>
      <w:pPr>
        <w:ind w:firstLine="0" w:firstLineChars="0"/>
        <w:jc w:val="center"/>
        <w:rPr>
          <w:rFonts w:ascii="宋体" w:hAnsi="宋体" w:cs="宋体"/>
          <w:bCs/>
          <w:sz w:val="36"/>
          <w:szCs w:val="36"/>
        </w:rPr>
      </w:pPr>
      <w:r>
        <w:rPr>
          <w:rFonts w:hint="eastAsia" w:ascii="宋体" w:hAnsi="宋体" w:cs="宋体"/>
          <w:b/>
          <w:sz w:val="40"/>
          <w:szCs w:val="40"/>
        </w:rPr>
        <w:t>（项目编号：</w:t>
      </w:r>
      <w:r>
        <w:rPr>
          <w:rFonts w:hint="eastAsia" w:ascii="宋体" w:hAnsi="宋体" w:cs="宋体"/>
          <w:b/>
          <w:sz w:val="40"/>
          <w:szCs w:val="40"/>
          <w:lang w:eastAsia="zh-CN"/>
        </w:rPr>
        <w:t>NTGY-2026-HW-ZB-023</w:t>
      </w:r>
      <w:r>
        <w:rPr>
          <w:rFonts w:hint="eastAsia" w:ascii="宋体" w:hAnsi="宋体" w:cs="宋体"/>
          <w:b/>
          <w:sz w:val="40"/>
          <w:szCs w:val="40"/>
        </w:rPr>
        <w:t>）</w:t>
      </w:r>
    </w:p>
    <w:p>
      <w:pPr>
        <w:ind w:firstLine="0" w:firstLineChars="0"/>
        <w:jc w:val="center"/>
        <w:rPr>
          <w:rFonts w:ascii="宋体" w:hAnsi="宋体" w:cs="宋体"/>
          <w:bCs/>
          <w:sz w:val="36"/>
          <w:szCs w:val="36"/>
        </w:rPr>
      </w:pPr>
    </w:p>
    <w:p>
      <w:pPr>
        <w:ind w:firstLine="0" w:firstLineChars="0"/>
        <w:jc w:val="center"/>
        <w:rPr>
          <w:rFonts w:ascii="宋体" w:hAnsi="宋体" w:cs="宋体"/>
          <w:bCs/>
          <w:sz w:val="52"/>
          <w:szCs w:val="52"/>
        </w:rPr>
      </w:pPr>
      <w:r>
        <w:rPr>
          <w:rFonts w:hint="eastAsia" w:ascii="宋体" w:hAnsi="宋体" w:cs="宋体"/>
          <w:bCs/>
          <w:sz w:val="52"/>
          <w:szCs w:val="52"/>
        </w:rPr>
        <w:t>响应文件</w:t>
      </w:r>
    </w:p>
    <w:p>
      <w:pPr>
        <w:ind w:firstLine="0" w:firstLineChars="0"/>
        <w:jc w:val="center"/>
        <w:rPr>
          <w:rFonts w:ascii="宋体" w:hAnsi="宋体" w:cs="宋体"/>
          <w:bCs/>
          <w:sz w:val="32"/>
          <w:szCs w:val="32"/>
        </w:rPr>
      </w:pPr>
      <w:r>
        <w:rPr>
          <w:rFonts w:hint="eastAsia" w:ascii="宋体" w:hAnsi="宋体" w:cs="宋体"/>
          <w:bCs/>
          <w:sz w:val="32"/>
          <w:szCs w:val="32"/>
        </w:rPr>
        <w:t>第二册 商务技术部分</w:t>
      </w: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u w:val="single"/>
        </w:rPr>
      </w:pPr>
      <w:r>
        <w:rPr>
          <w:rFonts w:hint="eastAsia" w:ascii="宋体" w:hAnsi="宋体" w:cs="宋体"/>
        </w:rPr>
        <w:t>供应商：</w:t>
      </w:r>
      <w:r>
        <w:rPr>
          <w:rFonts w:hint="eastAsia" w:ascii="宋体" w:hAnsi="宋体" w:cs="宋体"/>
          <w:u w:val="single"/>
        </w:rPr>
        <w:t xml:space="preserve">               （加盖公章）</w:t>
      </w:r>
    </w:p>
    <w:p>
      <w:pPr>
        <w:ind w:firstLine="0" w:firstLineChars="0"/>
        <w:jc w:val="center"/>
        <w:rPr>
          <w:rFonts w:ascii="宋体" w:hAnsi="宋体" w:cs="宋体"/>
          <w:u w:val="single"/>
        </w:rPr>
      </w:pPr>
      <w:r>
        <w:rPr>
          <w:rFonts w:hint="eastAsia" w:ascii="宋体" w:hAnsi="宋体" w:cs="宋体"/>
        </w:rPr>
        <w:t>法定代表人或授权代理人：</w:t>
      </w:r>
      <w:r>
        <w:rPr>
          <w:rFonts w:hint="eastAsia" w:ascii="宋体" w:hAnsi="宋体" w:cs="宋体"/>
          <w:u w:val="single"/>
        </w:rPr>
        <w:t xml:space="preserve">   （签字）</w:t>
      </w:r>
    </w:p>
    <w:p>
      <w:pPr>
        <w:ind w:firstLine="0" w:firstLineChars="0"/>
        <w:jc w:val="center"/>
        <w:rPr>
          <w:rFonts w:ascii="宋体" w:hAnsi="宋体" w:cs="宋体"/>
        </w:rPr>
      </w:pPr>
      <w:r>
        <w:rPr>
          <w:rFonts w:hint="eastAsia" w:ascii="宋体" w:hAnsi="宋体" w:cs="宋体"/>
        </w:rPr>
        <w:t>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pPr>
        <w:ind w:firstLine="480"/>
      </w:pPr>
      <w:r>
        <w:rPr>
          <w:rFonts w:hint="eastAsia"/>
        </w:rPr>
        <w:br w:type="page"/>
      </w:r>
    </w:p>
    <w:p>
      <w:pPr>
        <w:pStyle w:val="4"/>
        <w:ind w:firstLine="482"/>
        <w:jc w:val="center"/>
      </w:pPr>
      <w:r>
        <w:rPr>
          <w:rFonts w:hint="eastAsia"/>
        </w:rPr>
        <w:t>目录</w:t>
      </w:r>
    </w:p>
    <w:p>
      <w:pPr>
        <w:numPr>
          <w:ilvl w:val="0"/>
          <w:numId w:val="5"/>
        </w:numPr>
        <w:ind w:firstLineChars="0"/>
      </w:pPr>
      <w:r>
        <w:rPr>
          <w:rFonts w:hint="eastAsia"/>
        </w:rPr>
        <w:t>商务和技术偏离表</w:t>
      </w:r>
    </w:p>
    <w:p>
      <w:pPr>
        <w:numPr>
          <w:ilvl w:val="0"/>
          <w:numId w:val="5"/>
        </w:numPr>
        <w:ind w:left="520" w:leftChars="0" w:firstLine="200" w:firstLineChars="0"/>
        <w:rPr>
          <w:rFonts w:hint="eastAsia"/>
        </w:rPr>
      </w:pPr>
      <w:r>
        <w:rPr>
          <w:rFonts w:hint="eastAsia"/>
        </w:rPr>
        <w:t>物资参数表</w:t>
      </w:r>
    </w:p>
    <w:p>
      <w:pPr>
        <w:numPr>
          <w:ilvl w:val="0"/>
          <w:numId w:val="5"/>
        </w:numPr>
        <w:ind w:left="520" w:leftChars="0" w:firstLine="200" w:firstLineChars="0"/>
        <w:rPr>
          <w:rFonts w:hint="eastAsia"/>
        </w:rPr>
      </w:pPr>
      <w:r>
        <w:rPr>
          <w:rFonts w:hint="eastAsia"/>
          <w:lang w:val="en-US" w:eastAsia="zh-CN"/>
        </w:rPr>
        <w:t>承诺函</w:t>
      </w:r>
    </w:p>
    <w:p>
      <w:pPr>
        <w:ind w:left="720" w:firstLine="0" w:firstLineChars="0"/>
      </w:pPr>
      <w:r>
        <w:rPr>
          <w:rFonts w:hint="eastAsia"/>
          <w:lang w:val="en-US" w:eastAsia="zh-CN"/>
        </w:rPr>
        <w:t>4</w:t>
      </w:r>
      <w:r>
        <w:rPr>
          <w:rFonts w:hint="eastAsia"/>
        </w:rPr>
        <w:t>、业绩材料</w:t>
      </w:r>
    </w:p>
    <w:p>
      <w:pPr>
        <w:ind w:firstLine="480"/>
        <w:jc w:val="right"/>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pStyle w:val="6"/>
        <w:ind w:firstLine="560"/>
        <w:rPr>
          <w:rFonts w:ascii="宋体" w:hAnsi="宋体" w:cs="宋体"/>
        </w:rPr>
      </w:pPr>
    </w:p>
    <w:p>
      <w:pPr>
        <w:ind w:firstLine="480"/>
      </w:pPr>
      <w:r>
        <w:rPr>
          <w:rFonts w:hint="eastAsia"/>
        </w:rPr>
        <w:br w:type="page"/>
      </w:r>
    </w:p>
    <w:p>
      <w:pPr>
        <w:pStyle w:val="4"/>
        <w:ind w:firstLine="0" w:firstLineChars="0"/>
      </w:pPr>
      <w:r>
        <w:rPr>
          <w:rFonts w:hint="eastAsia"/>
        </w:rPr>
        <w:t>1商务和技术偏离表</w:t>
      </w:r>
    </w:p>
    <w:p>
      <w:pPr>
        <w:widowControl/>
        <w:spacing w:line="240" w:lineRule="auto"/>
        <w:ind w:firstLine="0" w:firstLineChars="0"/>
        <w:jc w:val="center"/>
        <w:rPr>
          <w:rFonts w:cs="Times New Roman"/>
          <w:b/>
          <w:bCs/>
          <w:szCs w:val="32"/>
        </w:rPr>
      </w:pPr>
    </w:p>
    <w:p>
      <w:pPr>
        <w:widowControl/>
        <w:spacing w:line="240" w:lineRule="auto"/>
        <w:ind w:firstLine="0" w:firstLineChars="0"/>
        <w:jc w:val="center"/>
        <w:rPr>
          <w:rFonts w:cs="Times New Roman"/>
          <w:b/>
          <w:bCs/>
          <w:szCs w:val="32"/>
        </w:rPr>
      </w:pPr>
      <w:r>
        <w:rPr>
          <w:rFonts w:hint="eastAsia" w:cs="Times New Roman"/>
          <w:b/>
          <w:bCs/>
          <w:szCs w:val="32"/>
        </w:rPr>
        <w:t>商务和技术偏离表</w:t>
      </w:r>
    </w:p>
    <w:p>
      <w:pPr>
        <w:ind w:firstLine="0" w:firstLineChars="0"/>
        <w:rPr>
          <w:rFonts w:cs="Times New Roman"/>
          <w:szCs w:val="32"/>
          <w:u w:val="single"/>
        </w:rPr>
      </w:pPr>
      <w:r>
        <w:rPr>
          <w:rFonts w:hint="eastAsia" w:cs="Times New Roman"/>
          <w:szCs w:val="32"/>
        </w:rPr>
        <w:t>项目名称：</w:t>
      </w:r>
      <w:r>
        <w:rPr>
          <w:rFonts w:hint="eastAsia" w:cs="Times New Roman"/>
          <w:szCs w:val="32"/>
          <w:u w:val="single"/>
          <w:lang w:eastAsia="zh-CN"/>
        </w:rPr>
        <w:t>南通轨道交通集团有限公司运营分公司2026-2029年度劳保洗护用品采购项目（二次）</w:t>
      </w:r>
      <w:r>
        <w:rPr>
          <w:rFonts w:hint="eastAsia" w:cs="Times New Roman"/>
          <w:szCs w:val="32"/>
          <w:u w:val="single"/>
        </w:rPr>
        <w:t>（项目编号：</w:t>
      </w:r>
      <w:r>
        <w:rPr>
          <w:rFonts w:hint="eastAsia" w:cs="Times New Roman"/>
          <w:szCs w:val="32"/>
          <w:u w:val="single"/>
          <w:lang w:eastAsia="zh-CN"/>
        </w:rPr>
        <w:t>NTGY-2026-HW-ZB-023</w:t>
      </w:r>
      <w:r>
        <w:rPr>
          <w:rFonts w:hint="eastAsia" w:cs="Times New Roman"/>
          <w:szCs w:val="32"/>
          <w:u w:val="single"/>
        </w:rPr>
        <w:t>）</w:t>
      </w:r>
    </w:p>
    <w:tbl>
      <w:tblPr>
        <w:tblStyle w:val="26"/>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118"/>
        <w:gridCol w:w="2835"/>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center"/>
          </w:tcPr>
          <w:p>
            <w:pPr>
              <w:ind w:firstLine="0" w:firstLineChars="0"/>
              <w:jc w:val="center"/>
              <w:rPr>
                <w:rFonts w:ascii="宋体" w:hAnsi="宋体"/>
                <w:sz w:val="21"/>
                <w:szCs w:val="21"/>
              </w:rPr>
            </w:pPr>
            <w:r>
              <w:rPr>
                <w:rFonts w:hint="eastAsia" w:ascii="宋体" w:hAnsi="宋体"/>
                <w:sz w:val="21"/>
                <w:szCs w:val="21"/>
              </w:rPr>
              <w:t>序号</w:t>
            </w:r>
          </w:p>
        </w:tc>
        <w:tc>
          <w:tcPr>
            <w:tcW w:w="3118" w:type="dxa"/>
            <w:noWrap w:val="0"/>
            <w:vAlign w:val="center"/>
          </w:tcPr>
          <w:p>
            <w:pPr>
              <w:ind w:firstLine="0" w:firstLineChars="0"/>
              <w:jc w:val="center"/>
              <w:rPr>
                <w:rFonts w:ascii="宋体" w:hAnsi="宋体"/>
                <w:sz w:val="21"/>
                <w:szCs w:val="21"/>
              </w:rPr>
            </w:pPr>
            <w:r>
              <w:rPr>
                <w:rFonts w:hint="eastAsia" w:ascii="宋体" w:hAnsi="宋体" w:cs="等线"/>
                <w:bCs/>
                <w:color w:val="000000"/>
                <w:kern w:val="0"/>
                <w:sz w:val="21"/>
                <w:szCs w:val="21"/>
              </w:rPr>
              <w:t>采购文件章节及条款号</w:t>
            </w:r>
          </w:p>
        </w:tc>
        <w:tc>
          <w:tcPr>
            <w:tcW w:w="2835" w:type="dxa"/>
            <w:noWrap w:val="0"/>
            <w:vAlign w:val="center"/>
          </w:tcPr>
          <w:p>
            <w:pPr>
              <w:ind w:firstLine="0" w:firstLineChars="0"/>
              <w:jc w:val="center"/>
              <w:rPr>
                <w:rFonts w:ascii="宋体" w:hAnsi="宋体"/>
                <w:sz w:val="21"/>
                <w:szCs w:val="21"/>
              </w:rPr>
            </w:pPr>
            <w:r>
              <w:rPr>
                <w:rFonts w:hint="eastAsia" w:ascii="宋体" w:hAnsi="宋体" w:cs="等线"/>
                <w:bCs/>
                <w:color w:val="000000"/>
                <w:kern w:val="0"/>
                <w:sz w:val="21"/>
                <w:szCs w:val="21"/>
              </w:rPr>
              <w:t>响应文件章节及条款号</w:t>
            </w:r>
          </w:p>
        </w:tc>
        <w:tc>
          <w:tcPr>
            <w:tcW w:w="1560" w:type="dxa"/>
            <w:noWrap w:val="0"/>
            <w:vAlign w:val="center"/>
          </w:tcPr>
          <w:p>
            <w:pPr>
              <w:ind w:firstLine="0" w:firstLineChars="0"/>
              <w:jc w:val="center"/>
              <w:rPr>
                <w:rFonts w:ascii="宋体" w:hAnsi="宋体"/>
                <w:sz w:val="21"/>
                <w:szCs w:val="21"/>
              </w:rPr>
            </w:pPr>
            <w:r>
              <w:rPr>
                <w:rFonts w:hint="eastAsia" w:ascii="宋体" w:hAnsi="宋体" w:cs="等线"/>
                <w:bCs/>
                <w:color w:val="000000"/>
                <w:kern w:val="0"/>
                <w:sz w:val="21"/>
                <w:szCs w:val="21"/>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top"/>
          </w:tcPr>
          <w:p>
            <w:pPr>
              <w:ind w:firstLine="0" w:firstLineChars="0"/>
              <w:jc w:val="center"/>
              <w:rPr>
                <w:rFonts w:cs="Times New Roman"/>
                <w:szCs w:val="32"/>
              </w:rPr>
            </w:pPr>
            <w:r>
              <w:rPr>
                <w:rFonts w:hint="eastAsia" w:cs="Times New Roman"/>
                <w:szCs w:val="32"/>
              </w:rPr>
              <w:t>1</w:t>
            </w:r>
          </w:p>
        </w:tc>
        <w:tc>
          <w:tcPr>
            <w:tcW w:w="3118" w:type="dxa"/>
            <w:noWrap w:val="0"/>
            <w:vAlign w:val="top"/>
          </w:tcPr>
          <w:p>
            <w:pPr>
              <w:ind w:firstLine="0" w:firstLineChars="0"/>
              <w:rPr>
                <w:rFonts w:cs="Times New Roman"/>
                <w:szCs w:val="32"/>
              </w:rPr>
            </w:pPr>
          </w:p>
        </w:tc>
        <w:tc>
          <w:tcPr>
            <w:tcW w:w="2835" w:type="dxa"/>
            <w:noWrap w:val="0"/>
            <w:vAlign w:val="top"/>
          </w:tcPr>
          <w:p>
            <w:pPr>
              <w:ind w:firstLine="0" w:firstLineChars="0"/>
              <w:rPr>
                <w:rFonts w:cs="Times New Roman"/>
                <w:szCs w:val="32"/>
              </w:rPr>
            </w:pPr>
          </w:p>
        </w:tc>
        <w:tc>
          <w:tcPr>
            <w:tcW w:w="1560" w:type="dxa"/>
            <w:noWrap w:val="0"/>
            <w:vAlign w:val="top"/>
          </w:tcPr>
          <w:p>
            <w:pPr>
              <w:ind w:firstLine="0" w:firstLineChars="0"/>
              <w:rPr>
                <w:rFonts w:cs="Times New Roman"/>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top"/>
          </w:tcPr>
          <w:p>
            <w:pPr>
              <w:ind w:firstLine="0" w:firstLineChars="0"/>
              <w:jc w:val="center"/>
              <w:rPr>
                <w:rFonts w:cs="Times New Roman"/>
                <w:szCs w:val="32"/>
              </w:rPr>
            </w:pPr>
            <w:r>
              <w:rPr>
                <w:rFonts w:hint="eastAsia" w:cs="Times New Roman"/>
                <w:szCs w:val="32"/>
              </w:rPr>
              <w:t>2</w:t>
            </w:r>
          </w:p>
        </w:tc>
        <w:tc>
          <w:tcPr>
            <w:tcW w:w="3118" w:type="dxa"/>
            <w:noWrap w:val="0"/>
            <w:vAlign w:val="top"/>
          </w:tcPr>
          <w:p>
            <w:pPr>
              <w:ind w:firstLine="0" w:firstLineChars="0"/>
              <w:rPr>
                <w:rFonts w:cs="Times New Roman"/>
                <w:szCs w:val="32"/>
              </w:rPr>
            </w:pPr>
          </w:p>
        </w:tc>
        <w:tc>
          <w:tcPr>
            <w:tcW w:w="2835" w:type="dxa"/>
            <w:noWrap w:val="0"/>
            <w:vAlign w:val="top"/>
          </w:tcPr>
          <w:p>
            <w:pPr>
              <w:ind w:firstLine="0" w:firstLineChars="0"/>
              <w:rPr>
                <w:rFonts w:cs="Times New Roman"/>
                <w:szCs w:val="32"/>
              </w:rPr>
            </w:pPr>
          </w:p>
        </w:tc>
        <w:tc>
          <w:tcPr>
            <w:tcW w:w="1560" w:type="dxa"/>
            <w:noWrap w:val="0"/>
            <w:vAlign w:val="top"/>
          </w:tcPr>
          <w:p>
            <w:pPr>
              <w:ind w:firstLine="0" w:firstLineChars="0"/>
              <w:rPr>
                <w:rFonts w:cs="Times New Roman"/>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top"/>
          </w:tcPr>
          <w:p>
            <w:pPr>
              <w:ind w:firstLine="0" w:firstLineChars="0"/>
              <w:jc w:val="center"/>
              <w:rPr>
                <w:rFonts w:cs="Times New Roman"/>
                <w:szCs w:val="32"/>
              </w:rPr>
            </w:pPr>
            <w:r>
              <w:rPr>
                <w:rFonts w:hint="eastAsia" w:cs="Times New Roman"/>
                <w:szCs w:val="32"/>
              </w:rPr>
              <w:t>3</w:t>
            </w:r>
          </w:p>
        </w:tc>
        <w:tc>
          <w:tcPr>
            <w:tcW w:w="3118" w:type="dxa"/>
            <w:noWrap w:val="0"/>
            <w:vAlign w:val="top"/>
          </w:tcPr>
          <w:p>
            <w:pPr>
              <w:ind w:firstLine="0" w:firstLineChars="0"/>
              <w:rPr>
                <w:rFonts w:cs="Times New Roman"/>
                <w:szCs w:val="32"/>
              </w:rPr>
            </w:pPr>
          </w:p>
        </w:tc>
        <w:tc>
          <w:tcPr>
            <w:tcW w:w="2835" w:type="dxa"/>
            <w:noWrap w:val="0"/>
            <w:vAlign w:val="top"/>
          </w:tcPr>
          <w:p>
            <w:pPr>
              <w:ind w:firstLine="0" w:firstLineChars="0"/>
              <w:rPr>
                <w:rFonts w:cs="Times New Roman"/>
                <w:szCs w:val="32"/>
              </w:rPr>
            </w:pPr>
          </w:p>
        </w:tc>
        <w:tc>
          <w:tcPr>
            <w:tcW w:w="1560" w:type="dxa"/>
            <w:noWrap w:val="0"/>
            <w:vAlign w:val="top"/>
          </w:tcPr>
          <w:p>
            <w:pPr>
              <w:ind w:firstLine="0" w:firstLineChars="0"/>
              <w:rPr>
                <w:rFonts w:cs="Times New Roman"/>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0"/>
            <w:vAlign w:val="top"/>
          </w:tcPr>
          <w:p>
            <w:pPr>
              <w:ind w:firstLine="0" w:firstLineChars="0"/>
              <w:jc w:val="center"/>
              <w:rPr>
                <w:rFonts w:cs="Times New Roman"/>
                <w:szCs w:val="32"/>
              </w:rPr>
            </w:pPr>
            <w:r>
              <w:rPr>
                <w:rFonts w:cs="Times New Roman"/>
                <w:szCs w:val="32"/>
              </w:rPr>
              <w:t>…</w:t>
            </w:r>
          </w:p>
        </w:tc>
        <w:tc>
          <w:tcPr>
            <w:tcW w:w="3118" w:type="dxa"/>
            <w:noWrap w:val="0"/>
            <w:vAlign w:val="top"/>
          </w:tcPr>
          <w:p>
            <w:pPr>
              <w:ind w:firstLine="0" w:firstLineChars="0"/>
              <w:rPr>
                <w:rFonts w:cs="Times New Roman"/>
                <w:szCs w:val="32"/>
              </w:rPr>
            </w:pPr>
          </w:p>
        </w:tc>
        <w:tc>
          <w:tcPr>
            <w:tcW w:w="2835" w:type="dxa"/>
            <w:noWrap w:val="0"/>
            <w:vAlign w:val="top"/>
          </w:tcPr>
          <w:p>
            <w:pPr>
              <w:ind w:firstLine="0" w:firstLineChars="0"/>
              <w:rPr>
                <w:rFonts w:cs="Times New Roman"/>
                <w:szCs w:val="32"/>
              </w:rPr>
            </w:pPr>
          </w:p>
        </w:tc>
        <w:tc>
          <w:tcPr>
            <w:tcW w:w="1560" w:type="dxa"/>
            <w:noWrap w:val="0"/>
            <w:vAlign w:val="top"/>
          </w:tcPr>
          <w:p>
            <w:pPr>
              <w:ind w:firstLine="0" w:firstLineChars="0"/>
              <w:rPr>
                <w:rFonts w:cs="Times New Roman"/>
                <w:szCs w:val="32"/>
              </w:rPr>
            </w:pPr>
          </w:p>
        </w:tc>
      </w:tr>
    </w:tbl>
    <w:p>
      <w:pPr>
        <w:ind w:firstLine="480"/>
        <w:rPr>
          <w:rFonts w:cs="Times New Roman"/>
          <w:szCs w:val="32"/>
        </w:rPr>
      </w:pPr>
      <w:r>
        <w:rPr>
          <w:rFonts w:hint="eastAsia" w:cs="Times New Roman"/>
          <w:szCs w:val="32"/>
        </w:rPr>
        <w:t>注：</w:t>
      </w:r>
    </w:p>
    <w:p>
      <w:pPr>
        <w:ind w:firstLine="480"/>
        <w:rPr>
          <w:rFonts w:cs="Times New Roman"/>
          <w:b/>
          <w:bCs/>
          <w:szCs w:val="32"/>
        </w:rPr>
      </w:pPr>
      <w:r>
        <w:rPr>
          <w:rFonts w:hint="eastAsia" w:cs="Times New Roman"/>
          <w:szCs w:val="32"/>
        </w:rPr>
        <w:t>1</w:t>
      </w:r>
      <w:r>
        <w:rPr>
          <w:rFonts w:cs="Times New Roman"/>
          <w:szCs w:val="32"/>
        </w:rPr>
        <w:t>.</w:t>
      </w:r>
      <w:r>
        <w:rPr>
          <w:rFonts w:hint="eastAsia" w:cs="Times New Roman"/>
          <w:szCs w:val="32"/>
        </w:rPr>
        <w:t>本项目不允许负偏离，发生负偏离的</w:t>
      </w:r>
      <w:r>
        <w:rPr>
          <w:rFonts w:hint="eastAsia"/>
        </w:rPr>
        <w:t>其响应文件将被视为无效，</w:t>
      </w:r>
      <w:r>
        <w:rPr>
          <w:rFonts w:hint="eastAsia"/>
          <w:b/>
          <w:bCs/>
        </w:rPr>
        <w:t>没有偏离的则填“无”。</w:t>
      </w:r>
    </w:p>
    <w:p>
      <w:pPr>
        <w:ind w:firstLine="480"/>
        <w:rPr>
          <w:rFonts w:cs="Times New Roman"/>
          <w:szCs w:val="32"/>
        </w:rPr>
      </w:pPr>
      <w:r>
        <w:rPr>
          <w:rFonts w:hint="eastAsia" w:cs="Times New Roman"/>
          <w:szCs w:val="32"/>
        </w:rPr>
        <w:t>2</w:t>
      </w:r>
      <w:r>
        <w:rPr>
          <w:rFonts w:cs="Times New Roman"/>
          <w:szCs w:val="32"/>
        </w:rPr>
        <w:t>.</w:t>
      </w:r>
      <w:r>
        <w:rPr>
          <w:rFonts w:hint="eastAsia" w:cs="Times New Roman"/>
          <w:szCs w:val="32"/>
        </w:rPr>
        <w:t>供应商承诺：除本表列出的偏差以外，供应商响应采购文件的全部内容。</w:t>
      </w:r>
    </w:p>
    <w:p>
      <w:pPr>
        <w:ind w:firstLine="480"/>
        <w:jc w:val="right"/>
      </w:pPr>
    </w:p>
    <w:p>
      <w:pPr>
        <w:ind w:firstLine="480"/>
        <w:jc w:val="right"/>
      </w:pPr>
    </w:p>
    <w:p>
      <w:pPr>
        <w:ind w:firstLine="480"/>
        <w:jc w:val="right"/>
      </w:pPr>
    </w:p>
    <w:p>
      <w:pPr>
        <w:ind w:firstLine="480"/>
        <w:jc w:val="right"/>
      </w:pPr>
      <w:r>
        <w:rPr>
          <w:rFonts w:hint="eastAsia"/>
        </w:rPr>
        <w:t>供应商：（加盖公章）</w:t>
      </w:r>
    </w:p>
    <w:p>
      <w:pPr>
        <w:ind w:firstLine="480"/>
        <w:jc w:val="right"/>
      </w:pPr>
      <w:r>
        <w:rPr>
          <w:rFonts w:hint="eastAsia"/>
        </w:rPr>
        <w:t>法定代表人或授权代理人：（签字或盖章）</w:t>
      </w:r>
    </w:p>
    <w:p>
      <w:pPr>
        <w:pStyle w:val="4"/>
        <w:ind w:firstLine="0" w:firstLineChars="0"/>
        <w:jc w:val="right"/>
        <w:rPr>
          <w:rFonts w:hint="eastAsia"/>
        </w:rPr>
        <w:sectPr>
          <w:pgSz w:w="11906" w:h="16838"/>
          <w:pgMar w:top="1440" w:right="1800" w:bottom="1440" w:left="1800" w:header="851" w:footer="992" w:gutter="0"/>
          <w:pgNumType w:fmt="decimal"/>
          <w:cols w:space="720" w:num="1"/>
          <w:docGrid w:type="lines" w:linePitch="326" w:charSpace="0"/>
        </w:sectPr>
      </w:pPr>
      <w:r>
        <w:rPr>
          <w:rFonts w:hint="eastAsia"/>
        </w:rPr>
        <w:t>　　</w:t>
      </w:r>
      <w:r>
        <w:rPr>
          <w:rFonts w:hint="eastAsia" w:ascii="Times New Roman" w:hAnsi="Times New Roman" w:eastAsia="宋体" w:cs="Times New Roman"/>
          <w:b w:val="0"/>
          <w:bCs w:val="0"/>
          <w:kern w:val="2"/>
          <w:sz w:val="24"/>
          <w:szCs w:val="22"/>
          <w:lang w:val="en-US" w:eastAsia="zh-CN" w:bidi="ar-SA"/>
        </w:rPr>
        <w:t>　年　  月 　 日</w:t>
      </w:r>
    </w:p>
    <w:p>
      <w:pPr>
        <w:pStyle w:val="4"/>
        <w:ind w:firstLine="0" w:firstLineChars="0"/>
      </w:pPr>
      <w:r>
        <w:rPr>
          <w:rFonts w:hint="eastAsia"/>
        </w:rPr>
        <w:t>2物资参数表</w:t>
      </w:r>
    </w:p>
    <w:p>
      <w:pPr>
        <w:widowControl/>
        <w:spacing w:line="240" w:lineRule="auto"/>
        <w:ind w:firstLine="0" w:firstLineChars="0"/>
        <w:jc w:val="center"/>
        <w:rPr>
          <w:rFonts w:cs="Times New Roman"/>
          <w:b/>
          <w:bCs/>
          <w:szCs w:val="32"/>
        </w:rPr>
      </w:pPr>
    </w:p>
    <w:p>
      <w:pPr>
        <w:widowControl/>
        <w:spacing w:line="240" w:lineRule="auto"/>
        <w:ind w:firstLine="0" w:firstLineChars="0"/>
        <w:jc w:val="center"/>
        <w:rPr>
          <w:b/>
          <w:bCs/>
          <w:szCs w:val="32"/>
        </w:rPr>
      </w:pPr>
      <w:r>
        <w:rPr>
          <w:rFonts w:hint="eastAsia"/>
          <w:b/>
          <w:bCs/>
          <w:szCs w:val="32"/>
        </w:rPr>
        <w:t>物资参数表（此表放入商务技术文件中）</w:t>
      </w:r>
    </w:p>
    <w:p>
      <w:pPr>
        <w:pStyle w:val="53"/>
        <w:tabs>
          <w:tab w:val="left" w:pos="560"/>
          <w:tab w:val="right" w:leader="middleDot" w:pos="8400"/>
        </w:tabs>
        <w:rPr>
          <w:rFonts w:hint="eastAsia" w:ascii="Times New Roman" w:hAnsi="Times New Roman" w:cs="Times New Roman"/>
          <w:kern w:val="2"/>
          <w:sz w:val="24"/>
          <w:szCs w:val="32"/>
          <w:u w:val="single"/>
        </w:rPr>
      </w:pPr>
      <w:r>
        <w:rPr>
          <w:rFonts w:hint="eastAsia" w:ascii="Times New Roman" w:hAnsi="Times New Roman" w:cs="Times New Roman"/>
          <w:kern w:val="2"/>
          <w:sz w:val="24"/>
          <w:szCs w:val="32"/>
        </w:rPr>
        <w:t>项目名称：</w:t>
      </w:r>
      <w:r>
        <w:rPr>
          <w:rFonts w:hint="eastAsia" w:ascii="Times New Roman" w:hAnsi="Times New Roman" w:cs="Times New Roman"/>
          <w:kern w:val="2"/>
          <w:sz w:val="24"/>
          <w:szCs w:val="32"/>
          <w:u w:val="single"/>
          <w:lang w:eastAsia="zh-CN"/>
        </w:rPr>
        <w:t>南通轨道交通集团有限公司运营分公司2026-2029年度劳保洗护用品采购项目（二次）</w:t>
      </w:r>
      <w:r>
        <w:rPr>
          <w:rFonts w:hint="eastAsia" w:ascii="Times New Roman" w:hAnsi="Times New Roman" w:cs="Times New Roman"/>
          <w:kern w:val="2"/>
          <w:sz w:val="24"/>
          <w:szCs w:val="32"/>
          <w:u w:val="single"/>
        </w:rPr>
        <w:t>（项目编号：</w:t>
      </w:r>
      <w:r>
        <w:rPr>
          <w:rFonts w:hint="eastAsia" w:ascii="Times New Roman" w:hAnsi="Times New Roman" w:cs="Times New Roman"/>
          <w:kern w:val="2"/>
          <w:sz w:val="24"/>
          <w:szCs w:val="32"/>
          <w:u w:val="single"/>
          <w:lang w:eastAsia="zh-CN"/>
        </w:rPr>
        <w:t>NTGY-2026-HW-ZB-023</w:t>
      </w:r>
      <w:r>
        <w:rPr>
          <w:rFonts w:hint="eastAsia" w:ascii="Times New Roman" w:hAnsi="Times New Roman" w:cs="Times New Roman"/>
          <w:kern w:val="2"/>
          <w:sz w:val="24"/>
          <w:szCs w:val="32"/>
          <w:u w:val="single"/>
        </w:rPr>
        <w:t>）</w:t>
      </w:r>
    </w:p>
    <w:tbl>
      <w:tblPr>
        <w:tblStyle w:val="2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3"/>
        <w:gridCol w:w="1757"/>
        <w:gridCol w:w="5125"/>
        <w:gridCol w:w="1939"/>
        <w:gridCol w:w="1774"/>
        <w:gridCol w:w="2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393"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序号</w:t>
            </w:r>
          </w:p>
        </w:tc>
        <w:tc>
          <w:tcPr>
            <w:tcW w:w="620"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物资名称</w:t>
            </w:r>
          </w:p>
        </w:tc>
        <w:tc>
          <w:tcPr>
            <w:tcW w:w="1808"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rPr>
              <w:t>规格型号</w:t>
            </w:r>
          </w:p>
        </w:tc>
        <w:tc>
          <w:tcPr>
            <w:tcW w:w="684"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lang w:val="en-US" w:eastAsia="zh-CN"/>
              </w:rPr>
              <w:t>参考品牌</w:t>
            </w:r>
          </w:p>
        </w:tc>
        <w:tc>
          <w:tcPr>
            <w:tcW w:w="626"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lang w:val="en-US" w:eastAsia="zh-CN"/>
              </w:rPr>
              <w:t>响应物资描述</w:t>
            </w:r>
          </w:p>
        </w:tc>
        <w:tc>
          <w:tcPr>
            <w:tcW w:w="866" w:type="pct"/>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
                <w:bCs/>
                <w:sz w:val="22"/>
                <w:szCs w:val="22"/>
              </w:rPr>
            </w:pPr>
            <w:r>
              <w:rPr>
                <w:rFonts w:hint="eastAsia" w:ascii="宋体" w:hAnsi="宋体" w:eastAsia="宋体" w:cs="宋体"/>
                <w:b/>
                <w:bCs/>
                <w:sz w:val="22"/>
                <w:szCs w:val="22"/>
                <w:lang w:val="en-US" w:eastAsia="zh-CN"/>
              </w:rPr>
              <w:t>响应品牌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393"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1</w:t>
            </w:r>
          </w:p>
        </w:tc>
        <w:tc>
          <w:tcPr>
            <w:tcW w:w="175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毛巾</w:t>
            </w:r>
          </w:p>
        </w:tc>
        <w:tc>
          <w:tcPr>
            <w:tcW w:w="5125"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rPr>
            </w:pPr>
            <w:r>
              <w:rPr>
                <w:rFonts w:hint="eastAsia" w:ascii="宋体" w:hAnsi="宋体" w:cs="宋体"/>
                <w:sz w:val="22"/>
                <w:szCs w:val="22"/>
                <w:lang w:val="en-US" w:eastAsia="zh-CN" w:bidi="ar-SA"/>
              </w:rPr>
              <w:t>1.</w:t>
            </w:r>
            <w:r>
              <w:rPr>
                <w:rFonts w:hint="eastAsia" w:ascii="宋体" w:hAnsi="宋体" w:cs="宋体"/>
                <w:sz w:val="22"/>
                <w:szCs w:val="22"/>
                <w:lang w:val="en-US" w:eastAsia="zh-CN"/>
              </w:rPr>
              <w:t>材质：面料100%纯棉</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2.</w:t>
            </w:r>
            <w:r>
              <w:rPr>
                <w:rFonts w:hint="eastAsia" w:ascii="宋体" w:hAnsi="宋体" w:cs="宋体"/>
                <w:sz w:val="22"/>
                <w:szCs w:val="22"/>
                <w:lang w:val="en-US" w:eastAsia="zh-CN"/>
              </w:rPr>
              <w:t>规格：</w:t>
            </w:r>
            <w:r>
              <w:rPr>
                <w:rFonts w:hint="eastAsia" w:ascii="宋体" w:hAnsi="宋体" w:eastAsia="宋体" w:cs="宋体"/>
                <w:sz w:val="22"/>
                <w:szCs w:val="22"/>
              </w:rPr>
              <w:t>单条克重</w:t>
            </w:r>
            <w:r>
              <w:rPr>
                <w:rFonts w:hint="eastAsia" w:ascii="宋体" w:hAnsi="宋体" w:eastAsia="宋体" w:cs="宋体"/>
                <w:kern w:val="2"/>
                <w:sz w:val="22"/>
                <w:szCs w:val="22"/>
                <w:lang w:val="en-US" w:eastAsia="zh-CN" w:bidi="ar-SA"/>
                <w14:ligatures w14:val="standardContextual"/>
              </w:rPr>
              <w:t>≧</w:t>
            </w:r>
            <w:r>
              <w:rPr>
                <w:rFonts w:hint="eastAsia" w:ascii="宋体" w:hAnsi="宋体" w:eastAsia="宋体" w:cs="宋体"/>
                <w:sz w:val="22"/>
                <w:szCs w:val="22"/>
              </w:rPr>
              <w:t>100g</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3.</w:t>
            </w:r>
            <w:r>
              <w:rPr>
                <w:rFonts w:hint="eastAsia" w:ascii="宋体" w:hAnsi="宋体" w:cs="宋体"/>
                <w:sz w:val="22"/>
                <w:szCs w:val="22"/>
                <w:lang w:val="en-US" w:eastAsia="zh-CN"/>
              </w:rPr>
              <w:t>尺寸：不小于</w:t>
            </w:r>
            <w:r>
              <w:rPr>
                <w:rFonts w:hint="eastAsia" w:ascii="宋体" w:hAnsi="宋体" w:eastAsia="宋体" w:cs="宋体"/>
                <w:sz w:val="22"/>
                <w:szCs w:val="22"/>
              </w:rPr>
              <w:t>70cmx30cm</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4.</w:t>
            </w:r>
            <w:r>
              <w:rPr>
                <w:rFonts w:hint="eastAsia" w:ascii="宋体" w:hAnsi="宋体" w:cs="宋体"/>
                <w:sz w:val="22"/>
                <w:szCs w:val="22"/>
                <w:lang w:val="en-US" w:eastAsia="zh-CN"/>
              </w:rPr>
              <w:t>颜色：/</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5.</w:t>
            </w:r>
            <w:r>
              <w:rPr>
                <w:rFonts w:hint="eastAsia" w:ascii="宋体" w:hAnsi="宋体" w:cs="宋体"/>
                <w:sz w:val="22"/>
                <w:szCs w:val="22"/>
                <w:lang w:val="en-US" w:eastAsia="zh-CN"/>
              </w:rPr>
              <w:t>安全类别：A类</w:t>
            </w:r>
          </w:p>
        </w:tc>
        <w:tc>
          <w:tcPr>
            <w:tcW w:w="1939"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全棉时代、金号</w:t>
            </w:r>
            <w:r>
              <w:rPr>
                <w:rFonts w:hint="eastAsia" w:ascii="宋体" w:hAnsi="宋体" w:cs="宋体"/>
                <w:sz w:val="22"/>
                <w:szCs w:val="22"/>
                <w:lang w:val="en-US" w:eastAsia="zh-CN"/>
              </w:rPr>
              <w:t>、</w:t>
            </w:r>
            <w:r>
              <w:rPr>
                <w:rFonts w:hint="eastAsia" w:ascii="宋体" w:hAnsi="宋体" w:eastAsia="宋体" w:cs="宋体"/>
                <w:sz w:val="22"/>
                <w:szCs w:val="22"/>
                <w:lang w:val="en-US" w:eastAsia="zh-CN"/>
              </w:rPr>
              <w:t>洁丽雅</w:t>
            </w:r>
          </w:p>
        </w:tc>
        <w:tc>
          <w:tcPr>
            <w:tcW w:w="626"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rPr>
            </w:pPr>
          </w:p>
        </w:tc>
        <w:tc>
          <w:tcPr>
            <w:tcW w:w="86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393"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2</w:t>
            </w:r>
          </w:p>
        </w:tc>
        <w:tc>
          <w:tcPr>
            <w:tcW w:w="175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洗衣皂</w:t>
            </w:r>
          </w:p>
        </w:tc>
        <w:tc>
          <w:tcPr>
            <w:tcW w:w="5125"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rPr>
            </w:pPr>
            <w:r>
              <w:rPr>
                <w:rFonts w:hint="eastAsia" w:ascii="宋体" w:hAnsi="宋体" w:cs="宋体"/>
                <w:sz w:val="22"/>
                <w:szCs w:val="22"/>
                <w:lang w:val="en-US" w:eastAsia="zh-CN" w:bidi="ar-SA"/>
              </w:rPr>
              <w:t>1.</w:t>
            </w:r>
            <w:r>
              <w:rPr>
                <w:rFonts w:hint="eastAsia" w:ascii="宋体" w:hAnsi="宋体" w:cs="宋体"/>
                <w:sz w:val="22"/>
                <w:szCs w:val="22"/>
                <w:lang w:val="en-US" w:eastAsia="zh-CN"/>
              </w:rPr>
              <w:t>规格：单块</w:t>
            </w:r>
            <w:r>
              <w:rPr>
                <w:rFonts w:hint="eastAsia" w:ascii="宋体" w:hAnsi="宋体" w:eastAsia="宋体" w:cs="宋体"/>
                <w:sz w:val="22"/>
                <w:szCs w:val="22"/>
              </w:rPr>
              <w:t>重量</w:t>
            </w:r>
            <w:r>
              <w:rPr>
                <w:rFonts w:hint="eastAsia" w:ascii="宋体" w:hAnsi="宋体" w:eastAsia="宋体" w:cs="宋体"/>
                <w:kern w:val="2"/>
                <w:sz w:val="22"/>
                <w:szCs w:val="22"/>
                <w:lang w:val="en-US" w:eastAsia="zh-CN" w:bidi="ar-SA"/>
                <w14:ligatures w14:val="standardContextual"/>
              </w:rPr>
              <w:t>≧</w:t>
            </w:r>
            <w:r>
              <w:rPr>
                <w:rFonts w:hint="eastAsia" w:ascii="宋体" w:hAnsi="宋体" w:eastAsia="宋体" w:cs="宋体"/>
                <w:sz w:val="22"/>
                <w:szCs w:val="22"/>
              </w:rPr>
              <w:t>200g</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lang w:eastAsia="zh-CN"/>
              </w:rPr>
            </w:pPr>
            <w:r>
              <w:rPr>
                <w:rFonts w:hint="eastAsia" w:ascii="宋体" w:hAnsi="宋体" w:cs="宋体"/>
                <w:sz w:val="22"/>
                <w:szCs w:val="22"/>
                <w:lang w:val="en-US" w:eastAsia="zh-CN" w:bidi="ar-SA"/>
              </w:rPr>
              <w:t>2.</w:t>
            </w:r>
            <w:r>
              <w:rPr>
                <w:rFonts w:hint="eastAsia" w:ascii="宋体" w:hAnsi="宋体" w:cs="宋体"/>
                <w:sz w:val="22"/>
                <w:szCs w:val="22"/>
                <w:lang w:val="en-US" w:eastAsia="zh-CN"/>
              </w:rPr>
              <w:t>形态：固体</w:t>
            </w:r>
          </w:p>
        </w:tc>
        <w:tc>
          <w:tcPr>
            <w:tcW w:w="1939"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汰渍、超能、奥妙</w:t>
            </w:r>
          </w:p>
        </w:tc>
        <w:tc>
          <w:tcPr>
            <w:tcW w:w="626"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rPr>
            </w:pPr>
          </w:p>
        </w:tc>
        <w:tc>
          <w:tcPr>
            <w:tcW w:w="86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393"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rPr>
              <w:t>3</w:t>
            </w:r>
          </w:p>
        </w:tc>
        <w:tc>
          <w:tcPr>
            <w:tcW w:w="175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香皂</w:t>
            </w:r>
          </w:p>
        </w:tc>
        <w:tc>
          <w:tcPr>
            <w:tcW w:w="5125" w:type="dxa"/>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rPr>
            </w:pPr>
            <w:r>
              <w:rPr>
                <w:rFonts w:hint="eastAsia" w:ascii="宋体" w:hAnsi="宋体" w:cs="宋体"/>
                <w:sz w:val="22"/>
                <w:szCs w:val="22"/>
                <w:lang w:val="en-US" w:eastAsia="zh-CN"/>
              </w:rPr>
              <w:t>1.规格：单块</w:t>
            </w:r>
            <w:r>
              <w:rPr>
                <w:rFonts w:hint="eastAsia" w:ascii="宋体" w:hAnsi="宋体" w:eastAsia="宋体" w:cs="宋体"/>
                <w:sz w:val="22"/>
                <w:szCs w:val="22"/>
              </w:rPr>
              <w:t>重量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sz w:val="22"/>
                <w:szCs w:val="22"/>
                <w:lang w:val="en-US" w:eastAsia="zh-CN"/>
              </w:rPr>
              <w:t>1</w:t>
            </w:r>
            <w:r>
              <w:rPr>
                <w:rFonts w:hint="eastAsia" w:ascii="宋体" w:hAnsi="宋体" w:eastAsia="宋体" w:cs="宋体"/>
                <w:sz w:val="22"/>
                <w:szCs w:val="22"/>
              </w:rPr>
              <w:t>00g</w:t>
            </w:r>
          </w:p>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lang w:val="en-US" w:eastAsia="zh-CN"/>
              </w:rPr>
            </w:pPr>
            <w:r>
              <w:rPr>
                <w:rFonts w:hint="eastAsia" w:ascii="宋体" w:hAnsi="宋体" w:cs="宋体"/>
                <w:sz w:val="22"/>
                <w:szCs w:val="22"/>
                <w:lang w:val="en-US" w:eastAsia="zh-CN"/>
              </w:rPr>
              <w:t>2.形态：固体</w:t>
            </w:r>
          </w:p>
        </w:tc>
        <w:tc>
          <w:tcPr>
            <w:tcW w:w="1939"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舒肤佳、力士、多芬</w:t>
            </w:r>
          </w:p>
        </w:tc>
        <w:tc>
          <w:tcPr>
            <w:tcW w:w="626"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rPr>
            </w:pPr>
          </w:p>
        </w:tc>
        <w:tc>
          <w:tcPr>
            <w:tcW w:w="86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93"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175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eastAsia="宋体" w:cs="宋体"/>
                <w:kern w:val="2"/>
                <w:sz w:val="22"/>
                <w:szCs w:val="22"/>
                <w:lang w:val="en-US" w:eastAsia="zh-CN" w:bidi="ar-SA"/>
                <w14:ligatures w14:val="standardContextual"/>
              </w:rPr>
              <w:t>洗衣液</w:t>
            </w:r>
          </w:p>
        </w:tc>
        <w:tc>
          <w:tcPr>
            <w:tcW w:w="5125"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1.</w:t>
            </w:r>
            <w:r>
              <w:rPr>
                <w:rFonts w:hint="eastAsia" w:ascii="宋体" w:hAnsi="宋体" w:cs="宋体"/>
                <w:sz w:val="22"/>
                <w:szCs w:val="22"/>
                <w:lang w:val="en-US" w:eastAsia="zh-CN"/>
              </w:rPr>
              <w:t>规格：</w:t>
            </w:r>
            <w:r>
              <w:rPr>
                <w:rFonts w:hint="eastAsia" w:ascii="宋体" w:hAnsi="宋体" w:cs="宋体"/>
                <w:kern w:val="2"/>
                <w:sz w:val="22"/>
                <w:szCs w:val="22"/>
                <w:lang w:val="en-US" w:eastAsia="zh-CN" w:bidi="ar-SA"/>
                <w14:ligatures w14:val="standardContextual"/>
              </w:rPr>
              <w:t>净含量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w:t>
            </w:r>
            <w:r>
              <w:rPr>
                <w:rFonts w:hint="eastAsia" w:ascii="宋体" w:hAnsi="宋体" w:eastAsia="宋体" w:cs="宋体"/>
                <w:kern w:val="2"/>
                <w:sz w:val="22"/>
                <w:szCs w:val="22"/>
                <w:lang w:val="en-US" w:eastAsia="zh-CN" w:bidi="ar-SA"/>
                <w14:ligatures w14:val="standardContextual"/>
              </w:rPr>
              <w:t>kg/瓶</w:t>
            </w:r>
            <w:r>
              <w:rPr>
                <w:rFonts w:hint="eastAsia" w:ascii="宋体" w:hAnsi="宋体" w:cs="宋体"/>
                <w:kern w:val="2"/>
                <w:sz w:val="22"/>
                <w:szCs w:val="22"/>
                <w:lang w:val="en-US" w:eastAsia="zh-CN" w:bidi="ar-SA"/>
                <w14:ligatures w14:val="standardContextual"/>
              </w:rPr>
              <w:t>或</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1L</w:t>
            </w:r>
            <w:r>
              <w:rPr>
                <w:rFonts w:hint="eastAsia" w:ascii="宋体" w:hAnsi="宋体" w:eastAsia="宋体" w:cs="宋体"/>
                <w:kern w:val="2"/>
                <w:sz w:val="22"/>
                <w:szCs w:val="22"/>
                <w:lang w:val="en-US" w:eastAsia="zh-CN" w:bidi="ar-SA"/>
                <w14:ligatures w14:val="standardContextual"/>
              </w:rPr>
              <w:t>/瓶</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2.活性成分：活性物含量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15%，</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3.其他要求：非浓缩型，不含磷、无荧光剂</w:t>
            </w:r>
          </w:p>
        </w:tc>
        <w:tc>
          <w:tcPr>
            <w:tcW w:w="1939"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蓝月亮、KAO花王、威露士（威莱）</w:t>
            </w:r>
          </w:p>
        </w:tc>
        <w:tc>
          <w:tcPr>
            <w:tcW w:w="626"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c>
          <w:tcPr>
            <w:tcW w:w="86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393"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w:t>
            </w:r>
          </w:p>
        </w:tc>
        <w:tc>
          <w:tcPr>
            <w:tcW w:w="175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eastAsia="宋体" w:cs="宋体"/>
                <w:kern w:val="2"/>
                <w:sz w:val="22"/>
                <w:szCs w:val="22"/>
                <w:lang w:val="en-US" w:eastAsia="zh-CN" w:bidi="ar-SA"/>
                <w14:ligatures w14:val="standardContextual"/>
              </w:rPr>
              <w:t>洗衣液替换装</w:t>
            </w:r>
          </w:p>
        </w:tc>
        <w:tc>
          <w:tcPr>
            <w:tcW w:w="5125"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bidi="ar-SA"/>
              </w:rPr>
              <w:t>1.</w:t>
            </w:r>
            <w:r>
              <w:rPr>
                <w:rFonts w:hint="eastAsia" w:ascii="宋体" w:hAnsi="宋体" w:cs="宋体"/>
                <w:sz w:val="22"/>
                <w:szCs w:val="22"/>
                <w:lang w:val="en-US" w:eastAsia="zh-CN"/>
              </w:rPr>
              <w:t>规格：净含量≧1kg/袋</w:t>
            </w:r>
            <w:r>
              <w:rPr>
                <w:rFonts w:hint="eastAsia" w:ascii="宋体" w:hAnsi="宋体" w:cs="宋体"/>
                <w:kern w:val="2"/>
                <w:sz w:val="22"/>
                <w:szCs w:val="22"/>
                <w:lang w:val="en-US" w:eastAsia="zh-CN" w:bidi="ar-SA"/>
                <w14:ligatures w14:val="standardContextual"/>
              </w:rPr>
              <w:t>或</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1L</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sz w:val="22"/>
                <w:szCs w:val="22"/>
                <w:lang w:val="en-US" w:eastAsia="zh-CN"/>
              </w:rPr>
              <w:t>袋</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cs="宋体"/>
                <w:sz w:val="22"/>
                <w:szCs w:val="22"/>
                <w:lang w:val="en-US" w:eastAsia="zh-CN"/>
              </w:rPr>
            </w:pPr>
            <w:r>
              <w:rPr>
                <w:rFonts w:hint="eastAsia" w:ascii="宋体" w:hAnsi="宋体" w:cs="宋体"/>
                <w:sz w:val="22"/>
                <w:szCs w:val="22"/>
                <w:lang w:val="en-US" w:eastAsia="zh-CN" w:bidi="ar-SA"/>
              </w:rPr>
              <w:t>2.</w:t>
            </w:r>
            <w:r>
              <w:rPr>
                <w:rFonts w:hint="eastAsia" w:ascii="宋体" w:hAnsi="宋体" w:cs="宋体"/>
                <w:sz w:val="22"/>
                <w:szCs w:val="22"/>
                <w:lang w:val="en-US" w:eastAsia="zh-CN"/>
              </w:rPr>
              <w:t>活性成分：活性物含量≧15%，</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3.</w:t>
            </w:r>
            <w:r>
              <w:rPr>
                <w:rFonts w:hint="eastAsia" w:ascii="宋体" w:hAnsi="宋体" w:cs="宋体"/>
                <w:sz w:val="22"/>
                <w:szCs w:val="22"/>
                <w:lang w:val="en-US" w:eastAsia="zh-CN"/>
              </w:rPr>
              <w:t>其他要求：非浓缩型</w:t>
            </w:r>
            <w:r>
              <w:rPr>
                <w:rFonts w:hint="eastAsia" w:ascii="宋体" w:hAnsi="宋体" w:cs="宋体"/>
                <w:kern w:val="2"/>
                <w:sz w:val="22"/>
                <w:szCs w:val="22"/>
                <w:lang w:val="en-US" w:eastAsia="zh-CN" w:bidi="ar-SA"/>
                <w14:ligatures w14:val="standardContextual"/>
              </w:rPr>
              <w:t>，不含磷、无荧光剂</w:t>
            </w:r>
          </w:p>
        </w:tc>
        <w:tc>
          <w:tcPr>
            <w:tcW w:w="1939"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蓝月亮、KAO花王、威露士（威莱）</w:t>
            </w:r>
          </w:p>
        </w:tc>
        <w:tc>
          <w:tcPr>
            <w:tcW w:w="626"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c>
          <w:tcPr>
            <w:tcW w:w="86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393"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c>
          <w:tcPr>
            <w:tcW w:w="175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eastAsia="宋体" w:cs="宋体"/>
                <w:kern w:val="2"/>
                <w:sz w:val="22"/>
                <w:szCs w:val="22"/>
                <w:lang w:val="en-US" w:eastAsia="zh-CN" w:bidi="ar-SA"/>
                <w14:ligatures w14:val="standardContextual"/>
              </w:rPr>
              <w:t>衣物柔顺护理剂</w:t>
            </w:r>
          </w:p>
        </w:tc>
        <w:tc>
          <w:tcPr>
            <w:tcW w:w="5125"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1.</w:t>
            </w:r>
            <w:r>
              <w:rPr>
                <w:rFonts w:hint="eastAsia" w:ascii="宋体" w:hAnsi="宋体" w:cs="宋体"/>
                <w:sz w:val="22"/>
                <w:szCs w:val="22"/>
                <w:lang w:val="en-US" w:eastAsia="zh-CN"/>
              </w:rPr>
              <w:t>规格</w:t>
            </w:r>
            <w:r>
              <w:rPr>
                <w:rFonts w:hint="eastAsia" w:ascii="宋体" w:hAnsi="宋体" w:cs="宋体"/>
                <w:kern w:val="2"/>
                <w:sz w:val="22"/>
                <w:szCs w:val="22"/>
                <w:lang w:val="en-US" w:eastAsia="zh-CN" w:bidi="ar-SA"/>
                <w14:ligatures w14:val="standardContextual"/>
              </w:rPr>
              <w:t>：净含量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w:t>
            </w:r>
            <w:r>
              <w:rPr>
                <w:rFonts w:hint="eastAsia" w:ascii="宋体" w:hAnsi="宋体" w:eastAsia="宋体" w:cs="宋体"/>
                <w:kern w:val="2"/>
                <w:sz w:val="22"/>
                <w:szCs w:val="22"/>
                <w:lang w:val="en-US" w:eastAsia="zh-CN" w:bidi="ar-SA"/>
                <w14:ligatures w14:val="standardContextual"/>
              </w:rPr>
              <w:t>kg/瓶</w:t>
            </w:r>
            <w:r>
              <w:rPr>
                <w:rFonts w:hint="eastAsia" w:ascii="宋体" w:hAnsi="宋体" w:cs="宋体"/>
                <w:kern w:val="2"/>
                <w:sz w:val="22"/>
                <w:szCs w:val="22"/>
                <w:lang w:val="en-US" w:eastAsia="zh-CN" w:bidi="ar-SA"/>
                <w14:ligatures w14:val="standardContextual"/>
              </w:rPr>
              <w:t>或</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1L</w:t>
            </w:r>
            <w:r>
              <w:rPr>
                <w:rFonts w:hint="eastAsia" w:ascii="宋体" w:hAnsi="宋体" w:eastAsia="宋体" w:cs="宋体"/>
                <w:kern w:val="2"/>
                <w:sz w:val="22"/>
                <w:szCs w:val="22"/>
                <w:lang w:val="en-US" w:eastAsia="zh-CN" w:bidi="ar-SA"/>
                <w14:ligatures w14:val="standardContextual"/>
              </w:rPr>
              <w:t>/瓶</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2.</w:t>
            </w:r>
            <w:r>
              <w:rPr>
                <w:rFonts w:hint="eastAsia" w:ascii="宋体" w:hAnsi="宋体" w:cs="宋体"/>
                <w:sz w:val="22"/>
                <w:szCs w:val="22"/>
                <w:lang w:val="en-US" w:eastAsia="zh-CN"/>
              </w:rPr>
              <w:t>其他要求：</w:t>
            </w:r>
            <w:r>
              <w:rPr>
                <w:rFonts w:hint="eastAsia" w:ascii="宋体" w:hAnsi="宋体" w:cs="宋体"/>
                <w:kern w:val="2"/>
                <w:sz w:val="22"/>
                <w:szCs w:val="22"/>
                <w:lang w:val="en-US" w:eastAsia="zh-CN" w:bidi="ar-SA"/>
                <w14:ligatures w14:val="standardContextual"/>
              </w:rPr>
              <w:t>非浓缩，不含磷、无荧光剂</w:t>
            </w:r>
          </w:p>
        </w:tc>
        <w:tc>
          <w:tcPr>
            <w:tcW w:w="1939"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蓝月亮、金纺</w:t>
            </w:r>
            <w:r>
              <w:rPr>
                <w:rFonts w:hint="eastAsia" w:ascii="宋体" w:hAnsi="宋体" w:cs="宋体"/>
                <w:sz w:val="22"/>
                <w:szCs w:val="22"/>
                <w:lang w:val="en-US" w:eastAsia="zh-CN"/>
              </w:rPr>
              <w:t>、超能</w:t>
            </w:r>
          </w:p>
        </w:tc>
        <w:tc>
          <w:tcPr>
            <w:tcW w:w="626"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c>
          <w:tcPr>
            <w:tcW w:w="86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393"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7</w:t>
            </w:r>
          </w:p>
        </w:tc>
        <w:tc>
          <w:tcPr>
            <w:tcW w:w="175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eastAsia="宋体" w:cs="宋体"/>
                <w:kern w:val="2"/>
                <w:sz w:val="22"/>
                <w:szCs w:val="22"/>
                <w:lang w:val="en-US" w:eastAsia="zh-CN" w:bidi="ar-SA"/>
                <w14:ligatures w14:val="standardContextual"/>
              </w:rPr>
              <w:t>洗发露</w:t>
            </w:r>
          </w:p>
        </w:tc>
        <w:tc>
          <w:tcPr>
            <w:tcW w:w="5125"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1.规格：</w:t>
            </w:r>
            <w:r>
              <w:rPr>
                <w:rFonts w:hint="eastAsia" w:ascii="宋体" w:hAnsi="宋体" w:cs="宋体"/>
                <w:b w:val="0"/>
                <w:bCs w:val="0"/>
                <w:color w:val="auto"/>
                <w:kern w:val="2"/>
                <w:sz w:val="22"/>
                <w:szCs w:val="22"/>
                <w:lang w:val="en-US" w:eastAsia="zh-CN" w:bidi="ar-SA"/>
                <w14:ligatures w14:val="standardContextual"/>
              </w:rPr>
              <w:t>单瓶容量</w:t>
            </w:r>
            <w:r>
              <w:rPr>
                <w:rFonts w:hint="eastAsia" w:ascii="宋体" w:hAnsi="宋体" w:eastAsia="宋体" w:cs="宋体"/>
                <w:b w:val="0"/>
                <w:bCs w:val="0"/>
                <w:color w:val="auto"/>
                <w:kern w:val="2"/>
                <w:sz w:val="22"/>
                <w:szCs w:val="22"/>
                <w:lang w:val="en-US" w:eastAsia="zh-CN" w:bidi="ar-SA"/>
                <w14:ligatures w14:val="standardContextual"/>
              </w:rPr>
              <w:t>≧2</w:t>
            </w:r>
            <w:r>
              <w:rPr>
                <w:rFonts w:hint="eastAsia" w:ascii="宋体" w:hAnsi="宋体" w:cs="宋体"/>
                <w:b w:val="0"/>
                <w:bCs w:val="0"/>
                <w:color w:val="auto"/>
                <w:kern w:val="2"/>
                <w:sz w:val="22"/>
                <w:szCs w:val="22"/>
                <w:lang w:val="en-US" w:eastAsia="zh-CN" w:bidi="ar-SA"/>
                <w14:ligatures w14:val="standardContextual"/>
              </w:rPr>
              <w:t>00</w:t>
            </w:r>
            <w:r>
              <w:rPr>
                <w:rFonts w:hint="eastAsia" w:ascii="宋体" w:hAnsi="宋体" w:eastAsia="宋体" w:cs="宋体"/>
                <w:b w:val="0"/>
                <w:bCs w:val="0"/>
                <w:color w:val="auto"/>
                <w:kern w:val="2"/>
                <w:sz w:val="22"/>
                <w:szCs w:val="22"/>
                <w:lang w:val="en-US" w:eastAsia="zh-CN" w:bidi="ar-SA"/>
                <w14:ligatures w14:val="standardContextual"/>
              </w:rPr>
              <w:t>ml</w:t>
            </w:r>
            <w:r>
              <w:rPr>
                <w:rFonts w:hint="eastAsia" w:ascii="宋体" w:hAnsi="宋体" w:cs="宋体"/>
                <w:b w:val="0"/>
                <w:bCs w:val="0"/>
                <w:color w:val="auto"/>
                <w:kern w:val="2"/>
                <w:sz w:val="22"/>
                <w:szCs w:val="22"/>
                <w:lang w:val="en-US" w:eastAsia="zh-CN" w:bidi="ar-SA"/>
                <w14:ligatures w14:val="standardContextual"/>
              </w:rPr>
              <w:t>或</w:t>
            </w:r>
            <w:r>
              <w:rPr>
                <w:rFonts w:hint="eastAsia" w:ascii="宋体" w:hAnsi="宋体" w:eastAsia="宋体" w:cs="宋体"/>
                <w:b w:val="0"/>
                <w:bCs w:val="0"/>
                <w:color w:val="auto"/>
                <w:kern w:val="2"/>
                <w:sz w:val="22"/>
                <w:szCs w:val="22"/>
                <w:lang w:val="en-US" w:eastAsia="zh-CN" w:bidi="ar-SA"/>
                <w14:ligatures w14:val="standardContextual"/>
              </w:rPr>
              <w:t>≧</w:t>
            </w:r>
            <w:r>
              <w:rPr>
                <w:rFonts w:hint="eastAsia" w:ascii="宋体" w:hAnsi="宋体" w:cs="宋体"/>
                <w:b w:val="0"/>
                <w:bCs w:val="0"/>
                <w:color w:val="auto"/>
                <w:kern w:val="2"/>
                <w:sz w:val="22"/>
                <w:szCs w:val="22"/>
                <w:lang w:val="en-US" w:eastAsia="zh-CN" w:bidi="ar-SA"/>
                <w14:ligatures w14:val="standardContextual"/>
              </w:rPr>
              <w:t>200g</w:t>
            </w:r>
          </w:p>
        </w:tc>
        <w:tc>
          <w:tcPr>
            <w:tcW w:w="1939"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沙宣</w:t>
            </w:r>
            <w:r>
              <w:rPr>
                <w:rFonts w:hint="eastAsia" w:ascii="宋体" w:hAnsi="宋体" w:cs="宋体"/>
                <w:sz w:val="22"/>
                <w:szCs w:val="22"/>
                <w:lang w:val="en-US" w:eastAsia="zh-CN"/>
              </w:rPr>
              <w:t>、</w:t>
            </w:r>
            <w:r>
              <w:rPr>
                <w:rFonts w:hint="eastAsia" w:ascii="宋体" w:hAnsi="宋体" w:eastAsia="宋体" w:cs="宋体"/>
                <w:sz w:val="22"/>
                <w:szCs w:val="22"/>
                <w:lang w:val="en-US" w:eastAsia="zh-CN"/>
              </w:rPr>
              <w:t>清扬</w:t>
            </w:r>
            <w:r>
              <w:rPr>
                <w:rFonts w:hint="eastAsia" w:ascii="宋体" w:hAnsi="宋体" w:cs="宋体"/>
                <w:sz w:val="22"/>
                <w:szCs w:val="22"/>
                <w:lang w:val="en-US" w:eastAsia="zh-CN"/>
              </w:rPr>
              <w:t>、</w:t>
            </w:r>
            <w:r>
              <w:rPr>
                <w:rFonts w:hint="eastAsia" w:ascii="宋体" w:hAnsi="宋体" w:eastAsia="宋体" w:cs="宋体"/>
                <w:sz w:val="22"/>
                <w:szCs w:val="22"/>
                <w:lang w:val="en-US" w:eastAsia="zh-CN"/>
              </w:rPr>
              <w:t>施华寇</w:t>
            </w:r>
          </w:p>
        </w:tc>
        <w:tc>
          <w:tcPr>
            <w:tcW w:w="626"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c>
          <w:tcPr>
            <w:tcW w:w="86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393"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c>
          <w:tcPr>
            <w:tcW w:w="1757"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eastAsia="宋体" w:cs="宋体"/>
                <w:kern w:val="2"/>
                <w:sz w:val="22"/>
                <w:szCs w:val="22"/>
                <w:lang w:val="en-US" w:eastAsia="zh-CN" w:bidi="ar-SA"/>
                <w14:ligatures w14:val="standardContextual"/>
              </w:rPr>
              <w:t>沐浴露</w:t>
            </w:r>
          </w:p>
        </w:tc>
        <w:tc>
          <w:tcPr>
            <w:tcW w:w="5125"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1.规格：</w:t>
            </w:r>
            <w:r>
              <w:rPr>
                <w:rFonts w:hint="eastAsia" w:ascii="宋体" w:hAnsi="宋体" w:cs="宋体"/>
                <w:b w:val="0"/>
                <w:bCs w:val="0"/>
                <w:color w:val="auto"/>
                <w:kern w:val="2"/>
                <w:sz w:val="22"/>
                <w:szCs w:val="22"/>
                <w:lang w:val="en-US" w:eastAsia="zh-CN" w:bidi="ar-SA"/>
                <w14:ligatures w14:val="standardContextual"/>
              </w:rPr>
              <w:t>单瓶容量</w:t>
            </w:r>
            <w:r>
              <w:rPr>
                <w:rFonts w:hint="eastAsia" w:ascii="宋体" w:hAnsi="宋体" w:eastAsia="宋体" w:cs="宋体"/>
                <w:b w:val="0"/>
                <w:bCs w:val="0"/>
                <w:color w:val="auto"/>
                <w:kern w:val="2"/>
                <w:sz w:val="22"/>
                <w:szCs w:val="22"/>
                <w:lang w:val="en-US" w:eastAsia="zh-CN" w:bidi="ar-SA"/>
                <w14:ligatures w14:val="standardContextual"/>
              </w:rPr>
              <w:t>≧</w:t>
            </w:r>
            <w:r>
              <w:rPr>
                <w:rFonts w:hint="eastAsia" w:ascii="宋体" w:hAnsi="宋体" w:cs="宋体"/>
                <w:b w:val="0"/>
                <w:bCs w:val="0"/>
                <w:color w:val="auto"/>
                <w:kern w:val="2"/>
                <w:sz w:val="22"/>
                <w:szCs w:val="22"/>
                <w:lang w:val="en-US" w:eastAsia="zh-CN" w:bidi="ar-SA"/>
                <w14:ligatures w14:val="standardContextual"/>
              </w:rPr>
              <w:t>380</w:t>
            </w:r>
            <w:r>
              <w:rPr>
                <w:rFonts w:hint="eastAsia" w:ascii="宋体" w:hAnsi="宋体" w:eastAsia="宋体" w:cs="宋体"/>
                <w:b w:val="0"/>
                <w:bCs w:val="0"/>
                <w:color w:val="auto"/>
                <w:kern w:val="2"/>
                <w:sz w:val="22"/>
                <w:szCs w:val="22"/>
                <w:lang w:val="en-US" w:eastAsia="zh-CN" w:bidi="ar-SA"/>
                <w14:ligatures w14:val="standardContextual"/>
              </w:rPr>
              <w:t>ml</w:t>
            </w:r>
            <w:r>
              <w:rPr>
                <w:rFonts w:hint="eastAsia" w:ascii="宋体" w:hAnsi="宋体" w:cs="宋体"/>
                <w:b w:val="0"/>
                <w:bCs w:val="0"/>
                <w:color w:val="auto"/>
                <w:kern w:val="2"/>
                <w:sz w:val="22"/>
                <w:szCs w:val="22"/>
                <w:lang w:val="en-US" w:eastAsia="zh-CN" w:bidi="ar-SA"/>
                <w14:ligatures w14:val="standardContextual"/>
              </w:rPr>
              <w:t>或</w:t>
            </w:r>
            <w:r>
              <w:rPr>
                <w:rFonts w:hint="eastAsia" w:ascii="宋体" w:hAnsi="宋体" w:eastAsia="宋体" w:cs="宋体"/>
                <w:b w:val="0"/>
                <w:bCs w:val="0"/>
                <w:color w:val="auto"/>
                <w:kern w:val="2"/>
                <w:sz w:val="22"/>
                <w:szCs w:val="22"/>
                <w:lang w:val="en-US" w:eastAsia="zh-CN" w:bidi="ar-SA"/>
                <w14:ligatures w14:val="standardContextual"/>
              </w:rPr>
              <w:t>≧</w:t>
            </w:r>
            <w:r>
              <w:rPr>
                <w:rFonts w:hint="eastAsia" w:ascii="宋体" w:hAnsi="宋体" w:cs="宋体"/>
                <w:b w:val="0"/>
                <w:bCs w:val="0"/>
                <w:color w:val="auto"/>
                <w:kern w:val="2"/>
                <w:sz w:val="22"/>
                <w:szCs w:val="22"/>
                <w:lang w:val="en-US" w:eastAsia="zh-CN" w:bidi="ar-SA"/>
                <w14:ligatures w14:val="standardContextual"/>
              </w:rPr>
              <w:t>380g</w:t>
            </w:r>
          </w:p>
        </w:tc>
        <w:tc>
          <w:tcPr>
            <w:tcW w:w="1939" w:type="dxa"/>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sz w:val="22"/>
                <w:szCs w:val="22"/>
              </w:rPr>
            </w:pPr>
            <w:r>
              <w:rPr>
                <w:rFonts w:hint="eastAsia" w:ascii="宋体" w:hAnsi="宋体" w:eastAsia="宋体" w:cs="宋体"/>
                <w:sz w:val="22"/>
                <w:szCs w:val="22"/>
                <w:lang w:val="en-US" w:eastAsia="zh-CN"/>
              </w:rPr>
              <w:t>威露士</w:t>
            </w:r>
            <w:r>
              <w:rPr>
                <w:rFonts w:hint="eastAsia" w:ascii="宋体" w:hAnsi="宋体" w:cs="宋体"/>
                <w:sz w:val="22"/>
                <w:szCs w:val="22"/>
                <w:lang w:val="en-US" w:eastAsia="zh-CN"/>
              </w:rPr>
              <w:t>（</w:t>
            </w:r>
            <w:r>
              <w:rPr>
                <w:rFonts w:hint="eastAsia" w:ascii="宋体" w:hAnsi="宋体" w:eastAsia="宋体" w:cs="宋体"/>
                <w:sz w:val="22"/>
                <w:szCs w:val="22"/>
                <w:lang w:val="en-US" w:eastAsia="zh-CN"/>
              </w:rPr>
              <w:t>威莱</w:t>
            </w:r>
            <w:r>
              <w:rPr>
                <w:rFonts w:hint="eastAsia" w:ascii="宋体" w:hAnsi="宋体" w:cs="宋体"/>
                <w:sz w:val="22"/>
                <w:szCs w:val="22"/>
                <w:lang w:val="en-US" w:eastAsia="zh-CN"/>
              </w:rPr>
              <w:t>）、多芬、蔻斯汀</w:t>
            </w:r>
          </w:p>
        </w:tc>
        <w:tc>
          <w:tcPr>
            <w:tcW w:w="626" w:type="pct"/>
            <w:tcBorders>
              <w:top w:val="single" w:color="auto" w:sz="4" w:space="0"/>
              <w:left w:val="single" w:color="auto" w:sz="4" w:space="0"/>
              <w:bottom w:val="single" w:color="auto" w:sz="4" w:space="0"/>
              <w:right w:val="single" w:color="auto" w:sz="4" w:space="0"/>
            </w:tcBorders>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c>
          <w:tcPr>
            <w:tcW w:w="86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sz w:val="22"/>
                <w:szCs w:val="22"/>
                <w:lang w:val="en-US" w:eastAsia="zh-CN"/>
              </w:rPr>
            </w:pPr>
          </w:p>
        </w:tc>
      </w:tr>
    </w:tbl>
    <w:p>
      <w:pPr>
        <w:ind w:firstLine="480"/>
        <w:rPr>
          <w:rFonts w:hint="eastAsia" w:cs="Times New Roman"/>
          <w:b/>
          <w:bCs/>
          <w:szCs w:val="32"/>
        </w:rPr>
      </w:pPr>
      <w:r>
        <w:rPr>
          <w:rFonts w:hint="eastAsia" w:cs="Times New Roman"/>
          <w:b/>
          <w:bCs/>
          <w:szCs w:val="32"/>
        </w:rPr>
        <w:t>*注：</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cs="Times New Roman"/>
          <w:b/>
          <w:szCs w:val="32"/>
        </w:rPr>
      </w:pPr>
      <w:r>
        <w:rPr>
          <w:rFonts w:hint="eastAsia" w:cs="Times New Roman"/>
          <w:szCs w:val="32"/>
        </w:rPr>
        <w:t>1.</w:t>
      </w:r>
      <w:r>
        <w:rPr>
          <w:rFonts w:hint="eastAsia" w:cs="Times New Roman"/>
          <w:szCs w:val="32"/>
          <w:lang w:val="en-US" w:eastAsia="zh-CN"/>
        </w:rPr>
        <w:t>投标</w:t>
      </w:r>
      <w:r>
        <w:rPr>
          <w:rFonts w:hint="eastAsia" w:cs="Times New Roman"/>
          <w:szCs w:val="32"/>
        </w:rPr>
        <w:t>时必须同时明确提报物资的</w:t>
      </w:r>
      <w:r>
        <w:rPr>
          <w:rFonts w:hint="eastAsia" w:cs="Times New Roman"/>
          <w:b/>
          <w:bCs/>
          <w:szCs w:val="32"/>
        </w:rPr>
        <w:t>响应物资描述</w:t>
      </w:r>
      <w:r>
        <w:rPr>
          <w:rFonts w:hint="eastAsia" w:cs="Times New Roman"/>
          <w:szCs w:val="32"/>
          <w:lang w:val="en-US" w:eastAsia="zh-CN"/>
        </w:rPr>
        <w:t>和</w:t>
      </w:r>
      <w:r>
        <w:rPr>
          <w:rFonts w:hint="eastAsia" w:cs="Times New Roman"/>
          <w:b/>
          <w:bCs/>
          <w:szCs w:val="32"/>
          <w:lang w:val="en-US" w:eastAsia="zh-CN"/>
        </w:rPr>
        <w:t>响应</w:t>
      </w:r>
      <w:r>
        <w:rPr>
          <w:rFonts w:hint="eastAsia" w:cs="Times New Roman"/>
          <w:b/>
          <w:bCs/>
          <w:szCs w:val="32"/>
        </w:rPr>
        <w:t>品牌</w:t>
      </w:r>
      <w:r>
        <w:rPr>
          <w:rFonts w:hint="eastAsia" w:cs="Times New Roman"/>
          <w:szCs w:val="32"/>
        </w:rPr>
        <w:t>，</w:t>
      </w:r>
      <w:r>
        <w:rPr>
          <w:rFonts w:hint="eastAsia" w:cs="Times New Roman"/>
          <w:b/>
          <w:szCs w:val="32"/>
        </w:rPr>
        <w:t>未按要求</w:t>
      </w:r>
      <w:r>
        <w:rPr>
          <w:rFonts w:hint="eastAsia" w:cs="Times New Roman"/>
          <w:b/>
          <w:szCs w:val="32"/>
          <w:lang w:val="en-US" w:eastAsia="zh-CN"/>
        </w:rPr>
        <w:t>明确响应物资描述、</w:t>
      </w:r>
      <w:r>
        <w:rPr>
          <w:rFonts w:hint="eastAsia" w:cs="Times New Roman"/>
          <w:b/>
          <w:szCs w:val="32"/>
        </w:rPr>
        <w:t>注明品牌或品牌为国产或国产优质</w:t>
      </w:r>
      <w:r>
        <w:rPr>
          <w:rFonts w:hint="eastAsia" w:cs="Times New Roman"/>
          <w:b/>
          <w:szCs w:val="32"/>
          <w:highlight w:val="none"/>
          <w:lang w:val="en-US" w:eastAsia="zh-CN"/>
        </w:rPr>
        <w:t>或定制</w:t>
      </w:r>
      <w:r>
        <w:rPr>
          <w:rFonts w:hint="eastAsia" w:cs="Times New Roman"/>
          <w:b/>
          <w:szCs w:val="32"/>
        </w:rPr>
        <w:t>等相应描述均视为无效响应。</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cs="Times New Roman"/>
          <w:szCs w:val="32"/>
        </w:rPr>
      </w:pPr>
      <w:r>
        <w:rPr>
          <w:rFonts w:hint="eastAsia" w:cs="Times New Roman"/>
          <w:szCs w:val="32"/>
        </w:rPr>
        <w:t>2.序号须与第五章“采购需求”需求清单序号一致。</w:t>
      </w:r>
    </w:p>
    <w:p>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cs="Times New Roman"/>
          <w:szCs w:val="32"/>
        </w:rPr>
      </w:pPr>
      <w:r>
        <w:rPr>
          <w:rFonts w:hint="eastAsia" w:cs="Times New Roman"/>
          <w:szCs w:val="32"/>
        </w:rPr>
        <w:t>3.</w:t>
      </w:r>
      <w:r>
        <w:rPr>
          <w:rFonts w:hint="eastAsia" w:cs="Times New Roman"/>
          <w:b/>
          <w:bCs/>
          <w:szCs w:val="32"/>
          <w:lang w:val="en-US" w:eastAsia="zh-CN"/>
        </w:rPr>
        <w:t>本项目中的参考品牌，是所采购产品（设备）的档次。供应商可以选择参考品牌，也可以选择参考品牌以外的品牌，但所选品牌档次须等于或高于参考品牌档次。所选品牌档次低于参考品牌档次的，将作无效响应处理。供应商的自我阐述及宣传彩页等不作采信依据。供应商拟在参考品牌外自行选择品牌的，须同时提交该品牌（产品）设备在品牌、技术指标等方面不低于采购人参考品牌的相关证明材料（含技术白皮书、权威机构出具的品牌产品不低于参考品牌技术参数、档次的推荐报告等材料），经评审小组三分之二以上人员论证，确认该品牌产品（设备）符合本项目要求的，论证没有通过的品牌不予接受，其相应的响应文件将视为未能对本采购文件作出实质性响应，将作无效响应处理。</w:t>
      </w:r>
    </w:p>
    <w:p>
      <w:pPr>
        <w:ind w:firstLine="480"/>
        <w:jc w:val="right"/>
      </w:pPr>
      <w:r>
        <w:rPr>
          <w:rFonts w:hint="eastAsia"/>
        </w:rPr>
        <w:t>供应商：（加盖公章）</w:t>
      </w:r>
    </w:p>
    <w:p>
      <w:pPr>
        <w:ind w:firstLine="480"/>
        <w:jc w:val="right"/>
      </w:pPr>
      <w:bookmarkStart w:id="24" w:name="OLE_LINK4"/>
      <w:bookmarkStart w:id="25" w:name="OLE_LINK3"/>
      <w:r>
        <w:rPr>
          <w:rFonts w:hint="eastAsia"/>
        </w:rPr>
        <w:t>法定代表人或</w:t>
      </w:r>
      <w:bookmarkEnd w:id="24"/>
      <w:bookmarkEnd w:id="25"/>
      <w:r>
        <w:rPr>
          <w:rFonts w:hint="eastAsia"/>
        </w:rPr>
        <w:t>授权代理人：（签字或盖章）</w:t>
      </w:r>
    </w:p>
    <w:p>
      <w:pPr>
        <w:ind w:firstLine="480"/>
        <w:jc w:val="right"/>
        <w:rPr>
          <w:rFonts w:hint="eastAsia"/>
        </w:rPr>
        <w:sectPr>
          <w:pgSz w:w="16838" w:h="11906" w:orient="landscape"/>
          <w:pgMar w:top="1800" w:right="1440" w:bottom="1800" w:left="1440" w:header="851" w:footer="992" w:gutter="0"/>
          <w:pgNumType w:fmt="decimal"/>
          <w:cols w:space="720" w:num="1"/>
          <w:docGrid w:type="lines" w:linePitch="326" w:charSpace="0"/>
        </w:sectPr>
      </w:pPr>
      <w:r>
        <w:rPr>
          <w:rFonts w:hint="eastAsia"/>
        </w:rPr>
        <w:t xml:space="preserve">年 </w:t>
      </w:r>
      <w:r>
        <w:t xml:space="preserve"> </w:t>
      </w:r>
      <w:r>
        <w:rPr>
          <w:rFonts w:hint="eastAsia"/>
        </w:rPr>
        <w:t xml:space="preserve">月 </w:t>
      </w:r>
      <w:r>
        <w:t xml:space="preserve"> </w:t>
      </w:r>
      <w:r>
        <w:rPr>
          <w:rFonts w:hint="eastAsia"/>
        </w:rPr>
        <w:t>日</w:t>
      </w:r>
    </w:p>
    <w:p>
      <w:pPr>
        <w:pStyle w:val="4"/>
        <w:ind w:firstLine="0" w:firstLineChars="0"/>
        <w:rPr>
          <w:rFonts w:hint="eastAsia"/>
        </w:rPr>
      </w:pPr>
      <w:r>
        <w:rPr>
          <w:rFonts w:hint="eastAsia"/>
          <w:lang w:val="en-US" w:eastAsia="zh-CN"/>
        </w:rPr>
        <w:t>3.</w:t>
      </w:r>
      <w:r>
        <w:rPr>
          <w:rFonts w:hint="eastAsia"/>
        </w:rPr>
        <w:t>承诺函</w:t>
      </w:r>
    </w:p>
    <w:p>
      <w:pPr>
        <w:ind w:firstLine="0" w:firstLineChars="0"/>
        <w:jc w:val="center"/>
        <w:rPr>
          <w:rFonts w:hint="eastAsia" w:eastAsia="宋体"/>
          <w:highlight w:val="none"/>
          <w:lang w:val="en-US" w:eastAsia="zh-CN"/>
        </w:rPr>
      </w:pPr>
      <w:r>
        <w:rPr>
          <w:rFonts w:hint="eastAsia"/>
          <w:highlight w:val="none"/>
          <w:lang w:val="en-US" w:eastAsia="zh-CN"/>
        </w:rPr>
        <w:t>承诺函</w:t>
      </w:r>
    </w:p>
    <w:p>
      <w:pPr>
        <w:ind w:firstLine="0" w:firstLineChars="0"/>
        <w:rPr>
          <w:highlight w:val="none"/>
          <w:u w:val="single"/>
        </w:rPr>
      </w:pPr>
      <w:r>
        <w:rPr>
          <w:rFonts w:hint="eastAsia"/>
          <w:highlight w:val="none"/>
        </w:rPr>
        <w:t>致</w:t>
      </w:r>
      <w:r>
        <w:rPr>
          <w:rFonts w:hint="eastAsia"/>
          <w:highlight w:val="none"/>
          <w:u w:val="single"/>
        </w:rPr>
        <w:t>南通轨道交通集团有限公司运营分公司：</w:t>
      </w:r>
    </w:p>
    <w:p>
      <w:pPr>
        <w:ind w:firstLine="480"/>
        <w:rPr>
          <w:highlight w:val="none"/>
        </w:rPr>
      </w:pPr>
      <w:r>
        <w:rPr>
          <w:rFonts w:hint="eastAsia"/>
          <w:highlight w:val="none"/>
        </w:rPr>
        <w:t>我司愿就由贵公司组织实施的</w:t>
      </w:r>
      <w:r>
        <w:rPr>
          <w:rFonts w:hint="eastAsia"/>
          <w:highlight w:val="none"/>
          <w:u w:val="single"/>
          <w:lang w:eastAsia="zh-CN"/>
        </w:rPr>
        <w:t>南通轨道交通集团有限公司运营分公司2026-2029年度劳保洗护用品采购项目（二次）</w:t>
      </w:r>
      <w:r>
        <w:rPr>
          <w:rFonts w:hint="eastAsia"/>
          <w:highlight w:val="none"/>
          <w:u w:val="single"/>
        </w:rPr>
        <w:t>（项目编号：</w:t>
      </w:r>
      <w:r>
        <w:rPr>
          <w:rFonts w:hint="eastAsia"/>
          <w:highlight w:val="none"/>
          <w:u w:val="single"/>
          <w:lang w:eastAsia="zh-CN"/>
        </w:rPr>
        <w:t>NTGY-2026-HW-ZB-023</w:t>
      </w:r>
      <w:r>
        <w:rPr>
          <w:rFonts w:hint="eastAsia"/>
          <w:highlight w:val="none"/>
          <w:u w:val="single"/>
        </w:rPr>
        <w:t>）</w:t>
      </w:r>
      <w:r>
        <w:rPr>
          <w:rFonts w:hint="eastAsia"/>
          <w:highlight w:val="none"/>
        </w:rPr>
        <w:t>采购活动进行响应。承诺如下：</w:t>
      </w:r>
      <w:r>
        <w:rPr>
          <w:rFonts w:hint="eastAsia"/>
          <w:highlight w:val="none"/>
          <w:lang w:val="en-US" w:eastAsia="zh-CN"/>
        </w:rPr>
        <w:t>在响应物资参数表的同时，</w:t>
      </w:r>
      <w:r>
        <w:rPr>
          <w:rFonts w:hint="eastAsia"/>
          <w:highlight w:val="none"/>
        </w:rPr>
        <w:t>我方按照采购需求内容的要求每份劳保洗护用品提供加厚无纺布袋</w:t>
      </w:r>
      <w:r>
        <w:rPr>
          <w:rFonts w:hint="eastAsia"/>
          <w:highlight w:val="none"/>
          <w:lang w:eastAsia="zh-CN"/>
        </w:rPr>
        <w:t>，尺寸400mm*300mm*100mm，印刷南通轨道交通logo（图案、文字），颜色米白色</w:t>
      </w:r>
      <w:r>
        <w:rPr>
          <w:rFonts w:hint="eastAsia"/>
          <w:highlight w:val="none"/>
        </w:rPr>
        <w:t>。</w:t>
      </w:r>
    </w:p>
    <w:p>
      <w:pPr>
        <w:ind w:firstLine="480"/>
        <w:rPr>
          <w:highlight w:val="none"/>
        </w:rPr>
      </w:pPr>
    </w:p>
    <w:p>
      <w:pPr>
        <w:ind w:firstLine="480"/>
        <w:rPr>
          <w:highlight w:val="none"/>
        </w:rPr>
      </w:pPr>
    </w:p>
    <w:p>
      <w:pPr>
        <w:ind w:firstLine="480"/>
        <w:rPr>
          <w:highlight w:val="none"/>
        </w:rPr>
      </w:pPr>
    </w:p>
    <w:p>
      <w:pPr>
        <w:ind w:firstLine="480"/>
        <w:jc w:val="right"/>
        <w:rPr>
          <w:highlight w:val="none"/>
        </w:rPr>
      </w:pPr>
      <w:r>
        <w:rPr>
          <w:rFonts w:hint="eastAsia"/>
          <w:highlight w:val="none"/>
        </w:rPr>
        <w:t xml:space="preserve">法定代表人或授权代理人：（签字或盖章） </w:t>
      </w:r>
    </w:p>
    <w:p>
      <w:pPr>
        <w:ind w:firstLine="480"/>
        <w:jc w:val="right"/>
        <w:rPr>
          <w:highlight w:val="none"/>
        </w:rPr>
      </w:pPr>
      <w:r>
        <w:rPr>
          <w:rFonts w:hint="eastAsia"/>
          <w:highlight w:val="none"/>
        </w:rPr>
        <w:t>供应商：（加盖公章）</w:t>
      </w:r>
    </w:p>
    <w:p>
      <w:pPr>
        <w:ind w:firstLine="480"/>
        <w:jc w:val="right"/>
        <w:rPr>
          <w:rFonts w:hint="eastAsia"/>
          <w:highlight w:val="none"/>
        </w:rPr>
        <w:sectPr>
          <w:pgSz w:w="11906" w:h="16838"/>
          <w:pgMar w:top="1440" w:right="1800" w:bottom="1440" w:left="1800" w:header="851" w:footer="992" w:gutter="0"/>
          <w:pgNumType w:fmt="decimal"/>
          <w:cols w:space="720" w:num="1"/>
          <w:docGrid w:type="lines" w:linePitch="326" w:charSpace="0"/>
        </w:sectPr>
      </w:pPr>
      <w:r>
        <w:rPr>
          <w:rFonts w:hint="eastAsia"/>
          <w:highlight w:val="none"/>
        </w:rPr>
        <w:t>年   月    日</w:t>
      </w:r>
    </w:p>
    <w:p>
      <w:pPr>
        <w:pStyle w:val="4"/>
        <w:ind w:firstLine="0" w:firstLineChars="0"/>
      </w:pPr>
      <w:r>
        <w:rPr>
          <w:rFonts w:hint="eastAsia"/>
          <w:lang w:val="en-US" w:eastAsia="zh-CN"/>
        </w:rPr>
        <w:t>4</w:t>
      </w:r>
      <w:r>
        <w:rPr>
          <w:rFonts w:hint="eastAsia"/>
        </w:rPr>
        <w:t>业绩材料</w:t>
      </w:r>
    </w:p>
    <w:p>
      <w:pPr>
        <w:ind w:firstLine="0" w:firstLineChars="0"/>
        <w:jc w:val="center"/>
        <w:rPr>
          <w:b/>
          <w:bCs/>
        </w:rPr>
      </w:pPr>
      <w:r>
        <w:rPr>
          <w:rFonts w:hint="eastAsia"/>
          <w:b/>
          <w:bCs/>
        </w:rPr>
        <w:t>企业业绩一览表</w:t>
      </w:r>
    </w:p>
    <w:tbl>
      <w:tblPr>
        <w:tblStyle w:val="26"/>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2886"/>
        <w:gridCol w:w="1880"/>
        <w:gridCol w:w="2179"/>
        <w:gridCol w:w="2268"/>
        <w:gridCol w:w="2378"/>
        <w:gridCol w:w="1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ind w:firstLine="0" w:firstLineChars="0"/>
              <w:jc w:val="center"/>
              <w:rPr>
                <w:b/>
                <w:bCs/>
                <w:sz w:val="22"/>
                <w:szCs w:val="21"/>
              </w:rPr>
            </w:pPr>
            <w:r>
              <w:rPr>
                <w:rFonts w:hint="eastAsia"/>
                <w:b/>
                <w:bCs/>
                <w:sz w:val="22"/>
                <w:szCs w:val="21"/>
              </w:rPr>
              <w:t>序号</w:t>
            </w:r>
          </w:p>
        </w:tc>
        <w:tc>
          <w:tcPr>
            <w:tcW w:w="2886" w:type="dxa"/>
            <w:noWrap w:val="0"/>
            <w:vAlign w:val="center"/>
          </w:tcPr>
          <w:p>
            <w:pPr>
              <w:ind w:firstLine="0" w:firstLineChars="0"/>
              <w:jc w:val="center"/>
              <w:rPr>
                <w:b/>
                <w:bCs/>
                <w:sz w:val="22"/>
                <w:szCs w:val="21"/>
              </w:rPr>
            </w:pPr>
            <w:r>
              <w:rPr>
                <w:rFonts w:hint="eastAsia"/>
                <w:b/>
                <w:bCs/>
                <w:sz w:val="22"/>
                <w:szCs w:val="21"/>
              </w:rPr>
              <w:t>项目名称</w:t>
            </w:r>
          </w:p>
        </w:tc>
        <w:tc>
          <w:tcPr>
            <w:tcW w:w="1880" w:type="dxa"/>
            <w:noWrap w:val="0"/>
            <w:vAlign w:val="top"/>
          </w:tcPr>
          <w:p>
            <w:pPr>
              <w:ind w:firstLine="0" w:firstLineChars="0"/>
              <w:jc w:val="center"/>
              <w:rPr>
                <w:b/>
                <w:bCs/>
                <w:sz w:val="22"/>
                <w:szCs w:val="21"/>
              </w:rPr>
            </w:pPr>
            <w:r>
              <w:rPr>
                <w:rFonts w:hint="eastAsia"/>
                <w:b/>
                <w:bCs/>
                <w:sz w:val="22"/>
                <w:szCs w:val="21"/>
              </w:rPr>
              <w:t>项目概况</w:t>
            </w:r>
          </w:p>
        </w:tc>
        <w:tc>
          <w:tcPr>
            <w:tcW w:w="2179" w:type="dxa"/>
            <w:noWrap w:val="0"/>
            <w:vAlign w:val="top"/>
          </w:tcPr>
          <w:p>
            <w:pPr>
              <w:ind w:firstLine="0" w:firstLineChars="0"/>
              <w:jc w:val="center"/>
              <w:rPr>
                <w:b/>
                <w:bCs/>
                <w:sz w:val="22"/>
                <w:szCs w:val="21"/>
              </w:rPr>
            </w:pPr>
            <w:r>
              <w:rPr>
                <w:rFonts w:hint="eastAsia"/>
                <w:b/>
                <w:bCs/>
                <w:sz w:val="22"/>
                <w:szCs w:val="21"/>
              </w:rPr>
              <w:t>合同金额（万元）</w:t>
            </w:r>
          </w:p>
        </w:tc>
        <w:tc>
          <w:tcPr>
            <w:tcW w:w="2268" w:type="dxa"/>
            <w:noWrap w:val="0"/>
            <w:vAlign w:val="center"/>
          </w:tcPr>
          <w:p>
            <w:pPr>
              <w:ind w:firstLine="0" w:firstLineChars="0"/>
              <w:jc w:val="center"/>
              <w:rPr>
                <w:b/>
                <w:bCs/>
                <w:sz w:val="22"/>
                <w:szCs w:val="21"/>
              </w:rPr>
            </w:pPr>
            <w:r>
              <w:rPr>
                <w:rFonts w:hint="eastAsia"/>
                <w:b/>
                <w:bCs/>
                <w:sz w:val="22"/>
                <w:szCs w:val="21"/>
              </w:rPr>
              <w:t>合同签订时间</w:t>
            </w:r>
          </w:p>
        </w:tc>
        <w:tc>
          <w:tcPr>
            <w:tcW w:w="2378" w:type="dxa"/>
            <w:noWrap w:val="0"/>
            <w:vAlign w:val="center"/>
          </w:tcPr>
          <w:p>
            <w:pPr>
              <w:ind w:firstLine="0" w:firstLineChars="0"/>
              <w:jc w:val="center"/>
              <w:rPr>
                <w:b/>
                <w:bCs/>
                <w:sz w:val="22"/>
                <w:szCs w:val="21"/>
              </w:rPr>
            </w:pPr>
            <w:r>
              <w:rPr>
                <w:rFonts w:hint="eastAsia"/>
                <w:b/>
                <w:bCs/>
                <w:sz w:val="22"/>
                <w:szCs w:val="21"/>
              </w:rPr>
              <w:t>业主名称及联系方式</w:t>
            </w:r>
          </w:p>
        </w:tc>
        <w:tc>
          <w:tcPr>
            <w:tcW w:w="1369" w:type="dxa"/>
            <w:noWrap w:val="0"/>
            <w:vAlign w:val="top"/>
          </w:tcPr>
          <w:p>
            <w:pPr>
              <w:ind w:firstLine="0" w:firstLineChars="0"/>
              <w:jc w:val="center"/>
              <w:rPr>
                <w:b/>
                <w:bCs/>
                <w:sz w:val="22"/>
                <w:szCs w:val="21"/>
              </w:rPr>
            </w:pPr>
            <w:r>
              <w:rPr>
                <w:rFonts w:hint="eastAsia"/>
                <w:b/>
                <w:bCs/>
                <w:sz w:val="2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ind w:firstLine="0" w:firstLineChars="0"/>
              <w:jc w:val="center"/>
            </w:pPr>
            <w:r>
              <w:rPr>
                <w:rFonts w:hint="eastAsia"/>
              </w:rPr>
              <w:t>1</w:t>
            </w:r>
          </w:p>
        </w:tc>
        <w:tc>
          <w:tcPr>
            <w:tcW w:w="2886" w:type="dxa"/>
            <w:noWrap w:val="0"/>
            <w:vAlign w:val="top"/>
          </w:tcPr>
          <w:p>
            <w:pPr>
              <w:ind w:firstLine="0" w:firstLineChars="0"/>
            </w:pPr>
          </w:p>
        </w:tc>
        <w:tc>
          <w:tcPr>
            <w:tcW w:w="1880" w:type="dxa"/>
            <w:noWrap w:val="0"/>
            <w:vAlign w:val="top"/>
          </w:tcPr>
          <w:p>
            <w:pPr>
              <w:ind w:firstLine="0" w:firstLineChars="0"/>
            </w:pPr>
          </w:p>
        </w:tc>
        <w:tc>
          <w:tcPr>
            <w:tcW w:w="2179" w:type="dxa"/>
            <w:noWrap w:val="0"/>
            <w:vAlign w:val="top"/>
          </w:tcPr>
          <w:p>
            <w:pPr>
              <w:ind w:firstLine="0" w:firstLineChars="0"/>
            </w:pPr>
          </w:p>
        </w:tc>
        <w:tc>
          <w:tcPr>
            <w:tcW w:w="2268" w:type="dxa"/>
            <w:noWrap w:val="0"/>
            <w:vAlign w:val="top"/>
          </w:tcPr>
          <w:p>
            <w:pPr>
              <w:ind w:firstLine="0" w:firstLineChars="0"/>
            </w:pPr>
          </w:p>
        </w:tc>
        <w:tc>
          <w:tcPr>
            <w:tcW w:w="2378" w:type="dxa"/>
            <w:noWrap w:val="0"/>
            <w:vAlign w:val="top"/>
          </w:tcPr>
          <w:p>
            <w:pPr>
              <w:ind w:firstLine="0" w:firstLineChars="0"/>
            </w:pPr>
          </w:p>
        </w:tc>
        <w:tc>
          <w:tcPr>
            <w:tcW w:w="1369" w:type="dxa"/>
            <w:noWrap w:val="0"/>
            <w:vAlign w:val="top"/>
          </w:tcPr>
          <w:p>
            <w:pPr>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ind w:firstLine="0" w:firstLineChars="0"/>
              <w:jc w:val="center"/>
            </w:pPr>
            <w:r>
              <w:rPr>
                <w:rFonts w:hint="eastAsia"/>
              </w:rPr>
              <w:t>2</w:t>
            </w:r>
          </w:p>
        </w:tc>
        <w:tc>
          <w:tcPr>
            <w:tcW w:w="2886" w:type="dxa"/>
            <w:noWrap w:val="0"/>
            <w:vAlign w:val="top"/>
          </w:tcPr>
          <w:p>
            <w:pPr>
              <w:ind w:firstLine="0" w:firstLineChars="0"/>
            </w:pPr>
          </w:p>
        </w:tc>
        <w:tc>
          <w:tcPr>
            <w:tcW w:w="1880" w:type="dxa"/>
            <w:noWrap w:val="0"/>
            <w:vAlign w:val="top"/>
          </w:tcPr>
          <w:p>
            <w:pPr>
              <w:ind w:firstLine="0" w:firstLineChars="0"/>
            </w:pPr>
          </w:p>
        </w:tc>
        <w:tc>
          <w:tcPr>
            <w:tcW w:w="2179" w:type="dxa"/>
            <w:noWrap w:val="0"/>
            <w:vAlign w:val="top"/>
          </w:tcPr>
          <w:p>
            <w:pPr>
              <w:ind w:firstLine="0" w:firstLineChars="0"/>
            </w:pPr>
          </w:p>
        </w:tc>
        <w:tc>
          <w:tcPr>
            <w:tcW w:w="2268" w:type="dxa"/>
            <w:noWrap w:val="0"/>
            <w:vAlign w:val="top"/>
          </w:tcPr>
          <w:p>
            <w:pPr>
              <w:ind w:firstLine="0" w:firstLineChars="0"/>
            </w:pPr>
          </w:p>
        </w:tc>
        <w:tc>
          <w:tcPr>
            <w:tcW w:w="2378" w:type="dxa"/>
            <w:noWrap w:val="0"/>
            <w:vAlign w:val="top"/>
          </w:tcPr>
          <w:p>
            <w:pPr>
              <w:ind w:firstLine="0" w:firstLineChars="0"/>
            </w:pPr>
          </w:p>
        </w:tc>
        <w:tc>
          <w:tcPr>
            <w:tcW w:w="1369" w:type="dxa"/>
            <w:noWrap w:val="0"/>
            <w:vAlign w:val="top"/>
          </w:tcPr>
          <w:p>
            <w:pPr>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ind w:firstLine="0" w:firstLineChars="0"/>
              <w:jc w:val="center"/>
            </w:pPr>
            <w:r>
              <w:rPr>
                <w:rFonts w:hint="eastAsia"/>
              </w:rPr>
              <w:t>3</w:t>
            </w:r>
          </w:p>
        </w:tc>
        <w:tc>
          <w:tcPr>
            <w:tcW w:w="2886" w:type="dxa"/>
            <w:noWrap w:val="0"/>
            <w:vAlign w:val="top"/>
          </w:tcPr>
          <w:p>
            <w:pPr>
              <w:ind w:firstLine="0" w:firstLineChars="0"/>
            </w:pPr>
          </w:p>
        </w:tc>
        <w:tc>
          <w:tcPr>
            <w:tcW w:w="1880" w:type="dxa"/>
            <w:noWrap w:val="0"/>
            <w:vAlign w:val="top"/>
          </w:tcPr>
          <w:p>
            <w:pPr>
              <w:ind w:firstLine="0" w:firstLineChars="0"/>
            </w:pPr>
          </w:p>
        </w:tc>
        <w:tc>
          <w:tcPr>
            <w:tcW w:w="2179" w:type="dxa"/>
            <w:noWrap w:val="0"/>
            <w:vAlign w:val="top"/>
          </w:tcPr>
          <w:p>
            <w:pPr>
              <w:ind w:firstLine="0" w:firstLineChars="0"/>
            </w:pPr>
          </w:p>
        </w:tc>
        <w:tc>
          <w:tcPr>
            <w:tcW w:w="2268" w:type="dxa"/>
            <w:noWrap w:val="0"/>
            <w:vAlign w:val="top"/>
          </w:tcPr>
          <w:p>
            <w:pPr>
              <w:ind w:firstLine="0" w:firstLineChars="0"/>
            </w:pPr>
          </w:p>
        </w:tc>
        <w:tc>
          <w:tcPr>
            <w:tcW w:w="2378" w:type="dxa"/>
            <w:noWrap w:val="0"/>
            <w:vAlign w:val="top"/>
          </w:tcPr>
          <w:p>
            <w:pPr>
              <w:ind w:firstLine="0" w:firstLineChars="0"/>
            </w:pPr>
          </w:p>
        </w:tc>
        <w:tc>
          <w:tcPr>
            <w:tcW w:w="1369" w:type="dxa"/>
            <w:noWrap w:val="0"/>
            <w:vAlign w:val="top"/>
          </w:tcPr>
          <w:p>
            <w:pPr>
              <w:ind w:firstLine="0" w:firstLineChars="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noWrap w:val="0"/>
            <w:vAlign w:val="center"/>
          </w:tcPr>
          <w:p>
            <w:pPr>
              <w:ind w:firstLine="0" w:firstLineChars="0"/>
              <w:jc w:val="center"/>
            </w:pPr>
            <w:r>
              <w:t>…</w:t>
            </w:r>
          </w:p>
        </w:tc>
        <w:tc>
          <w:tcPr>
            <w:tcW w:w="2886" w:type="dxa"/>
            <w:noWrap w:val="0"/>
            <w:vAlign w:val="top"/>
          </w:tcPr>
          <w:p>
            <w:pPr>
              <w:ind w:firstLine="0" w:firstLineChars="0"/>
            </w:pPr>
          </w:p>
        </w:tc>
        <w:tc>
          <w:tcPr>
            <w:tcW w:w="1880" w:type="dxa"/>
            <w:noWrap w:val="0"/>
            <w:vAlign w:val="top"/>
          </w:tcPr>
          <w:p>
            <w:pPr>
              <w:ind w:firstLine="0" w:firstLineChars="0"/>
            </w:pPr>
          </w:p>
        </w:tc>
        <w:tc>
          <w:tcPr>
            <w:tcW w:w="2179" w:type="dxa"/>
            <w:noWrap w:val="0"/>
            <w:vAlign w:val="top"/>
          </w:tcPr>
          <w:p>
            <w:pPr>
              <w:ind w:firstLine="0" w:firstLineChars="0"/>
            </w:pPr>
          </w:p>
        </w:tc>
        <w:tc>
          <w:tcPr>
            <w:tcW w:w="2268" w:type="dxa"/>
            <w:noWrap w:val="0"/>
            <w:vAlign w:val="top"/>
          </w:tcPr>
          <w:p>
            <w:pPr>
              <w:ind w:firstLine="0" w:firstLineChars="0"/>
            </w:pPr>
          </w:p>
        </w:tc>
        <w:tc>
          <w:tcPr>
            <w:tcW w:w="2378" w:type="dxa"/>
            <w:noWrap w:val="0"/>
            <w:vAlign w:val="top"/>
          </w:tcPr>
          <w:p>
            <w:pPr>
              <w:ind w:firstLine="0" w:firstLineChars="0"/>
            </w:pPr>
          </w:p>
        </w:tc>
        <w:tc>
          <w:tcPr>
            <w:tcW w:w="1369" w:type="dxa"/>
            <w:noWrap w:val="0"/>
            <w:vAlign w:val="top"/>
          </w:tcPr>
          <w:p>
            <w:pPr>
              <w:ind w:firstLine="0" w:firstLineChars="0"/>
            </w:pPr>
          </w:p>
        </w:tc>
      </w:tr>
    </w:tbl>
    <w:p>
      <w:pPr>
        <w:ind w:firstLine="482"/>
        <w:rPr>
          <w:rFonts w:cs="Arial"/>
          <w:b/>
          <w:bCs/>
          <w:kern w:val="0"/>
          <w:szCs w:val="21"/>
        </w:rPr>
      </w:pPr>
      <w:r>
        <w:rPr>
          <w:rFonts w:hint="eastAsia" w:cs="Arial"/>
          <w:b/>
          <w:bCs/>
          <w:kern w:val="0"/>
          <w:szCs w:val="21"/>
        </w:rPr>
        <w:t>注：</w:t>
      </w:r>
      <w:r>
        <w:rPr>
          <w:rFonts w:hint="eastAsia" w:cs="Arial"/>
          <w:b/>
          <w:bCs/>
          <w:kern w:val="0"/>
          <w:szCs w:val="21"/>
          <w:lang w:val="en-US" w:eastAsia="zh-CN"/>
        </w:rPr>
        <w:t>结合第三章评标办法，</w:t>
      </w:r>
      <w:r>
        <w:rPr>
          <w:rFonts w:hint="eastAsia" w:cs="Arial"/>
          <w:b/>
          <w:bCs/>
          <w:kern w:val="0"/>
          <w:szCs w:val="21"/>
        </w:rPr>
        <w:t>供应商须提供以上业绩的合同复印件</w:t>
      </w:r>
      <w:r>
        <w:rPr>
          <w:rFonts w:hint="eastAsia" w:cs="Arial"/>
          <w:b/>
          <w:bCs/>
          <w:kern w:val="0"/>
          <w:szCs w:val="21"/>
          <w:lang w:val="en-US" w:eastAsia="zh-CN"/>
        </w:rPr>
        <w:t>和发票</w:t>
      </w:r>
      <w:r>
        <w:rPr>
          <w:rFonts w:hint="eastAsia" w:cs="Arial"/>
          <w:b/>
          <w:bCs/>
          <w:kern w:val="0"/>
          <w:szCs w:val="21"/>
        </w:rPr>
        <w:t>并加盖公章，可附页。</w:t>
      </w:r>
    </w:p>
    <w:p>
      <w:pPr>
        <w:ind w:firstLine="480"/>
      </w:pPr>
    </w:p>
    <w:p>
      <w:pPr>
        <w:ind w:firstLine="480"/>
        <w:jc w:val="right"/>
        <w:sectPr>
          <w:pgSz w:w="16838" w:h="11906" w:orient="landscape"/>
          <w:pgMar w:top="1800" w:right="1440" w:bottom="1800" w:left="1440" w:header="851" w:footer="992" w:gutter="0"/>
          <w:pgNumType w:fmt="decimal"/>
          <w:cols w:space="720" w:num="1"/>
          <w:docGrid w:type="lines" w:linePitch="326" w:charSpace="0"/>
        </w:sectPr>
      </w:pPr>
      <w:r>
        <w:rPr>
          <w:rFonts w:hint="eastAsia"/>
        </w:rPr>
        <w:t xml:space="preserve"> </w:t>
      </w:r>
    </w:p>
    <w:p>
      <w:pPr>
        <w:pStyle w:val="2"/>
        <w:ind w:firstLine="0" w:firstLineChars="0"/>
      </w:pPr>
      <w:bookmarkStart w:id="26" w:name="OLE_LINK1"/>
      <w:bookmarkStart w:id="27" w:name="OLE_LINK2"/>
      <w:r>
        <w:t>第</w:t>
      </w:r>
      <w:r>
        <w:rPr>
          <w:rFonts w:hint="eastAsia"/>
        </w:rPr>
        <w:t>三</w:t>
      </w:r>
      <w:r>
        <w:t>册</w:t>
      </w:r>
      <w:r>
        <w:rPr>
          <w:rFonts w:hint="eastAsia"/>
        </w:rPr>
        <w:t xml:space="preserve"> 报价部分</w:t>
      </w:r>
    </w:p>
    <w:bookmarkEnd w:id="26"/>
    <w:bookmarkEnd w:id="27"/>
    <w:p>
      <w:pPr>
        <w:ind w:firstLine="480"/>
        <w:jc w:val="right"/>
        <w:rPr>
          <w:rFonts w:ascii="宋体" w:hAnsi="宋体" w:cs="宋体"/>
          <w:bCs/>
          <w:sz w:val="36"/>
          <w:szCs w:val="36"/>
        </w:rPr>
      </w:pPr>
      <w:r>
        <w:rPr>
          <w:rFonts w:hint="eastAsia" w:ascii="宋体" w:hAnsi="宋体" w:cs="宋体"/>
        </w:rPr>
        <w:t xml:space="preserve"> </w:t>
      </w:r>
      <w:r>
        <w:rPr>
          <w:rFonts w:ascii="宋体" w:hAnsi="宋体" w:cs="宋体"/>
        </w:rPr>
        <w:t xml:space="preserve">                                                                    </w:t>
      </w:r>
      <w:r>
        <w:rPr>
          <w:rFonts w:hint="eastAsia" w:ascii="宋体" w:hAnsi="宋体" w:cs="宋体"/>
        </w:rPr>
        <w:t>正本/副本</w:t>
      </w:r>
    </w:p>
    <w:p>
      <w:pPr>
        <w:ind w:firstLine="0" w:firstLineChars="0"/>
        <w:jc w:val="center"/>
        <w:rPr>
          <w:rFonts w:ascii="宋体" w:hAnsi="宋体" w:cs="宋体"/>
          <w:b/>
          <w:sz w:val="40"/>
          <w:szCs w:val="40"/>
        </w:rPr>
      </w:pPr>
    </w:p>
    <w:p>
      <w:pPr>
        <w:ind w:firstLine="0" w:firstLineChars="0"/>
        <w:jc w:val="center"/>
        <w:rPr>
          <w:rFonts w:hint="eastAsia" w:ascii="宋体" w:hAnsi="宋体" w:cs="宋体"/>
          <w:b/>
          <w:sz w:val="40"/>
          <w:szCs w:val="40"/>
          <w:lang w:eastAsia="zh-CN"/>
        </w:rPr>
      </w:pPr>
      <w:r>
        <w:rPr>
          <w:rFonts w:hint="eastAsia" w:ascii="宋体" w:hAnsi="宋体" w:cs="宋体"/>
          <w:b/>
          <w:sz w:val="40"/>
          <w:szCs w:val="40"/>
          <w:lang w:eastAsia="zh-CN"/>
        </w:rPr>
        <w:t>南通轨道交通集团有限公司运营分公司2026-2029年度劳保洗护用品采购项目（二次）</w:t>
      </w:r>
    </w:p>
    <w:p>
      <w:pPr>
        <w:ind w:firstLine="0" w:firstLineChars="0"/>
        <w:jc w:val="center"/>
        <w:rPr>
          <w:rFonts w:ascii="宋体" w:hAnsi="宋体" w:cs="宋体"/>
          <w:bCs/>
          <w:sz w:val="36"/>
          <w:szCs w:val="36"/>
        </w:rPr>
      </w:pPr>
      <w:r>
        <w:rPr>
          <w:rFonts w:hint="eastAsia" w:ascii="宋体" w:hAnsi="宋体" w:cs="宋体"/>
          <w:b/>
          <w:sz w:val="40"/>
          <w:szCs w:val="40"/>
        </w:rPr>
        <w:t>（项目编号：</w:t>
      </w:r>
      <w:r>
        <w:rPr>
          <w:rFonts w:hint="eastAsia" w:ascii="宋体" w:hAnsi="宋体" w:cs="宋体"/>
          <w:b/>
          <w:sz w:val="40"/>
          <w:szCs w:val="40"/>
          <w:lang w:eastAsia="zh-CN"/>
        </w:rPr>
        <w:t>NTGY-2026-HW-ZB-023</w:t>
      </w:r>
      <w:r>
        <w:rPr>
          <w:rFonts w:hint="eastAsia" w:ascii="宋体" w:hAnsi="宋体" w:cs="宋体"/>
          <w:b/>
          <w:sz w:val="40"/>
          <w:szCs w:val="40"/>
        </w:rPr>
        <w:t>）</w:t>
      </w:r>
    </w:p>
    <w:p>
      <w:pPr>
        <w:ind w:firstLine="0" w:firstLineChars="0"/>
        <w:jc w:val="center"/>
        <w:rPr>
          <w:rFonts w:ascii="宋体" w:hAnsi="宋体" w:cs="宋体"/>
          <w:bCs/>
          <w:sz w:val="36"/>
          <w:szCs w:val="36"/>
        </w:rPr>
      </w:pPr>
    </w:p>
    <w:p>
      <w:pPr>
        <w:ind w:firstLine="0" w:firstLineChars="0"/>
        <w:jc w:val="center"/>
        <w:rPr>
          <w:rFonts w:ascii="宋体" w:hAnsi="宋体" w:cs="宋体"/>
          <w:bCs/>
          <w:sz w:val="36"/>
          <w:szCs w:val="36"/>
        </w:rPr>
      </w:pPr>
    </w:p>
    <w:p>
      <w:pPr>
        <w:ind w:firstLine="0" w:firstLineChars="0"/>
        <w:jc w:val="center"/>
        <w:rPr>
          <w:rFonts w:ascii="宋体" w:hAnsi="宋体" w:cs="宋体"/>
          <w:bCs/>
          <w:sz w:val="52"/>
          <w:szCs w:val="52"/>
        </w:rPr>
      </w:pPr>
      <w:r>
        <w:rPr>
          <w:rFonts w:hint="eastAsia" w:ascii="宋体" w:hAnsi="宋体" w:cs="宋体"/>
          <w:bCs/>
          <w:sz w:val="52"/>
          <w:szCs w:val="52"/>
        </w:rPr>
        <w:t>响应文件</w:t>
      </w:r>
    </w:p>
    <w:p>
      <w:pPr>
        <w:ind w:firstLine="0" w:firstLineChars="0"/>
        <w:jc w:val="center"/>
        <w:rPr>
          <w:rFonts w:ascii="宋体" w:hAnsi="宋体" w:cs="宋体"/>
          <w:bCs/>
          <w:sz w:val="32"/>
          <w:szCs w:val="32"/>
        </w:rPr>
      </w:pPr>
      <w:r>
        <w:rPr>
          <w:rFonts w:hint="eastAsia" w:ascii="宋体" w:hAnsi="宋体" w:cs="宋体"/>
          <w:bCs/>
          <w:sz w:val="32"/>
          <w:szCs w:val="32"/>
        </w:rPr>
        <w:t>第三册 报价部分</w:t>
      </w: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b/>
          <w:sz w:val="36"/>
          <w:szCs w:val="36"/>
        </w:rPr>
      </w:pPr>
    </w:p>
    <w:p>
      <w:pPr>
        <w:ind w:firstLine="0" w:firstLineChars="0"/>
        <w:jc w:val="center"/>
        <w:rPr>
          <w:rFonts w:ascii="宋体" w:hAnsi="宋体" w:cs="宋体"/>
          <w:u w:val="single"/>
        </w:rPr>
      </w:pPr>
      <w:r>
        <w:rPr>
          <w:rFonts w:hint="eastAsia" w:ascii="宋体" w:hAnsi="宋体" w:cs="宋体"/>
        </w:rPr>
        <w:t>供应商：</w:t>
      </w:r>
      <w:r>
        <w:rPr>
          <w:rFonts w:hint="eastAsia" w:ascii="宋体" w:hAnsi="宋体" w:cs="宋体"/>
          <w:u w:val="single"/>
        </w:rPr>
        <w:t xml:space="preserve">               （加盖公章）</w:t>
      </w:r>
    </w:p>
    <w:p>
      <w:pPr>
        <w:ind w:firstLine="0" w:firstLineChars="0"/>
        <w:jc w:val="center"/>
        <w:rPr>
          <w:rFonts w:ascii="宋体" w:hAnsi="宋体" w:cs="宋体"/>
          <w:u w:val="single"/>
        </w:rPr>
      </w:pPr>
      <w:r>
        <w:rPr>
          <w:rFonts w:hint="eastAsia" w:ascii="宋体" w:hAnsi="宋体" w:cs="宋体"/>
        </w:rPr>
        <w:t>法定代表人或授权代理人：</w:t>
      </w:r>
      <w:r>
        <w:rPr>
          <w:rFonts w:hint="eastAsia" w:ascii="宋体" w:hAnsi="宋体" w:cs="宋体"/>
          <w:u w:val="single"/>
        </w:rPr>
        <w:t xml:space="preserve">   （签字）</w:t>
      </w:r>
    </w:p>
    <w:p>
      <w:pPr>
        <w:ind w:firstLine="0" w:firstLineChars="0"/>
        <w:jc w:val="center"/>
        <w:rPr>
          <w:rFonts w:ascii="宋体" w:hAnsi="宋体" w:cs="宋体"/>
        </w:rPr>
      </w:pPr>
      <w:r>
        <w:rPr>
          <w:rFonts w:hint="eastAsia" w:ascii="宋体" w:hAnsi="宋体" w:cs="宋体"/>
        </w:rPr>
        <w:t>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pPr>
        <w:ind w:firstLine="480"/>
      </w:pPr>
      <w:r>
        <w:rPr>
          <w:rFonts w:hint="eastAsia"/>
        </w:rPr>
        <w:br w:type="page"/>
      </w:r>
    </w:p>
    <w:p>
      <w:pPr>
        <w:pStyle w:val="4"/>
        <w:ind w:firstLine="0" w:firstLineChars="0"/>
        <w:jc w:val="center"/>
      </w:pPr>
      <w:r>
        <w:rPr>
          <w:rFonts w:hint="eastAsia"/>
        </w:rPr>
        <w:t>目录</w:t>
      </w:r>
    </w:p>
    <w:p>
      <w:pPr>
        <w:ind w:firstLine="480"/>
      </w:pPr>
      <w:r>
        <w:rPr>
          <w:rFonts w:hint="eastAsia"/>
        </w:rPr>
        <w:t>1</w:t>
      </w:r>
      <w:r>
        <w:t xml:space="preserve"> </w:t>
      </w:r>
      <w:r>
        <w:rPr>
          <w:rFonts w:hint="eastAsia"/>
        </w:rPr>
        <w:t>响应函</w:t>
      </w:r>
    </w:p>
    <w:p>
      <w:pPr>
        <w:ind w:firstLine="480"/>
      </w:pPr>
      <w:r>
        <w:rPr>
          <w:rFonts w:hint="eastAsia"/>
        </w:rPr>
        <w:t>2</w:t>
      </w:r>
      <w:r>
        <w:t xml:space="preserve"> </w:t>
      </w:r>
      <w:r>
        <w:rPr>
          <w:rFonts w:hint="eastAsia"/>
        </w:rPr>
        <w:t>分项报价表</w:t>
      </w:r>
    </w:p>
    <w:p>
      <w:pPr>
        <w:widowControl/>
        <w:spacing w:line="240" w:lineRule="auto"/>
        <w:ind w:firstLine="0" w:firstLineChars="0"/>
        <w:jc w:val="left"/>
      </w:pPr>
      <w:r>
        <w:br w:type="page"/>
      </w:r>
    </w:p>
    <w:p>
      <w:pPr>
        <w:pStyle w:val="4"/>
        <w:ind w:firstLine="0" w:firstLineChars="0"/>
      </w:pPr>
      <w:r>
        <w:t>1响应函</w:t>
      </w:r>
    </w:p>
    <w:p>
      <w:pPr>
        <w:spacing w:line="400" w:lineRule="exact"/>
        <w:ind w:firstLine="560"/>
        <w:jc w:val="center"/>
        <w:rPr>
          <w:rFonts w:ascii="等线" w:hAnsi="等线" w:eastAsia="等线" w:cs="等线"/>
          <w:b/>
          <w:sz w:val="28"/>
          <w:szCs w:val="28"/>
        </w:rPr>
      </w:pPr>
      <w:r>
        <w:rPr>
          <w:rFonts w:hint="eastAsia" w:ascii="等线" w:hAnsi="等线" w:eastAsia="等线" w:cs="等线"/>
          <w:b/>
          <w:sz w:val="28"/>
          <w:szCs w:val="28"/>
        </w:rPr>
        <w:t>响应函</w:t>
      </w:r>
    </w:p>
    <w:p>
      <w:pPr>
        <w:ind w:firstLine="0" w:firstLineChars="0"/>
      </w:pPr>
      <w:r>
        <w:rPr>
          <w:rFonts w:hint="eastAsia"/>
          <w:u w:val="single"/>
        </w:rPr>
        <w:t xml:space="preserve"> 南通轨道交通集团有限公司运营分公司</w:t>
      </w:r>
      <w:r>
        <w:rPr>
          <w:rFonts w:hint="eastAsia"/>
        </w:rPr>
        <w:t>：</w:t>
      </w:r>
    </w:p>
    <w:p>
      <w:pPr>
        <w:ind w:firstLine="480"/>
      </w:pPr>
      <w:r>
        <w:rPr>
          <w:rFonts w:hint="eastAsia"/>
        </w:rPr>
        <w:t>我司已仔细阅读研究了</w:t>
      </w:r>
      <w:r>
        <w:rPr>
          <w:rFonts w:hint="eastAsia"/>
          <w:u w:val="single"/>
          <w:lang w:eastAsia="zh-CN"/>
        </w:rPr>
        <w:t>南通轨道交通集团有限公司运营分公司2026-2029年度劳保洗护用品采购项目（二次）</w:t>
      </w:r>
      <w:r>
        <w:rPr>
          <w:rFonts w:hint="eastAsia"/>
          <w:u w:val="single"/>
        </w:rPr>
        <w:t>（项目编号：</w:t>
      </w:r>
      <w:r>
        <w:rPr>
          <w:rFonts w:hint="eastAsia"/>
          <w:u w:val="single"/>
          <w:lang w:eastAsia="zh-CN"/>
        </w:rPr>
        <w:t>NTGY-2026-HW-ZB-023</w:t>
      </w:r>
      <w:r>
        <w:rPr>
          <w:rFonts w:hint="eastAsia"/>
          <w:u w:val="single"/>
        </w:rPr>
        <w:t>）</w:t>
      </w:r>
      <w:r>
        <w:rPr>
          <w:rFonts w:hint="eastAsia"/>
        </w:rPr>
        <w:t>采购文件的全部内容，愿以含税价人民币（大写）</w:t>
      </w:r>
      <w:r>
        <w:rPr>
          <w:rFonts w:hint="eastAsia"/>
          <w:u w:val="single"/>
        </w:rPr>
        <w:t xml:space="preserve"> </w:t>
      </w:r>
      <w:r>
        <w:rPr>
          <w:u w:val="single"/>
        </w:rPr>
        <w:t xml:space="preserve">         </w:t>
      </w:r>
      <w:r>
        <w:rPr>
          <w:rFonts w:hint="eastAsia"/>
        </w:rPr>
        <w:t>（¥</w:t>
      </w:r>
      <w:r>
        <w:rPr>
          <w:u w:val="single"/>
        </w:rPr>
        <w:t xml:space="preserve">         </w:t>
      </w:r>
      <w:r>
        <w:rPr>
          <w:rFonts w:hint="eastAsia"/>
        </w:rPr>
        <w:t>元）的</w:t>
      </w:r>
      <w:r>
        <w:rPr>
          <w:rFonts w:hint="eastAsia"/>
          <w:lang w:val="en-US" w:eastAsia="zh-CN"/>
        </w:rPr>
        <w:t>单份</w:t>
      </w:r>
      <w:r>
        <w:rPr>
          <w:rFonts w:hint="eastAsia"/>
        </w:rPr>
        <w:t>报价（其中，增值税税率</w:t>
      </w:r>
      <w:r>
        <w:rPr>
          <w:rFonts w:hint="eastAsia"/>
          <w:u w:val="single"/>
        </w:rPr>
        <w:t xml:space="preserve"> </w:t>
      </w:r>
      <w:r>
        <w:rPr>
          <w:u w:val="single"/>
        </w:rPr>
        <w:t xml:space="preserve"> </w:t>
      </w:r>
      <w:r>
        <w:t>%</w:t>
      </w:r>
      <w:r>
        <w:rPr>
          <w:rFonts w:hint="eastAsia"/>
        </w:rPr>
        <w:t>），提供本项目采购文件要求的所有内容，并按合同约定履行义务。</w:t>
      </w:r>
    </w:p>
    <w:p>
      <w:pPr>
        <w:ind w:firstLine="480"/>
      </w:pPr>
      <w:r>
        <w:rPr>
          <w:rFonts w:hint="eastAsia"/>
        </w:rPr>
        <w:t>一、本响应文件自递交响应文件的截止时间起</w:t>
      </w:r>
      <w:r>
        <w:rPr>
          <w:rFonts w:hint="eastAsia"/>
          <w:u w:val="single"/>
        </w:rPr>
        <w:t>90</w:t>
      </w:r>
      <w:r>
        <w:rPr>
          <w:rFonts w:hint="eastAsia"/>
        </w:rPr>
        <w:t>日内有效。</w:t>
      </w:r>
    </w:p>
    <w:p>
      <w:pPr>
        <w:ind w:firstLine="480"/>
      </w:pPr>
      <w:r>
        <w:rPr>
          <w:rFonts w:hint="eastAsia"/>
        </w:rPr>
        <w:t>二、我司认为贵司有权决定成交供应商，还认为贵司有权接受或拒绝所有的响应供应商。</w:t>
      </w:r>
    </w:p>
    <w:p>
      <w:pPr>
        <w:ind w:firstLine="480"/>
      </w:pPr>
      <w:r>
        <w:rPr>
          <w:rFonts w:hint="eastAsia"/>
        </w:rPr>
        <w:t>三、我司愿提供采购文件中要求的全部资料，并配合采购人对资料的真实性进行验证。</w:t>
      </w:r>
    </w:p>
    <w:p>
      <w:pPr>
        <w:ind w:firstLine="480"/>
      </w:pPr>
      <w:r>
        <w:rPr>
          <w:rFonts w:hint="eastAsia"/>
        </w:rPr>
        <w:t>四、</w:t>
      </w:r>
      <w:r>
        <w:t>如我</w:t>
      </w:r>
      <w:r>
        <w:rPr>
          <w:rFonts w:hint="eastAsia"/>
        </w:rPr>
        <w:t>司成为成交供应商</w:t>
      </w:r>
      <w:r>
        <w:t>，我方承诺：</w:t>
      </w:r>
    </w:p>
    <w:p>
      <w:pPr>
        <w:ind w:firstLine="480"/>
      </w:pPr>
      <w:r>
        <w:rPr>
          <w:rFonts w:hint="eastAsia"/>
        </w:rPr>
        <w:t>（1）</w:t>
      </w:r>
      <w:r>
        <w:t>在收到</w:t>
      </w:r>
      <w:r>
        <w:rPr>
          <w:rFonts w:hint="eastAsia"/>
        </w:rPr>
        <w:t>成交</w:t>
      </w:r>
      <w:r>
        <w:t>通知书后，在</w:t>
      </w:r>
      <w:r>
        <w:rPr>
          <w:rFonts w:hint="eastAsia"/>
        </w:rPr>
        <w:t>成交</w:t>
      </w:r>
      <w:r>
        <w:t>通知书规定的期限内与</w:t>
      </w:r>
      <w:r>
        <w:rPr>
          <w:rFonts w:hint="eastAsia"/>
        </w:rPr>
        <w:t>贵司</w:t>
      </w:r>
      <w:r>
        <w:t>签订合同；</w:t>
      </w:r>
    </w:p>
    <w:p>
      <w:pPr>
        <w:ind w:firstLine="480"/>
      </w:pPr>
      <w:r>
        <w:t>（2）在签订合同时不向</w:t>
      </w:r>
      <w:r>
        <w:rPr>
          <w:rFonts w:hint="eastAsia"/>
        </w:rPr>
        <w:t>贵司</w:t>
      </w:r>
      <w:r>
        <w:t>提出附加条件；</w:t>
      </w:r>
    </w:p>
    <w:p>
      <w:pPr>
        <w:ind w:firstLine="480"/>
      </w:pPr>
      <w:r>
        <w:t>（3）按照</w:t>
      </w:r>
      <w:r>
        <w:rPr>
          <w:rFonts w:hint="eastAsia"/>
        </w:rPr>
        <w:t>采购</w:t>
      </w:r>
      <w:r>
        <w:t>文件要求提交履约保证金；</w:t>
      </w:r>
    </w:p>
    <w:p>
      <w:pPr>
        <w:ind w:firstLine="480"/>
      </w:pPr>
      <w:r>
        <w:t>（4）在合同约定的期限内完成合同规定的全部义务。</w:t>
      </w:r>
    </w:p>
    <w:p>
      <w:pPr>
        <w:ind w:firstLine="480"/>
      </w:pPr>
      <w:r>
        <w:rPr>
          <w:rFonts w:hint="eastAsia"/>
        </w:rPr>
        <w:t>所有有关报价响应文件、供货、合同履行、售后服务的函电，请按下列联系：</w:t>
      </w:r>
    </w:p>
    <w:p>
      <w:pPr>
        <w:ind w:firstLine="480"/>
      </w:pPr>
    </w:p>
    <w:p>
      <w:pPr>
        <w:ind w:firstLine="480"/>
        <w:jc w:val="right"/>
      </w:pPr>
      <w:r>
        <w:rPr>
          <w:rFonts w:hint="eastAsia"/>
        </w:rPr>
        <w:t>供应商： （加盖公章）</w:t>
      </w:r>
    </w:p>
    <w:p>
      <w:pPr>
        <w:ind w:firstLine="480"/>
        <w:jc w:val="right"/>
      </w:pPr>
      <w:r>
        <w:rPr>
          <w:rFonts w:hint="eastAsia"/>
        </w:rPr>
        <w:t>法定代表人或授权代理人：（签字或盖章）</w:t>
      </w:r>
    </w:p>
    <w:p>
      <w:pPr>
        <w:wordWrap w:val="0"/>
        <w:ind w:firstLine="480"/>
        <w:jc w:val="right"/>
      </w:pPr>
      <w:r>
        <w:rPr>
          <w:rFonts w:hint="eastAsia"/>
        </w:rPr>
        <w:t xml:space="preserve">地址： </w:t>
      </w:r>
      <w:r>
        <w:t xml:space="preserve"> </w:t>
      </w:r>
      <w:r>
        <w:rPr>
          <w:rFonts w:hint="eastAsia"/>
        </w:rPr>
        <w:t xml:space="preserve"> </w:t>
      </w:r>
      <w:r>
        <w:t xml:space="preserve">          </w:t>
      </w:r>
    </w:p>
    <w:p>
      <w:pPr>
        <w:wordWrap w:val="0"/>
        <w:ind w:firstLine="480"/>
        <w:jc w:val="right"/>
      </w:pPr>
      <w:r>
        <w:rPr>
          <w:rFonts w:hint="eastAsia"/>
        </w:rPr>
        <w:t xml:space="preserve">电话： </w:t>
      </w:r>
      <w:r>
        <w:t xml:space="preserve"> </w:t>
      </w:r>
      <w:r>
        <w:rPr>
          <w:rFonts w:hint="eastAsia"/>
        </w:rPr>
        <w:t xml:space="preserve"> </w:t>
      </w:r>
      <w:r>
        <w:t xml:space="preserve">          </w:t>
      </w:r>
    </w:p>
    <w:p>
      <w:pPr>
        <w:wordWrap w:val="0"/>
        <w:ind w:firstLine="480"/>
        <w:jc w:val="right"/>
      </w:pPr>
      <w:r>
        <w:rPr>
          <w:rFonts w:hint="eastAsia"/>
        </w:rPr>
        <w:t xml:space="preserve">公司邮箱： </w:t>
      </w:r>
      <w:r>
        <w:t xml:space="preserve">            </w:t>
      </w:r>
    </w:p>
    <w:p>
      <w:pPr>
        <w:ind w:firstLine="480"/>
        <w:jc w:val="right"/>
        <w:rPr>
          <w:rFonts w:hint="eastAsia"/>
        </w:rPr>
        <w:sectPr>
          <w:pgSz w:w="11906" w:h="16838"/>
          <w:pgMar w:top="1418" w:right="1588" w:bottom="1418" w:left="1588" w:header="851" w:footer="992" w:gutter="0"/>
          <w:pgNumType w:fmt="decimal"/>
          <w:cols w:space="720" w:num="1"/>
          <w:docGrid w:linePitch="326" w:charSpace="0"/>
        </w:sectPr>
      </w:pPr>
      <w:r>
        <w:rPr>
          <w:rFonts w:hint="eastAsia"/>
        </w:rPr>
        <w:t xml:space="preserve">    年  　月　  日</w:t>
      </w:r>
    </w:p>
    <w:p>
      <w:pPr>
        <w:widowControl/>
        <w:spacing w:line="240" w:lineRule="auto"/>
        <w:ind w:firstLine="0" w:firstLineChars="0"/>
        <w:jc w:val="left"/>
      </w:pPr>
      <w:r>
        <w:t>2</w:t>
      </w:r>
      <w:r>
        <w:rPr>
          <w:rFonts w:hint="eastAsia"/>
        </w:rPr>
        <w:t>分项报价表</w:t>
      </w:r>
    </w:p>
    <w:p>
      <w:pPr>
        <w:ind w:firstLine="562"/>
        <w:jc w:val="center"/>
        <w:rPr>
          <w:rFonts w:hint="eastAsia" w:eastAsia="宋体"/>
          <w:b/>
          <w:bCs/>
          <w:sz w:val="28"/>
          <w:szCs w:val="24"/>
          <w:lang w:eastAsia="zh-CN"/>
        </w:rPr>
      </w:pPr>
      <w:bookmarkStart w:id="28" w:name="_Toc28144"/>
      <w:r>
        <w:rPr>
          <w:rFonts w:hint="eastAsia"/>
          <w:b/>
          <w:bCs/>
          <w:sz w:val="28"/>
          <w:szCs w:val="24"/>
        </w:rPr>
        <w:t>分项报价表</w:t>
      </w:r>
      <w:bookmarkEnd w:id="28"/>
      <w:r>
        <w:rPr>
          <w:rFonts w:hint="eastAsia"/>
          <w:b/>
          <w:bCs/>
          <w:sz w:val="28"/>
          <w:szCs w:val="24"/>
          <w:lang w:eastAsia="zh-CN"/>
        </w:rPr>
        <w:t>（</w:t>
      </w:r>
      <w:r>
        <w:rPr>
          <w:rFonts w:hint="eastAsia"/>
          <w:b/>
          <w:bCs/>
          <w:sz w:val="28"/>
          <w:szCs w:val="24"/>
          <w:lang w:val="en-US" w:eastAsia="zh-CN"/>
        </w:rPr>
        <w:t>单份</w:t>
      </w:r>
      <w:r>
        <w:rPr>
          <w:rFonts w:hint="eastAsia"/>
          <w:b/>
          <w:bCs/>
          <w:sz w:val="28"/>
          <w:szCs w:val="24"/>
          <w:lang w:eastAsia="zh-CN"/>
        </w:rPr>
        <w:t>）</w:t>
      </w:r>
    </w:p>
    <w:p>
      <w:pPr>
        <w:ind w:firstLine="0" w:firstLineChars="0"/>
        <w:rPr>
          <w:rFonts w:hint="eastAsia"/>
          <w:sz w:val="21"/>
          <w:szCs w:val="21"/>
          <w:u w:val="single"/>
          <w:lang w:eastAsia="zh-CN"/>
        </w:rPr>
      </w:pPr>
      <w:r>
        <w:rPr>
          <w:rFonts w:hint="eastAsia"/>
          <w:sz w:val="21"/>
          <w:szCs w:val="21"/>
        </w:rPr>
        <w:t>项目名称：</w:t>
      </w:r>
      <w:r>
        <w:rPr>
          <w:rFonts w:hint="eastAsia"/>
          <w:sz w:val="21"/>
          <w:szCs w:val="21"/>
          <w:u w:val="single"/>
          <w:lang w:eastAsia="zh-CN"/>
        </w:rPr>
        <w:t>南通轨道交通集团有限公司运营分公司2026-2029年度劳保洗护用品采购项目（二次）</w:t>
      </w:r>
    </w:p>
    <w:p>
      <w:pPr>
        <w:ind w:firstLine="0" w:firstLineChars="0"/>
        <w:rPr>
          <w:sz w:val="21"/>
          <w:szCs w:val="21"/>
          <w:u w:val="single"/>
        </w:rPr>
      </w:pPr>
      <w:r>
        <w:rPr>
          <w:rFonts w:hint="eastAsia"/>
          <w:sz w:val="21"/>
          <w:szCs w:val="21"/>
          <w:u w:val="single"/>
        </w:rPr>
        <w:t>（项目编号：</w:t>
      </w:r>
      <w:r>
        <w:rPr>
          <w:rFonts w:hint="eastAsia"/>
          <w:sz w:val="21"/>
          <w:szCs w:val="21"/>
          <w:u w:val="single"/>
          <w:lang w:eastAsia="zh-CN"/>
        </w:rPr>
        <w:t>NTGY-2026-HW-ZB-023</w:t>
      </w:r>
      <w:r>
        <w:rPr>
          <w:rFonts w:hint="eastAsia"/>
          <w:sz w:val="21"/>
          <w:szCs w:val="21"/>
          <w:u w:val="single"/>
        </w:rPr>
        <w:t>）</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1367"/>
        <w:gridCol w:w="3537"/>
        <w:gridCol w:w="738"/>
        <w:gridCol w:w="810"/>
        <w:gridCol w:w="3852"/>
        <w:gridCol w:w="1228"/>
        <w:gridCol w:w="1228"/>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026" w:type="dxa"/>
            <w:gridSpan w:val="5"/>
            <w:noWrap w:val="0"/>
            <w:vAlign w:val="center"/>
          </w:tcPr>
          <w:p>
            <w:pPr>
              <w:widowControl/>
              <w:ind w:firstLine="422"/>
              <w:jc w:val="center"/>
              <w:textAlignment w:val="center"/>
              <w:rPr>
                <w:rFonts w:ascii="宋体" w:hAnsi="宋体" w:cs="宋体"/>
                <w:b/>
                <w:bCs/>
                <w:color w:val="000000"/>
                <w:sz w:val="21"/>
                <w:szCs w:val="21"/>
              </w:rPr>
            </w:pPr>
            <w:r>
              <w:rPr>
                <w:rStyle w:val="59"/>
                <w:rFonts w:hint="default"/>
                <w:lang w:bidi="ar"/>
              </w:rPr>
              <w:t>采购物资描述</w:t>
            </w:r>
          </w:p>
        </w:tc>
        <w:tc>
          <w:tcPr>
            <w:tcW w:w="7192" w:type="dxa"/>
            <w:gridSpan w:val="4"/>
            <w:noWrap w:val="0"/>
            <w:vAlign w:val="center"/>
          </w:tcPr>
          <w:p>
            <w:pPr>
              <w:widowControl/>
              <w:ind w:firstLine="422"/>
              <w:jc w:val="center"/>
              <w:textAlignment w:val="center"/>
              <w:rPr>
                <w:rFonts w:ascii="宋体" w:hAnsi="宋体" w:cs="宋体"/>
                <w:b/>
                <w:bCs/>
                <w:color w:val="000000"/>
                <w:sz w:val="21"/>
                <w:szCs w:val="21"/>
              </w:rPr>
            </w:pPr>
            <w:r>
              <w:rPr>
                <w:rStyle w:val="59"/>
                <w:rFonts w:hint="default"/>
                <w:lang w:bidi="ar"/>
              </w:rPr>
              <w:t>响应物资描述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0" w:type="auto"/>
            <w:noWrap w:val="0"/>
            <w:vAlign w:val="center"/>
          </w:tcPr>
          <w:p>
            <w:pPr>
              <w:widowControl/>
              <w:ind w:firstLine="0" w:firstLineChars="0"/>
              <w:jc w:val="center"/>
              <w:textAlignment w:val="center"/>
              <w:rPr>
                <w:rFonts w:ascii="宋体" w:hAnsi="宋体" w:cs="宋体"/>
                <w:color w:val="000000"/>
                <w:sz w:val="21"/>
                <w:szCs w:val="21"/>
              </w:rPr>
            </w:pPr>
            <w:r>
              <w:rPr>
                <w:rStyle w:val="60"/>
                <w:rFonts w:hint="default"/>
                <w:lang w:bidi="ar"/>
              </w:rPr>
              <w:t>序号</w:t>
            </w:r>
          </w:p>
        </w:tc>
        <w:tc>
          <w:tcPr>
            <w:tcW w:w="0" w:type="auto"/>
            <w:noWrap w:val="0"/>
            <w:vAlign w:val="center"/>
          </w:tcPr>
          <w:p>
            <w:pPr>
              <w:widowControl/>
              <w:ind w:firstLine="0" w:firstLineChars="0"/>
              <w:jc w:val="center"/>
              <w:textAlignment w:val="center"/>
              <w:rPr>
                <w:rFonts w:ascii="宋体" w:hAnsi="宋体" w:cs="宋体"/>
                <w:color w:val="000000"/>
                <w:sz w:val="21"/>
                <w:szCs w:val="21"/>
              </w:rPr>
            </w:pPr>
            <w:r>
              <w:rPr>
                <w:rStyle w:val="60"/>
                <w:rFonts w:hint="default"/>
                <w:lang w:bidi="ar"/>
              </w:rPr>
              <w:t>物资名称</w:t>
            </w:r>
          </w:p>
        </w:tc>
        <w:tc>
          <w:tcPr>
            <w:tcW w:w="0" w:type="auto"/>
            <w:noWrap w:val="0"/>
            <w:vAlign w:val="center"/>
          </w:tcPr>
          <w:p>
            <w:pPr>
              <w:widowControl/>
              <w:ind w:firstLine="0" w:firstLineChars="0"/>
              <w:jc w:val="center"/>
              <w:textAlignment w:val="center"/>
              <w:rPr>
                <w:rFonts w:ascii="宋体" w:hAnsi="宋体" w:cs="宋体"/>
                <w:color w:val="000000"/>
                <w:sz w:val="21"/>
                <w:szCs w:val="21"/>
              </w:rPr>
            </w:pPr>
            <w:r>
              <w:rPr>
                <w:rStyle w:val="60"/>
                <w:rFonts w:hint="default"/>
                <w:lang w:bidi="ar"/>
              </w:rPr>
              <w:t>物资描述</w:t>
            </w:r>
          </w:p>
        </w:tc>
        <w:tc>
          <w:tcPr>
            <w:tcW w:w="738" w:type="dxa"/>
            <w:noWrap w:val="0"/>
            <w:vAlign w:val="center"/>
          </w:tcPr>
          <w:p>
            <w:pPr>
              <w:widowControl/>
              <w:ind w:firstLine="0" w:firstLineChars="0"/>
              <w:jc w:val="center"/>
              <w:textAlignment w:val="center"/>
              <w:rPr>
                <w:rFonts w:ascii="宋体" w:hAnsi="宋体" w:cs="宋体"/>
                <w:color w:val="000000"/>
                <w:sz w:val="21"/>
                <w:szCs w:val="21"/>
              </w:rPr>
            </w:pPr>
            <w:r>
              <w:rPr>
                <w:rStyle w:val="60"/>
                <w:rFonts w:hint="default"/>
                <w:lang w:bidi="ar"/>
              </w:rPr>
              <w:t>单位</w:t>
            </w:r>
          </w:p>
        </w:tc>
        <w:tc>
          <w:tcPr>
            <w:tcW w:w="810" w:type="dxa"/>
            <w:noWrap w:val="0"/>
            <w:vAlign w:val="center"/>
          </w:tcPr>
          <w:p>
            <w:pPr>
              <w:widowControl/>
              <w:ind w:firstLine="0" w:firstLineChars="0"/>
              <w:jc w:val="center"/>
              <w:textAlignment w:val="center"/>
              <w:rPr>
                <w:rFonts w:ascii="宋体" w:hAnsi="宋体" w:cs="宋体"/>
                <w:color w:val="000000"/>
                <w:sz w:val="21"/>
                <w:szCs w:val="21"/>
              </w:rPr>
            </w:pPr>
            <w:r>
              <w:rPr>
                <w:rStyle w:val="60"/>
                <w:rFonts w:hint="default"/>
                <w:lang w:bidi="ar"/>
              </w:rPr>
              <w:t>数量</w:t>
            </w:r>
          </w:p>
        </w:tc>
        <w:tc>
          <w:tcPr>
            <w:tcW w:w="3852" w:type="dxa"/>
            <w:noWrap w:val="0"/>
            <w:vAlign w:val="center"/>
          </w:tcPr>
          <w:p>
            <w:pPr>
              <w:widowControl/>
              <w:ind w:firstLine="0" w:firstLineChars="0"/>
              <w:jc w:val="center"/>
              <w:textAlignment w:val="center"/>
              <w:rPr>
                <w:rFonts w:ascii="宋体" w:hAnsi="宋体" w:cs="宋体"/>
                <w:color w:val="000000"/>
                <w:sz w:val="21"/>
                <w:szCs w:val="21"/>
              </w:rPr>
            </w:pPr>
            <w:r>
              <w:rPr>
                <w:rFonts w:hint="eastAsia" w:ascii="宋体" w:hAnsi="宋体" w:cs="宋体"/>
                <w:color w:val="000000"/>
                <w:sz w:val="21"/>
                <w:szCs w:val="21"/>
              </w:rPr>
              <w:t>响应物资描述是否与“物资参数表”内一致</w:t>
            </w:r>
          </w:p>
        </w:tc>
        <w:tc>
          <w:tcPr>
            <w:tcW w:w="0" w:type="auto"/>
            <w:noWrap w:val="0"/>
            <w:vAlign w:val="center"/>
          </w:tcPr>
          <w:p>
            <w:pPr>
              <w:widowControl/>
              <w:ind w:firstLine="0" w:firstLineChars="0"/>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单价（含税）</w:t>
            </w:r>
          </w:p>
        </w:tc>
        <w:tc>
          <w:tcPr>
            <w:tcW w:w="0" w:type="auto"/>
            <w:noWrap w:val="0"/>
            <w:vAlign w:val="center"/>
          </w:tcPr>
          <w:p>
            <w:pPr>
              <w:widowControl/>
              <w:ind w:firstLine="0" w:firstLineChars="0"/>
              <w:jc w:val="center"/>
              <w:textAlignment w:val="center"/>
              <w:rPr>
                <w:rFonts w:ascii="宋体" w:hAnsi="宋体" w:cs="宋体"/>
                <w:color w:val="000000"/>
                <w:sz w:val="21"/>
                <w:szCs w:val="21"/>
              </w:rPr>
            </w:pPr>
            <w:r>
              <w:rPr>
                <w:rFonts w:hint="eastAsia" w:ascii="宋体" w:hAnsi="宋体" w:cs="宋体"/>
                <w:color w:val="000000"/>
                <w:kern w:val="0"/>
                <w:sz w:val="21"/>
                <w:szCs w:val="21"/>
                <w:lang w:bidi="ar"/>
              </w:rPr>
              <w:t>合价（含税）</w:t>
            </w:r>
          </w:p>
        </w:tc>
        <w:tc>
          <w:tcPr>
            <w:tcW w:w="884" w:type="dxa"/>
            <w:noWrap w:val="0"/>
            <w:vAlign w:val="center"/>
          </w:tcPr>
          <w:p>
            <w:pPr>
              <w:widowControl/>
              <w:ind w:firstLine="0" w:firstLineChars="0"/>
              <w:jc w:val="center"/>
              <w:textAlignment w:val="center"/>
              <w:rPr>
                <w:rFonts w:ascii="宋体" w:hAnsi="宋体" w:cs="宋体"/>
                <w:color w:val="000000"/>
                <w:sz w:val="21"/>
                <w:szCs w:val="21"/>
              </w:rPr>
            </w:pPr>
            <w:r>
              <w:rPr>
                <w:rStyle w:val="60"/>
                <w:rFonts w:hint="default"/>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0" w:type="auto"/>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ascii="宋体" w:hAnsi="宋体" w:cs="宋体"/>
                <w:color w:val="000000"/>
                <w:sz w:val="21"/>
                <w:szCs w:val="21"/>
              </w:rPr>
            </w:pPr>
            <w:r>
              <w:rPr>
                <w:rFonts w:hint="eastAsia" w:ascii="宋体" w:hAnsi="宋体" w:eastAsia="宋体" w:cs="宋体"/>
                <w:sz w:val="22"/>
                <w:szCs w:val="22"/>
              </w:rPr>
              <w:t>1</w:t>
            </w:r>
          </w:p>
        </w:tc>
        <w:tc>
          <w:tcPr>
            <w:tcW w:w="136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cs="Times New Roman"/>
                <w:color w:val="000000"/>
                <w:sz w:val="20"/>
                <w:szCs w:val="20"/>
              </w:rPr>
            </w:pPr>
            <w:r>
              <w:rPr>
                <w:rFonts w:hint="eastAsia" w:ascii="宋体" w:hAnsi="宋体" w:eastAsia="宋体" w:cs="宋体"/>
                <w:sz w:val="22"/>
                <w:szCs w:val="22"/>
              </w:rPr>
              <w:t>毛巾</w:t>
            </w:r>
          </w:p>
        </w:tc>
        <w:tc>
          <w:tcPr>
            <w:tcW w:w="3537" w:type="dxa"/>
            <w:noWrap w:val="0"/>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rPr>
            </w:pPr>
            <w:r>
              <w:rPr>
                <w:rFonts w:hint="eastAsia" w:ascii="宋体" w:hAnsi="宋体" w:cs="宋体"/>
                <w:sz w:val="22"/>
                <w:szCs w:val="22"/>
                <w:lang w:val="en-US" w:eastAsia="zh-CN" w:bidi="ar-SA"/>
              </w:rPr>
              <w:t>1.</w:t>
            </w:r>
            <w:r>
              <w:rPr>
                <w:rFonts w:hint="eastAsia" w:ascii="宋体" w:hAnsi="宋体" w:cs="宋体"/>
                <w:sz w:val="22"/>
                <w:szCs w:val="22"/>
                <w:lang w:val="en-US" w:eastAsia="zh-CN"/>
              </w:rPr>
              <w:t>材质：面料100%纯棉</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2.</w:t>
            </w:r>
            <w:r>
              <w:rPr>
                <w:rFonts w:hint="eastAsia" w:ascii="宋体" w:hAnsi="宋体" w:cs="宋体"/>
                <w:sz w:val="22"/>
                <w:szCs w:val="22"/>
                <w:lang w:val="en-US" w:eastAsia="zh-CN"/>
              </w:rPr>
              <w:t>规格：</w:t>
            </w:r>
            <w:r>
              <w:rPr>
                <w:rFonts w:hint="eastAsia" w:ascii="宋体" w:hAnsi="宋体" w:eastAsia="宋体" w:cs="宋体"/>
                <w:sz w:val="22"/>
                <w:szCs w:val="22"/>
              </w:rPr>
              <w:t>单条克重</w:t>
            </w:r>
            <w:r>
              <w:rPr>
                <w:rFonts w:hint="eastAsia" w:ascii="宋体" w:hAnsi="宋体" w:eastAsia="宋体" w:cs="宋体"/>
                <w:kern w:val="2"/>
                <w:sz w:val="22"/>
                <w:szCs w:val="22"/>
                <w:lang w:val="en-US" w:eastAsia="zh-CN" w:bidi="ar-SA"/>
                <w14:ligatures w14:val="standardContextual"/>
              </w:rPr>
              <w:t>≧</w:t>
            </w:r>
            <w:r>
              <w:rPr>
                <w:rFonts w:hint="eastAsia" w:ascii="宋体" w:hAnsi="宋体" w:eastAsia="宋体" w:cs="宋体"/>
                <w:sz w:val="22"/>
                <w:szCs w:val="22"/>
              </w:rPr>
              <w:t>100g</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3.</w:t>
            </w:r>
            <w:r>
              <w:rPr>
                <w:rFonts w:hint="eastAsia" w:ascii="宋体" w:hAnsi="宋体" w:cs="宋体"/>
                <w:sz w:val="22"/>
                <w:szCs w:val="22"/>
                <w:lang w:val="en-US" w:eastAsia="zh-CN"/>
              </w:rPr>
              <w:t>尺寸：不小于</w:t>
            </w:r>
            <w:r>
              <w:rPr>
                <w:rFonts w:hint="eastAsia" w:ascii="宋体" w:hAnsi="宋体" w:eastAsia="宋体" w:cs="宋体"/>
                <w:sz w:val="22"/>
                <w:szCs w:val="22"/>
              </w:rPr>
              <w:t>70cmx30cm</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bidi="ar-SA"/>
              </w:rPr>
              <w:t>4.</w:t>
            </w:r>
            <w:r>
              <w:rPr>
                <w:rFonts w:hint="eastAsia" w:ascii="宋体" w:hAnsi="宋体" w:cs="宋体"/>
                <w:sz w:val="22"/>
                <w:szCs w:val="22"/>
                <w:lang w:val="en-US" w:eastAsia="zh-CN"/>
              </w:rPr>
              <w:t>颜色：/</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cs="Times New Roman"/>
                <w:color w:val="000000"/>
                <w:sz w:val="20"/>
                <w:szCs w:val="20"/>
              </w:rPr>
            </w:pPr>
            <w:r>
              <w:rPr>
                <w:rFonts w:hint="eastAsia" w:ascii="宋体" w:hAnsi="宋体" w:cs="宋体"/>
                <w:sz w:val="22"/>
                <w:szCs w:val="22"/>
                <w:lang w:val="en-US" w:eastAsia="zh-CN" w:bidi="ar-SA"/>
              </w:rPr>
              <w:t>5.</w:t>
            </w:r>
            <w:r>
              <w:rPr>
                <w:rFonts w:hint="eastAsia" w:ascii="宋体" w:hAnsi="宋体" w:cs="宋体"/>
                <w:sz w:val="22"/>
                <w:szCs w:val="22"/>
                <w:lang w:val="en-US" w:eastAsia="zh-CN"/>
              </w:rPr>
              <w:t>安全类别：A类</w:t>
            </w:r>
          </w:p>
        </w:tc>
        <w:tc>
          <w:tcPr>
            <w:tcW w:w="738"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cs="Times New Roman"/>
                <w:color w:val="000000"/>
                <w:sz w:val="20"/>
                <w:szCs w:val="20"/>
              </w:rPr>
            </w:pPr>
            <w:r>
              <w:rPr>
                <w:rFonts w:hint="eastAsia" w:ascii="宋体" w:hAnsi="宋体" w:eastAsia="宋体" w:cs="宋体"/>
                <w:sz w:val="22"/>
                <w:szCs w:val="22"/>
              </w:rPr>
              <w:t>条</w:t>
            </w:r>
          </w:p>
        </w:tc>
        <w:tc>
          <w:tcPr>
            <w:tcW w:w="810"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cs="Times New Roman"/>
                <w:color w:val="000000"/>
                <w:sz w:val="20"/>
                <w:szCs w:val="20"/>
              </w:rPr>
            </w:pPr>
            <w:r>
              <w:rPr>
                <w:rFonts w:hint="eastAsia" w:ascii="宋体" w:hAnsi="宋体" w:eastAsia="宋体" w:cs="宋体"/>
                <w:sz w:val="22"/>
                <w:szCs w:val="22"/>
              </w:rPr>
              <w:t>2</w:t>
            </w:r>
          </w:p>
        </w:tc>
        <w:tc>
          <w:tcPr>
            <w:tcW w:w="3852" w:type="dxa"/>
            <w:noWrap w:val="0"/>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cs="Times New Roman"/>
                <w:color w:val="000000"/>
                <w:sz w:val="20"/>
                <w:szCs w:val="20"/>
              </w:rPr>
            </w:pPr>
            <w:r>
              <w:rPr>
                <w:rFonts w:hint="eastAsia" w:cs="Times New Roman"/>
                <w:color w:val="000000"/>
                <w:sz w:val="20"/>
                <w:szCs w:val="20"/>
              </w:rPr>
              <w:t>是/否</w:t>
            </w:r>
          </w:p>
        </w:tc>
        <w:tc>
          <w:tcPr>
            <w:tcW w:w="0" w:type="auto"/>
            <w:noWrap w:val="0"/>
            <w:vAlign w:val="center"/>
          </w:tcPr>
          <w:p>
            <w:pPr>
              <w:ind w:firstLine="400"/>
              <w:jc w:val="center"/>
              <w:rPr>
                <w:rFonts w:cs="Times New Roman"/>
                <w:color w:val="000000"/>
                <w:sz w:val="20"/>
                <w:szCs w:val="20"/>
              </w:rPr>
            </w:pPr>
          </w:p>
        </w:tc>
        <w:tc>
          <w:tcPr>
            <w:tcW w:w="0" w:type="auto"/>
            <w:noWrap w:val="0"/>
            <w:vAlign w:val="center"/>
          </w:tcPr>
          <w:p>
            <w:pPr>
              <w:ind w:firstLine="400"/>
              <w:jc w:val="center"/>
              <w:rPr>
                <w:rFonts w:cs="Times New Roman"/>
                <w:color w:val="000000"/>
                <w:sz w:val="20"/>
                <w:szCs w:val="20"/>
              </w:rPr>
            </w:pPr>
          </w:p>
        </w:tc>
        <w:tc>
          <w:tcPr>
            <w:tcW w:w="884" w:type="dxa"/>
            <w:noWrap w:val="0"/>
            <w:vAlign w:val="center"/>
          </w:tcPr>
          <w:p>
            <w:pPr>
              <w:ind w:firstLine="400"/>
              <w:jc w:val="center"/>
              <w:rPr>
                <w:rFonts w:cs="Times New Roman"/>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0" w:type="auto"/>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rPr>
              <w:t>2</w:t>
            </w:r>
          </w:p>
        </w:tc>
        <w:tc>
          <w:tcPr>
            <w:tcW w:w="136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rPr>
              <w:t>洗衣皂</w:t>
            </w:r>
          </w:p>
        </w:tc>
        <w:tc>
          <w:tcPr>
            <w:tcW w:w="3537" w:type="dxa"/>
            <w:noWrap w:val="0"/>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rPr>
            </w:pPr>
            <w:r>
              <w:rPr>
                <w:rFonts w:hint="eastAsia" w:ascii="宋体" w:hAnsi="宋体" w:cs="宋体"/>
                <w:sz w:val="22"/>
                <w:szCs w:val="22"/>
                <w:lang w:val="en-US" w:eastAsia="zh-CN" w:bidi="ar-SA"/>
              </w:rPr>
              <w:t>1.</w:t>
            </w:r>
            <w:r>
              <w:rPr>
                <w:rFonts w:hint="eastAsia" w:ascii="宋体" w:hAnsi="宋体" w:cs="宋体"/>
                <w:sz w:val="22"/>
                <w:szCs w:val="22"/>
                <w:lang w:val="en-US" w:eastAsia="zh-CN"/>
              </w:rPr>
              <w:t>规格：单块</w:t>
            </w:r>
            <w:r>
              <w:rPr>
                <w:rFonts w:hint="eastAsia" w:ascii="宋体" w:hAnsi="宋体" w:eastAsia="宋体" w:cs="宋体"/>
                <w:sz w:val="22"/>
                <w:szCs w:val="22"/>
              </w:rPr>
              <w:t>重量</w:t>
            </w:r>
            <w:r>
              <w:rPr>
                <w:rFonts w:hint="eastAsia" w:ascii="宋体" w:hAnsi="宋体" w:eastAsia="宋体" w:cs="宋体"/>
                <w:kern w:val="2"/>
                <w:sz w:val="22"/>
                <w:szCs w:val="22"/>
                <w:lang w:val="en-US" w:eastAsia="zh-CN" w:bidi="ar-SA"/>
                <w14:ligatures w14:val="standardContextual"/>
              </w:rPr>
              <w:t>≧</w:t>
            </w:r>
            <w:r>
              <w:rPr>
                <w:rFonts w:hint="eastAsia" w:ascii="宋体" w:hAnsi="宋体" w:eastAsia="宋体" w:cs="宋体"/>
                <w:sz w:val="22"/>
                <w:szCs w:val="22"/>
              </w:rPr>
              <w:t>200g</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color w:val="000000"/>
                <w:kern w:val="0"/>
                <w:sz w:val="21"/>
                <w:szCs w:val="21"/>
                <w:lang w:bidi="ar"/>
              </w:rPr>
            </w:pPr>
            <w:r>
              <w:rPr>
                <w:rFonts w:hint="eastAsia" w:ascii="宋体" w:hAnsi="宋体" w:cs="宋体"/>
                <w:sz w:val="22"/>
                <w:szCs w:val="22"/>
                <w:lang w:val="en-US" w:eastAsia="zh-CN" w:bidi="ar-SA"/>
              </w:rPr>
              <w:t>2.</w:t>
            </w:r>
            <w:r>
              <w:rPr>
                <w:rFonts w:hint="eastAsia" w:ascii="宋体" w:hAnsi="宋体" w:cs="宋体"/>
                <w:sz w:val="22"/>
                <w:szCs w:val="22"/>
                <w:lang w:val="en-US" w:eastAsia="zh-CN"/>
              </w:rPr>
              <w:t>形态：固体</w:t>
            </w:r>
          </w:p>
        </w:tc>
        <w:tc>
          <w:tcPr>
            <w:tcW w:w="738"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rPr>
              <w:t>块</w:t>
            </w:r>
          </w:p>
        </w:tc>
        <w:tc>
          <w:tcPr>
            <w:tcW w:w="810"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rPr>
              <w:t>2</w:t>
            </w:r>
          </w:p>
        </w:tc>
        <w:tc>
          <w:tcPr>
            <w:tcW w:w="3852" w:type="dxa"/>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884" w:type="dxa"/>
            <w:noWrap w:val="0"/>
            <w:vAlign w:val="center"/>
          </w:tcPr>
          <w:p>
            <w:pPr>
              <w:ind w:firstLine="400"/>
              <w:jc w:val="center"/>
              <w:rPr>
                <w:rFonts w:hint="eastAsia" w:ascii="宋体" w:hAnsi="宋体" w:cs="宋体"/>
                <w:color w:val="000000"/>
                <w:kern w:val="0"/>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0" w:type="auto"/>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rPr>
              <w:t>3</w:t>
            </w:r>
          </w:p>
        </w:tc>
        <w:tc>
          <w:tcPr>
            <w:tcW w:w="136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香皂</w:t>
            </w:r>
          </w:p>
        </w:tc>
        <w:tc>
          <w:tcPr>
            <w:tcW w:w="353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sz w:val="22"/>
                <w:szCs w:val="22"/>
              </w:rPr>
            </w:pPr>
            <w:r>
              <w:rPr>
                <w:rFonts w:hint="eastAsia" w:ascii="宋体" w:hAnsi="宋体" w:cs="宋体"/>
                <w:sz w:val="22"/>
                <w:szCs w:val="22"/>
                <w:lang w:val="en-US" w:eastAsia="zh-CN"/>
              </w:rPr>
              <w:t>1.规格：单块</w:t>
            </w:r>
            <w:r>
              <w:rPr>
                <w:rFonts w:hint="eastAsia" w:ascii="宋体" w:hAnsi="宋体" w:eastAsia="宋体" w:cs="宋体"/>
                <w:sz w:val="22"/>
                <w:szCs w:val="22"/>
              </w:rPr>
              <w:t>重量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sz w:val="22"/>
                <w:szCs w:val="22"/>
                <w:lang w:val="en-US" w:eastAsia="zh-CN"/>
              </w:rPr>
              <w:t>1</w:t>
            </w:r>
            <w:r>
              <w:rPr>
                <w:rFonts w:hint="eastAsia" w:ascii="宋体" w:hAnsi="宋体" w:eastAsia="宋体" w:cs="宋体"/>
                <w:sz w:val="22"/>
                <w:szCs w:val="22"/>
              </w:rPr>
              <w:t>00g</w:t>
            </w:r>
          </w:p>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color w:val="000000"/>
                <w:kern w:val="0"/>
                <w:sz w:val="21"/>
                <w:szCs w:val="21"/>
                <w:lang w:bidi="ar"/>
              </w:rPr>
            </w:pPr>
            <w:r>
              <w:rPr>
                <w:rFonts w:hint="eastAsia" w:ascii="宋体" w:hAnsi="宋体" w:cs="宋体"/>
                <w:sz w:val="22"/>
                <w:szCs w:val="22"/>
                <w:lang w:val="en-US" w:eastAsia="zh-CN"/>
              </w:rPr>
              <w:t>2.形态：固体</w:t>
            </w:r>
          </w:p>
        </w:tc>
        <w:tc>
          <w:tcPr>
            <w:tcW w:w="738"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rPr>
              <w:t>块</w:t>
            </w:r>
          </w:p>
        </w:tc>
        <w:tc>
          <w:tcPr>
            <w:tcW w:w="810"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rPr>
              <w:t>2</w:t>
            </w:r>
          </w:p>
        </w:tc>
        <w:tc>
          <w:tcPr>
            <w:tcW w:w="3852" w:type="dxa"/>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884" w:type="dxa"/>
            <w:noWrap w:val="0"/>
            <w:vAlign w:val="center"/>
          </w:tcPr>
          <w:p>
            <w:pPr>
              <w:ind w:firstLine="400"/>
              <w:jc w:val="center"/>
              <w:rPr>
                <w:rFonts w:hint="eastAsia" w:ascii="宋体" w:hAnsi="宋体" w:cs="宋体"/>
                <w:color w:val="000000"/>
                <w:kern w:val="0"/>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0" w:type="auto"/>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4</w:t>
            </w:r>
          </w:p>
        </w:tc>
        <w:tc>
          <w:tcPr>
            <w:tcW w:w="136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kern w:val="2"/>
                <w:sz w:val="22"/>
                <w:szCs w:val="22"/>
                <w:lang w:val="en-US" w:eastAsia="zh-CN" w:bidi="ar-SA"/>
                <w14:ligatures w14:val="standardContextual"/>
              </w:rPr>
              <w:t>洗衣液</w:t>
            </w:r>
          </w:p>
        </w:tc>
        <w:tc>
          <w:tcPr>
            <w:tcW w:w="3537" w:type="dxa"/>
            <w:noWrap w:val="0"/>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1.</w:t>
            </w:r>
            <w:r>
              <w:rPr>
                <w:rFonts w:hint="eastAsia" w:ascii="宋体" w:hAnsi="宋体" w:cs="宋体"/>
                <w:sz w:val="22"/>
                <w:szCs w:val="22"/>
                <w:lang w:val="en-US" w:eastAsia="zh-CN"/>
              </w:rPr>
              <w:t>规格：</w:t>
            </w:r>
            <w:r>
              <w:rPr>
                <w:rFonts w:hint="eastAsia" w:ascii="宋体" w:hAnsi="宋体" w:cs="宋体"/>
                <w:kern w:val="2"/>
                <w:sz w:val="22"/>
                <w:szCs w:val="22"/>
                <w:lang w:val="en-US" w:eastAsia="zh-CN" w:bidi="ar-SA"/>
                <w14:ligatures w14:val="standardContextual"/>
              </w:rPr>
              <w:t>净含量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w:t>
            </w:r>
            <w:r>
              <w:rPr>
                <w:rFonts w:hint="eastAsia" w:ascii="宋体" w:hAnsi="宋体" w:eastAsia="宋体" w:cs="宋体"/>
                <w:kern w:val="2"/>
                <w:sz w:val="22"/>
                <w:szCs w:val="22"/>
                <w:lang w:val="en-US" w:eastAsia="zh-CN" w:bidi="ar-SA"/>
                <w14:ligatures w14:val="standardContextual"/>
              </w:rPr>
              <w:t>kg/瓶</w:t>
            </w:r>
            <w:r>
              <w:rPr>
                <w:rFonts w:hint="eastAsia" w:ascii="宋体" w:hAnsi="宋体" w:cs="宋体"/>
                <w:kern w:val="2"/>
                <w:sz w:val="22"/>
                <w:szCs w:val="22"/>
                <w:lang w:val="en-US" w:eastAsia="zh-CN" w:bidi="ar-SA"/>
                <w14:ligatures w14:val="standardContextual"/>
              </w:rPr>
              <w:t>或</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1L</w:t>
            </w:r>
            <w:r>
              <w:rPr>
                <w:rFonts w:hint="eastAsia" w:ascii="宋体" w:hAnsi="宋体" w:eastAsia="宋体" w:cs="宋体"/>
                <w:kern w:val="2"/>
                <w:sz w:val="22"/>
                <w:szCs w:val="22"/>
                <w:lang w:val="en-US" w:eastAsia="zh-CN" w:bidi="ar-SA"/>
                <w14:ligatures w14:val="standardContextual"/>
              </w:rPr>
              <w:t>/瓶</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2.活性成分：活性物含量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15%，</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color w:val="000000"/>
                <w:kern w:val="0"/>
                <w:sz w:val="21"/>
                <w:szCs w:val="21"/>
                <w:lang w:bidi="ar"/>
              </w:rPr>
            </w:pPr>
            <w:r>
              <w:rPr>
                <w:rFonts w:hint="eastAsia" w:ascii="宋体" w:hAnsi="宋体" w:cs="宋体"/>
                <w:kern w:val="2"/>
                <w:sz w:val="22"/>
                <w:szCs w:val="22"/>
                <w:lang w:val="en-US" w:eastAsia="zh-CN" w:bidi="ar-SA"/>
                <w14:ligatures w14:val="standardContextual"/>
              </w:rPr>
              <w:t>3.其他要求：非浓缩型，不含磷、无荧光剂</w:t>
            </w:r>
          </w:p>
        </w:tc>
        <w:tc>
          <w:tcPr>
            <w:tcW w:w="738"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瓶</w:t>
            </w:r>
          </w:p>
        </w:tc>
        <w:tc>
          <w:tcPr>
            <w:tcW w:w="810"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1</w:t>
            </w:r>
          </w:p>
        </w:tc>
        <w:tc>
          <w:tcPr>
            <w:tcW w:w="3852" w:type="dxa"/>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884" w:type="dxa"/>
            <w:noWrap w:val="0"/>
            <w:vAlign w:val="center"/>
          </w:tcPr>
          <w:p>
            <w:pPr>
              <w:ind w:firstLine="400"/>
              <w:jc w:val="center"/>
              <w:rPr>
                <w:rFonts w:hint="eastAsia" w:ascii="宋体" w:hAnsi="宋体" w:cs="宋体"/>
                <w:color w:val="000000"/>
                <w:kern w:val="0"/>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0" w:type="auto"/>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5</w:t>
            </w:r>
          </w:p>
        </w:tc>
        <w:tc>
          <w:tcPr>
            <w:tcW w:w="136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kern w:val="2"/>
                <w:sz w:val="22"/>
                <w:szCs w:val="22"/>
                <w:lang w:val="en-US" w:eastAsia="zh-CN" w:bidi="ar-SA"/>
                <w14:ligatures w14:val="standardContextual"/>
              </w:rPr>
              <w:t>洗衣液替换装</w:t>
            </w:r>
          </w:p>
        </w:tc>
        <w:tc>
          <w:tcPr>
            <w:tcW w:w="3537" w:type="dxa"/>
            <w:noWrap w:val="0"/>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sz w:val="22"/>
                <w:szCs w:val="22"/>
                <w:lang w:val="en-US" w:eastAsia="zh-CN"/>
              </w:rPr>
            </w:pPr>
            <w:r>
              <w:rPr>
                <w:rFonts w:hint="eastAsia" w:ascii="宋体" w:hAnsi="宋体" w:cs="宋体"/>
                <w:sz w:val="22"/>
                <w:szCs w:val="22"/>
                <w:lang w:val="en-US" w:eastAsia="zh-CN" w:bidi="ar-SA"/>
              </w:rPr>
              <w:t>1.</w:t>
            </w:r>
            <w:r>
              <w:rPr>
                <w:rFonts w:hint="eastAsia" w:ascii="宋体" w:hAnsi="宋体" w:cs="宋体"/>
                <w:sz w:val="22"/>
                <w:szCs w:val="22"/>
                <w:lang w:val="en-US" w:eastAsia="zh-CN"/>
              </w:rPr>
              <w:t>规格：净含量≧1kg/袋</w:t>
            </w:r>
            <w:r>
              <w:rPr>
                <w:rFonts w:hint="eastAsia" w:ascii="宋体" w:hAnsi="宋体" w:cs="宋体"/>
                <w:kern w:val="2"/>
                <w:sz w:val="22"/>
                <w:szCs w:val="22"/>
                <w:lang w:val="en-US" w:eastAsia="zh-CN" w:bidi="ar-SA"/>
                <w14:ligatures w14:val="standardContextual"/>
              </w:rPr>
              <w:t>或</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1L</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sz w:val="22"/>
                <w:szCs w:val="22"/>
                <w:lang w:val="en-US" w:eastAsia="zh-CN"/>
              </w:rPr>
              <w:t>袋</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default" w:ascii="宋体" w:hAnsi="宋体" w:cs="宋体"/>
                <w:sz w:val="22"/>
                <w:szCs w:val="22"/>
                <w:lang w:val="en-US" w:eastAsia="zh-CN"/>
              </w:rPr>
            </w:pPr>
            <w:r>
              <w:rPr>
                <w:rFonts w:hint="eastAsia" w:ascii="宋体" w:hAnsi="宋体" w:cs="宋体"/>
                <w:sz w:val="22"/>
                <w:szCs w:val="22"/>
                <w:lang w:val="en-US" w:eastAsia="zh-CN" w:bidi="ar-SA"/>
              </w:rPr>
              <w:t>2.</w:t>
            </w:r>
            <w:r>
              <w:rPr>
                <w:rFonts w:hint="eastAsia" w:ascii="宋体" w:hAnsi="宋体" w:cs="宋体"/>
                <w:sz w:val="22"/>
                <w:szCs w:val="22"/>
                <w:lang w:val="en-US" w:eastAsia="zh-CN"/>
              </w:rPr>
              <w:t>活性成分：活性物含量≧15%，</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color w:val="000000"/>
                <w:kern w:val="0"/>
                <w:sz w:val="21"/>
                <w:szCs w:val="21"/>
                <w:lang w:bidi="ar"/>
              </w:rPr>
            </w:pPr>
            <w:r>
              <w:rPr>
                <w:rFonts w:hint="eastAsia" w:ascii="宋体" w:hAnsi="宋体" w:cs="宋体"/>
                <w:kern w:val="2"/>
                <w:sz w:val="22"/>
                <w:szCs w:val="22"/>
                <w:lang w:val="en-US" w:eastAsia="zh-CN" w:bidi="ar-SA"/>
                <w14:ligatures w14:val="standardContextual"/>
              </w:rPr>
              <w:t>3.</w:t>
            </w:r>
            <w:r>
              <w:rPr>
                <w:rFonts w:hint="eastAsia" w:ascii="宋体" w:hAnsi="宋体" w:cs="宋体"/>
                <w:sz w:val="22"/>
                <w:szCs w:val="22"/>
                <w:lang w:val="en-US" w:eastAsia="zh-CN"/>
              </w:rPr>
              <w:t>其他要求：非浓缩型</w:t>
            </w:r>
            <w:r>
              <w:rPr>
                <w:rFonts w:hint="eastAsia" w:ascii="宋体" w:hAnsi="宋体" w:cs="宋体"/>
                <w:kern w:val="2"/>
                <w:sz w:val="22"/>
                <w:szCs w:val="22"/>
                <w:lang w:val="en-US" w:eastAsia="zh-CN" w:bidi="ar-SA"/>
                <w14:ligatures w14:val="standardContextual"/>
              </w:rPr>
              <w:t>，不含磷、无荧光剂</w:t>
            </w:r>
          </w:p>
        </w:tc>
        <w:tc>
          <w:tcPr>
            <w:tcW w:w="738"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袋</w:t>
            </w:r>
          </w:p>
        </w:tc>
        <w:tc>
          <w:tcPr>
            <w:tcW w:w="810"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1</w:t>
            </w:r>
          </w:p>
        </w:tc>
        <w:tc>
          <w:tcPr>
            <w:tcW w:w="3852" w:type="dxa"/>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884" w:type="dxa"/>
            <w:noWrap w:val="0"/>
            <w:vAlign w:val="center"/>
          </w:tcPr>
          <w:p>
            <w:pPr>
              <w:ind w:firstLine="400"/>
              <w:jc w:val="center"/>
              <w:rPr>
                <w:rFonts w:hint="eastAsia" w:ascii="宋体" w:hAnsi="宋体" w:cs="宋体"/>
                <w:color w:val="000000"/>
                <w:kern w:val="0"/>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0" w:type="auto"/>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6</w:t>
            </w:r>
          </w:p>
        </w:tc>
        <w:tc>
          <w:tcPr>
            <w:tcW w:w="136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kern w:val="2"/>
                <w:sz w:val="22"/>
                <w:szCs w:val="22"/>
                <w:lang w:val="en-US" w:eastAsia="zh-CN" w:bidi="ar-SA"/>
                <w14:ligatures w14:val="standardContextual"/>
              </w:rPr>
              <w:t>衣物柔顺护理剂</w:t>
            </w:r>
          </w:p>
        </w:tc>
        <w:tc>
          <w:tcPr>
            <w:tcW w:w="3537" w:type="dxa"/>
            <w:noWrap w:val="0"/>
            <w:vAlign w:val="center"/>
          </w:tcPr>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kern w:val="2"/>
                <w:sz w:val="22"/>
                <w:szCs w:val="22"/>
                <w:lang w:val="en-US" w:eastAsia="zh-CN" w:bidi="ar-SA"/>
                <w14:ligatures w14:val="standardContextual"/>
              </w:rPr>
            </w:pPr>
            <w:r>
              <w:rPr>
                <w:rFonts w:hint="eastAsia" w:ascii="宋体" w:hAnsi="宋体" w:cs="宋体"/>
                <w:kern w:val="2"/>
                <w:sz w:val="22"/>
                <w:szCs w:val="22"/>
                <w:lang w:val="en-US" w:eastAsia="zh-CN" w:bidi="ar-SA"/>
                <w14:ligatures w14:val="standardContextual"/>
              </w:rPr>
              <w:t>1.</w:t>
            </w:r>
            <w:r>
              <w:rPr>
                <w:rFonts w:hint="eastAsia" w:ascii="宋体" w:hAnsi="宋体" w:cs="宋体"/>
                <w:sz w:val="22"/>
                <w:szCs w:val="22"/>
                <w:lang w:val="en-US" w:eastAsia="zh-CN"/>
              </w:rPr>
              <w:t>规格</w:t>
            </w:r>
            <w:r>
              <w:rPr>
                <w:rFonts w:hint="eastAsia" w:ascii="宋体" w:hAnsi="宋体" w:cs="宋体"/>
                <w:kern w:val="2"/>
                <w:sz w:val="22"/>
                <w:szCs w:val="22"/>
                <w:lang w:val="en-US" w:eastAsia="zh-CN" w:bidi="ar-SA"/>
                <w14:ligatures w14:val="standardContextual"/>
              </w:rPr>
              <w:t>：净含量</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w:t>
            </w:r>
            <w:r>
              <w:rPr>
                <w:rFonts w:hint="eastAsia" w:ascii="宋体" w:hAnsi="宋体" w:eastAsia="宋体" w:cs="宋体"/>
                <w:kern w:val="2"/>
                <w:sz w:val="22"/>
                <w:szCs w:val="22"/>
                <w:lang w:val="en-US" w:eastAsia="zh-CN" w:bidi="ar-SA"/>
                <w14:ligatures w14:val="standardContextual"/>
              </w:rPr>
              <w:t>kg/瓶</w:t>
            </w:r>
            <w:r>
              <w:rPr>
                <w:rFonts w:hint="eastAsia" w:ascii="宋体" w:hAnsi="宋体" w:cs="宋体"/>
                <w:kern w:val="2"/>
                <w:sz w:val="22"/>
                <w:szCs w:val="22"/>
                <w:lang w:val="en-US" w:eastAsia="zh-CN" w:bidi="ar-SA"/>
                <w14:ligatures w14:val="standardContextual"/>
              </w:rPr>
              <w:t>或</w:t>
            </w:r>
            <w:r>
              <w:rPr>
                <w:rFonts w:hint="eastAsia" w:ascii="宋体" w:hAnsi="宋体" w:eastAsia="宋体" w:cs="宋体"/>
                <w:kern w:val="2"/>
                <w:sz w:val="22"/>
                <w:szCs w:val="22"/>
                <w:lang w:val="en-US" w:eastAsia="zh-CN" w:bidi="ar-SA"/>
                <w14:ligatures w14:val="standardContextual"/>
              </w:rPr>
              <w:t>≧</w:t>
            </w:r>
            <w:r>
              <w:rPr>
                <w:rFonts w:hint="eastAsia" w:ascii="宋体" w:hAnsi="宋体" w:cs="宋体"/>
                <w:kern w:val="2"/>
                <w:sz w:val="22"/>
                <w:szCs w:val="22"/>
                <w:lang w:val="en-US" w:eastAsia="zh-CN" w:bidi="ar-SA"/>
                <w14:ligatures w14:val="standardContextual"/>
              </w:rPr>
              <w:t>1L</w:t>
            </w:r>
            <w:r>
              <w:rPr>
                <w:rFonts w:hint="eastAsia" w:ascii="宋体" w:hAnsi="宋体" w:eastAsia="宋体" w:cs="宋体"/>
                <w:kern w:val="2"/>
                <w:sz w:val="22"/>
                <w:szCs w:val="22"/>
                <w:lang w:val="en-US" w:eastAsia="zh-CN" w:bidi="ar-SA"/>
                <w14:ligatures w14:val="standardContextual"/>
              </w:rPr>
              <w:t>/瓶</w:t>
            </w:r>
          </w:p>
          <w:p>
            <w:pPr>
              <w:pStyle w:val="5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color w:val="000000"/>
                <w:kern w:val="0"/>
                <w:sz w:val="21"/>
                <w:szCs w:val="21"/>
                <w:lang w:bidi="ar"/>
              </w:rPr>
            </w:pPr>
            <w:r>
              <w:rPr>
                <w:rFonts w:hint="eastAsia" w:ascii="宋体" w:hAnsi="宋体" w:cs="宋体"/>
                <w:kern w:val="2"/>
                <w:sz w:val="22"/>
                <w:szCs w:val="22"/>
                <w:lang w:val="en-US" w:eastAsia="zh-CN" w:bidi="ar-SA"/>
                <w14:ligatures w14:val="standardContextual"/>
              </w:rPr>
              <w:t>2.</w:t>
            </w:r>
            <w:r>
              <w:rPr>
                <w:rFonts w:hint="eastAsia" w:ascii="宋体" w:hAnsi="宋体" w:cs="宋体"/>
                <w:sz w:val="22"/>
                <w:szCs w:val="22"/>
                <w:lang w:val="en-US" w:eastAsia="zh-CN"/>
              </w:rPr>
              <w:t>其他要求：</w:t>
            </w:r>
            <w:r>
              <w:rPr>
                <w:rFonts w:hint="eastAsia" w:ascii="宋体" w:hAnsi="宋体" w:cs="宋体"/>
                <w:kern w:val="2"/>
                <w:sz w:val="22"/>
                <w:szCs w:val="22"/>
                <w:lang w:val="en-US" w:eastAsia="zh-CN" w:bidi="ar-SA"/>
                <w14:ligatures w14:val="standardContextual"/>
              </w:rPr>
              <w:t>非浓缩，不含磷、无荧光剂</w:t>
            </w:r>
          </w:p>
        </w:tc>
        <w:tc>
          <w:tcPr>
            <w:tcW w:w="738"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瓶</w:t>
            </w:r>
          </w:p>
        </w:tc>
        <w:tc>
          <w:tcPr>
            <w:tcW w:w="810"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1</w:t>
            </w:r>
          </w:p>
        </w:tc>
        <w:tc>
          <w:tcPr>
            <w:tcW w:w="3852" w:type="dxa"/>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884" w:type="dxa"/>
            <w:noWrap w:val="0"/>
            <w:vAlign w:val="center"/>
          </w:tcPr>
          <w:p>
            <w:pPr>
              <w:ind w:firstLine="400"/>
              <w:jc w:val="center"/>
              <w:rPr>
                <w:rFonts w:hint="eastAsia" w:ascii="宋体" w:hAnsi="宋体" w:cs="宋体"/>
                <w:color w:val="000000"/>
                <w:kern w:val="0"/>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0" w:type="auto"/>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7</w:t>
            </w:r>
          </w:p>
        </w:tc>
        <w:tc>
          <w:tcPr>
            <w:tcW w:w="136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kern w:val="2"/>
                <w:sz w:val="22"/>
                <w:szCs w:val="22"/>
                <w:lang w:val="en-US" w:eastAsia="zh-CN" w:bidi="ar-SA"/>
                <w14:ligatures w14:val="standardContextual"/>
              </w:rPr>
              <w:t>洗发露</w:t>
            </w:r>
          </w:p>
        </w:tc>
        <w:tc>
          <w:tcPr>
            <w:tcW w:w="353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color w:val="000000"/>
                <w:kern w:val="0"/>
                <w:sz w:val="21"/>
                <w:szCs w:val="21"/>
                <w:lang w:bidi="ar"/>
              </w:rPr>
            </w:pPr>
            <w:r>
              <w:rPr>
                <w:rFonts w:hint="eastAsia" w:ascii="宋体" w:hAnsi="宋体" w:cs="宋体"/>
                <w:kern w:val="2"/>
                <w:sz w:val="22"/>
                <w:szCs w:val="22"/>
                <w:lang w:val="en-US" w:eastAsia="zh-CN" w:bidi="ar-SA"/>
                <w14:ligatures w14:val="standardContextual"/>
              </w:rPr>
              <w:t>1.规格：</w:t>
            </w:r>
            <w:r>
              <w:rPr>
                <w:rFonts w:hint="eastAsia" w:ascii="宋体" w:hAnsi="宋体" w:cs="宋体"/>
                <w:b w:val="0"/>
                <w:bCs w:val="0"/>
                <w:color w:val="auto"/>
                <w:kern w:val="2"/>
                <w:sz w:val="22"/>
                <w:szCs w:val="22"/>
                <w:lang w:val="en-US" w:eastAsia="zh-CN" w:bidi="ar-SA"/>
                <w14:ligatures w14:val="standardContextual"/>
              </w:rPr>
              <w:t>单瓶容量</w:t>
            </w:r>
            <w:r>
              <w:rPr>
                <w:rFonts w:hint="eastAsia" w:ascii="宋体" w:hAnsi="宋体" w:eastAsia="宋体" w:cs="宋体"/>
                <w:b w:val="0"/>
                <w:bCs w:val="0"/>
                <w:color w:val="auto"/>
                <w:kern w:val="2"/>
                <w:sz w:val="22"/>
                <w:szCs w:val="22"/>
                <w:lang w:val="en-US" w:eastAsia="zh-CN" w:bidi="ar-SA"/>
                <w14:ligatures w14:val="standardContextual"/>
              </w:rPr>
              <w:t>≧2</w:t>
            </w:r>
            <w:r>
              <w:rPr>
                <w:rFonts w:hint="eastAsia" w:ascii="宋体" w:hAnsi="宋体" w:cs="宋体"/>
                <w:b w:val="0"/>
                <w:bCs w:val="0"/>
                <w:color w:val="auto"/>
                <w:kern w:val="2"/>
                <w:sz w:val="22"/>
                <w:szCs w:val="22"/>
                <w:lang w:val="en-US" w:eastAsia="zh-CN" w:bidi="ar-SA"/>
                <w14:ligatures w14:val="standardContextual"/>
              </w:rPr>
              <w:t>00</w:t>
            </w:r>
            <w:r>
              <w:rPr>
                <w:rFonts w:hint="eastAsia" w:ascii="宋体" w:hAnsi="宋体" w:eastAsia="宋体" w:cs="宋体"/>
                <w:b w:val="0"/>
                <w:bCs w:val="0"/>
                <w:color w:val="auto"/>
                <w:kern w:val="2"/>
                <w:sz w:val="22"/>
                <w:szCs w:val="22"/>
                <w:lang w:val="en-US" w:eastAsia="zh-CN" w:bidi="ar-SA"/>
                <w14:ligatures w14:val="standardContextual"/>
              </w:rPr>
              <w:t>ml</w:t>
            </w:r>
            <w:r>
              <w:rPr>
                <w:rFonts w:hint="eastAsia" w:ascii="宋体" w:hAnsi="宋体" w:cs="宋体"/>
                <w:b w:val="0"/>
                <w:bCs w:val="0"/>
                <w:color w:val="auto"/>
                <w:kern w:val="2"/>
                <w:sz w:val="22"/>
                <w:szCs w:val="22"/>
                <w:lang w:val="en-US" w:eastAsia="zh-CN" w:bidi="ar-SA"/>
                <w14:ligatures w14:val="standardContextual"/>
              </w:rPr>
              <w:t>或</w:t>
            </w:r>
            <w:r>
              <w:rPr>
                <w:rFonts w:hint="eastAsia" w:ascii="宋体" w:hAnsi="宋体" w:eastAsia="宋体" w:cs="宋体"/>
                <w:b w:val="0"/>
                <w:bCs w:val="0"/>
                <w:color w:val="auto"/>
                <w:kern w:val="2"/>
                <w:sz w:val="22"/>
                <w:szCs w:val="22"/>
                <w:lang w:val="en-US" w:eastAsia="zh-CN" w:bidi="ar-SA"/>
                <w14:ligatures w14:val="standardContextual"/>
              </w:rPr>
              <w:t>≧</w:t>
            </w:r>
            <w:r>
              <w:rPr>
                <w:rFonts w:hint="eastAsia" w:ascii="宋体" w:hAnsi="宋体" w:cs="宋体"/>
                <w:b w:val="0"/>
                <w:bCs w:val="0"/>
                <w:color w:val="auto"/>
                <w:kern w:val="2"/>
                <w:sz w:val="22"/>
                <w:szCs w:val="22"/>
                <w:lang w:val="en-US" w:eastAsia="zh-CN" w:bidi="ar-SA"/>
                <w14:ligatures w14:val="standardContextual"/>
              </w:rPr>
              <w:t>200g</w:t>
            </w:r>
          </w:p>
        </w:tc>
        <w:tc>
          <w:tcPr>
            <w:tcW w:w="738"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瓶</w:t>
            </w:r>
          </w:p>
        </w:tc>
        <w:tc>
          <w:tcPr>
            <w:tcW w:w="810"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1</w:t>
            </w:r>
          </w:p>
        </w:tc>
        <w:tc>
          <w:tcPr>
            <w:tcW w:w="3852" w:type="dxa"/>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884" w:type="dxa"/>
            <w:noWrap w:val="0"/>
            <w:vAlign w:val="center"/>
          </w:tcPr>
          <w:p>
            <w:pPr>
              <w:ind w:firstLine="400"/>
              <w:jc w:val="center"/>
              <w:rPr>
                <w:rFonts w:hint="eastAsia" w:ascii="宋体" w:hAnsi="宋体" w:cs="宋体"/>
                <w:color w:val="000000"/>
                <w:kern w:val="0"/>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0" w:type="auto"/>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8</w:t>
            </w:r>
          </w:p>
        </w:tc>
        <w:tc>
          <w:tcPr>
            <w:tcW w:w="136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kern w:val="2"/>
                <w:sz w:val="22"/>
                <w:szCs w:val="22"/>
                <w:lang w:val="en-US" w:eastAsia="zh-CN" w:bidi="ar-SA"/>
                <w14:ligatures w14:val="standardContextual"/>
              </w:rPr>
              <w:t>沐浴露</w:t>
            </w:r>
          </w:p>
        </w:tc>
        <w:tc>
          <w:tcPr>
            <w:tcW w:w="3537"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auto"/>
              <w:rPr>
                <w:rFonts w:hint="eastAsia" w:ascii="宋体" w:hAnsi="宋体" w:cs="宋体"/>
                <w:color w:val="000000"/>
                <w:kern w:val="0"/>
                <w:sz w:val="21"/>
                <w:szCs w:val="21"/>
                <w:lang w:bidi="ar"/>
              </w:rPr>
            </w:pPr>
            <w:r>
              <w:rPr>
                <w:rFonts w:hint="eastAsia" w:ascii="宋体" w:hAnsi="宋体" w:cs="宋体"/>
                <w:kern w:val="2"/>
                <w:sz w:val="22"/>
                <w:szCs w:val="22"/>
                <w:lang w:val="en-US" w:eastAsia="zh-CN" w:bidi="ar-SA"/>
                <w14:ligatures w14:val="standardContextual"/>
              </w:rPr>
              <w:t>1.规格：</w:t>
            </w:r>
            <w:r>
              <w:rPr>
                <w:rFonts w:hint="eastAsia" w:ascii="宋体" w:hAnsi="宋体" w:cs="宋体"/>
                <w:b w:val="0"/>
                <w:bCs w:val="0"/>
                <w:color w:val="auto"/>
                <w:kern w:val="2"/>
                <w:sz w:val="22"/>
                <w:szCs w:val="22"/>
                <w:lang w:val="en-US" w:eastAsia="zh-CN" w:bidi="ar-SA"/>
                <w14:ligatures w14:val="standardContextual"/>
              </w:rPr>
              <w:t>单瓶容量</w:t>
            </w:r>
            <w:r>
              <w:rPr>
                <w:rFonts w:hint="eastAsia" w:ascii="宋体" w:hAnsi="宋体" w:eastAsia="宋体" w:cs="宋体"/>
                <w:b w:val="0"/>
                <w:bCs w:val="0"/>
                <w:color w:val="auto"/>
                <w:kern w:val="2"/>
                <w:sz w:val="22"/>
                <w:szCs w:val="22"/>
                <w:lang w:val="en-US" w:eastAsia="zh-CN" w:bidi="ar-SA"/>
                <w14:ligatures w14:val="standardContextual"/>
              </w:rPr>
              <w:t>≧</w:t>
            </w:r>
            <w:r>
              <w:rPr>
                <w:rFonts w:hint="eastAsia" w:ascii="宋体" w:hAnsi="宋体" w:cs="宋体"/>
                <w:b w:val="0"/>
                <w:bCs w:val="0"/>
                <w:color w:val="auto"/>
                <w:kern w:val="2"/>
                <w:sz w:val="22"/>
                <w:szCs w:val="22"/>
                <w:lang w:val="en-US" w:eastAsia="zh-CN" w:bidi="ar-SA"/>
                <w14:ligatures w14:val="standardContextual"/>
              </w:rPr>
              <w:t>380</w:t>
            </w:r>
            <w:r>
              <w:rPr>
                <w:rFonts w:hint="eastAsia" w:ascii="宋体" w:hAnsi="宋体" w:eastAsia="宋体" w:cs="宋体"/>
                <w:b w:val="0"/>
                <w:bCs w:val="0"/>
                <w:color w:val="auto"/>
                <w:kern w:val="2"/>
                <w:sz w:val="22"/>
                <w:szCs w:val="22"/>
                <w:lang w:val="en-US" w:eastAsia="zh-CN" w:bidi="ar-SA"/>
                <w14:ligatures w14:val="standardContextual"/>
              </w:rPr>
              <w:t>ml</w:t>
            </w:r>
            <w:r>
              <w:rPr>
                <w:rFonts w:hint="eastAsia" w:ascii="宋体" w:hAnsi="宋体" w:cs="宋体"/>
                <w:b w:val="0"/>
                <w:bCs w:val="0"/>
                <w:color w:val="auto"/>
                <w:kern w:val="2"/>
                <w:sz w:val="22"/>
                <w:szCs w:val="22"/>
                <w:lang w:val="en-US" w:eastAsia="zh-CN" w:bidi="ar-SA"/>
                <w14:ligatures w14:val="standardContextual"/>
              </w:rPr>
              <w:t>或</w:t>
            </w:r>
            <w:r>
              <w:rPr>
                <w:rFonts w:hint="eastAsia" w:ascii="宋体" w:hAnsi="宋体" w:eastAsia="宋体" w:cs="宋体"/>
                <w:b w:val="0"/>
                <w:bCs w:val="0"/>
                <w:color w:val="auto"/>
                <w:kern w:val="2"/>
                <w:sz w:val="22"/>
                <w:szCs w:val="22"/>
                <w:lang w:val="en-US" w:eastAsia="zh-CN" w:bidi="ar-SA"/>
                <w14:ligatures w14:val="standardContextual"/>
              </w:rPr>
              <w:t>≧</w:t>
            </w:r>
            <w:r>
              <w:rPr>
                <w:rFonts w:hint="eastAsia" w:ascii="宋体" w:hAnsi="宋体" w:cs="宋体"/>
                <w:b w:val="0"/>
                <w:bCs w:val="0"/>
                <w:color w:val="auto"/>
                <w:kern w:val="2"/>
                <w:sz w:val="22"/>
                <w:szCs w:val="22"/>
                <w:lang w:val="en-US" w:eastAsia="zh-CN" w:bidi="ar-SA"/>
                <w14:ligatures w14:val="standardContextual"/>
              </w:rPr>
              <w:t>380g</w:t>
            </w:r>
          </w:p>
        </w:tc>
        <w:tc>
          <w:tcPr>
            <w:tcW w:w="738"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瓶</w:t>
            </w:r>
          </w:p>
        </w:tc>
        <w:tc>
          <w:tcPr>
            <w:tcW w:w="810" w:type="dxa"/>
            <w:noWrap w:val="0"/>
            <w:vAlign w:val="center"/>
          </w:tcPr>
          <w:p>
            <w:pPr>
              <w:pStyle w:val="5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宋体" w:hAnsi="宋体" w:cs="宋体"/>
                <w:color w:val="000000"/>
                <w:kern w:val="0"/>
                <w:sz w:val="21"/>
                <w:szCs w:val="21"/>
                <w:lang w:bidi="ar"/>
              </w:rPr>
            </w:pPr>
            <w:r>
              <w:rPr>
                <w:rFonts w:hint="eastAsia" w:ascii="宋体" w:hAnsi="宋体" w:eastAsia="宋体" w:cs="宋体"/>
                <w:sz w:val="22"/>
                <w:szCs w:val="22"/>
                <w:lang w:val="en-US" w:eastAsia="zh-CN"/>
              </w:rPr>
              <w:t>1</w:t>
            </w:r>
          </w:p>
        </w:tc>
        <w:tc>
          <w:tcPr>
            <w:tcW w:w="3852" w:type="dxa"/>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0" w:type="auto"/>
            <w:noWrap w:val="0"/>
            <w:vAlign w:val="center"/>
          </w:tcPr>
          <w:p>
            <w:pPr>
              <w:ind w:firstLine="400"/>
              <w:jc w:val="center"/>
              <w:rPr>
                <w:rFonts w:hint="eastAsia" w:ascii="宋体" w:hAnsi="宋体" w:cs="宋体"/>
                <w:color w:val="000000"/>
                <w:kern w:val="0"/>
                <w:sz w:val="21"/>
                <w:szCs w:val="21"/>
                <w:lang w:bidi="ar"/>
              </w:rPr>
            </w:pPr>
          </w:p>
        </w:tc>
        <w:tc>
          <w:tcPr>
            <w:tcW w:w="884" w:type="dxa"/>
            <w:noWrap w:val="0"/>
            <w:vAlign w:val="center"/>
          </w:tcPr>
          <w:p>
            <w:pPr>
              <w:ind w:firstLine="400"/>
              <w:jc w:val="center"/>
              <w:rPr>
                <w:rFonts w:hint="eastAsia" w:ascii="宋体" w:hAnsi="宋体" w:cs="宋体"/>
                <w:color w:val="000000"/>
                <w:kern w:val="0"/>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0" w:type="auto"/>
            <w:gridSpan w:val="9"/>
            <w:noWrap w:val="0"/>
            <w:vAlign w:val="center"/>
          </w:tcPr>
          <w:p>
            <w:pPr>
              <w:widowControl/>
              <w:ind w:firstLine="440"/>
              <w:jc w:val="left"/>
              <w:textAlignment w:val="center"/>
              <w:rPr>
                <w:rFonts w:ascii="宋体" w:hAnsi="宋体" w:cs="宋体"/>
                <w:color w:val="000000"/>
                <w:sz w:val="20"/>
                <w:szCs w:val="20"/>
              </w:rPr>
            </w:pPr>
            <w:r>
              <w:rPr>
                <w:rStyle w:val="61"/>
                <w:rFonts w:hint="eastAsia"/>
                <w:lang w:val="en-US" w:eastAsia="zh-CN" w:bidi="ar"/>
              </w:rPr>
              <w:t>单份报</w:t>
            </w:r>
            <w:r>
              <w:rPr>
                <w:rStyle w:val="61"/>
                <w:rFonts w:hint="default"/>
                <w:lang w:bidi="ar"/>
              </w:rPr>
              <w:t>价含税人民币（大写）</w:t>
            </w:r>
            <w:r>
              <w:rPr>
                <w:rStyle w:val="62"/>
                <w:lang w:bidi="ar"/>
              </w:rPr>
              <w:t xml:space="preserve">            </w:t>
            </w:r>
            <w:r>
              <w:rPr>
                <w:rStyle w:val="61"/>
                <w:rFonts w:hint="default"/>
                <w:lang w:bidi="ar"/>
              </w:rPr>
              <w:t>（</w:t>
            </w:r>
            <w:r>
              <w:rPr>
                <w:rStyle w:val="63"/>
                <w:rFonts w:hint="default"/>
                <w:lang w:bidi="ar"/>
              </w:rPr>
              <w:t xml:space="preserve">¥ </w:t>
            </w:r>
            <w:r>
              <w:rPr>
                <w:rStyle w:val="62"/>
                <w:lang w:bidi="ar"/>
              </w:rPr>
              <w:t xml:space="preserve">           </w:t>
            </w:r>
            <w:r>
              <w:rPr>
                <w:rStyle w:val="61"/>
                <w:rFonts w:hint="default"/>
                <w:lang w:bidi="ar"/>
              </w:rPr>
              <w:t>元）</w:t>
            </w:r>
            <w:r>
              <w:rPr>
                <w:rStyle w:val="63"/>
                <w:rFonts w:hint="default"/>
                <w:lang w:bidi="ar"/>
              </w:rPr>
              <w:t xml:space="preserve"> </w:t>
            </w:r>
            <w:r>
              <w:rPr>
                <w:rStyle w:val="61"/>
                <w:rFonts w:hint="default"/>
                <w:lang w:bidi="ar"/>
              </w:rPr>
              <w:t>增值税税率</w:t>
            </w:r>
            <w:r>
              <w:rPr>
                <w:rStyle w:val="62"/>
                <w:lang w:bidi="ar"/>
              </w:rPr>
              <w:t xml:space="preserve">     </w:t>
            </w:r>
            <w:r>
              <w:rPr>
                <w:rStyle w:val="63"/>
                <w:rFonts w:hint="default"/>
                <w:lang w:bidi="ar"/>
              </w:rPr>
              <w:t>%</w:t>
            </w:r>
          </w:p>
        </w:tc>
      </w:tr>
    </w:tbl>
    <w:p>
      <w:pPr>
        <w:ind w:firstLine="480"/>
        <w:rPr>
          <w:rFonts w:cs="Times New Roman"/>
          <w:szCs w:val="32"/>
        </w:rPr>
      </w:pPr>
      <w:r>
        <w:rPr>
          <w:rFonts w:hint="eastAsia" w:cs="Times New Roman"/>
          <w:szCs w:val="32"/>
        </w:rPr>
        <w:t>注：</w:t>
      </w:r>
    </w:p>
    <w:p>
      <w:pPr>
        <w:ind w:firstLine="480"/>
        <w:rPr>
          <w:rFonts w:cs="Times New Roman"/>
          <w:szCs w:val="32"/>
        </w:rPr>
      </w:pPr>
      <w:r>
        <w:rPr>
          <w:rFonts w:hint="eastAsia" w:cs="Times New Roman"/>
          <w:szCs w:val="32"/>
        </w:rPr>
        <w:t>1、序号须与第五章“采购需求”需求清单序号一致；</w:t>
      </w:r>
    </w:p>
    <w:p>
      <w:pPr>
        <w:ind w:firstLine="480"/>
        <w:rPr>
          <w:rFonts w:cs="Times New Roman"/>
          <w:szCs w:val="32"/>
        </w:rPr>
      </w:pPr>
      <w:r>
        <w:rPr>
          <w:rFonts w:hint="eastAsia" w:cs="Times New Roman"/>
          <w:szCs w:val="32"/>
        </w:rPr>
        <w:t>2、本项目计价方式</w:t>
      </w:r>
      <w:r>
        <w:rPr>
          <w:rFonts w:hint="eastAsia" w:cs="Times New Roman"/>
          <w:szCs w:val="32"/>
          <w:lang w:val="en-US" w:eastAsia="zh-CN"/>
        </w:rPr>
        <w:t>为每份</w:t>
      </w:r>
      <w:r>
        <w:rPr>
          <w:rFonts w:hint="eastAsia" w:cs="Times New Roman"/>
          <w:szCs w:val="32"/>
        </w:rPr>
        <w:t>固定单价，</w:t>
      </w:r>
      <w:r>
        <w:rPr>
          <w:rFonts w:hint="eastAsia" w:cs="Times New Roman"/>
          <w:szCs w:val="32"/>
          <w:lang w:val="en-US" w:eastAsia="zh-CN"/>
        </w:rPr>
        <w:t>单份产品报价不得高于101元，3年总数量约12000份，数量为预估数，最终按实际供货数量结算,项目累计执行金额不超过124万元（人民币含税)</w:t>
      </w:r>
      <w:r>
        <w:rPr>
          <w:rFonts w:hint="eastAsia" w:cs="Times New Roman"/>
          <w:szCs w:val="32"/>
        </w:rPr>
        <w:t>；</w:t>
      </w:r>
    </w:p>
    <w:p>
      <w:pPr>
        <w:ind w:firstLine="480"/>
        <w:rPr>
          <w:rFonts w:cs="Times New Roman"/>
          <w:szCs w:val="32"/>
        </w:rPr>
      </w:pPr>
      <w:r>
        <w:rPr>
          <w:rFonts w:hint="eastAsia" w:cs="Times New Roman"/>
          <w:szCs w:val="32"/>
        </w:rPr>
        <w:t>3、本项目不接受负偏离。</w:t>
      </w:r>
    </w:p>
    <w:p>
      <w:pPr>
        <w:ind w:firstLine="480"/>
        <w:jc w:val="right"/>
        <w:rPr>
          <w:rFonts w:hint="eastAsia"/>
          <w:color w:val="auto"/>
          <w:sz w:val="24"/>
          <w:szCs w:val="24"/>
          <w:highlight w:val="none"/>
        </w:rPr>
      </w:pPr>
    </w:p>
    <w:p>
      <w:pPr>
        <w:ind w:firstLine="480"/>
        <w:jc w:val="right"/>
        <w:rPr>
          <w:rFonts w:hint="eastAsia" w:cs="Times New Roman"/>
          <w:szCs w:val="32"/>
        </w:rPr>
      </w:pPr>
    </w:p>
    <w:p>
      <w:pPr>
        <w:keepNext w:val="0"/>
        <w:keepLines w:val="0"/>
        <w:pageBreakBefore w:val="0"/>
        <w:widowControl w:val="0"/>
        <w:kinsoku/>
        <w:wordWrap/>
        <w:overflowPunct/>
        <w:topLinePunct w:val="0"/>
        <w:autoSpaceDE/>
        <w:autoSpaceDN/>
        <w:bidi w:val="0"/>
        <w:adjustRightInd/>
        <w:snapToGrid/>
        <w:spacing w:line="480" w:lineRule="auto"/>
        <w:ind w:firstLine="480"/>
        <w:jc w:val="right"/>
        <w:textAlignment w:val="auto"/>
        <w:rPr>
          <w:rFonts w:hint="eastAsia" w:cs="Times New Roman"/>
          <w:szCs w:val="32"/>
        </w:rPr>
      </w:pPr>
      <w:r>
        <w:rPr>
          <w:rFonts w:hint="eastAsia" w:cs="Times New Roman"/>
          <w:szCs w:val="32"/>
        </w:rPr>
        <w:t>供应商： （加盖公章）</w:t>
      </w:r>
    </w:p>
    <w:p>
      <w:pPr>
        <w:keepNext w:val="0"/>
        <w:keepLines w:val="0"/>
        <w:pageBreakBefore w:val="0"/>
        <w:widowControl w:val="0"/>
        <w:kinsoku/>
        <w:wordWrap/>
        <w:overflowPunct/>
        <w:topLinePunct w:val="0"/>
        <w:autoSpaceDE/>
        <w:autoSpaceDN/>
        <w:bidi w:val="0"/>
        <w:adjustRightInd/>
        <w:snapToGrid/>
        <w:spacing w:line="480" w:lineRule="auto"/>
        <w:ind w:firstLine="480"/>
        <w:jc w:val="right"/>
        <w:textAlignment w:val="auto"/>
        <w:rPr>
          <w:rFonts w:hint="eastAsia" w:cs="Times New Roman"/>
          <w:szCs w:val="32"/>
        </w:rPr>
      </w:pPr>
      <w:r>
        <w:rPr>
          <w:rFonts w:hint="eastAsia" w:cs="Times New Roman"/>
          <w:szCs w:val="32"/>
        </w:rPr>
        <w:t>法定代表人或授权代理人：（签字或盖章）</w:t>
      </w:r>
    </w:p>
    <w:p>
      <w:pPr>
        <w:keepNext w:val="0"/>
        <w:keepLines w:val="0"/>
        <w:pageBreakBefore w:val="0"/>
        <w:widowControl w:val="0"/>
        <w:kinsoku/>
        <w:wordWrap/>
        <w:overflowPunct/>
        <w:topLinePunct w:val="0"/>
        <w:autoSpaceDE/>
        <w:autoSpaceDN/>
        <w:bidi w:val="0"/>
        <w:adjustRightInd/>
        <w:snapToGrid/>
        <w:spacing w:line="480" w:lineRule="auto"/>
        <w:ind w:firstLine="480"/>
        <w:jc w:val="right"/>
        <w:textAlignment w:val="auto"/>
        <w:rPr>
          <w:color w:val="auto"/>
          <w:sz w:val="21"/>
          <w:szCs w:val="21"/>
          <w:highlight w:val="none"/>
        </w:rPr>
      </w:pPr>
      <w:r>
        <w:rPr>
          <w:rFonts w:hint="eastAsia" w:cs="Times New Roman"/>
          <w:szCs w:val="32"/>
        </w:rPr>
        <w:t>年  　月　  日</w:t>
      </w:r>
    </w:p>
    <w:p>
      <w:pPr>
        <w:widowControl/>
        <w:spacing w:line="240" w:lineRule="auto"/>
        <w:ind w:firstLine="0" w:firstLineChars="0"/>
        <w:jc w:val="left"/>
        <w:rPr>
          <w:rFonts w:ascii="宋体" w:hAnsi="宋体" w:cs="宋体"/>
          <w:bCs/>
          <w:szCs w:val="24"/>
          <w:highlight w:val="none"/>
        </w:rPr>
      </w:pPr>
    </w:p>
    <w:sectPr>
      <w:pgSz w:w="16838" w:h="11906" w:orient="landscape"/>
      <w:pgMar w:top="1588" w:right="1418" w:bottom="1588" w:left="1418" w:header="851" w:footer="992" w:gutter="0"/>
      <w:pgNumType w:fmt="decimal"/>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3EE6445-FB53-42DA-B3A5-6A0166B1BBB4}"/>
  </w:font>
  <w:font w:name="黑体">
    <w:panose1 w:val="02010609060101010101"/>
    <w:charset w:val="86"/>
    <w:family w:val="auto"/>
    <w:pitch w:val="default"/>
    <w:sig w:usb0="800002BF" w:usb1="38CF7CFA" w:usb2="00000016" w:usb3="00000000" w:csb0="00040001" w:csb1="00000000"/>
    <w:embedRegular r:id="rId2" w:fontKey="{C662550E-A3E3-4129-81D0-853D1431E45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3" w:fontKey="{F4CBA302-8186-4295-B924-1402349BCAF8}"/>
  </w:font>
  <w:font w:name="monospace">
    <w:altName w:val="Segoe Print"/>
    <w:panose1 w:val="00000000000000000000"/>
    <w:charset w:val="00"/>
    <w:family w:val="auto"/>
    <w:pitch w:val="default"/>
    <w:sig w:usb0="00000000" w:usb1="00000000" w:usb2="00000000" w:usb3="00000000" w:csb0="00040001" w:csb1="00000000"/>
  </w:font>
  <w:font w:name="ÀŒÃÂ">
    <w:altName w:val="Segoe Print"/>
    <w:panose1 w:val="00000000000000000000"/>
    <w:charset w:val="00"/>
    <w:family w:val="roman"/>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Segoe UI">
    <w:panose1 w:val="020B0502040204020203"/>
    <w:charset w:val="00"/>
    <w:family w:val="swiss"/>
    <w:pitch w:val="default"/>
    <w:sig w:usb0="E4002EFF" w:usb1="C000E47F" w:usb2="00000009" w:usb3="00000000" w:csb0="200001FF" w:csb1="00000000"/>
    <w:embedRegular r:id="rId4" w:fontKey="{DBC7B980-5858-4B90-A8D6-9916B9397989}"/>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ind w:firstLine="36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pStyle w:val="18"/>
                      <w:ind w:firstLine="36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rPr>
        <w:rStyle w:val="2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ind w:firstLine="360"/>
                          </w:pPr>
                          <w:r>
                            <w:fldChar w:fldCharType="begin"/>
                          </w:r>
                          <w:r>
                            <w:instrText xml:space="preserve"> PAGE  \* MERGEFORMAT </w:instrText>
                          </w:r>
                          <w:r>
                            <w:fldChar w:fldCharType="separate"/>
                          </w:r>
                          <w:r>
                            <w:t>- 24 -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pPr>
                      <w:pStyle w:val="18"/>
                      <w:ind w:firstLine="360"/>
                    </w:pPr>
                    <w:r>
                      <w:fldChar w:fldCharType="begin"/>
                    </w:r>
                    <w:r>
                      <w:instrText xml:space="preserve"> PAGE  \* MERGEFORMAT </w:instrText>
                    </w:r>
                    <w:r>
                      <w:fldChar w:fldCharType="separate"/>
                    </w:r>
                    <w:r>
                      <w:t>- 24 -</w:t>
                    </w:r>
                    <w:r>
                      <w:fldChar w:fldCharType="end"/>
                    </w:r>
                  </w:p>
                </w:txbxContent>
              </v:textbox>
            </v:shape>
          </w:pict>
        </mc:Fallback>
      </mc:AlternateContent>
    </w:r>
  </w:p>
  <w:p>
    <w:pPr>
      <w:rPr>
        <w:sz w:val="1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360"/>
      <w:rPr>
        <w:rStyle w:val="28"/>
      </w:rPr>
    </w:pPr>
    <w:r>
      <w:fldChar w:fldCharType="begin"/>
    </w:r>
    <w:r>
      <w:rPr>
        <w:rStyle w:val="28"/>
      </w:rPr>
      <w:instrText xml:space="preserve">PAGE  </w:instrText>
    </w:r>
    <w:r>
      <w:fldChar w:fldCharType="end"/>
    </w:r>
  </w:p>
  <w:p>
    <w:pPr>
      <w:pStyle w:val="18"/>
      <w:ind w:right="360" w:firstLine="360"/>
    </w:pPr>
  </w:p>
  <w:p>
    <w:pPr>
      <w:ind w:firstLine="48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rPr>
        <w:rStyle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ind w:firstLine="360"/>
                          </w:pPr>
                          <w:r>
                            <w:fldChar w:fldCharType="begin"/>
                          </w:r>
                          <w:r>
                            <w:instrText xml:space="preserve"> PAGE  \* MERGEFORMAT </w:instrText>
                          </w:r>
                          <w:r>
                            <w:fldChar w:fldCharType="separate"/>
                          </w:r>
                          <w:r>
                            <w:t>- 24 -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LgbwxAgAAZ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EGbPsrDT&#10;D5ZH6CiPt+tjgJxJ5ShKpwS6Ew+YvtSnflPieP95TlGP/w6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Di4G8MQIAAGUEAAAOAAAAAAAAAAEAIAAAAB8BAABkcnMvZTJvRG9jLnhtbFBLBQYA&#10;AAAABgAGAFkBAADCBQAAAAA=&#10;">
              <v:fill on="f" focussize="0,0"/>
              <v:stroke on="f" weight="0.5pt"/>
              <v:imagedata o:title=""/>
              <o:lock v:ext="edit" aspectratio="f"/>
              <v:textbox inset="0mm,0mm,0mm,0mm" style="mso-fit-shape-to-text:t;">
                <w:txbxContent>
                  <w:p>
                    <w:pPr>
                      <w:pStyle w:val="18"/>
                      <w:ind w:firstLine="360"/>
                    </w:pPr>
                    <w:r>
                      <w:fldChar w:fldCharType="begin"/>
                    </w:r>
                    <w:r>
                      <w:instrText xml:space="preserve"> PAGE  \* MERGEFORMAT </w:instrText>
                    </w:r>
                    <w:r>
                      <w:fldChar w:fldCharType="separate"/>
                    </w:r>
                    <w:r>
                      <w:t>- 24 -</w:t>
                    </w:r>
                    <w:r>
                      <w:fldChar w:fldCharType="end"/>
                    </w:r>
                  </w:p>
                </w:txbxContent>
              </v:textbox>
            </v:shape>
          </w:pict>
        </mc:Fallback>
      </mc:AlternateContent>
    </w:r>
  </w:p>
  <w:p>
    <w:pPr>
      <w:rPr>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2"/>
      <w:rPr>
        <w:b/>
        <w:szCs w:val="4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2"/>
      <w:rPr>
        <w:b/>
        <w:szCs w:val="4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422E83"/>
    <w:multiLevelType w:val="singleLevel"/>
    <w:tmpl w:val="8F422E83"/>
    <w:lvl w:ilvl="0" w:tentative="0">
      <w:start w:val="7"/>
      <w:numFmt w:val="chineseCounting"/>
      <w:suff w:val="nothing"/>
      <w:lvlText w:val="%1、"/>
      <w:lvlJc w:val="left"/>
      <w:rPr>
        <w:rFonts w:hint="eastAsia"/>
      </w:rPr>
    </w:lvl>
  </w:abstractNum>
  <w:abstractNum w:abstractNumId="1">
    <w:nsid w:val="B709198F"/>
    <w:multiLevelType w:val="singleLevel"/>
    <w:tmpl w:val="B709198F"/>
    <w:lvl w:ilvl="0" w:tentative="0">
      <w:start w:val="1"/>
      <w:numFmt w:val="decimal"/>
      <w:suff w:val="nothing"/>
      <w:lvlText w:val="（%1）"/>
      <w:lvlJc w:val="left"/>
    </w:lvl>
  </w:abstractNum>
  <w:abstractNum w:abstractNumId="2">
    <w:nsid w:val="F91258F6"/>
    <w:multiLevelType w:val="singleLevel"/>
    <w:tmpl w:val="F91258F6"/>
    <w:lvl w:ilvl="0" w:tentative="0">
      <w:start w:val="1"/>
      <w:numFmt w:val="decimal"/>
      <w:suff w:val="nothing"/>
      <w:lvlText w:val="%1、"/>
      <w:lvlJc w:val="left"/>
      <w:pPr>
        <w:ind w:left="520"/>
      </w:pPr>
    </w:lvl>
  </w:abstractNum>
  <w:abstractNum w:abstractNumId="3">
    <w:nsid w:val="14881E99"/>
    <w:multiLevelType w:val="singleLevel"/>
    <w:tmpl w:val="14881E99"/>
    <w:lvl w:ilvl="0" w:tentative="0">
      <w:start w:val="1"/>
      <w:numFmt w:val="decimal"/>
      <w:suff w:val="nothing"/>
      <w:lvlText w:val="（%1）"/>
      <w:lvlJc w:val="left"/>
    </w:lvl>
  </w:abstractNum>
  <w:abstractNum w:abstractNumId="4">
    <w:nsid w:val="657D3FBC"/>
    <w:multiLevelType w:val="multilevel"/>
    <w:tmpl w:val="657D3FBC"/>
    <w:lvl w:ilvl="0" w:tentative="0">
      <w:start w:val="1"/>
      <w:numFmt w:val="upperLetter"/>
      <w:pStyle w:val="72"/>
      <w:suff w:val="nothing"/>
      <w:lvlText w:val="附　录　%1"/>
      <w:lvlJc w:val="left"/>
      <w:pPr>
        <w:ind w:left="0" w:firstLine="0"/>
      </w:pPr>
      <w:rPr>
        <w:rFonts w:hint="eastAsia" w:ascii="黑体" w:hAnsi="Times New Roman" w:eastAsia="黑体"/>
        <w:b w:val="0"/>
        <w:i w:val="0"/>
        <w:spacing w:val="0"/>
        <w:w w:val="10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hyphenationZone w:val="36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UxNjYyMjA5Njc4Zjk3NmZmYTc1NGUyNmQzMTkzNmMifQ=="/>
    <w:docVar w:name="KSO_WPS_MARK_KEY" w:val="f8c41460-45f3-4e97-a46d-60fb1505db61"/>
  </w:docVars>
  <w:rsids>
    <w:rsidRoot w:val="007A01CF"/>
    <w:rsid w:val="00011FFA"/>
    <w:rsid w:val="00012837"/>
    <w:rsid w:val="0001531F"/>
    <w:rsid w:val="00015C92"/>
    <w:rsid w:val="000409E4"/>
    <w:rsid w:val="00054D77"/>
    <w:rsid w:val="0006127B"/>
    <w:rsid w:val="000660EE"/>
    <w:rsid w:val="00070ABA"/>
    <w:rsid w:val="00083333"/>
    <w:rsid w:val="00083B75"/>
    <w:rsid w:val="000862AA"/>
    <w:rsid w:val="000D2078"/>
    <w:rsid w:val="000E091F"/>
    <w:rsid w:val="000F2309"/>
    <w:rsid w:val="000F634E"/>
    <w:rsid w:val="00104F13"/>
    <w:rsid w:val="00112FF2"/>
    <w:rsid w:val="0012363A"/>
    <w:rsid w:val="001322CC"/>
    <w:rsid w:val="00134F89"/>
    <w:rsid w:val="0013614D"/>
    <w:rsid w:val="001417AD"/>
    <w:rsid w:val="00161C9B"/>
    <w:rsid w:val="00167299"/>
    <w:rsid w:val="00171B15"/>
    <w:rsid w:val="0018099E"/>
    <w:rsid w:val="00192400"/>
    <w:rsid w:val="00194B1E"/>
    <w:rsid w:val="001A0B6E"/>
    <w:rsid w:val="001A659A"/>
    <w:rsid w:val="001C0F5C"/>
    <w:rsid w:val="001D1372"/>
    <w:rsid w:val="001D5B3B"/>
    <w:rsid w:val="001E0618"/>
    <w:rsid w:val="001F678C"/>
    <w:rsid w:val="00272EA5"/>
    <w:rsid w:val="00297E49"/>
    <w:rsid w:val="002A077D"/>
    <w:rsid w:val="002A1C15"/>
    <w:rsid w:val="002C276E"/>
    <w:rsid w:val="002D5F85"/>
    <w:rsid w:val="00300C72"/>
    <w:rsid w:val="003165BC"/>
    <w:rsid w:val="00317C9C"/>
    <w:rsid w:val="00350741"/>
    <w:rsid w:val="00350AF1"/>
    <w:rsid w:val="00353D18"/>
    <w:rsid w:val="00381766"/>
    <w:rsid w:val="00384D15"/>
    <w:rsid w:val="00387895"/>
    <w:rsid w:val="00397BA8"/>
    <w:rsid w:val="003A60EE"/>
    <w:rsid w:val="003B13E1"/>
    <w:rsid w:val="003B28E9"/>
    <w:rsid w:val="003B645B"/>
    <w:rsid w:val="003B6AF8"/>
    <w:rsid w:val="003D0AC3"/>
    <w:rsid w:val="003D5232"/>
    <w:rsid w:val="003E2AF9"/>
    <w:rsid w:val="003E469B"/>
    <w:rsid w:val="003F0A14"/>
    <w:rsid w:val="003F23CE"/>
    <w:rsid w:val="00420B1E"/>
    <w:rsid w:val="00432133"/>
    <w:rsid w:val="00435722"/>
    <w:rsid w:val="00450E5D"/>
    <w:rsid w:val="004658FA"/>
    <w:rsid w:val="00470198"/>
    <w:rsid w:val="00494E3D"/>
    <w:rsid w:val="004A01A2"/>
    <w:rsid w:val="004A5F85"/>
    <w:rsid w:val="004C6100"/>
    <w:rsid w:val="004D2546"/>
    <w:rsid w:val="004D6D82"/>
    <w:rsid w:val="004E0D2E"/>
    <w:rsid w:val="004E5841"/>
    <w:rsid w:val="004E7CE3"/>
    <w:rsid w:val="005021E5"/>
    <w:rsid w:val="00554B7B"/>
    <w:rsid w:val="00566DF4"/>
    <w:rsid w:val="0059595E"/>
    <w:rsid w:val="005A1D15"/>
    <w:rsid w:val="005A2A77"/>
    <w:rsid w:val="005A2CBD"/>
    <w:rsid w:val="005A3DD5"/>
    <w:rsid w:val="005A677E"/>
    <w:rsid w:val="005B4FC7"/>
    <w:rsid w:val="005C3545"/>
    <w:rsid w:val="005C76EF"/>
    <w:rsid w:val="005E0AA6"/>
    <w:rsid w:val="005E615E"/>
    <w:rsid w:val="00605B73"/>
    <w:rsid w:val="006371D8"/>
    <w:rsid w:val="006447A3"/>
    <w:rsid w:val="0066225C"/>
    <w:rsid w:val="006706F9"/>
    <w:rsid w:val="00673C4E"/>
    <w:rsid w:val="006A495B"/>
    <w:rsid w:val="006A5FE7"/>
    <w:rsid w:val="006C09E8"/>
    <w:rsid w:val="006C466D"/>
    <w:rsid w:val="006D25BC"/>
    <w:rsid w:val="006E1756"/>
    <w:rsid w:val="006E68E5"/>
    <w:rsid w:val="006F3C56"/>
    <w:rsid w:val="006F631C"/>
    <w:rsid w:val="0072667C"/>
    <w:rsid w:val="007408E8"/>
    <w:rsid w:val="00744229"/>
    <w:rsid w:val="00744352"/>
    <w:rsid w:val="0074535B"/>
    <w:rsid w:val="007661AA"/>
    <w:rsid w:val="00781AA4"/>
    <w:rsid w:val="007858C9"/>
    <w:rsid w:val="007A01CF"/>
    <w:rsid w:val="007B2B1B"/>
    <w:rsid w:val="007C4963"/>
    <w:rsid w:val="007C4EF2"/>
    <w:rsid w:val="007E5859"/>
    <w:rsid w:val="00807791"/>
    <w:rsid w:val="0081173D"/>
    <w:rsid w:val="008238E1"/>
    <w:rsid w:val="008270E1"/>
    <w:rsid w:val="0084062D"/>
    <w:rsid w:val="00843E61"/>
    <w:rsid w:val="008540ED"/>
    <w:rsid w:val="0086106C"/>
    <w:rsid w:val="008628D2"/>
    <w:rsid w:val="00863ACC"/>
    <w:rsid w:val="00864DE4"/>
    <w:rsid w:val="008711D8"/>
    <w:rsid w:val="00896FEC"/>
    <w:rsid w:val="008A5475"/>
    <w:rsid w:val="008A7539"/>
    <w:rsid w:val="008B6B41"/>
    <w:rsid w:val="008C2087"/>
    <w:rsid w:val="008D05FD"/>
    <w:rsid w:val="00912CF7"/>
    <w:rsid w:val="00925705"/>
    <w:rsid w:val="00932455"/>
    <w:rsid w:val="00932D82"/>
    <w:rsid w:val="009424A2"/>
    <w:rsid w:val="00960A3D"/>
    <w:rsid w:val="00963D4F"/>
    <w:rsid w:val="00977C4C"/>
    <w:rsid w:val="00977DA9"/>
    <w:rsid w:val="00981819"/>
    <w:rsid w:val="00990915"/>
    <w:rsid w:val="00996FA6"/>
    <w:rsid w:val="009A26EB"/>
    <w:rsid w:val="009C04A0"/>
    <w:rsid w:val="009D00D1"/>
    <w:rsid w:val="009E0178"/>
    <w:rsid w:val="009E0996"/>
    <w:rsid w:val="009F333E"/>
    <w:rsid w:val="009F53F6"/>
    <w:rsid w:val="00A12865"/>
    <w:rsid w:val="00A23B14"/>
    <w:rsid w:val="00A503C4"/>
    <w:rsid w:val="00A62DC3"/>
    <w:rsid w:val="00A72B98"/>
    <w:rsid w:val="00A83001"/>
    <w:rsid w:val="00A835C4"/>
    <w:rsid w:val="00A83E97"/>
    <w:rsid w:val="00A918DC"/>
    <w:rsid w:val="00A931BB"/>
    <w:rsid w:val="00AA719B"/>
    <w:rsid w:val="00AC10EF"/>
    <w:rsid w:val="00AD592A"/>
    <w:rsid w:val="00AE30B0"/>
    <w:rsid w:val="00AF6972"/>
    <w:rsid w:val="00AF7876"/>
    <w:rsid w:val="00B00CD8"/>
    <w:rsid w:val="00B0507A"/>
    <w:rsid w:val="00B12DF7"/>
    <w:rsid w:val="00B157E4"/>
    <w:rsid w:val="00B3012E"/>
    <w:rsid w:val="00B52BFF"/>
    <w:rsid w:val="00B65064"/>
    <w:rsid w:val="00B65E5F"/>
    <w:rsid w:val="00B90E36"/>
    <w:rsid w:val="00B9620E"/>
    <w:rsid w:val="00BA371B"/>
    <w:rsid w:val="00BA7E08"/>
    <w:rsid w:val="00BC5279"/>
    <w:rsid w:val="00BD030F"/>
    <w:rsid w:val="00BD454F"/>
    <w:rsid w:val="00C022E8"/>
    <w:rsid w:val="00C062AD"/>
    <w:rsid w:val="00C10473"/>
    <w:rsid w:val="00C15E63"/>
    <w:rsid w:val="00C33697"/>
    <w:rsid w:val="00C44474"/>
    <w:rsid w:val="00C8683F"/>
    <w:rsid w:val="00CA1AB4"/>
    <w:rsid w:val="00CA2C77"/>
    <w:rsid w:val="00CA3080"/>
    <w:rsid w:val="00CB1F15"/>
    <w:rsid w:val="00CB2A8A"/>
    <w:rsid w:val="00CB6E9D"/>
    <w:rsid w:val="00CD6A36"/>
    <w:rsid w:val="00D016F1"/>
    <w:rsid w:val="00D03654"/>
    <w:rsid w:val="00D04A35"/>
    <w:rsid w:val="00D073CD"/>
    <w:rsid w:val="00D07896"/>
    <w:rsid w:val="00D11230"/>
    <w:rsid w:val="00D242B6"/>
    <w:rsid w:val="00D24FBD"/>
    <w:rsid w:val="00D26CF6"/>
    <w:rsid w:val="00D41C4D"/>
    <w:rsid w:val="00D54823"/>
    <w:rsid w:val="00D60C8C"/>
    <w:rsid w:val="00D6459B"/>
    <w:rsid w:val="00D765CE"/>
    <w:rsid w:val="00D80B89"/>
    <w:rsid w:val="00D85D30"/>
    <w:rsid w:val="00D94987"/>
    <w:rsid w:val="00E003A7"/>
    <w:rsid w:val="00E34AC0"/>
    <w:rsid w:val="00E53C54"/>
    <w:rsid w:val="00E54B4E"/>
    <w:rsid w:val="00E571C9"/>
    <w:rsid w:val="00E5721A"/>
    <w:rsid w:val="00E62FB0"/>
    <w:rsid w:val="00EC6222"/>
    <w:rsid w:val="00EE1CC5"/>
    <w:rsid w:val="00EF1EAA"/>
    <w:rsid w:val="00F0251F"/>
    <w:rsid w:val="00F175E9"/>
    <w:rsid w:val="00F20784"/>
    <w:rsid w:val="00F2266C"/>
    <w:rsid w:val="00F2317A"/>
    <w:rsid w:val="00F25C05"/>
    <w:rsid w:val="00F267D8"/>
    <w:rsid w:val="00F37953"/>
    <w:rsid w:val="00F8365B"/>
    <w:rsid w:val="00F838F1"/>
    <w:rsid w:val="00F95CC9"/>
    <w:rsid w:val="00FA3095"/>
    <w:rsid w:val="00FA35F2"/>
    <w:rsid w:val="00FE2D33"/>
    <w:rsid w:val="00FE5124"/>
    <w:rsid w:val="00FE7608"/>
    <w:rsid w:val="01457570"/>
    <w:rsid w:val="016D6AC7"/>
    <w:rsid w:val="01B81F4E"/>
    <w:rsid w:val="01D565ED"/>
    <w:rsid w:val="01E60F36"/>
    <w:rsid w:val="01EA04ED"/>
    <w:rsid w:val="02066666"/>
    <w:rsid w:val="020B07BA"/>
    <w:rsid w:val="02112AE3"/>
    <w:rsid w:val="022A3C5C"/>
    <w:rsid w:val="022A4E77"/>
    <w:rsid w:val="022E44A8"/>
    <w:rsid w:val="02346EF6"/>
    <w:rsid w:val="02691984"/>
    <w:rsid w:val="026A2E36"/>
    <w:rsid w:val="026D4B89"/>
    <w:rsid w:val="028265A2"/>
    <w:rsid w:val="02852841"/>
    <w:rsid w:val="02902A6D"/>
    <w:rsid w:val="02913441"/>
    <w:rsid w:val="029C58B6"/>
    <w:rsid w:val="02A62291"/>
    <w:rsid w:val="02B64A8D"/>
    <w:rsid w:val="02BE1282"/>
    <w:rsid w:val="02EC1CA9"/>
    <w:rsid w:val="03065425"/>
    <w:rsid w:val="03314FB5"/>
    <w:rsid w:val="034B4414"/>
    <w:rsid w:val="03563241"/>
    <w:rsid w:val="038B3DDC"/>
    <w:rsid w:val="038F71C9"/>
    <w:rsid w:val="03990047"/>
    <w:rsid w:val="03AF3136"/>
    <w:rsid w:val="03B44E81"/>
    <w:rsid w:val="03DB6D68"/>
    <w:rsid w:val="040354C1"/>
    <w:rsid w:val="043A5387"/>
    <w:rsid w:val="047A3C82"/>
    <w:rsid w:val="04862B86"/>
    <w:rsid w:val="04B32967"/>
    <w:rsid w:val="04C46EBC"/>
    <w:rsid w:val="04D26084"/>
    <w:rsid w:val="052120A3"/>
    <w:rsid w:val="055E6E53"/>
    <w:rsid w:val="056A57F8"/>
    <w:rsid w:val="056D227B"/>
    <w:rsid w:val="057228FE"/>
    <w:rsid w:val="05AC22B4"/>
    <w:rsid w:val="05C54482"/>
    <w:rsid w:val="05E0020A"/>
    <w:rsid w:val="05ED6D83"/>
    <w:rsid w:val="062647CB"/>
    <w:rsid w:val="064D7481"/>
    <w:rsid w:val="065048F3"/>
    <w:rsid w:val="06540256"/>
    <w:rsid w:val="06691F53"/>
    <w:rsid w:val="067737AC"/>
    <w:rsid w:val="069074E0"/>
    <w:rsid w:val="06BB2083"/>
    <w:rsid w:val="06BB3B5B"/>
    <w:rsid w:val="06BE1C50"/>
    <w:rsid w:val="06C6731D"/>
    <w:rsid w:val="06CC1AEC"/>
    <w:rsid w:val="06DD36FA"/>
    <w:rsid w:val="06F305C5"/>
    <w:rsid w:val="07034156"/>
    <w:rsid w:val="070B6B66"/>
    <w:rsid w:val="0712477A"/>
    <w:rsid w:val="07165CD4"/>
    <w:rsid w:val="071D7F32"/>
    <w:rsid w:val="07247C28"/>
    <w:rsid w:val="074A2E82"/>
    <w:rsid w:val="077706A0"/>
    <w:rsid w:val="07C6794C"/>
    <w:rsid w:val="07D4164E"/>
    <w:rsid w:val="08070D6B"/>
    <w:rsid w:val="082779D0"/>
    <w:rsid w:val="082A5712"/>
    <w:rsid w:val="082C148A"/>
    <w:rsid w:val="083D5469"/>
    <w:rsid w:val="08407581"/>
    <w:rsid w:val="08547ECE"/>
    <w:rsid w:val="08836BD0"/>
    <w:rsid w:val="088A443D"/>
    <w:rsid w:val="089A512A"/>
    <w:rsid w:val="08A2799E"/>
    <w:rsid w:val="08AC4379"/>
    <w:rsid w:val="08EF3D5E"/>
    <w:rsid w:val="08FD1DEA"/>
    <w:rsid w:val="08FD26D2"/>
    <w:rsid w:val="093B0A01"/>
    <w:rsid w:val="097A6637"/>
    <w:rsid w:val="09826A8C"/>
    <w:rsid w:val="09A13015"/>
    <w:rsid w:val="09B41A12"/>
    <w:rsid w:val="09DC2A3C"/>
    <w:rsid w:val="09E0077E"/>
    <w:rsid w:val="0A104E7E"/>
    <w:rsid w:val="0A122961"/>
    <w:rsid w:val="0A30240D"/>
    <w:rsid w:val="0A366CAD"/>
    <w:rsid w:val="0ABA12FC"/>
    <w:rsid w:val="0AC7549A"/>
    <w:rsid w:val="0AF53DB5"/>
    <w:rsid w:val="0B073AE9"/>
    <w:rsid w:val="0B3548DA"/>
    <w:rsid w:val="0B3568A8"/>
    <w:rsid w:val="0B6910EB"/>
    <w:rsid w:val="0B896BF3"/>
    <w:rsid w:val="0BCD02CD"/>
    <w:rsid w:val="0BE45BD8"/>
    <w:rsid w:val="0C05627A"/>
    <w:rsid w:val="0C0A1AE2"/>
    <w:rsid w:val="0C1D53A7"/>
    <w:rsid w:val="0C2506CA"/>
    <w:rsid w:val="0C2C216E"/>
    <w:rsid w:val="0C830617"/>
    <w:rsid w:val="0C842CBC"/>
    <w:rsid w:val="0CA57A5D"/>
    <w:rsid w:val="0CE52B68"/>
    <w:rsid w:val="0CF02FE7"/>
    <w:rsid w:val="0D224C0A"/>
    <w:rsid w:val="0D3F3A0E"/>
    <w:rsid w:val="0D68799F"/>
    <w:rsid w:val="0D713D7D"/>
    <w:rsid w:val="0D881D7B"/>
    <w:rsid w:val="0D9E3A74"/>
    <w:rsid w:val="0DB96B40"/>
    <w:rsid w:val="0DCC19EB"/>
    <w:rsid w:val="0DE93979"/>
    <w:rsid w:val="0DFC5A51"/>
    <w:rsid w:val="0E146B29"/>
    <w:rsid w:val="0E4E725B"/>
    <w:rsid w:val="0E663E32"/>
    <w:rsid w:val="0E6B25E0"/>
    <w:rsid w:val="0ED55A54"/>
    <w:rsid w:val="0EF3685E"/>
    <w:rsid w:val="0EF521B0"/>
    <w:rsid w:val="0EFB2FA6"/>
    <w:rsid w:val="0F181A89"/>
    <w:rsid w:val="0F457653"/>
    <w:rsid w:val="0F590470"/>
    <w:rsid w:val="0F5F0397"/>
    <w:rsid w:val="0F8D136E"/>
    <w:rsid w:val="0FB87AA7"/>
    <w:rsid w:val="0FBD1570"/>
    <w:rsid w:val="0FBD50BE"/>
    <w:rsid w:val="0FDC19E8"/>
    <w:rsid w:val="0FDC5544"/>
    <w:rsid w:val="104B4477"/>
    <w:rsid w:val="105C17DB"/>
    <w:rsid w:val="10635C65"/>
    <w:rsid w:val="10F7015B"/>
    <w:rsid w:val="11180717"/>
    <w:rsid w:val="1161340A"/>
    <w:rsid w:val="117164A2"/>
    <w:rsid w:val="11830360"/>
    <w:rsid w:val="11B22527"/>
    <w:rsid w:val="11E93F48"/>
    <w:rsid w:val="12061235"/>
    <w:rsid w:val="120E3500"/>
    <w:rsid w:val="123A7522"/>
    <w:rsid w:val="125E4936"/>
    <w:rsid w:val="125F42F7"/>
    <w:rsid w:val="129F4319"/>
    <w:rsid w:val="12C30C3D"/>
    <w:rsid w:val="12D40754"/>
    <w:rsid w:val="12E82277"/>
    <w:rsid w:val="12EB7599"/>
    <w:rsid w:val="130A123F"/>
    <w:rsid w:val="13177301"/>
    <w:rsid w:val="134A761C"/>
    <w:rsid w:val="135A334F"/>
    <w:rsid w:val="136A730B"/>
    <w:rsid w:val="13702B73"/>
    <w:rsid w:val="138947FF"/>
    <w:rsid w:val="13A10F7E"/>
    <w:rsid w:val="13A97E33"/>
    <w:rsid w:val="13AF4D1D"/>
    <w:rsid w:val="13B14F39"/>
    <w:rsid w:val="13BD568C"/>
    <w:rsid w:val="13D749A0"/>
    <w:rsid w:val="13F60B9E"/>
    <w:rsid w:val="14013F08"/>
    <w:rsid w:val="14121A1D"/>
    <w:rsid w:val="142D3089"/>
    <w:rsid w:val="14316687"/>
    <w:rsid w:val="14332D90"/>
    <w:rsid w:val="145C6C53"/>
    <w:rsid w:val="147A69D5"/>
    <w:rsid w:val="14836EAC"/>
    <w:rsid w:val="149635A0"/>
    <w:rsid w:val="14CD557A"/>
    <w:rsid w:val="14CF4BCD"/>
    <w:rsid w:val="14DF1632"/>
    <w:rsid w:val="150B2427"/>
    <w:rsid w:val="15352D72"/>
    <w:rsid w:val="158175E2"/>
    <w:rsid w:val="15AB18D0"/>
    <w:rsid w:val="15C2342E"/>
    <w:rsid w:val="15C9146F"/>
    <w:rsid w:val="15CA22E2"/>
    <w:rsid w:val="15DD6E58"/>
    <w:rsid w:val="15F31839"/>
    <w:rsid w:val="161206F8"/>
    <w:rsid w:val="16183265"/>
    <w:rsid w:val="16253883"/>
    <w:rsid w:val="16315EBE"/>
    <w:rsid w:val="16333219"/>
    <w:rsid w:val="1649227B"/>
    <w:rsid w:val="16564FD6"/>
    <w:rsid w:val="165C511D"/>
    <w:rsid w:val="16646293"/>
    <w:rsid w:val="166718DF"/>
    <w:rsid w:val="166F4D71"/>
    <w:rsid w:val="16DB6809"/>
    <w:rsid w:val="16F70EB5"/>
    <w:rsid w:val="172872C1"/>
    <w:rsid w:val="17461B3F"/>
    <w:rsid w:val="17E05CE9"/>
    <w:rsid w:val="17FB49D5"/>
    <w:rsid w:val="180E64B6"/>
    <w:rsid w:val="183121A5"/>
    <w:rsid w:val="18377797"/>
    <w:rsid w:val="186662F2"/>
    <w:rsid w:val="18716A45"/>
    <w:rsid w:val="187A579A"/>
    <w:rsid w:val="187C567E"/>
    <w:rsid w:val="18A46E1B"/>
    <w:rsid w:val="19076BA9"/>
    <w:rsid w:val="19250D1B"/>
    <w:rsid w:val="19400014"/>
    <w:rsid w:val="194E3B51"/>
    <w:rsid w:val="19567D24"/>
    <w:rsid w:val="19706CFD"/>
    <w:rsid w:val="19B149ED"/>
    <w:rsid w:val="19B94B48"/>
    <w:rsid w:val="19C55CC1"/>
    <w:rsid w:val="19ED457C"/>
    <w:rsid w:val="1A3B730B"/>
    <w:rsid w:val="1A3F2FD6"/>
    <w:rsid w:val="1A4408B5"/>
    <w:rsid w:val="1A6C5508"/>
    <w:rsid w:val="1A8265A7"/>
    <w:rsid w:val="1A97225A"/>
    <w:rsid w:val="1AD80C7F"/>
    <w:rsid w:val="1AE179D4"/>
    <w:rsid w:val="1AE8166C"/>
    <w:rsid w:val="1AF71484"/>
    <w:rsid w:val="1B073F4E"/>
    <w:rsid w:val="1B107830"/>
    <w:rsid w:val="1B4E306E"/>
    <w:rsid w:val="1B520DB0"/>
    <w:rsid w:val="1B522B5E"/>
    <w:rsid w:val="1B572DE3"/>
    <w:rsid w:val="1B651382"/>
    <w:rsid w:val="1B696ADA"/>
    <w:rsid w:val="1B9A62B3"/>
    <w:rsid w:val="1BB750B7"/>
    <w:rsid w:val="1BC32914"/>
    <w:rsid w:val="1C0C71B1"/>
    <w:rsid w:val="1C102A29"/>
    <w:rsid w:val="1C1F1A48"/>
    <w:rsid w:val="1C3B01F8"/>
    <w:rsid w:val="1C4F709D"/>
    <w:rsid w:val="1C720D20"/>
    <w:rsid w:val="1C8E38A1"/>
    <w:rsid w:val="1CA3405A"/>
    <w:rsid w:val="1CC47A8B"/>
    <w:rsid w:val="1CC82D53"/>
    <w:rsid w:val="1CC86D62"/>
    <w:rsid w:val="1CE27FBF"/>
    <w:rsid w:val="1D3A4095"/>
    <w:rsid w:val="1D646B79"/>
    <w:rsid w:val="1D74158B"/>
    <w:rsid w:val="1D74500E"/>
    <w:rsid w:val="1DE86601"/>
    <w:rsid w:val="1DF77143"/>
    <w:rsid w:val="1E08043A"/>
    <w:rsid w:val="1E0D3B7E"/>
    <w:rsid w:val="1E290A8B"/>
    <w:rsid w:val="1E302622"/>
    <w:rsid w:val="1E312EFF"/>
    <w:rsid w:val="1E396257"/>
    <w:rsid w:val="1E5906A7"/>
    <w:rsid w:val="1E6C03DB"/>
    <w:rsid w:val="1E8B6273"/>
    <w:rsid w:val="1EBC71A8"/>
    <w:rsid w:val="1EF87ECE"/>
    <w:rsid w:val="1F2251FA"/>
    <w:rsid w:val="1F29007A"/>
    <w:rsid w:val="1F8F0BF8"/>
    <w:rsid w:val="1FEB3581"/>
    <w:rsid w:val="1FF9343C"/>
    <w:rsid w:val="20112FE8"/>
    <w:rsid w:val="20157DAF"/>
    <w:rsid w:val="20250841"/>
    <w:rsid w:val="202924C7"/>
    <w:rsid w:val="20541126"/>
    <w:rsid w:val="20670E5A"/>
    <w:rsid w:val="208E16CF"/>
    <w:rsid w:val="20E1361B"/>
    <w:rsid w:val="210B3EDB"/>
    <w:rsid w:val="21165730"/>
    <w:rsid w:val="211C60E8"/>
    <w:rsid w:val="21537630"/>
    <w:rsid w:val="215514F2"/>
    <w:rsid w:val="216043C0"/>
    <w:rsid w:val="218232AE"/>
    <w:rsid w:val="219C1BB2"/>
    <w:rsid w:val="21A5649F"/>
    <w:rsid w:val="21BD028C"/>
    <w:rsid w:val="21C80E8E"/>
    <w:rsid w:val="21CA590F"/>
    <w:rsid w:val="21E87AF3"/>
    <w:rsid w:val="21F62A43"/>
    <w:rsid w:val="21FB7B33"/>
    <w:rsid w:val="22051A8D"/>
    <w:rsid w:val="220D2D56"/>
    <w:rsid w:val="2214638E"/>
    <w:rsid w:val="22295AD0"/>
    <w:rsid w:val="22342FBD"/>
    <w:rsid w:val="223623F3"/>
    <w:rsid w:val="22393D7A"/>
    <w:rsid w:val="226671AC"/>
    <w:rsid w:val="229A1646"/>
    <w:rsid w:val="22AD78FE"/>
    <w:rsid w:val="22B15C30"/>
    <w:rsid w:val="23192527"/>
    <w:rsid w:val="231A6657"/>
    <w:rsid w:val="2332573A"/>
    <w:rsid w:val="233A0D5E"/>
    <w:rsid w:val="23411E26"/>
    <w:rsid w:val="23535BE0"/>
    <w:rsid w:val="238E494F"/>
    <w:rsid w:val="23BF0FAD"/>
    <w:rsid w:val="240913B2"/>
    <w:rsid w:val="241F1A7A"/>
    <w:rsid w:val="24443260"/>
    <w:rsid w:val="24466FD8"/>
    <w:rsid w:val="244D480A"/>
    <w:rsid w:val="247578BD"/>
    <w:rsid w:val="247C21FC"/>
    <w:rsid w:val="2480698E"/>
    <w:rsid w:val="24AF2DCF"/>
    <w:rsid w:val="24BF6C72"/>
    <w:rsid w:val="24C3687B"/>
    <w:rsid w:val="24C543A1"/>
    <w:rsid w:val="24CE5D85"/>
    <w:rsid w:val="24DD5B8E"/>
    <w:rsid w:val="25162E4E"/>
    <w:rsid w:val="253232E9"/>
    <w:rsid w:val="253634F0"/>
    <w:rsid w:val="253B4663"/>
    <w:rsid w:val="255E5143"/>
    <w:rsid w:val="25652D29"/>
    <w:rsid w:val="2592509A"/>
    <w:rsid w:val="25AF0E14"/>
    <w:rsid w:val="25C96113"/>
    <w:rsid w:val="25C97EC1"/>
    <w:rsid w:val="25E97009"/>
    <w:rsid w:val="260A58E2"/>
    <w:rsid w:val="260C2ECE"/>
    <w:rsid w:val="261A6112"/>
    <w:rsid w:val="26606A77"/>
    <w:rsid w:val="267C234D"/>
    <w:rsid w:val="269009DE"/>
    <w:rsid w:val="26924756"/>
    <w:rsid w:val="26CC76FD"/>
    <w:rsid w:val="26D22DA5"/>
    <w:rsid w:val="26D848D9"/>
    <w:rsid w:val="26EE17FA"/>
    <w:rsid w:val="26FC6074"/>
    <w:rsid w:val="27010CE7"/>
    <w:rsid w:val="27513C7C"/>
    <w:rsid w:val="275D6B12"/>
    <w:rsid w:val="276576A9"/>
    <w:rsid w:val="276907BC"/>
    <w:rsid w:val="27826579"/>
    <w:rsid w:val="27A26C1B"/>
    <w:rsid w:val="27C3100E"/>
    <w:rsid w:val="27C46B92"/>
    <w:rsid w:val="27CC1959"/>
    <w:rsid w:val="27D112AE"/>
    <w:rsid w:val="27ED433A"/>
    <w:rsid w:val="27ED501A"/>
    <w:rsid w:val="27F31225"/>
    <w:rsid w:val="280E605F"/>
    <w:rsid w:val="28177609"/>
    <w:rsid w:val="281C69CE"/>
    <w:rsid w:val="285F2D5E"/>
    <w:rsid w:val="2861066E"/>
    <w:rsid w:val="28706D19"/>
    <w:rsid w:val="28847761"/>
    <w:rsid w:val="28C464D2"/>
    <w:rsid w:val="28D472A8"/>
    <w:rsid w:val="28E16B4E"/>
    <w:rsid w:val="29096BD2"/>
    <w:rsid w:val="291C6636"/>
    <w:rsid w:val="292673D8"/>
    <w:rsid w:val="292D69B8"/>
    <w:rsid w:val="29B00C1F"/>
    <w:rsid w:val="29B019A3"/>
    <w:rsid w:val="29DE3D0C"/>
    <w:rsid w:val="2A224043"/>
    <w:rsid w:val="2A363B85"/>
    <w:rsid w:val="2A385615"/>
    <w:rsid w:val="2A4E4353"/>
    <w:rsid w:val="2A4E6BE6"/>
    <w:rsid w:val="2A572782"/>
    <w:rsid w:val="2A5A37DD"/>
    <w:rsid w:val="2A92596F"/>
    <w:rsid w:val="2AE0123A"/>
    <w:rsid w:val="2AEC3E4F"/>
    <w:rsid w:val="2AFE685E"/>
    <w:rsid w:val="2B0379D1"/>
    <w:rsid w:val="2B1206D3"/>
    <w:rsid w:val="2B157E8C"/>
    <w:rsid w:val="2B373B1E"/>
    <w:rsid w:val="2B6F32B8"/>
    <w:rsid w:val="2B797C93"/>
    <w:rsid w:val="2B7C47AF"/>
    <w:rsid w:val="2B88437A"/>
    <w:rsid w:val="2BB807BB"/>
    <w:rsid w:val="2BD804A6"/>
    <w:rsid w:val="2C075B8A"/>
    <w:rsid w:val="2C3C6C8B"/>
    <w:rsid w:val="2C48086A"/>
    <w:rsid w:val="2C564365"/>
    <w:rsid w:val="2C5E3228"/>
    <w:rsid w:val="2C954FA0"/>
    <w:rsid w:val="2C9A01CA"/>
    <w:rsid w:val="2CC43190"/>
    <w:rsid w:val="2CFE66A2"/>
    <w:rsid w:val="2D0C305E"/>
    <w:rsid w:val="2D23435A"/>
    <w:rsid w:val="2D2929C9"/>
    <w:rsid w:val="2D5B7F98"/>
    <w:rsid w:val="2D6A3D37"/>
    <w:rsid w:val="2D6F57F1"/>
    <w:rsid w:val="2D744BB6"/>
    <w:rsid w:val="2D997782"/>
    <w:rsid w:val="2D9D410D"/>
    <w:rsid w:val="2DC21DC5"/>
    <w:rsid w:val="2DD35D80"/>
    <w:rsid w:val="2DE74D54"/>
    <w:rsid w:val="2E007756"/>
    <w:rsid w:val="2E0E6DB8"/>
    <w:rsid w:val="2E2B5035"/>
    <w:rsid w:val="2E810820"/>
    <w:rsid w:val="2EAB67C6"/>
    <w:rsid w:val="2EC568C9"/>
    <w:rsid w:val="2ED718A0"/>
    <w:rsid w:val="2EFE507F"/>
    <w:rsid w:val="2F265028"/>
    <w:rsid w:val="2F3A6C23"/>
    <w:rsid w:val="2F414F6C"/>
    <w:rsid w:val="2F462582"/>
    <w:rsid w:val="2F4B69DB"/>
    <w:rsid w:val="2F7865AA"/>
    <w:rsid w:val="2F8465C8"/>
    <w:rsid w:val="2FA01C92"/>
    <w:rsid w:val="2FCF5B24"/>
    <w:rsid w:val="2FDD2EE6"/>
    <w:rsid w:val="30360848"/>
    <w:rsid w:val="303E6475"/>
    <w:rsid w:val="303F3984"/>
    <w:rsid w:val="30656A38"/>
    <w:rsid w:val="308B35EB"/>
    <w:rsid w:val="3095556F"/>
    <w:rsid w:val="309D2676"/>
    <w:rsid w:val="30D140CD"/>
    <w:rsid w:val="30D2231F"/>
    <w:rsid w:val="30DF2C8E"/>
    <w:rsid w:val="30F601E8"/>
    <w:rsid w:val="30FD4EC2"/>
    <w:rsid w:val="31101099"/>
    <w:rsid w:val="3145759A"/>
    <w:rsid w:val="314774D9"/>
    <w:rsid w:val="315D7542"/>
    <w:rsid w:val="316C2F99"/>
    <w:rsid w:val="319F1A18"/>
    <w:rsid w:val="31A041CB"/>
    <w:rsid w:val="31A67308"/>
    <w:rsid w:val="31C227DB"/>
    <w:rsid w:val="31FB4569"/>
    <w:rsid w:val="32134B55"/>
    <w:rsid w:val="32786EF6"/>
    <w:rsid w:val="32894C60"/>
    <w:rsid w:val="32CF6B69"/>
    <w:rsid w:val="330C763F"/>
    <w:rsid w:val="33107C6F"/>
    <w:rsid w:val="336631F3"/>
    <w:rsid w:val="33891C83"/>
    <w:rsid w:val="33CC3D84"/>
    <w:rsid w:val="33CF2B46"/>
    <w:rsid w:val="33E505BB"/>
    <w:rsid w:val="340016D5"/>
    <w:rsid w:val="340E5CED"/>
    <w:rsid w:val="343406C3"/>
    <w:rsid w:val="34651A9C"/>
    <w:rsid w:val="349A0FCE"/>
    <w:rsid w:val="349D6F1D"/>
    <w:rsid w:val="34D23635"/>
    <w:rsid w:val="35103416"/>
    <w:rsid w:val="352C623B"/>
    <w:rsid w:val="352E1AEE"/>
    <w:rsid w:val="35610116"/>
    <w:rsid w:val="35887450"/>
    <w:rsid w:val="358E6A31"/>
    <w:rsid w:val="359330B7"/>
    <w:rsid w:val="35BA3D90"/>
    <w:rsid w:val="35C41F4D"/>
    <w:rsid w:val="36023AC3"/>
    <w:rsid w:val="36063485"/>
    <w:rsid w:val="363D46DF"/>
    <w:rsid w:val="36486BE0"/>
    <w:rsid w:val="367C581D"/>
    <w:rsid w:val="368340BC"/>
    <w:rsid w:val="36BB20DA"/>
    <w:rsid w:val="36C02C1A"/>
    <w:rsid w:val="36ED5ED1"/>
    <w:rsid w:val="371371EE"/>
    <w:rsid w:val="371F65FA"/>
    <w:rsid w:val="37213AEB"/>
    <w:rsid w:val="37335AE2"/>
    <w:rsid w:val="373F28BE"/>
    <w:rsid w:val="37485855"/>
    <w:rsid w:val="377A465F"/>
    <w:rsid w:val="37E478DF"/>
    <w:rsid w:val="38065507"/>
    <w:rsid w:val="380977E7"/>
    <w:rsid w:val="384265B4"/>
    <w:rsid w:val="38591578"/>
    <w:rsid w:val="38650AC7"/>
    <w:rsid w:val="38681CB4"/>
    <w:rsid w:val="38877E93"/>
    <w:rsid w:val="38991D99"/>
    <w:rsid w:val="38B904D9"/>
    <w:rsid w:val="38C42E95"/>
    <w:rsid w:val="38C44974"/>
    <w:rsid w:val="38D303E0"/>
    <w:rsid w:val="38EE1CC0"/>
    <w:rsid w:val="3929068B"/>
    <w:rsid w:val="39295581"/>
    <w:rsid w:val="39565A32"/>
    <w:rsid w:val="397F6DBC"/>
    <w:rsid w:val="39AB5E03"/>
    <w:rsid w:val="39B340A5"/>
    <w:rsid w:val="39D12EC0"/>
    <w:rsid w:val="39FE4185"/>
    <w:rsid w:val="3A1439A9"/>
    <w:rsid w:val="3A1D4906"/>
    <w:rsid w:val="3A345DF9"/>
    <w:rsid w:val="3A354D8F"/>
    <w:rsid w:val="3A5D4247"/>
    <w:rsid w:val="3A7461F5"/>
    <w:rsid w:val="3A8F0F13"/>
    <w:rsid w:val="3A944F9A"/>
    <w:rsid w:val="3AC4610C"/>
    <w:rsid w:val="3AC70A1B"/>
    <w:rsid w:val="3AEF3ACE"/>
    <w:rsid w:val="3AFC27B3"/>
    <w:rsid w:val="3B023801"/>
    <w:rsid w:val="3B051543"/>
    <w:rsid w:val="3B0976FC"/>
    <w:rsid w:val="3B3A4D42"/>
    <w:rsid w:val="3B605751"/>
    <w:rsid w:val="3B8D4A18"/>
    <w:rsid w:val="3B941DEF"/>
    <w:rsid w:val="3BA26D92"/>
    <w:rsid w:val="3BB80364"/>
    <w:rsid w:val="3BC9067B"/>
    <w:rsid w:val="3BE81FCD"/>
    <w:rsid w:val="3BE94483"/>
    <w:rsid w:val="3C034322"/>
    <w:rsid w:val="3C1557B6"/>
    <w:rsid w:val="3C212ADA"/>
    <w:rsid w:val="3C261771"/>
    <w:rsid w:val="3C8D7505"/>
    <w:rsid w:val="3CED2271"/>
    <w:rsid w:val="3CF36ED7"/>
    <w:rsid w:val="3D0A1454"/>
    <w:rsid w:val="3D0C6BB9"/>
    <w:rsid w:val="3D2C725B"/>
    <w:rsid w:val="3D497A6B"/>
    <w:rsid w:val="3D4C16AB"/>
    <w:rsid w:val="3D5B299C"/>
    <w:rsid w:val="3D714C6E"/>
    <w:rsid w:val="3D9F17DB"/>
    <w:rsid w:val="3DBF1E7D"/>
    <w:rsid w:val="3DC740F2"/>
    <w:rsid w:val="3DEC4490"/>
    <w:rsid w:val="3E2834A0"/>
    <w:rsid w:val="3E2D4B10"/>
    <w:rsid w:val="3E377C66"/>
    <w:rsid w:val="3E7739EC"/>
    <w:rsid w:val="3E946E66"/>
    <w:rsid w:val="3EDE2E0A"/>
    <w:rsid w:val="3EE17838"/>
    <w:rsid w:val="3EED0B86"/>
    <w:rsid w:val="3F0F0BE2"/>
    <w:rsid w:val="3F3E3276"/>
    <w:rsid w:val="3F4C08E9"/>
    <w:rsid w:val="3F980BD8"/>
    <w:rsid w:val="3FB455DD"/>
    <w:rsid w:val="3FC75019"/>
    <w:rsid w:val="3FC9719A"/>
    <w:rsid w:val="3FD6525C"/>
    <w:rsid w:val="401069C0"/>
    <w:rsid w:val="40400BE3"/>
    <w:rsid w:val="408D5C92"/>
    <w:rsid w:val="4099576A"/>
    <w:rsid w:val="40A77E98"/>
    <w:rsid w:val="40DE086C"/>
    <w:rsid w:val="40E51BFB"/>
    <w:rsid w:val="410209B9"/>
    <w:rsid w:val="412D566A"/>
    <w:rsid w:val="415A52BC"/>
    <w:rsid w:val="415F7893"/>
    <w:rsid w:val="416F3BBA"/>
    <w:rsid w:val="41831D17"/>
    <w:rsid w:val="41B31CF9"/>
    <w:rsid w:val="41DF2AEE"/>
    <w:rsid w:val="41F1637D"/>
    <w:rsid w:val="41F65DB5"/>
    <w:rsid w:val="42303B15"/>
    <w:rsid w:val="42497F67"/>
    <w:rsid w:val="42597579"/>
    <w:rsid w:val="42947A49"/>
    <w:rsid w:val="429D02B3"/>
    <w:rsid w:val="42A41642"/>
    <w:rsid w:val="42C706B8"/>
    <w:rsid w:val="42CA569E"/>
    <w:rsid w:val="42D731AB"/>
    <w:rsid w:val="42E63A08"/>
    <w:rsid w:val="42F20DCB"/>
    <w:rsid w:val="42F80C34"/>
    <w:rsid w:val="430E60F0"/>
    <w:rsid w:val="4310512D"/>
    <w:rsid w:val="43413334"/>
    <w:rsid w:val="434B21EB"/>
    <w:rsid w:val="434C41B3"/>
    <w:rsid w:val="43792674"/>
    <w:rsid w:val="43792ACE"/>
    <w:rsid w:val="43F42155"/>
    <w:rsid w:val="43FF5FEF"/>
    <w:rsid w:val="44270658"/>
    <w:rsid w:val="445D381F"/>
    <w:rsid w:val="447D039C"/>
    <w:rsid w:val="448B2AB9"/>
    <w:rsid w:val="44903204"/>
    <w:rsid w:val="44BF6C07"/>
    <w:rsid w:val="44C47D79"/>
    <w:rsid w:val="44F65374"/>
    <w:rsid w:val="4513234C"/>
    <w:rsid w:val="45140D01"/>
    <w:rsid w:val="452D1DC2"/>
    <w:rsid w:val="452E38E1"/>
    <w:rsid w:val="4557299B"/>
    <w:rsid w:val="45584D31"/>
    <w:rsid w:val="456F23DB"/>
    <w:rsid w:val="45A04342"/>
    <w:rsid w:val="45EF0E26"/>
    <w:rsid w:val="461A5822"/>
    <w:rsid w:val="462C33FA"/>
    <w:rsid w:val="463B22BD"/>
    <w:rsid w:val="4648606A"/>
    <w:rsid w:val="464A1597"/>
    <w:rsid w:val="464A34CB"/>
    <w:rsid w:val="465B470D"/>
    <w:rsid w:val="465F4FD9"/>
    <w:rsid w:val="469E0D49"/>
    <w:rsid w:val="46C358EC"/>
    <w:rsid w:val="46FB6188"/>
    <w:rsid w:val="47014A93"/>
    <w:rsid w:val="470E5B90"/>
    <w:rsid w:val="47213177"/>
    <w:rsid w:val="47276C17"/>
    <w:rsid w:val="474927B8"/>
    <w:rsid w:val="47623CC2"/>
    <w:rsid w:val="479F062A"/>
    <w:rsid w:val="48076038"/>
    <w:rsid w:val="48157EA7"/>
    <w:rsid w:val="481F16DB"/>
    <w:rsid w:val="483B65A4"/>
    <w:rsid w:val="483F7EA7"/>
    <w:rsid w:val="48495F2C"/>
    <w:rsid w:val="48552C82"/>
    <w:rsid w:val="48734682"/>
    <w:rsid w:val="488D157A"/>
    <w:rsid w:val="489C3D6B"/>
    <w:rsid w:val="48A57EC2"/>
    <w:rsid w:val="48D103FC"/>
    <w:rsid w:val="48D80297"/>
    <w:rsid w:val="48D957E1"/>
    <w:rsid w:val="48FD1AAC"/>
    <w:rsid w:val="49030CE7"/>
    <w:rsid w:val="4924125B"/>
    <w:rsid w:val="49244145"/>
    <w:rsid w:val="49315AD9"/>
    <w:rsid w:val="49502F63"/>
    <w:rsid w:val="4951041B"/>
    <w:rsid w:val="495518E8"/>
    <w:rsid w:val="497C6E74"/>
    <w:rsid w:val="498A77E3"/>
    <w:rsid w:val="49AA1C33"/>
    <w:rsid w:val="49D002CC"/>
    <w:rsid w:val="49E15BDD"/>
    <w:rsid w:val="49E31F95"/>
    <w:rsid w:val="4A015DB3"/>
    <w:rsid w:val="4A174DEF"/>
    <w:rsid w:val="4A1E18DE"/>
    <w:rsid w:val="4A1E1CDA"/>
    <w:rsid w:val="4A2861F7"/>
    <w:rsid w:val="4A315EB1"/>
    <w:rsid w:val="4A3277B2"/>
    <w:rsid w:val="4A8A55C1"/>
    <w:rsid w:val="4AAE5591"/>
    <w:rsid w:val="4AD827D0"/>
    <w:rsid w:val="4B137364"/>
    <w:rsid w:val="4B1D6435"/>
    <w:rsid w:val="4B321580"/>
    <w:rsid w:val="4B3F1E2E"/>
    <w:rsid w:val="4B4B688B"/>
    <w:rsid w:val="4B554CA4"/>
    <w:rsid w:val="4B814C16"/>
    <w:rsid w:val="4B88653D"/>
    <w:rsid w:val="4BF34828"/>
    <w:rsid w:val="4C01710C"/>
    <w:rsid w:val="4C0C20D5"/>
    <w:rsid w:val="4C6C31D0"/>
    <w:rsid w:val="4C8D1398"/>
    <w:rsid w:val="4CBA03DF"/>
    <w:rsid w:val="4CFA4C80"/>
    <w:rsid w:val="4D084097"/>
    <w:rsid w:val="4D096C06"/>
    <w:rsid w:val="4D0D77FD"/>
    <w:rsid w:val="4D7A32EE"/>
    <w:rsid w:val="4D892E0C"/>
    <w:rsid w:val="4D8C0C39"/>
    <w:rsid w:val="4D976936"/>
    <w:rsid w:val="4D9F1065"/>
    <w:rsid w:val="4DD10DCA"/>
    <w:rsid w:val="4DE506A3"/>
    <w:rsid w:val="4E1C29D4"/>
    <w:rsid w:val="4E40026B"/>
    <w:rsid w:val="4E4116FB"/>
    <w:rsid w:val="4E453CD9"/>
    <w:rsid w:val="4E5553A1"/>
    <w:rsid w:val="4E7A6D0A"/>
    <w:rsid w:val="4E813796"/>
    <w:rsid w:val="4EBA27E0"/>
    <w:rsid w:val="4ED268AA"/>
    <w:rsid w:val="4ED33793"/>
    <w:rsid w:val="4F350835"/>
    <w:rsid w:val="4F512B51"/>
    <w:rsid w:val="4F585C8E"/>
    <w:rsid w:val="4FBF3D7B"/>
    <w:rsid w:val="4FC27B2B"/>
    <w:rsid w:val="50067238"/>
    <w:rsid w:val="502B33A2"/>
    <w:rsid w:val="50354221"/>
    <w:rsid w:val="50386B9A"/>
    <w:rsid w:val="50494728"/>
    <w:rsid w:val="50497A9C"/>
    <w:rsid w:val="506C6001"/>
    <w:rsid w:val="50741988"/>
    <w:rsid w:val="507C775A"/>
    <w:rsid w:val="507D1ED1"/>
    <w:rsid w:val="50830AE8"/>
    <w:rsid w:val="50D97448"/>
    <w:rsid w:val="50F746EC"/>
    <w:rsid w:val="511C438B"/>
    <w:rsid w:val="51371565"/>
    <w:rsid w:val="513D4FEA"/>
    <w:rsid w:val="513E4126"/>
    <w:rsid w:val="51583D23"/>
    <w:rsid w:val="515D758B"/>
    <w:rsid w:val="51694182"/>
    <w:rsid w:val="517D1AED"/>
    <w:rsid w:val="518E326A"/>
    <w:rsid w:val="519901E5"/>
    <w:rsid w:val="51B51175"/>
    <w:rsid w:val="51B60F04"/>
    <w:rsid w:val="51F5526C"/>
    <w:rsid w:val="51FF0643"/>
    <w:rsid w:val="52045C59"/>
    <w:rsid w:val="52262073"/>
    <w:rsid w:val="52393DED"/>
    <w:rsid w:val="52432C25"/>
    <w:rsid w:val="525A0210"/>
    <w:rsid w:val="525A3ACB"/>
    <w:rsid w:val="52691FE2"/>
    <w:rsid w:val="52767C9D"/>
    <w:rsid w:val="52880638"/>
    <w:rsid w:val="528F4457"/>
    <w:rsid w:val="52AE5E37"/>
    <w:rsid w:val="52C13B4A"/>
    <w:rsid w:val="52CB27AB"/>
    <w:rsid w:val="52D82B62"/>
    <w:rsid w:val="52E363A5"/>
    <w:rsid w:val="52E8599A"/>
    <w:rsid w:val="53213917"/>
    <w:rsid w:val="532962B2"/>
    <w:rsid w:val="532A16EF"/>
    <w:rsid w:val="536A41E2"/>
    <w:rsid w:val="538E1C7E"/>
    <w:rsid w:val="53BC47FF"/>
    <w:rsid w:val="53D321D7"/>
    <w:rsid w:val="53FC2BBB"/>
    <w:rsid w:val="541A5C08"/>
    <w:rsid w:val="544F1F63"/>
    <w:rsid w:val="54501629"/>
    <w:rsid w:val="54705828"/>
    <w:rsid w:val="547E6196"/>
    <w:rsid w:val="547E7F44"/>
    <w:rsid w:val="548A223D"/>
    <w:rsid w:val="548B4A51"/>
    <w:rsid w:val="548D3DC7"/>
    <w:rsid w:val="54AA0D3A"/>
    <w:rsid w:val="54BC2FD3"/>
    <w:rsid w:val="54C07FFD"/>
    <w:rsid w:val="54CE5430"/>
    <w:rsid w:val="54EA03CE"/>
    <w:rsid w:val="54EA55DA"/>
    <w:rsid w:val="552F2962"/>
    <w:rsid w:val="55436A98"/>
    <w:rsid w:val="554D7917"/>
    <w:rsid w:val="556C4241"/>
    <w:rsid w:val="55827B4A"/>
    <w:rsid w:val="55886BA1"/>
    <w:rsid w:val="55904B7D"/>
    <w:rsid w:val="55BC3192"/>
    <w:rsid w:val="55CC6E85"/>
    <w:rsid w:val="55DB4492"/>
    <w:rsid w:val="55F12998"/>
    <w:rsid w:val="55F66200"/>
    <w:rsid w:val="55F75C7E"/>
    <w:rsid w:val="560501F2"/>
    <w:rsid w:val="566D62CB"/>
    <w:rsid w:val="56707D61"/>
    <w:rsid w:val="56951575"/>
    <w:rsid w:val="56C02A96"/>
    <w:rsid w:val="56CC7F1A"/>
    <w:rsid w:val="56CF617B"/>
    <w:rsid w:val="56D96861"/>
    <w:rsid w:val="56FA51C6"/>
    <w:rsid w:val="571161FC"/>
    <w:rsid w:val="57376AD1"/>
    <w:rsid w:val="576176AA"/>
    <w:rsid w:val="578C4726"/>
    <w:rsid w:val="578D6ABD"/>
    <w:rsid w:val="57931F59"/>
    <w:rsid w:val="57C42A69"/>
    <w:rsid w:val="57F31103"/>
    <w:rsid w:val="580F5357"/>
    <w:rsid w:val="584B2834"/>
    <w:rsid w:val="585711A2"/>
    <w:rsid w:val="585830BE"/>
    <w:rsid w:val="58613B20"/>
    <w:rsid w:val="58690F0C"/>
    <w:rsid w:val="586B07E0"/>
    <w:rsid w:val="58843914"/>
    <w:rsid w:val="58B37943"/>
    <w:rsid w:val="58C7682F"/>
    <w:rsid w:val="58C83E84"/>
    <w:rsid w:val="58DC7930"/>
    <w:rsid w:val="58F5454D"/>
    <w:rsid w:val="58FE2AB3"/>
    <w:rsid w:val="59352B9C"/>
    <w:rsid w:val="594B649D"/>
    <w:rsid w:val="59747B68"/>
    <w:rsid w:val="5987789B"/>
    <w:rsid w:val="59A4512F"/>
    <w:rsid w:val="59AF294E"/>
    <w:rsid w:val="59BF726D"/>
    <w:rsid w:val="5A186745"/>
    <w:rsid w:val="5A1F6067"/>
    <w:rsid w:val="5A2901BD"/>
    <w:rsid w:val="5A3F0176"/>
    <w:rsid w:val="5A4117CD"/>
    <w:rsid w:val="5A545950"/>
    <w:rsid w:val="5A647495"/>
    <w:rsid w:val="5A915D0C"/>
    <w:rsid w:val="5A934DCE"/>
    <w:rsid w:val="5A961277"/>
    <w:rsid w:val="5A9F29C3"/>
    <w:rsid w:val="5AB26B9A"/>
    <w:rsid w:val="5AD07919"/>
    <w:rsid w:val="5AF26F96"/>
    <w:rsid w:val="5B01367D"/>
    <w:rsid w:val="5B046CCA"/>
    <w:rsid w:val="5B4350BA"/>
    <w:rsid w:val="5B4A6DD2"/>
    <w:rsid w:val="5B6A7475"/>
    <w:rsid w:val="5BAB2BF3"/>
    <w:rsid w:val="5BB90179"/>
    <w:rsid w:val="5BD42B40"/>
    <w:rsid w:val="5BE00878"/>
    <w:rsid w:val="5BEC6AB5"/>
    <w:rsid w:val="5BED16CF"/>
    <w:rsid w:val="5BF141C0"/>
    <w:rsid w:val="5C02667C"/>
    <w:rsid w:val="5C1002AC"/>
    <w:rsid w:val="5C1473E0"/>
    <w:rsid w:val="5C2C0EA1"/>
    <w:rsid w:val="5C2F459A"/>
    <w:rsid w:val="5C4001D5"/>
    <w:rsid w:val="5C676E2A"/>
    <w:rsid w:val="5C78171D"/>
    <w:rsid w:val="5C97631A"/>
    <w:rsid w:val="5CA46515"/>
    <w:rsid w:val="5CA97B29"/>
    <w:rsid w:val="5CD5091E"/>
    <w:rsid w:val="5CD54DC2"/>
    <w:rsid w:val="5CDA4F1F"/>
    <w:rsid w:val="5CDD3B9D"/>
    <w:rsid w:val="5CEF67E0"/>
    <w:rsid w:val="5D335644"/>
    <w:rsid w:val="5D534E5C"/>
    <w:rsid w:val="5DB11DC8"/>
    <w:rsid w:val="5DB7677A"/>
    <w:rsid w:val="5DE3706A"/>
    <w:rsid w:val="5DF46F7B"/>
    <w:rsid w:val="5E1B2CA8"/>
    <w:rsid w:val="5E1E63BE"/>
    <w:rsid w:val="5E264A7C"/>
    <w:rsid w:val="5E2A2EEB"/>
    <w:rsid w:val="5E7762D2"/>
    <w:rsid w:val="5E8D4131"/>
    <w:rsid w:val="5E9F11E3"/>
    <w:rsid w:val="5EAD75B7"/>
    <w:rsid w:val="5EB23621"/>
    <w:rsid w:val="5EB6652D"/>
    <w:rsid w:val="5ECE1AC8"/>
    <w:rsid w:val="5EDD61AF"/>
    <w:rsid w:val="5EDF0FC2"/>
    <w:rsid w:val="5EE237C6"/>
    <w:rsid w:val="5EE8367E"/>
    <w:rsid w:val="5F1F40D2"/>
    <w:rsid w:val="5F322057"/>
    <w:rsid w:val="5F381638"/>
    <w:rsid w:val="5F3D2516"/>
    <w:rsid w:val="5F504F85"/>
    <w:rsid w:val="5F5767D6"/>
    <w:rsid w:val="5F5A3543"/>
    <w:rsid w:val="5F906D7E"/>
    <w:rsid w:val="601B6F8F"/>
    <w:rsid w:val="606D695B"/>
    <w:rsid w:val="607C3F4C"/>
    <w:rsid w:val="60B62814"/>
    <w:rsid w:val="60C37856"/>
    <w:rsid w:val="61006C51"/>
    <w:rsid w:val="61377DF9"/>
    <w:rsid w:val="61475B62"/>
    <w:rsid w:val="615616CB"/>
    <w:rsid w:val="61834D22"/>
    <w:rsid w:val="619F43AE"/>
    <w:rsid w:val="61A2220E"/>
    <w:rsid w:val="61A84853"/>
    <w:rsid w:val="61AD31F8"/>
    <w:rsid w:val="61AF1C88"/>
    <w:rsid w:val="61B8587A"/>
    <w:rsid w:val="622857DE"/>
    <w:rsid w:val="624A2082"/>
    <w:rsid w:val="62601F90"/>
    <w:rsid w:val="62620EA5"/>
    <w:rsid w:val="628506F0"/>
    <w:rsid w:val="62AA7F74"/>
    <w:rsid w:val="62AF58EE"/>
    <w:rsid w:val="62FF4946"/>
    <w:rsid w:val="632151B1"/>
    <w:rsid w:val="63424833"/>
    <w:rsid w:val="634E4F86"/>
    <w:rsid w:val="635F53E5"/>
    <w:rsid w:val="636702EF"/>
    <w:rsid w:val="637D20EC"/>
    <w:rsid w:val="63B71DA8"/>
    <w:rsid w:val="63C96D02"/>
    <w:rsid w:val="63D17BBF"/>
    <w:rsid w:val="64290EAE"/>
    <w:rsid w:val="6452020A"/>
    <w:rsid w:val="6476252F"/>
    <w:rsid w:val="64854875"/>
    <w:rsid w:val="64CC6856"/>
    <w:rsid w:val="64D771FD"/>
    <w:rsid w:val="64F22E9E"/>
    <w:rsid w:val="651144BD"/>
    <w:rsid w:val="652561BA"/>
    <w:rsid w:val="6533366C"/>
    <w:rsid w:val="653E102A"/>
    <w:rsid w:val="654E2431"/>
    <w:rsid w:val="655B7E2E"/>
    <w:rsid w:val="6576312A"/>
    <w:rsid w:val="658B79BE"/>
    <w:rsid w:val="659D126D"/>
    <w:rsid w:val="659D21F5"/>
    <w:rsid w:val="65A63874"/>
    <w:rsid w:val="65AB66C0"/>
    <w:rsid w:val="65B732B6"/>
    <w:rsid w:val="65C857E6"/>
    <w:rsid w:val="66133792"/>
    <w:rsid w:val="6662294D"/>
    <w:rsid w:val="6668520D"/>
    <w:rsid w:val="667B0114"/>
    <w:rsid w:val="66940880"/>
    <w:rsid w:val="66CC66DA"/>
    <w:rsid w:val="66D35001"/>
    <w:rsid w:val="66F347C2"/>
    <w:rsid w:val="67086F0E"/>
    <w:rsid w:val="67087745"/>
    <w:rsid w:val="6716400D"/>
    <w:rsid w:val="67192A32"/>
    <w:rsid w:val="6722646D"/>
    <w:rsid w:val="67672ABA"/>
    <w:rsid w:val="677329AB"/>
    <w:rsid w:val="67775F07"/>
    <w:rsid w:val="67880AE7"/>
    <w:rsid w:val="67A3240E"/>
    <w:rsid w:val="67D43B66"/>
    <w:rsid w:val="6800399D"/>
    <w:rsid w:val="68270A74"/>
    <w:rsid w:val="682D5AB2"/>
    <w:rsid w:val="682E5386"/>
    <w:rsid w:val="6833646B"/>
    <w:rsid w:val="685017A0"/>
    <w:rsid w:val="68730EC9"/>
    <w:rsid w:val="68972E14"/>
    <w:rsid w:val="68A67612"/>
    <w:rsid w:val="68B25FB7"/>
    <w:rsid w:val="68D0468F"/>
    <w:rsid w:val="693379DF"/>
    <w:rsid w:val="69541292"/>
    <w:rsid w:val="696209A2"/>
    <w:rsid w:val="69662BDD"/>
    <w:rsid w:val="69A01EFB"/>
    <w:rsid w:val="69A27E33"/>
    <w:rsid w:val="69AD3570"/>
    <w:rsid w:val="69E77EE2"/>
    <w:rsid w:val="6A0049A7"/>
    <w:rsid w:val="6A0635E2"/>
    <w:rsid w:val="6A0E36C1"/>
    <w:rsid w:val="6A262C83"/>
    <w:rsid w:val="6A2B4273"/>
    <w:rsid w:val="6A34487E"/>
    <w:rsid w:val="6A3C2755"/>
    <w:rsid w:val="6A64096B"/>
    <w:rsid w:val="6A6D03E7"/>
    <w:rsid w:val="6A94265F"/>
    <w:rsid w:val="6AB204F0"/>
    <w:rsid w:val="6ABE6E95"/>
    <w:rsid w:val="6AC87D14"/>
    <w:rsid w:val="6AD14111"/>
    <w:rsid w:val="6AD25ED5"/>
    <w:rsid w:val="6AF44665"/>
    <w:rsid w:val="6B006CAE"/>
    <w:rsid w:val="6B160215"/>
    <w:rsid w:val="6B2B4177"/>
    <w:rsid w:val="6B4C5683"/>
    <w:rsid w:val="6B4D72A6"/>
    <w:rsid w:val="6B7E06E8"/>
    <w:rsid w:val="6B855C05"/>
    <w:rsid w:val="6B9A4681"/>
    <w:rsid w:val="6BE93C8F"/>
    <w:rsid w:val="6BFB5EC7"/>
    <w:rsid w:val="6C094CBD"/>
    <w:rsid w:val="6C474C68"/>
    <w:rsid w:val="6C812851"/>
    <w:rsid w:val="6C937EAD"/>
    <w:rsid w:val="6CC4450B"/>
    <w:rsid w:val="6D150CF3"/>
    <w:rsid w:val="6D154034"/>
    <w:rsid w:val="6D1D180E"/>
    <w:rsid w:val="6D4318D3"/>
    <w:rsid w:val="6D7E660E"/>
    <w:rsid w:val="6DAD4F9F"/>
    <w:rsid w:val="6DC01176"/>
    <w:rsid w:val="6DC951C3"/>
    <w:rsid w:val="6DE36F16"/>
    <w:rsid w:val="6E10039F"/>
    <w:rsid w:val="6E201D51"/>
    <w:rsid w:val="6E4C0C5C"/>
    <w:rsid w:val="6E4C2A0A"/>
    <w:rsid w:val="6E5D3388"/>
    <w:rsid w:val="6E807CF7"/>
    <w:rsid w:val="6EBD7464"/>
    <w:rsid w:val="6EBE2716"/>
    <w:rsid w:val="6ED21161"/>
    <w:rsid w:val="6F215C44"/>
    <w:rsid w:val="6F2914D3"/>
    <w:rsid w:val="6F6C3363"/>
    <w:rsid w:val="6F814935"/>
    <w:rsid w:val="6F857F81"/>
    <w:rsid w:val="6FA772F4"/>
    <w:rsid w:val="6FE37E94"/>
    <w:rsid w:val="6FEC1DAE"/>
    <w:rsid w:val="6FF24F26"/>
    <w:rsid w:val="70110CA4"/>
    <w:rsid w:val="702020CF"/>
    <w:rsid w:val="70287453"/>
    <w:rsid w:val="702B57F4"/>
    <w:rsid w:val="703B4AE4"/>
    <w:rsid w:val="703F7638"/>
    <w:rsid w:val="70480FAF"/>
    <w:rsid w:val="7073599E"/>
    <w:rsid w:val="70A21873"/>
    <w:rsid w:val="70AC60E0"/>
    <w:rsid w:val="70B07280"/>
    <w:rsid w:val="70D82F0C"/>
    <w:rsid w:val="71017ADB"/>
    <w:rsid w:val="710B2708"/>
    <w:rsid w:val="71430294"/>
    <w:rsid w:val="716D4322"/>
    <w:rsid w:val="717E2EDA"/>
    <w:rsid w:val="71BB412F"/>
    <w:rsid w:val="71D053AE"/>
    <w:rsid w:val="71F4319C"/>
    <w:rsid w:val="71F47640"/>
    <w:rsid w:val="72154882"/>
    <w:rsid w:val="72236D4F"/>
    <w:rsid w:val="72604CD6"/>
    <w:rsid w:val="727367B7"/>
    <w:rsid w:val="734041AE"/>
    <w:rsid w:val="734B7734"/>
    <w:rsid w:val="73546AD5"/>
    <w:rsid w:val="73614861"/>
    <w:rsid w:val="73634A7D"/>
    <w:rsid w:val="739369E5"/>
    <w:rsid w:val="73AD5CF9"/>
    <w:rsid w:val="73B04C2D"/>
    <w:rsid w:val="73CD618F"/>
    <w:rsid w:val="73DF0768"/>
    <w:rsid w:val="740A4EF9"/>
    <w:rsid w:val="742E35AD"/>
    <w:rsid w:val="743E1047"/>
    <w:rsid w:val="74443A53"/>
    <w:rsid w:val="745443C6"/>
    <w:rsid w:val="7472484C"/>
    <w:rsid w:val="748E5B2A"/>
    <w:rsid w:val="74A72014"/>
    <w:rsid w:val="74AC160D"/>
    <w:rsid w:val="74C90910"/>
    <w:rsid w:val="74EB3774"/>
    <w:rsid w:val="750E27C7"/>
    <w:rsid w:val="75571951"/>
    <w:rsid w:val="758D193E"/>
    <w:rsid w:val="758D7B90"/>
    <w:rsid w:val="758E5275"/>
    <w:rsid w:val="75B82733"/>
    <w:rsid w:val="75C36B9F"/>
    <w:rsid w:val="75D62A0B"/>
    <w:rsid w:val="75DC4673"/>
    <w:rsid w:val="75FB71EF"/>
    <w:rsid w:val="760F67F7"/>
    <w:rsid w:val="762E22DC"/>
    <w:rsid w:val="763444AF"/>
    <w:rsid w:val="766C1E9B"/>
    <w:rsid w:val="767F4B72"/>
    <w:rsid w:val="76A07D97"/>
    <w:rsid w:val="76DB25E6"/>
    <w:rsid w:val="76E41A31"/>
    <w:rsid w:val="76EC4D8A"/>
    <w:rsid w:val="76EE554B"/>
    <w:rsid w:val="76F13C5F"/>
    <w:rsid w:val="77141F5A"/>
    <w:rsid w:val="776F4B46"/>
    <w:rsid w:val="77884AB3"/>
    <w:rsid w:val="778E5CF8"/>
    <w:rsid w:val="77ED3E16"/>
    <w:rsid w:val="77ED7EF6"/>
    <w:rsid w:val="77F31118"/>
    <w:rsid w:val="78034139"/>
    <w:rsid w:val="78073367"/>
    <w:rsid w:val="781B6EE3"/>
    <w:rsid w:val="78283BA0"/>
    <w:rsid w:val="786B0E55"/>
    <w:rsid w:val="78A0407E"/>
    <w:rsid w:val="78A376CA"/>
    <w:rsid w:val="78AF70A8"/>
    <w:rsid w:val="78CC4217"/>
    <w:rsid w:val="78CF04BF"/>
    <w:rsid w:val="790C34C1"/>
    <w:rsid w:val="79494343"/>
    <w:rsid w:val="79844EF9"/>
    <w:rsid w:val="79B002F1"/>
    <w:rsid w:val="79C57453"/>
    <w:rsid w:val="79D35D8D"/>
    <w:rsid w:val="79DB47CC"/>
    <w:rsid w:val="79F93A46"/>
    <w:rsid w:val="7A0432DF"/>
    <w:rsid w:val="7A3041DB"/>
    <w:rsid w:val="7A6F776C"/>
    <w:rsid w:val="7A70182E"/>
    <w:rsid w:val="7A862E00"/>
    <w:rsid w:val="7A874E13"/>
    <w:rsid w:val="7AB23BF5"/>
    <w:rsid w:val="7AD46261"/>
    <w:rsid w:val="7B4A0FA0"/>
    <w:rsid w:val="7B516AFB"/>
    <w:rsid w:val="7B6F1AE6"/>
    <w:rsid w:val="7B810197"/>
    <w:rsid w:val="7BA5672C"/>
    <w:rsid w:val="7BC160B7"/>
    <w:rsid w:val="7BCE2CB0"/>
    <w:rsid w:val="7BD427EF"/>
    <w:rsid w:val="7BE95D3C"/>
    <w:rsid w:val="7BEC339E"/>
    <w:rsid w:val="7BF070CA"/>
    <w:rsid w:val="7BF2699E"/>
    <w:rsid w:val="7C136915"/>
    <w:rsid w:val="7C35285F"/>
    <w:rsid w:val="7C3662C4"/>
    <w:rsid w:val="7C6E11D8"/>
    <w:rsid w:val="7CA468AE"/>
    <w:rsid w:val="7CB24380"/>
    <w:rsid w:val="7CE87DA1"/>
    <w:rsid w:val="7D2544C4"/>
    <w:rsid w:val="7D2F777E"/>
    <w:rsid w:val="7D4C0002"/>
    <w:rsid w:val="7D565D1B"/>
    <w:rsid w:val="7D6E64F9"/>
    <w:rsid w:val="7DAA5057"/>
    <w:rsid w:val="7DB15743"/>
    <w:rsid w:val="7DD17ECA"/>
    <w:rsid w:val="7DD54E05"/>
    <w:rsid w:val="7DE467BB"/>
    <w:rsid w:val="7DEC3371"/>
    <w:rsid w:val="7E033940"/>
    <w:rsid w:val="7E0B59D9"/>
    <w:rsid w:val="7E5A0FB5"/>
    <w:rsid w:val="7E81225C"/>
    <w:rsid w:val="7EAC5562"/>
    <w:rsid w:val="7EFB4F6E"/>
    <w:rsid w:val="7F080287"/>
    <w:rsid w:val="7F377BAD"/>
    <w:rsid w:val="7F421D45"/>
    <w:rsid w:val="7F440142"/>
    <w:rsid w:val="7F8E14D9"/>
    <w:rsid w:val="7FA7793D"/>
    <w:rsid w:val="7FAB29F1"/>
    <w:rsid w:val="7FB24AC2"/>
    <w:rsid w:val="7FC30F23"/>
    <w:rsid w:val="7FDD1714"/>
    <w:rsid w:val="BFFFB51D"/>
    <w:rsid w:val="EEBF9442"/>
    <w:rsid w:val="FBFFD6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imes New Roman"/>
      <w:kern w:val="2"/>
      <w:sz w:val="24"/>
      <w:szCs w:val="22"/>
      <w:lang w:val="en-US" w:eastAsia="zh-CN" w:bidi="ar-SA"/>
    </w:rPr>
  </w:style>
  <w:style w:type="paragraph" w:styleId="3">
    <w:name w:val="heading 1"/>
    <w:basedOn w:val="1"/>
    <w:next w:val="1"/>
    <w:link w:val="51"/>
    <w:qFormat/>
    <w:uiPriority w:val="9"/>
    <w:pPr>
      <w:keepNext/>
      <w:keepLines/>
      <w:jc w:val="center"/>
      <w:outlineLvl w:val="0"/>
    </w:pPr>
    <w:rPr>
      <w:rFonts w:eastAsia="黑体"/>
      <w:bCs/>
      <w:kern w:val="44"/>
      <w:sz w:val="44"/>
      <w:szCs w:val="44"/>
    </w:rPr>
  </w:style>
  <w:style w:type="paragraph" w:styleId="2">
    <w:name w:val="heading 2"/>
    <w:basedOn w:val="1"/>
    <w:next w:val="1"/>
    <w:link w:val="41"/>
    <w:unhideWhenUsed/>
    <w:qFormat/>
    <w:uiPriority w:val="9"/>
    <w:pPr>
      <w:keepNext/>
      <w:keepLines/>
      <w:outlineLvl w:val="1"/>
    </w:pPr>
    <w:rPr>
      <w:rFonts w:cs="Times New Roman"/>
      <w:b/>
      <w:bCs/>
      <w:szCs w:val="32"/>
    </w:rPr>
  </w:style>
  <w:style w:type="paragraph" w:styleId="4">
    <w:name w:val="heading 3"/>
    <w:basedOn w:val="1"/>
    <w:next w:val="1"/>
    <w:link w:val="43"/>
    <w:unhideWhenUsed/>
    <w:qFormat/>
    <w:uiPriority w:val="9"/>
    <w:pPr>
      <w:keepNext/>
      <w:keepLines/>
      <w:outlineLvl w:val="2"/>
    </w:pPr>
    <w:rPr>
      <w:b/>
      <w:bCs/>
      <w:szCs w:val="32"/>
    </w:rPr>
  </w:style>
  <w:style w:type="paragraph" w:styleId="5">
    <w:name w:val="heading 4"/>
    <w:basedOn w:val="1"/>
    <w:next w:val="1"/>
    <w:link w:val="44"/>
    <w:unhideWhenUsed/>
    <w:qFormat/>
    <w:uiPriority w:val="9"/>
    <w:pPr>
      <w:keepNext/>
      <w:keepLines/>
      <w:spacing w:before="280" w:after="290" w:line="376" w:lineRule="auto"/>
      <w:outlineLvl w:val="3"/>
    </w:pPr>
    <w:rPr>
      <w:rFonts w:ascii="等线 Light" w:hAnsi="等线 Light" w:eastAsia="等线 Light" w:cs="Times New Roman"/>
      <w:b/>
      <w:bCs/>
      <w:sz w:val="28"/>
      <w:szCs w:val="28"/>
    </w:rPr>
  </w:style>
  <w:style w:type="character" w:default="1" w:styleId="27">
    <w:name w:val="Default Paragraph Font"/>
    <w:unhideWhenUsed/>
    <w:qFormat/>
    <w:uiPriority w:val="1"/>
  </w:style>
  <w:style w:type="table" w:default="1" w:styleId="25">
    <w:name w:val="Normal Table"/>
    <w:unhideWhenUsed/>
    <w:qFormat/>
    <w:uiPriority w:val="99"/>
    <w:tblPr>
      <w:tblCellMar>
        <w:top w:w="0" w:type="dxa"/>
        <w:left w:w="108" w:type="dxa"/>
        <w:bottom w:w="0" w:type="dxa"/>
        <w:right w:w="108" w:type="dxa"/>
      </w:tblCellMar>
    </w:tblPr>
  </w:style>
  <w:style w:type="paragraph" w:styleId="6">
    <w:name w:val="Normal Indent"/>
    <w:basedOn w:val="1"/>
    <w:qFormat/>
    <w:uiPriority w:val="99"/>
    <w:pPr>
      <w:spacing w:line="480" w:lineRule="atLeast"/>
      <w:ind w:firstLine="547"/>
    </w:pPr>
    <w:rPr>
      <w:sz w:val="28"/>
      <w:szCs w:val="24"/>
    </w:rPr>
  </w:style>
  <w:style w:type="paragraph" w:styleId="7">
    <w:name w:val="toa heading"/>
    <w:basedOn w:val="1"/>
    <w:next w:val="1"/>
    <w:qFormat/>
    <w:uiPriority w:val="0"/>
    <w:pPr>
      <w:spacing w:before="120"/>
      <w:ind w:firstLine="0" w:firstLineChars="0"/>
    </w:pPr>
    <w:rPr>
      <w:rFonts w:ascii="Arial" w:hAnsi="Arial" w:cs="Arial"/>
      <w:szCs w:val="24"/>
    </w:rPr>
  </w:style>
  <w:style w:type="paragraph" w:styleId="8">
    <w:name w:val="annotation text"/>
    <w:basedOn w:val="1"/>
    <w:qFormat/>
    <w:uiPriority w:val="99"/>
    <w:pPr>
      <w:spacing w:line="240" w:lineRule="auto"/>
      <w:jc w:val="left"/>
    </w:pPr>
    <w:rPr>
      <w:sz w:val="21"/>
      <w:szCs w:val="20"/>
    </w:rPr>
  </w:style>
  <w:style w:type="paragraph" w:styleId="9">
    <w:name w:val="Body Text 3"/>
    <w:basedOn w:val="1"/>
    <w:link w:val="45"/>
    <w:unhideWhenUsed/>
    <w:qFormat/>
    <w:uiPriority w:val="99"/>
    <w:pPr>
      <w:spacing w:after="120"/>
    </w:pPr>
    <w:rPr>
      <w:rFonts w:cs="Times New Roman"/>
      <w:sz w:val="16"/>
      <w:szCs w:val="16"/>
    </w:rPr>
  </w:style>
  <w:style w:type="paragraph" w:styleId="10">
    <w:name w:val="Body Text"/>
    <w:basedOn w:val="1"/>
    <w:next w:val="1"/>
    <w:qFormat/>
    <w:uiPriority w:val="99"/>
    <w:rPr>
      <w:rFonts w:ascii="宋体"/>
      <w:kern w:val="0"/>
      <w:sz w:val="28"/>
      <w:szCs w:val="20"/>
    </w:rPr>
  </w:style>
  <w:style w:type="paragraph" w:styleId="11">
    <w:name w:val="Body Text Indent"/>
    <w:basedOn w:val="1"/>
    <w:next w:val="12"/>
    <w:qFormat/>
    <w:uiPriority w:val="99"/>
    <w:pPr>
      <w:ind w:firstLine="900"/>
    </w:pPr>
    <w:rPr>
      <w:sz w:val="28"/>
    </w:rPr>
  </w:style>
  <w:style w:type="paragraph" w:styleId="12">
    <w:name w:val="envelope return"/>
    <w:basedOn w:val="1"/>
    <w:unhideWhenUsed/>
    <w:qFormat/>
    <w:uiPriority w:val="99"/>
    <w:pPr>
      <w:snapToGrid w:val="0"/>
    </w:pPr>
    <w:rPr>
      <w:rFonts w:ascii="Arial" w:hAnsi="Arial"/>
    </w:rPr>
  </w:style>
  <w:style w:type="paragraph" w:styleId="13">
    <w:name w:val="toc 3"/>
    <w:basedOn w:val="1"/>
    <w:next w:val="1"/>
    <w:unhideWhenUsed/>
    <w:qFormat/>
    <w:uiPriority w:val="39"/>
    <w:pPr>
      <w:widowControl/>
      <w:spacing w:after="100" w:line="259" w:lineRule="auto"/>
      <w:ind w:left="440" w:firstLine="0" w:firstLineChars="0"/>
      <w:jc w:val="left"/>
    </w:pPr>
    <w:rPr>
      <w:rFonts w:ascii="等线" w:hAnsi="等线" w:eastAsia="等线" w:cs="Times New Roman"/>
      <w:kern w:val="0"/>
      <w:sz w:val="22"/>
    </w:rPr>
  </w:style>
  <w:style w:type="paragraph" w:styleId="14">
    <w:name w:val="Plain Text"/>
    <w:basedOn w:val="1"/>
    <w:qFormat/>
    <w:uiPriority w:val="0"/>
    <w:pPr>
      <w:spacing w:line="580" w:lineRule="exact"/>
      <w:ind w:right="-197" w:firstLine="560"/>
    </w:pPr>
    <w:rPr>
      <w:rFonts w:ascii="黑体" w:hAnsi="Courier New" w:eastAsia="黑体"/>
      <w:sz w:val="28"/>
      <w:szCs w:val="20"/>
    </w:rPr>
  </w:style>
  <w:style w:type="paragraph" w:styleId="15">
    <w:name w:val="Date"/>
    <w:basedOn w:val="1"/>
    <w:next w:val="1"/>
    <w:link w:val="46"/>
    <w:unhideWhenUsed/>
    <w:qFormat/>
    <w:uiPriority w:val="99"/>
    <w:pPr>
      <w:ind w:left="100" w:leftChars="2500"/>
    </w:pPr>
  </w:style>
  <w:style w:type="paragraph" w:styleId="16">
    <w:name w:val="Body Text Indent 2"/>
    <w:basedOn w:val="1"/>
    <w:link w:val="47"/>
    <w:unhideWhenUsed/>
    <w:qFormat/>
    <w:uiPriority w:val="99"/>
    <w:pPr>
      <w:spacing w:after="120" w:line="480" w:lineRule="auto"/>
      <w:ind w:left="420" w:leftChars="200"/>
    </w:pPr>
  </w:style>
  <w:style w:type="paragraph" w:styleId="17">
    <w:name w:val="Balloon Text"/>
    <w:basedOn w:val="1"/>
    <w:link w:val="48"/>
    <w:unhideWhenUsed/>
    <w:qFormat/>
    <w:uiPriority w:val="99"/>
    <w:pPr>
      <w:spacing w:line="240" w:lineRule="auto"/>
    </w:pPr>
    <w:rPr>
      <w:sz w:val="18"/>
      <w:szCs w:val="18"/>
    </w:rPr>
  </w:style>
  <w:style w:type="paragraph" w:styleId="18">
    <w:name w:val="footer"/>
    <w:basedOn w:val="1"/>
    <w:link w:val="49"/>
    <w:unhideWhenUsed/>
    <w:qFormat/>
    <w:uiPriority w:val="99"/>
    <w:pPr>
      <w:tabs>
        <w:tab w:val="center" w:pos="4153"/>
        <w:tab w:val="right" w:pos="8306"/>
      </w:tabs>
      <w:snapToGrid w:val="0"/>
      <w:jc w:val="left"/>
    </w:pPr>
    <w:rPr>
      <w:sz w:val="18"/>
      <w:szCs w:val="18"/>
    </w:rPr>
  </w:style>
  <w:style w:type="paragraph" w:styleId="19">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unhideWhenUsed/>
    <w:qFormat/>
    <w:uiPriority w:val="39"/>
    <w:pPr>
      <w:widowControl/>
      <w:spacing w:after="100" w:line="259" w:lineRule="auto"/>
      <w:ind w:firstLine="0" w:firstLineChars="0"/>
      <w:jc w:val="left"/>
    </w:pPr>
    <w:rPr>
      <w:rFonts w:ascii="等线" w:hAnsi="等线" w:eastAsia="等线" w:cs="Times New Roman"/>
      <w:kern w:val="0"/>
      <w:sz w:val="22"/>
    </w:rPr>
  </w:style>
  <w:style w:type="paragraph" w:styleId="21">
    <w:name w:val="toc 2"/>
    <w:basedOn w:val="1"/>
    <w:next w:val="1"/>
    <w:unhideWhenUsed/>
    <w:qFormat/>
    <w:uiPriority w:val="39"/>
    <w:pPr>
      <w:widowControl/>
      <w:spacing w:after="100" w:line="259" w:lineRule="auto"/>
      <w:ind w:left="220" w:firstLine="0" w:firstLineChars="0"/>
      <w:jc w:val="left"/>
    </w:pPr>
    <w:rPr>
      <w:rFonts w:ascii="等线" w:hAnsi="等线" w:eastAsia="等线" w:cs="Times New Roman"/>
      <w:kern w:val="0"/>
      <w:sz w:val="22"/>
    </w:rPr>
  </w:style>
  <w:style w:type="paragraph" w:styleId="22">
    <w:name w:val="Normal (Web)"/>
    <w:basedOn w:val="1"/>
    <w:unhideWhenUsed/>
    <w:qFormat/>
    <w:uiPriority w:val="99"/>
  </w:style>
  <w:style w:type="paragraph" w:styleId="23">
    <w:name w:val="Title"/>
    <w:basedOn w:val="1"/>
    <w:qFormat/>
    <w:uiPriority w:val="0"/>
    <w:pPr>
      <w:jc w:val="left"/>
      <w:outlineLvl w:val="2"/>
    </w:pPr>
    <w:rPr>
      <w:rFonts w:ascii="宋体" w:hAnsi="宋体"/>
      <w:b/>
      <w:bCs/>
      <w:kern w:val="0"/>
      <w:sz w:val="28"/>
      <w:szCs w:val="32"/>
    </w:rPr>
  </w:style>
  <w:style w:type="paragraph" w:styleId="24">
    <w:name w:val="Body Text First Indent 2"/>
    <w:basedOn w:val="11"/>
    <w:qFormat/>
    <w:uiPriority w:val="0"/>
    <w:pPr>
      <w:spacing w:after="120"/>
      <w:ind w:left="420" w:leftChars="200" w:firstLine="420"/>
    </w:pPr>
    <w:rPr>
      <w:rFonts w:cs="宋体"/>
      <w:sz w:val="21"/>
      <w:szCs w:val="21"/>
    </w:r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qFormat/>
    <w:uiPriority w:val="0"/>
    <w:rPr>
      <w:rFonts w:cs="Times New Roman"/>
    </w:rPr>
  </w:style>
  <w:style w:type="character" w:styleId="29">
    <w:name w:val="FollowedHyperlink"/>
    <w:basedOn w:val="27"/>
    <w:unhideWhenUsed/>
    <w:qFormat/>
    <w:uiPriority w:val="99"/>
    <w:rPr>
      <w:color w:val="800080"/>
      <w:u w:val="none"/>
    </w:rPr>
  </w:style>
  <w:style w:type="character" w:styleId="30">
    <w:name w:val="HTML Definition"/>
    <w:basedOn w:val="27"/>
    <w:unhideWhenUsed/>
    <w:qFormat/>
    <w:uiPriority w:val="99"/>
  </w:style>
  <w:style w:type="character" w:styleId="31">
    <w:name w:val="HTML Typewriter"/>
    <w:basedOn w:val="27"/>
    <w:unhideWhenUsed/>
    <w:qFormat/>
    <w:uiPriority w:val="99"/>
    <w:rPr>
      <w:rFonts w:hint="default" w:ascii="monospace" w:hAnsi="monospace" w:eastAsia="monospace" w:cs="monospace"/>
      <w:sz w:val="20"/>
    </w:rPr>
  </w:style>
  <w:style w:type="character" w:styleId="32">
    <w:name w:val="HTML Acronym"/>
    <w:basedOn w:val="27"/>
    <w:unhideWhenUsed/>
    <w:qFormat/>
    <w:uiPriority w:val="99"/>
  </w:style>
  <w:style w:type="character" w:styleId="33">
    <w:name w:val="HTML Variable"/>
    <w:basedOn w:val="27"/>
    <w:unhideWhenUsed/>
    <w:qFormat/>
    <w:uiPriority w:val="99"/>
  </w:style>
  <w:style w:type="character" w:styleId="34">
    <w:name w:val="Hyperlink"/>
    <w:qFormat/>
    <w:uiPriority w:val="99"/>
    <w:rPr>
      <w:color w:val="0000FF"/>
      <w:u w:val="single"/>
    </w:rPr>
  </w:style>
  <w:style w:type="character" w:styleId="35">
    <w:name w:val="HTML Code"/>
    <w:basedOn w:val="27"/>
    <w:unhideWhenUsed/>
    <w:qFormat/>
    <w:uiPriority w:val="99"/>
    <w:rPr>
      <w:rFonts w:hint="default" w:ascii="monospace" w:hAnsi="monospace" w:eastAsia="monospace" w:cs="monospace"/>
      <w:sz w:val="20"/>
    </w:rPr>
  </w:style>
  <w:style w:type="character" w:styleId="36">
    <w:name w:val="HTML Cite"/>
    <w:basedOn w:val="27"/>
    <w:unhideWhenUsed/>
    <w:qFormat/>
    <w:uiPriority w:val="99"/>
  </w:style>
  <w:style w:type="character" w:styleId="37">
    <w:name w:val="HTML Keyboard"/>
    <w:basedOn w:val="27"/>
    <w:unhideWhenUsed/>
    <w:qFormat/>
    <w:uiPriority w:val="99"/>
    <w:rPr>
      <w:rFonts w:hint="default" w:ascii="monospace" w:hAnsi="monospace" w:eastAsia="monospace" w:cs="monospace"/>
      <w:sz w:val="20"/>
    </w:rPr>
  </w:style>
  <w:style w:type="character" w:styleId="38">
    <w:name w:val="HTML Sample"/>
    <w:basedOn w:val="27"/>
    <w:unhideWhenUsed/>
    <w:qFormat/>
    <w:uiPriority w:val="99"/>
    <w:rPr>
      <w:rFonts w:ascii="monospace" w:hAnsi="monospace" w:eastAsia="monospace" w:cs="monospace"/>
    </w:rPr>
  </w:style>
  <w:style w:type="character" w:customStyle="1" w:styleId="39">
    <w:name w:val="标题 2 Char"/>
    <w:basedOn w:val="27"/>
    <w:link w:val="2"/>
    <w:qFormat/>
    <w:uiPriority w:val="9"/>
    <w:rPr>
      <w:rFonts w:ascii="Times New Roman" w:hAnsi="Times New Roman" w:eastAsia="宋体" w:cs="Times New Roman"/>
      <w:b/>
      <w:bCs/>
      <w:sz w:val="24"/>
      <w:szCs w:val="32"/>
    </w:rPr>
  </w:style>
  <w:style w:type="character" w:customStyle="1" w:styleId="40">
    <w:name w:val="标题 3 字符"/>
    <w:basedOn w:val="27"/>
    <w:qFormat/>
    <w:uiPriority w:val="9"/>
    <w:rPr>
      <w:rFonts w:ascii="Times New Roman" w:hAnsi="Times New Roman" w:eastAsia="宋体"/>
      <w:b/>
      <w:bCs/>
      <w:sz w:val="24"/>
      <w:szCs w:val="32"/>
    </w:rPr>
  </w:style>
  <w:style w:type="character" w:customStyle="1" w:styleId="41">
    <w:name w:val="标题 2 字符"/>
    <w:basedOn w:val="27"/>
    <w:link w:val="2"/>
    <w:qFormat/>
    <w:uiPriority w:val="9"/>
    <w:rPr>
      <w:rFonts w:ascii="Times New Roman" w:hAnsi="Times New Roman" w:eastAsia="宋体" w:cs="Times New Roman"/>
      <w:b/>
      <w:bCs/>
      <w:sz w:val="24"/>
      <w:szCs w:val="32"/>
    </w:rPr>
  </w:style>
  <w:style w:type="character" w:customStyle="1" w:styleId="42">
    <w:name w:val="标题 1 字符1"/>
    <w:link w:val="3"/>
    <w:qFormat/>
    <w:uiPriority w:val="0"/>
    <w:rPr>
      <w:b/>
      <w:kern w:val="44"/>
      <w:sz w:val="44"/>
    </w:rPr>
  </w:style>
  <w:style w:type="character" w:customStyle="1" w:styleId="43">
    <w:name w:val="标题 3 Char"/>
    <w:link w:val="4"/>
    <w:qFormat/>
    <w:uiPriority w:val="0"/>
    <w:rPr>
      <w:b/>
      <w:bCs/>
      <w:kern w:val="2"/>
      <w:sz w:val="32"/>
      <w:szCs w:val="32"/>
    </w:rPr>
  </w:style>
  <w:style w:type="character" w:customStyle="1" w:styleId="44">
    <w:name w:val="标题 4 Char"/>
    <w:basedOn w:val="27"/>
    <w:link w:val="5"/>
    <w:qFormat/>
    <w:uiPriority w:val="9"/>
    <w:rPr>
      <w:rFonts w:ascii="等线 Light" w:hAnsi="等线 Light" w:eastAsia="等线 Light" w:cs="Times New Roman"/>
      <w:b/>
      <w:bCs/>
      <w:sz w:val="28"/>
      <w:szCs w:val="28"/>
    </w:rPr>
  </w:style>
  <w:style w:type="character" w:customStyle="1" w:styleId="45">
    <w:name w:val="正文文本 3 Char"/>
    <w:basedOn w:val="27"/>
    <w:link w:val="9"/>
    <w:qFormat/>
    <w:uiPriority w:val="99"/>
    <w:rPr>
      <w:rFonts w:ascii="Times New Roman" w:hAnsi="Times New Roman" w:eastAsia="宋体" w:cs="Times New Roman"/>
      <w:sz w:val="16"/>
      <w:szCs w:val="16"/>
    </w:rPr>
  </w:style>
  <w:style w:type="character" w:customStyle="1" w:styleId="46">
    <w:name w:val="日期 Char"/>
    <w:basedOn w:val="27"/>
    <w:link w:val="15"/>
    <w:semiHidden/>
    <w:qFormat/>
    <w:uiPriority w:val="99"/>
    <w:rPr>
      <w:rFonts w:ascii="Times New Roman" w:hAnsi="Times New Roman" w:eastAsia="宋体"/>
      <w:sz w:val="24"/>
    </w:rPr>
  </w:style>
  <w:style w:type="character" w:customStyle="1" w:styleId="47">
    <w:name w:val="正文文本缩进 2 Char"/>
    <w:basedOn w:val="27"/>
    <w:link w:val="16"/>
    <w:semiHidden/>
    <w:qFormat/>
    <w:uiPriority w:val="99"/>
    <w:rPr>
      <w:rFonts w:ascii="Times New Roman" w:hAnsi="Times New Roman" w:eastAsia="宋体"/>
      <w:sz w:val="24"/>
    </w:rPr>
  </w:style>
  <w:style w:type="character" w:customStyle="1" w:styleId="48">
    <w:name w:val="批注框文本 Char"/>
    <w:basedOn w:val="27"/>
    <w:link w:val="17"/>
    <w:semiHidden/>
    <w:qFormat/>
    <w:uiPriority w:val="99"/>
    <w:rPr>
      <w:rFonts w:cs="Times New Roman"/>
      <w:kern w:val="2"/>
      <w:sz w:val="18"/>
      <w:szCs w:val="18"/>
    </w:rPr>
  </w:style>
  <w:style w:type="character" w:customStyle="1" w:styleId="49">
    <w:name w:val="页脚 Char"/>
    <w:basedOn w:val="27"/>
    <w:link w:val="18"/>
    <w:qFormat/>
    <w:uiPriority w:val="99"/>
    <w:rPr>
      <w:sz w:val="18"/>
      <w:szCs w:val="18"/>
    </w:rPr>
  </w:style>
  <w:style w:type="character" w:customStyle="1" w:styleId="50">
    <w:name w:val="页眉 Char"/>
    <w:basedOn w:val="27"/>
    <w:link w:val="19"/>
    <w:qFormat/>
    <w:uiPriority w:val="99"/>
    <w:rPr>
      <w:sz w:val="18"/>
      <w:szCs w:val="18"/>
    </w:rPr>
  </w:style>
  <w:style w:type="character" w:customStyle="1" w:styleId="51">
    <w:name w:val="标题 1 Char"/>
    <w:basedOn w:val="27"/>
    <w:link w:val="3"/>
    <w:qFormat/>
    <w:uiPriority w:val="9"/>
    <w:rPr>
      <w:rFonts w:eastAsia="黑体"/>
      <w:bCs/>
      <w:kern w:val="44"/>
      <w:sz w:val="44"/>
      <w:szCs w:val="44"/>
    </w:rPr>
  </w:style>
  <w:style w:type="paragraph" w:customStyle="1" w:styleId="52">
    <w:name w:val="Default"/>
    <w:qFormat/>
    <w:uiPriority w:val="0"/>
    <w:pPr>
      <w:autoSpaceDE w:val="0"/>
      <w:autoSpaceDN w:val="0"/>
      <w:adjustRightInd w:val="0"/>
    </w:pPr>
    <w:rPr>
      <w:rFonts w:ascii="ÀŒÃÂ" w:hAnsi="ÀŒÃÂ" w:eastAsia="宋体" w:cs="ÀŒÃÂ"/>
      <w:color w:val="000000"/>
      <w:sz w:val="24"/>
      <w:szCs w:val="24"/>
      <w:lang w:val="en-US" w:eastAsia="zh-CN" w:bidi="ar-SA"/>
    </w:rPr>
  </w:style>
  <w:style w:type="paragraph" w:customStyle="1" w:styleId="53">
    <w:name w:val="Fließtext"/>
    <w:qFormat/>
    <w:uiPriority w:val="99"/>
    <w:pPr>
      <w:widowControl w:val="0"/>
      <w:overflowPunct w:val="0"/>
      <w:autoSpaceDE w:val="0"/>
      <w:autoSpaceDN w:val="0"/>
      <w:jc w:val="both"/>
      <w:textAlignment w:val="baseline"/>
    </w:pPr>
    <w:rPr>
      <w:rFonts w:ascii="Calibri" w:hAnsi="Calibri" w:eastAsia="宋体" w:cs="Times New Roman"/>
      <w:kern w:val="28"/>
      <w:sz w:val="21"/>
      <w:lang w:val="en-US" w:eastAsia="zh-CN" w:bidi="ar-SA"/>
    </w:rPr>
  </w:style>
  <w:style w:type="paragraph" w:styleId="54">
    <w:name w:val="List Paragraph"/>
    <w:basedOn w:val="1"/>
    <w:qFormat/>
    <w:uiPriority w:val="99"/>
    <w:pPr>
      <w:ind w:firstLine="420"/>
    </w:pPr>
    <w:rPr>
      <w:rFonts w:cs="Times New Roman"/>
      <w:szCs w:val="24"/>
    </w:rPr>
  </w:style>
  <w:style w:type="character" w:customStyle="1" w:styleId="55">
    <w:name w:val="未处理的提及1"/>
    <w:basedOn w:val="27"/>
    <w:unhideWhenUsed/>
    <w:qFormat/>
    <w:uiPriority w:val="99"/>
    <w:rPr>
      <w:color w:val="605E5C"/>
      <w:shd w:val="clear" w:color="auto" w:fill="E1DFDD"/>
    </w:rPr>
  </w:style>
  <w:style w:type="paragraph" w:customStyle="1" w:styleId="56">
    <w:name w:val="TOC 标题1"/>
    <w:basedOn w:val="3"/>
    <w:next w:val="1"/>
    <w:unhideWhenUsed/>
    <w:qFormat/>
    <w:uiPriority w:val="39"/>
    <w:pPr>
      <w:widowControl/>
      <w:spacing w:before="240" w:line="259" w:lineRule="auto"/>
      <w:ind w:firstLine="0" w:firstLineChars="0"/>
      <w:jc w:val="left"/>
      <w:outlineLvl w:val="9"/>
    </w:pPr>
    <w:rPr>
      <w:rFonts w:ascii="等线 Light" w:hAnsi="等线 Light" w:eastAsia="等线 Light" w:cs="Times New Roman"/>
      <w:bCs w:val="0"/>
      <w:color w:val="2F5496"/>
      <w:kern w:val="0"/>
      <w:sz w:val="32"/>
      <w:szCs w:val="32"/>
    </w:rPr>
  </w:style>
  <w:style w:type="paragraph" w:customStyle="1" w:styleId="57">
    <w:name w:val="WPSOffice手动目录 1"/>
    <w:qFormat/>
    <w:uiPriority w:val="0"/>
    <w:rPr>
      <w:rFonts w:ascii="Times New Roman" w:hAnsi="Times New Roman" w:eastAsia="宋体" w:cs="Times New Roman"/>
      <w:lang w:val="en-US" w:eastAsia="zh-CN" w:bidi="ar-SA"/>
    </w:rPr>
  </w:style>
  <w:style w:type="paragraph" w:customStyle="1" w:styleId="58">
    <w:name w:val="段"/>
    <w:basedOn w:val="1"/>
    <w:qFormat/>
    <w:uiPriority w:val="0"/>
    <w:pPr>
      <w:widowControl/>
      <w:spacing w:line="240" w:lineRule="auto"/>
    </w:pPr>
    <w:rPr>
      <w:rFonts w:ascii="宋体" w:hAnsi="宋体" w:eastAsia="Times New Roman" w:cs="宋体"/>
      <w:kern w:val="0"/>
      <w:sz w:val="21"/>
      <w:szCs w:val="21"/>
    </w:rPr>
  </w:style>
  <w:style w:type="character" w:customStyle="1" w:styleId="59">
    <w:name w:val="font31"/>
    <w:basedOn w:val="27"/>
    <w:qFormat/>
    <w:uiPriority w:val="0"/>
    <w:rPr>
      <w:rFonts w:hint="eastAsia" w:ascii="宋体" w:hAnsi="宋体" w:eastAsia="宋体" w:cs="宋体"/>
      <w:b/>
      <w:bCs/>
      <w:color w:val="000000"/>
      <w:sz w:val="21"/>
      <w:szCs w:val="21"/>
      <w:u w:val="none"/>
    </w:rPr>
  </w:style>
  <w:style w:type="character" w:customStyle="1" w:styleId="60">
    <w:name w:val="font41"/>
    <w:basedOn w:val="27"/>
    <w:qFormat/>
    <w:uiPriority w:val="0"/>
    <w:rPr>
      <w:rFonts w:hint="eastAsia" w:ascii="宋体" w:hAnsi="宋体" w:eastAsia="宋体" w:cs="宋体"/>
      <w:color w:val="000000"/>
      <w:sz w:val="21"/>
      <w:szCs w:val="21"/>
      <w:u w:val="none"/>
    </w:rPr>
  </w:style>
  <w:style w:type="character" w:customStyle="1" w:styleId="61">
    <w:name w:val="font21"/>
    <w:basedOn w:val="27"/>
    <w:qFormat/>
    <w:uiPriority w:val="0"/>
    <w:rPr>
      <w:rFonts w:hint="eastAsia" w:ascii="宋体" w:hAnsi="宋体" w:eastAsia="宋体" w:cs="宋体"/>
      <w:color w:val="000000"/>
      <w:sz w:val="22"/>
      <w:szCs w:val="22"/>
      <w:u w:val="none"/>
    </w:rPr>
  </w:style>
  <w:style w:type="character" w:customStyle="1" w:styleId="62">
    <w:name w:val="font51"/>
    <w:basedOn w:val="27"/>
    <w:qFormat/>
    <w:uiPriority w:val="0"/>
    <w:rPr>
      <w:rFonts w:hint="default" w:ascii="Times New Roman" w:hAnsi="Times New Roman" w:cs="Times New Roman"/>
      <w:color w:val="000000"/>
      <w:sz w:val="20"/>
      <w:szCs w:val="20"/>
      <w:u w:val="single"/>
    </w:rPr>
  </w:style>
  <w:style w:type="character" w:customStyle="1" w:styleId="63">
    <w:name w:val="font01"/>
    <w:basedOn w:val="27"/>
    <w:qFormat/>
    <w:uiPriority w:val="0"/>
    <w:rPr>
      <w:rFonts w:hint="eastAsia" w:ascii="宋体" w:hAnsi="宋体" w:eastAsia="宋体" w:cs="宋体"/>
      <w:color w:val="000000"/>
      <w:sz w:val="24"/>
      <w:szCs w:val="24"/>
      <w:u w:val="none"/>
    </w:rPr>
  </w:style>
  <w:style w:type="paragraph" w:customStyle="1" w:styleId="64">
    <w:name w:val="样式 标题 2标题 1.1编号标题2Reset numberingh2MVA2ERMH2 + 宋体 四号 行距:..."/>
    <w:basedOn w:val="2"/>
    <w:qFormat/>
    <w:uiPriority w:val="0"/>
    <w:pPr>
      <w:spacing w:line="320" w:lineRule="exact"/>
      <w:ind w:firstLine="1281"/>
    </w:pPr>
    <w:rPr>
      <w:rFonts w:ascii="宋体" w:hAnsi="宋体" w:cs="宋体"/>
      <w:sz w:val="28"/>
    </w:rPr>
  </w:style>
  <w:style w:type="paragraph" w:customStyle="1" w:styleId="65">
    <w:name w:val="正文缩进2格"/>
    <w:basedOn w:val="1"/>
    <w:qFormat/>
    <w:uiPriority w:val="0"/>
    <w:pPr>
      <w:spacing w:line="600" w:lineRule="exact"/>
      <w:ind w:firstLine="639" w:firstLineChars="206"/>
    </w:pPr>
    <w:rPr>
      <w:rFonts w:ascii="仿宋_GB2312" w:hAnsi="宋体" w:eastAsia="仿宋_GB2312" w:cs="仿宋_GB2312"/>
      <w:sz w:val="31"/>
      <w:szCs w:val="31"/>
    </w:rPr>
  </w:style>
  <w:style w:type="paragraph" w:customStyle="1" w:styleId="66">
    <w:name w:val="正文_0"/>
    <w:qFormat/>
    <w:uiPriority w:val="0"/>
    <w:pPr>
      <w:widowControl w:val="0"/>
      <w:jc w:val="both"/>
    </w:pPr>
    <w:rPr>
      <w:rFonts w:ascii="Calibri" w:hAnsi="Calibri" w:eastAsia="宋体" w:cs="Times New Roman"/>
      <w:kern w:val="2"/>
      <w:sz w:val="21"/>
      <w:szCs w:val="22"/>
      <w:lang w:val="en-US" w:eastAsia="zh-CN" w:bidi="ar-SA"/>
    </w:rPr>
  </w:style>
  <w:style w:type="table" w:customStyle="1" w:styleId="67">
    <w:name w:val="网格型1"/>
    <w:basedOn w:val="2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68">
    <w:name w:val="网格型2"/>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9">
    <w:name w:val=" Char Char Char Char"/>
    <w:basedOn w:val="1"/>
    <w:qFormat/>
    <w:uiPriority w:val="0"/>
    <w:rPr>
      <w:sz w:val="28"/>
    </w:rPr>
  </w:style>
  <w:style w:type="character" w:customStyle="1" w:styleId="70">
    <w:name w:val=" Char Char Char"/>
    <w:qFormat/>
    <w:uiPriority w:val="0"/>
    <w:rPr>
      <w:rFonts w:eastAsia="宋体"/>
      <w:sz w:val="24"/>
      <w:szCs w:val="24"/>
      <w:lang w:val="en-US" w:eastAsia="zh-CN" w:bidi="ar-SA"/>
    </w:rPr>
  </w:style>
  <w:style w:type="character" w:customStyle="1" w:styleId="71">
    <w:name w:val="Char Char Char"/>
    <w:qFormat/>
    <w:uiPriority w:val="0"/>
    <w:rPr>
      <w:rFonts w:hint="eastAsia" w:ascii="宋体" w:hAnsi="宋体" w:eastAsia="宋体"/>
      <w:sz w:val="24"/>
      <w:szCs w:val="24"/>
      <w:lang w:val="en-US" w:eastAsia="zh-CN" w:bidi="ar-SA"/>
    </w:rPr>
  </w:style>
  <w:style w:type="paragraph" w:customStyle="1" w:styleId="72">
    <w:name w:val="附录标识"/>
    <w:basedOn w:val="1"/>
    <w:next w:val="58"/>
    <w:qFormat/>
    <w:uiPriority w:val="0"/>
    <w:pPr>
      <w:keepNext/>
      <w:widowControl/>
      <w:numPr>
        <w:ilvl w:val="0"/>
        <w:numId w:val="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73">
    <w:name w:val="正文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4">
    <w:name w:val="hover"/>
    <w:basedOn w:val="27"/>
    <w:qFormat/>
    <w:uiPriority w:val="0"/>
    <w:rPr>
      <w:color w:val="5FB878"/>
    </w:rPr>
  </w:style>
  <w:style w:type="character" w:customStyle="1" w:styleId="75">
    <w:name w:val="hover1"/>
    <w:basedOn w:val="27"/>
    <w:qFormat/>
    <w:uiPriority w:val="0"/>
    <w:rPr>
      <w:color w:val="5FB878"/>
    </w:rPr>
  </w:style>
  <w:style w:type="character" w:customStyle="1" w:styleId="76">
    <w:name w:val="hover2"/>
    <w:basedOn w:val="27"/>
    <w:qFormat/>
    <w:uiPriority w:val="0"/>
    <w:rPr>
      <w:color w:val="FFFFFF"/>
    </w:rPr>
  </w:style>
  <w:style w:type="character" w:customStyle="1" w:styleId="77">
    <w:name w:val="first-child"/>
    <w:basedOn w:val="27"/>
    <w:qFormat/>
    <w:uiPriority w:val="0"/>
  </w:style>
  <w:style w:type="character" w:customStyle="1" w:styleId="78">
    <w:name w:val="layui-this2"/>
    <w:basedOn w:val="27"/>
    <w:qFormat/>
    <w:uiPriority w:val="0"/>
    <w:rPr>
      <w:bdr w:val="single" w:color="EEEEEE" w:sz="6" w:space="0"/>
      <w:shd w:val="clear" w:color="auto" w:fill="FFFFFF"/>
    </w:rPr>
  </w:style>
  <w:style w:type="character" w:customStyle="1" w:styleId="79">
    <w:name w:val="font91"/>
    <w:basedOn w:val="27"/>
    <w:qFormat/>
    <w:uiPriority w:val="0"/>
    <w:rPr>
      <w:rFonts w:hint="eastAsia" w:ascii="方正仿宋_GBK" w:hAnsi="方正仿宋_GBK" w:eastAsia="方正仿宋_GBK" w:cs="方正仿宋_GBK"/>
      <w:color w:val="000000"/>
      <w:sz w:val="22"/>
      <w:szCs w:val="22"/>
      <w:u w:val="none"/>
    </w:rPr>
  </w:style>
  <w:style w:type="character" w:customStyle="1" w:styleId="80">
    <w:name w:val="font101"/>
    <w:basedOn w:val="27"/>
    <w:qFormat/>
    <w:uiPriority w:val="0"/>
    <w:rPr>
      <w:rFonts w:hint="eastAsia" w:ascii="方正仿宋_GBK" w:hAnsi="方正仿宋_GBK" w:eastAsia="方正仿宋_GBK" w:cs="方正仿宋_GBK"/>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21905</Words>
  <Characters>23465</Characters>
  <Lines>178</Lines>
  <Paragraphs>50</Paragraphs>
  <TotalTime>1143</TotalTime>
  <ScaleCrop>false</ScaleCrop>
  <LinksUpToDate>false</LinksUpToDate>
  <CharactersWithSpaces>24951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2023-11-28T02:17:00Z</dcterms:created>
  <dc:creator>赵 伟</dc:creator>
  <cp:lastModifiedBy>小辞</cp:lastModifiedBy>
  <cp:lastPrinted>2026-09-01T02:11:29Z</cp:lastPrinted>
  <dcterms:modified xsi:type="dcterms:W3CDTF">2026-09-01T02:11:32Z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B8E08342C7E24855B85AC26D6E82686D_13</vt:lpwstr>
  </property>
  <property fmtid="{D5CDD505-2E9C-101B-9397-08002B2CF9AE}" pid="4" name="KSOTemplateDocerSaveRecord">
    <vt:lpwstr>eyJoZGlkIjoiMjk5MzZhYzg3ZTNjNTMyYTcwMmUxYjdhZWIyMGJhY2IiLCJ1c2VySWQiOiI2Mjg1MDIwMjMifQ==</vt:lpwstr>
  </property>
</Properties>
</file>