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auto"/>
        <w:ind w:firstLine="0" w:firstLineChars="0"/>
        <w:rPr>
          <w:rFonts w:ascii="黑体" w:hAnsi="黑体" w:eastAsia="黑体"/>
          <w:sz w:val="44"/>
          <w:szCs w:val="48"/>
          <w:highlight w:val="none"/>
          <w:u w:val="single"/>
        </w:rPr>
      </w:pPr>
    </w:p>
    <w:p>
      <w:pPr>
        <w:ind w:firstLine="0" w:firstLineChars="0"/>
        <w:jc w:val="center"/>
        <w:rPr>
          <w:rFonts w:hint="eastAsia" w:ascii="宋体" w:hAnsi="宋体" w:eastAsia="宋体" w:cs="宋体"/>
          <w:b/>
          <w:bCs/>
          <w:sz w:val="40"/>
          <w:szCs w:val="40"/>
          <w:highlight w:val="none"/>
          <w:u w:val="none"/>
          <w:lang w:eastAsia="zh-CN"/>
        </w:rPr>
      </w:pPr>
      <w:bookmarkStart w:id="0" w:name="_Toc6457"/>
      <w:r>
        <w:rPr>
          <w:rFonts w:hint="eastAsia" w:ascii="宋体" w:hAnsi="宋体" w:cs="宋体"/>
          <w:b/>
          <w:bCs/>
          <w:sz w:val="40"/>
          <w:szCs w:val="40"/>
          <w:highlight w:val="none"/>
          <w:u w:val="none"/>
          <w:lang w:eastAsia="zh-CN"/>
        </w:rPr>
        <w:t>南通轨道交通集团有限公司运营分公司2026-2029年2号线结构监测委外维保项目</w:t>
      </w:r>
    </w:p>
    <w:p>
      <w:pPr>
        <w:ind w:firstLine="0" w:firstLineChars="0"/>
        <w:jc w:val="center"/>
        <w:rPr>
          <w:rFonts w:ascii="宋体" w:hAnsi="宋体" w:cs="宋体"/>
          <w:b/>
          <w:bCs/>
          <w:sz w:val="40"/>
          <w:szCs w:val="40"/>
          <w:highlight w:val="none"/>
        </w:rPr>
      </w:pPr>
      <w:r>
        <w:rPr>
          <w:rFonts w:hint="eastAsia" w:ascii="宋体" w:hAnsi="宋体" w:cs="宋体"/>
          <w:b/>
          <w:bCs/>
          <w:sz w:val="40"/>
          <w:szCs w:val="40"/>
          <w:highlight w:val="none"/>
        </w:rPr>
        <w:t>（项目编号：</w:t>
      </w:r>
      <w:r>
        <w:rPr>
          <w:rFonts w:hint="eastAsia" w:ascii="宋体" w:hAnsi="宋体" w:cs="宋体"/>
          <w:b/>
          <w:bCs/>
          <w:color w:val="000000" w:themeColor="text1"/>
          <w:sz w:val="40"/>
          <w:szCs w:val="40"/>
          <w:highlight w:val="none"/>
          <w:u w:val="single"/>
          <w:lang w:eastAsia="zh-CN"/>
          <w14:textFill>
            <w14:solidFill>
              <w14:schemeClr w14:val="tx1"/>
            </w14:solidFill>
          </w14:textFill>
        </w:rPr>
        <w:t>NTGY-2026-FW-ZB-034</w:t>
      </w:r>
      <w:r>
        <w:rPr>
          <w:rFonts w:hint="eastAsia" w:ascii="宋体" w:hAnsi="宋体" w:cs="宋体"/>
          <w:b/>
          <w:bCs/>
          <w:sz w:val="40"/>
          <w:szCs w:val="40"/>
          <w:highlight w:val="none"/>
        </w:rPr>
        <w:t>）</w:t>
      </w:r>
      <w:bookmarkEnd w:id="0"/>
    </w:p>
    <w:p>
      <w:pPr>
        <w:ind w:firstLine="480"/>
        <w:rPr>
          <w:rFonts w:ascii="宋体" w:hAnsi="宋体" w:cs="宋体"/>
          <w:b/>
          <w:bCs/>
          <w:sz w:val="44"/>
          <w:szCs w:val="44"/>
          <w:highlight w:val="none"/>
        </w:rPr>
      </w:pPr>
      <w:r>
        <w:rPr>
          <w:highlight w:val="none"/>
        </w:rPr>
        <w:t xml:space="preserve"> </w:t>
      </w:r>
      <w:bookmarkStart w:id="1" w:name="_Toc11519"/>
    </w:p>
    <w:p>
      <w:pPr>
        <w:ind w:firstLine="0" w:firstLineChars="0"/>
        <w:jc w:val="center"/>
        <w:rPr>
          <w:rFonts w:ascii="宋体" w:hAnsi="宋体" w:cs="宋体"/>
          <w:b/>
          <w:bCs/>
          <w:sz w:val="44"/>
          <w:szCs w:val="44"/>
          <w:highlight w:val="none"/>
        </w:rPr>
      </w:pPr>
    </w:p>
    <w:p>
      <w:pPr>
        <w:ind w:firstLine="0" w:firstLineChars="0"/>
        <w:jc w:val="center"/>
        <w:rPr>
          <w:rFonts w:ascii="宋体" w:hAnsi="宋体" w:cs="宋体"/>
          <w:b/>
          <w:bCs/>
          <w:sz w:val="72"/>
          <w:szCs w:val="72"/>
          <w:highlight w:val="none"/>
        </w:rPr>
      </w:pPr>
    </w:p>
    <w:bookmarkEnd w:id="1"/>
    <w:p>
      <w:pPr>
        <w:ind w:firstLine="0" w:firstLineChars="0"/>
        <w:jc w:val="center"/>
        <w:rPr>
          <w:rFonts w:hint="eastAsia" w:ascii="宋体" w:hAnsi="宋体" w:eastAsia="宋体" w:cs="宋体"/>
          <w:b/>
          <w:bCs/>
          <w:sz w:val="72"/>
          <w:szCs w:val="72"/>
          <w:highlight w:val="none"/>
          <w:lang w:eastAsia="zh-CN"/>
        </w:rPr>
      </w:pPr>
      <w:r>
        <w:rPr>
          <w:rFonts w:hint="eastAsia" w:ascii="宋体" w:hAnsi="宋体" w:cs="宋体"/>
          <w:b/>
          <w:bCs/>
          <w:sz w:val="72"/>
          <w:szCs w:val="72"/>
          <w:highlight w:val="none"/>
          <w:lang w:eastAsia="zh-CN"/>
        </w:rPr>
        <w:t>招标文件</w:t>
      </w:r>
    </w:p>
    <w:p>
      <w:pPr>
        <w:ind w:firstLine="0" w:firstLineChars="0"/>
        <w:jc w:val="center"/>
        <w:rPr>
          <w:rFonts w:ascii="黑体" w:hAnsi="黑体" w:eastAsia="黑体"/>
          <w:sz w:val="48"/>
          <w:szCs w:val="52"/>
          <w:highlight w:val="none"/>
        </w:rPr>
      </w:pPr>
    </w:p>
    <w:p>
      <w:pPr>
        <w:ind w:firstLine="0" w:firstLineChars="0"/>
        <w:jc w:val="center"/>
        <w:rPr>
          <w:rFonts w:ascii="黑体" w:hAnsi="黑体" w:eastAsia="黑体"/>
          <w:sz w:val="48"/>
          <w:szCs w:val="52"/>
          <w:highlight w:val="none"/>
        </w:rPr>
      </w:pPr>
    </w:p>
    <w:p>
      <w:pPr>
        <w:ind w:firstLine="0" w:firstLineChars="0"/>
        <w:jc w:val="center"/>
        <w:rPr>
          <w:rFonts w:ascii="黑体" w:hAnsi="黑体" w:eastAsia="黑体"/>
          <w:sz w:val="48"/>
          <w:szCs w:val="52"/>
          <w:highlight w:val="none"/>
        </w:rPr>
      </w:pPr>
    </w:p>
    <w:p>
      <w:pPr>
        <w:ind w:firstLine="0" w:firstLineChars="0"/>
        <w:jc w:val="center"/>
        <w:rPr>
          <w:rFonts w:ascii="黑体" w:hAnsi="黑体" w:eastAsia="黑体"/>
          <w:sz w:val="48"/>
          <w:szCs w:val="52"/>
          <w:highlight w:val="none"/>
        </w:rPr>
      </w:pPr>
    </w:p>
    <w:p>
      <w:pPr>
        <w:ind w:firstLine="1680" w:firstLineChars="700"/>
        <w:rPr>
          <w:rFonts w:ascii="宋体" w:hAnsi="宋体"/>
          <w:szCs w:val="24"/>
          <w:highlight w:val="none"/>
          <w:u w:val="single"/>
        </w:rPr>
      </w:pPr>
      <w:r>
        <w:rPr>
          <w:rFonts w:hint="eastAsia" w:ascii="宋体" w:hAnsi="宋体"/>
          <w:szCs w:val="24"/>
          <w:highlight w:val="none"/>
          <w:lang w:val="en-US" w:eastAsia="zh-CN"/>
        </w:rPr>
        <w:t>招</w:t>
      </w:r>
      <w:r>
        <w:rPr>
          <w:rFonts w:hint="eastAsia" w:ascii="宋体" w:hAnsi="宋体"/>
          <w:szCs w:val="24"/>
          <w:highlight w:val="none"/>
        </w:rPr>
        <w:t xml:space="preserve"> </w:t>
      </w:r>
      <w:r>
        <w:rPr>
          <w:rFonts w:hint="eastAsia" w:ascii="宋体" w:hAnsi="宋体"/>
          <w:szCs w:val="24"/>
          <w:highlight w:val="none"/>
          <w:lang w:val="en-US" w:eastAsia="zh-CN"/>
        </w:rPr>
        <w:t>标</w:t>
      </w:r>
      <w:r>
        <w:rPr>
          <w:rFonts w:hint="eastAsia" w:ascii="宋体" w:hAnsi="宋体"/>
          <w:szCs w:val="24"/>
          <w:highlight w:val="none"/>
        </w:rPr>
        <w:t xml:space="preserve"> 人：</w:t>
      </w:r>
      <w:r>
        <w:rPr>
          <w:rFonts w:hint="eastAsia" w:ascii="宋体" w:hAnsi="宋体"/>
          <w:szCs w:val="24"/>
          <w:highlight w:val="none"/>
          <w:u w:val="single"/>
        </w:rPr>
        <w:t>南通轨道交通集团有限公司运营分公司</w:t>
      </w:r>
    </w:p>
    <w:p>
      <w:pPr>
        <w:ind w:firstLine="1680" w:firstLineChars="700"/>
        <w:rPr>
          <w:rFonts w:ascii="宋体" w:hAnsi="宋体"/>
          <w:szCs w:val="24"/>
          <w:highlight w:val="none"/>
        </w:rPr>
      </w:pPr>
      <w:r>
        <w:rPr>
          <w:rFonts w:hint="eastAsia" w:ascii="宋体" w:hAnsi="宋体"/>
          <w:szCs w:val="24"/>
          <w:highlight w:val="none"/>
        </w:rPr>
        <w:t>代理机构：</w:t>
      </w:r>
      <w:r>
        <w:rPr>
          <w:rFonts w:hint="eastAsia" w:ascii="宋体" w:hAnsi="宋体"/>
          <w:szCs w:val="24"/>
          <w:highlight w:val="none"/>
          <w:u w:val="single"/>
        </w:rPr>
        <w:t>江苏建达全过程工程咨询有限公司</w:t>
      </w:r>
    </w:p>
    <w:p>
      <w:pPr>
        <w:ind w:firstLine="0" w:firstLineChars="0"/>
        <w:jc w:val="center"/>
        <w:rPr>
          <w:rFonts w:hint="eastAsia" w:ascii="宋体" w:hAnsi="宋体" w:eastAsia="宋体"/>
          <w:szCs w:val="24"/>
          <w:highlight w:val="none"/>
          <w:u w:val="single"/>
          <w:lang w:eastAsia="zh-CN"/>
        </w:rPr>
      </w:pPr>
      <w:r>
        <w:rPr>
          <w:rFonts w:hint="eastAsia" w:ascii="宋体" w:hAnsi="宋体"/>
          <w:szCs w:val="24"/>
          <w:highlight w:val="none"/>
        </w:rPr>
        <w:t>编制时间：</w:t>
      </w:r>
      <w:r>
        <w:rPr>
          <w:rFonts w:hint="eastAsia" w:ascii="宋体" w:hAnsi="宋体"/>
          <w:szCs w:val="24"/>
          <w:highlight w:val="none"/>
          <w:u w:val="single"/>
          <w:lang w:eastAsia="zh-CN"/>
        </w:rPr>
        <w:t>2026年</w:t>
      </w:r>
      <w:r>
        <w:rPr>
          <w:rFonts w:hint="eastAsia" w:ascii="宋体" w:hAnsi="宋体"/>
          <w:szCs w:val="24"/>
          <w:highlight w:val="none"/>
          <w:u w:val="single"/>
          <w:lang w:val="en-US" w:eastAsia="zh-CN"/>
        </w:rPr>
        <w:t>10</w:t>
      </w:r>
      <w:r>
        <w:rPr>
          <w:rFonts w:hint="eastAsia" w:ascii="宋体" w:hAnsi="宋体"/>
          <w:szCs w:val="24"/>
          <w:highlight w:val="none"/>
          <w:u w:val="single"/>
          <w:lang w:eastAsia="zh-CN"/>
        </w:rPr>
        <w:t>月</w:t>
      </w:r>
    </w:p>
    <w:p>
      <w:pPr>
        <w:spacing w:line="240" w:lineRule="auto"/>
        <w:ind w:firstLine="0" w:firstLineChars="0"/>
        <w:jc w:val="center"/>
        <w:rPr>
          <w:rFonts w:ascii="宋体" w:hAnsi="宋体"/>
          <w:sz w:val="21"/>
          <w:highlight w:val="none"/>
        </w:rPr>
        <w:sectPr>
          <w:headerReference r:id="rId7" w:type="first"/>
          <w:footerReference r:id="rId10" w:type="first"/>
          <w:headerReference r:id="rId5" w:type="default"/>
          <w:footerReference r:id="rId8" w:type="default"/>
          <w:headerReference r:id="rId6" w:type="even"/>
          <w:footerReference r:id="rId9" w:type="even"/>
          <w:pgSz w:w="11906" w:h="16838"/>
          <w:pgMar w:top="1418" w:right="1588" w:bottom="1418" w:left="1588" w:header="851" w:footer="992" w:gutter="0"/>
          <w:pgBorders>
            <w:top w:val="none" w:sz="0" w:space="0"/>
            <w:left w:val="none" w:sz="0" w:space="0"/>
            <w:bottom w:val="none" w:sz="0" w:space="0"/>
            <w:right w:val="none" w:sz="0" w:space="0"/>
          </w:pgBorders>
          <w:pgNumType w:fmt="decimal"/>
          <w:cols w:space="425" w:num="1"/>
          <w:docGrid w:linePitch="312" w:charSpace="0"/>
        </w:sectPr>
      </w:pPr>
    </w:p>
    <w:sdt>
      <w:sdtPr>
        <w:rPr>
          <w:rFonts w:eastAsia="宋体"/>
          <w:bCs w:val="0"/>
          <w:kern w:val="2"/>
          <w:sz w:val="24"/>
          <w:szCs w:val="22"/>
          <w:highlight w:val="none"/>
        </w:rPr>
        <w:id w:val="147453442"/>
        <w:docPartObj>
          <w:docPartGallery w:val="Table of Contents"/>
          <w:docPartUnique/>
        </w:docPartObj>
      </w:sdtPr>
      <w:sdtEndPr>
        <w:rPr>
          <w:rFonts w:eastAsia="宋体"/>
          <w:bCs w:val="0"/>
          <w:kern w:val="2"/>
          <w:sz w:val="24"/>
          <w:szCs w:val="22"/>
          <w:highlight w:val="none"/>
        </w:rPr>
      </w:sdtEndPr>
      <w:sdtContent>
        <w:p>
          <w:pPr>
            <w:pStyle w:val="3"/>
            <w:ind w:firstLine="0" w:firstLineChars="0"/>
            <w:rPr>
              <w:highlight w:val="none"/>
            </w:rPr>
          </w:pPr>
          <w:bookmarkStart w:id="2" w:name="_Toc76"/>
          <w:r>
            <w:rPr>
              <w:rFonts w:hint="eastAsia"/>
              <w:sz w:val="40"/>
              <w:szCs w:val="40"/>
              <w:highlight w:val="none"/>
            </w:rPr>
            <w:t>目录</w:t>
          </w:r>
          <w:bookmarkEnd w:id="2"/>
        </w:p>
        <w:p>
          <w:pPr>
            <w:pStyle w:val="21"/>
            <w:tabs>
              <w:tab w:val="right" w:leader="dot" w:pos="8306"/>
            </w:tabs>
            <w:rPr>
              <w:rFonts w:ascii="宋体" w:hAnsi="宋体" w:eastAsia="宋体" w:cs="宋体"/>
              <w:sz w:val="28"/>
              <w:szCs w:val="28"/>
              <w:highlight w:val="none"/>
            </w:rPr>
          </w:pPr>
          <w:r>
            <w:rPr>
              <w:rFonts w:hint="eastAsia" w:ascii="宋体" w:hAnsi="宋体" w:cs="宋体"/>
              <w:sz w:val="28"/>
              <w:szCs w:val="28"/>
              <w:highlight w:val="none"/>
            </w:rPr>
            <w:fldChar w:fldCharType="begin"/>
          </w:r>
          <w:r>
            <w:rPr>
              <w:rFonts w:hint="eastAsia" w:ascii="宋体" w:hAnsi="宋体" w:cs="宋体"/>
              <w:sz w:val="28"/>
              <w:szCs w:val="28"/>
              <w:highlight w:val="none"/>
            </w:rPr>
            <w:instrText xml:space="preserve">TOC \o "1-1" \h \u </w:instrText>
          </w:r>
          <w:r>
            <w:rPr>
              <w:rFonts w:hint="eastAsia" w:ascii="宋体" w:hAnsi="宋体" w:cs="宋体"/>
              <w:sz w:val="28"/>
              <w:szCs w:val="28"/>
              <w:highlight w:val="none"/>
            </w:rPr>
            <w:fldChar w:fldCharType="separate"/>
          </w:r>
        </w:p>
        <w:p>
          <w:pPr>
            <w:pStyle w:val="21"/>
            <w:tabs>
              <w:tab w:val="right" w:leader="dot" w:pos="8306"/>
            </w:tabs>
            <w:rPr>
              <w:rFonts w:ascii="宋体" w:hAnsi="宋体" w:eastAsia="宋体" w:cs="宋体"/>
              <w:sz w:val="28"/>
              <w:szCs w:val="28"/>
              <w:highlight w:val="none"/>
            </w:rPr>
          </w:pPr>
          <w:r>
            <w:rPr>
              <w:highlight w:val="none"/>
            </w:rPr>
            <w:fldChar w:fldCharType="begin"/>
          </w:r>
          <w:r>
            <w:rPr>
              <w:highlight w:val="none"/>
            </w:rPr>
            <w:instrText xml:space="preserve"> HYPERLINK \l "_Toc15324" </w:instrText>
          </w:r>
          <w:r>
            <w:rPr>
              <w:highlight w:val="none"/>
            </w:rPr>
            <w:fldChar w:fldCharType="separate"/>
          </w:r>
          <w:r>
            <w:rPr>
              <w:rFonts w:hint="eastAsia" w:ascii="宋体" w:hAnsi="宋体" w:eastAsia="宋体" w:cs="宋体"/>
              <w:sz w:val="28"/>
              <w:szCs w:val="28"/>
              <w:highlight w:val="none"/>
            </w:rPr>
            <w:t xml:space="preserve">第一章 </w:t>
          </w:r>
          <w:r>
            <w:rPr>
              <w:rFonts w:hint="eastAsia" w:ascii="宋体" w:hAnsi="宋体" w:eastAsia="宋体" w:cs="宋体"/>
              <w:sz w:val="28"/>
              <w:szCs w:val="28"/>
              <w:highlight w:val="none"/>
              <w:lang w:eastAsia="zh-CN"/>
            </w:rPr>
            <w:t>招标公告</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_Toc15324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1</w:t>
          </w:r>
          <w:r>
            <w:rPr>
              <w:rFonts w:hint="eastAsia" w:ascii="宋体" w:hAnsi="宋体" w:eastAsia="宋体" w:cs="宋体"/>
              <w:sz w:val="28"/>
              <w:szCs w:val="28"/>
              <w:highlight w:val="none"/>
            </w:rPr>
            <w:fldChar w:fldCharType="end"/>
          </w:r>
          <w:r>
            <w:rPr>
              <w:rFonts w:hint="eastAsia" w:ascii="宋体" w:hAnsi="宋体" w:eastAsia="宋体" w:cs="宋体"/>
              <w:sz w:val="28"/>
              <w:szCs w:val="28"/>
              <w:highlight w:val="none"/>
            </w:rPr>
            <w:fldChar w:fldCharType="end"/>
          </w:r>
        </w:p>
        <w:p>
          <w:pPr>
            <w:pStyle w:val="21"/>
            <w:tabs>
              <w:tab w:val="right" w:leader="dot" w:pos="8306"/>
            </w:tabs>
            <w:rPr>
              <w:rFonts w:ascii="宋体" w:hAnsi="宋体" w:eastAsia="宋体" w:cs="宋体"/>
              <w:sz w:val="28"/>
              <w:szCs w:val="28"/>
              <w:highlight w:val="none"/>
            </w:rPr>
          </w:pPr>
          <w:r>
            <w:rPr>
              <w:highlight w:val="none"/>
            </w:rPr>
            <w:fldChar w:fldCharType="begin"/>
          </w:r>
          <w:r>
            <w:rPr>
              <w:highlight w:val="none"/>
            </w:rPr>
            <w:instrText xml:space="preserve"> HYPERLINK \l "_Toc18896" </w:instrText>
          </w:r>
          <w:r>
            <w:rPr>
              <w:highlight w:val="none"/>
            </w:rPr>
            <w:fldChar w:fldCharType="separate"/>
          </w:r>
          <w:r>
            <w:rPr>
              <w:rFonts w:hint="eastAsia" w:ascii="宋体" w:hAnsi="宋体" w:eastAsia="宋体" w:cs="宋体"/>
              <w:sz w:val="28"/>
              <w:szCs w:val="28"/>
              <w:highlight w:val="none"/>
            </w:rPr>
            <w:t xml:space="preserve">第二章 </w:t>
          </w:r>
          <w:r>
            <w:rPr>
              <w:rFonts w:hint="eastAsia" w:ascii="宋体" w:hAnsi="宋体" w:eastAsia="宋体" w:cs="宋体"/>
              <w:sz w:val="28"/>
              <w:szCs w:val="28"/>
              <w:highlight w:val="none"/>
              <w:lang w:eastAsia="zh-CN"/>
            </w:rPr>
            <w:t>投标人</w:t>
          </w:r>
          <w:r>
            <w:rPr>
              <w:rFonts w:hint="eastAsia" w:ascii="宋体" w:hAnsi="宋体" w:eastAsia="宋体" w:cs="宋体"/>
              <w:sz w:val="28"/>
              <w:szCs w:val="28"/>
              <w:highlight w:val="none"/>
            </w:rPr>
            <w:t>须知</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_Toc18896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5</w:t>
          </w:r>
          <w:r>
            <w:rPr>
              <w:rFonts w:hint="eastAsia" w:ascii="宋体" w:hAnsi="宋体" w:eastAsia="宋体" w:cs="宋体"/>
              <w:sz w:val="28"/>
              <w:szCs w:val="28"/>
              <w:highlight w:val="none"/>
            </w:rPr>
            <w:fldChar w:fldCharType="end"/>
          </w:r>
          <w:r>
            <w:rPr>
              <w:rFonts w:hint="eastAsia" w:ascii="宋体" w:hAnsi="宋体" w:eastAsia="宋体" w:cs="宋体"/>
              <w:sz w:val="28"/>
              <w:szCs w:val="28"/>
              <w:highlight w:val="none"/>
            </w:rPr>
            <w:fldChar w:fldCharType="end"/>
          </w:r>
        </w:p>
        <w:p>
          <w:pPr>
            <w:pStyle w:val="21"/>
            <w:tabs>
              <w:tab w:val="right" w:leader="dot" w:pos="8306"/>
            </w:tabs>
            <w:rPr>
              <w:rFonts w:ascii="宋体" w:hAnsi="宋体" w:eastAsia="宋体" w:cs="宋体"/>
              <w:sz w:val="28"/>
              <w:szCs w:val="28"/>
              <w:highlight w:val="none"/>
            </w:rPr>
          </w:pPr>
          <w:r>
            <w:rPr>
              <w:highlight w:val="none"/>
            </w:rPr>
            <w:fldChar w:fldCharType="begin"/>
          </w:r>
          <w:r>
            <w:rPr>
              <w:highlight w:val="none"/>
            </w:rPr>
            <w:instrText xml:space="preserve"> HYPERLINK \l "_Toc30142" </w:instrText>
          </w:r>
          <w:r>
            <w:rPr>
              <w:highlight w:val="none"/>
            </w:rPr>
            <w:fldChar w:fldCharType="separate"/>
          </w:r>
          <w:r>
            <w:rPr>
              <w:rFonts w:hint="eastAsia" w:ascii="宋体" w:hAnsi="宋体" w:eastAsia="宋体" w:cs="宋体"/>
              <w:bCs/>
              <w:kern w:val="44"/>
              <w:sz w:val="28"/>
              <w:szCs w:val="28"/>
              <w:highlight w:val="none"/>
            </w:rPr>
            <w:t>第三章 评审方法</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_Toc30142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15</w:t>
          </w:r>
          <w:r>
            <w:rPr>
              <w:rFonts w:hint="eastAsia" w:ascii="宋体" w:hAnsi="宋体" w:eastAsia="宋体" w:cs="宋体"/>
              <w:sz w:val="28"/>
              <w:szCs w:val="28"/>
              <w:highlight w:val="none"/>
            </w:rPr>
            <w:fldChar w:fldCharType="end"/>
          </w:r>
          <w:r>
            <w:rPr>
              <w:rFonts w:hint="eastAsia" w:ascii="宋体" w:hAnsi="宋体" w:eastAsia="宋体" w:cs="宋体"/>
              <w:sz w:val="28"/>
              <w:szCs w:val="28"/>
              <w:highlight w:val="none"/>
            </w:rPr>
            <w:fldChar w:fldCharType="end"/>
          </w:r>
        </w:p>
        <w:p>
          <w:pPr>
            <w:pStyle w:val="21"/>
            <w:tabs>
              <w:tab w:val="right" w:leader="dot" w:pos="8306"/>
            </w:tabs>
            <w:rPr>
              <w:rFonts w:ascii="宋体" w:hAnsi="宋体" w:eastAsia="宋体" w:cs="宋体"/>
              <w:sz w:val="28"/>
              <w:szCs w:val="28"/>
              <w:highlight w:val="none"/>
            </w:rPr>
          </w:pPr>
          <w:r>
            <w:rPr>
              <w:highlight w:val="none"/>
            </w:rPr>
            <w:fldChar w:fldCharType="begin"/>
          </w:r>
          <w:r>
            <w:rPr>
              <w:highlight w:val="none"/>
            </w:rPr>
            <w:instrText xml:space="preserve"> HYPERLINK \l "_Toc27013" </w:instrText>
          </w:r>
          <w:r>
            <w:rPr>
              <w:highlight w:val="none"/>
            </w:rPr>
            <w:fldChar w:fldCharType="separate"/>
          </w:r>
          <w:r>
            <w:rPr>
              <w:rFonts w:hint="eastAsia" w:ascii="宋体" w:hAnsi="宋体" w:eastAsia="宋体" w:cs="宋体"/>
              <w:bCs/>
              <w:kern w:val="44"/>
              <w:sz w:val="28"/>
              <w:szCs w:val="28"/>
              <w:highlight w:val="none"/>
            </w:rPr>
            <w:t>第四章 合同主要条款及格式</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_Toc27013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26</w:t>
          </w:r>
          <w:r>
            <w:rPr>
              <w:rFonts w:hint="eastAsia" w:ascii="宋体" w:hAnsi="宋体" w:eastAsia="宋体" w:cs="宋体"/>
              <w:sz w:val="28"/>
              <w:szCs w:val="28"/>
              <w:highlight w:val="none"/>
            </w:rPr>
            <w:fldChar w:fldCharType="end"/>
          </w:r>
          <w:r>
            <w:rPr>
              <w:rFonts w:hint="eastAsia" w:ascii="宋体" w:hAnsi="宋体" w:eastAsia="宋体" w:cs="宋体"/>
              <w:sz w:val="28"/>
              <w:szCs w:val="28"/>
              <w:highlight w:val="none"/>
            </w:rPr>
            <w:fldChar w:fldCharType="end"/>
          </w:r>
        </w:p>
        <w:p>
          <w:pPr>
            <w:pStyle w:val="21"/>
            <w:tabs>
              <w:tab w:val="right" w:leader="dot" w:pos="8306"/>
            </w:tabs>
            <w:rPr>
              <w:rFonts w:ascii="宋体" w:hAnsi="宋体" w:eastAsia="宋体" w:cs="宋体"/>
              <w:sz w:val="28"/>
              <w:szCs w:val="28"/>
              <w:highlight w:val="none"/>
            </w:rPr>
          </w:pPr>
          <w:r>
            <w:rPr>
              <w:highlight w:val="none"/>
            </w:rPr>
            <w:fldChar w:fldCharType="begin"/>
          </w:r>
          <w:r>
            <w:rPr>
              <w:highlight w:val="none"/>
            </w:rPr>
            <w:instrText xml:space="preserve"> HYPERLINK \l "_Toc31910" </w:instrText>
          </w:r>
          <w:r>
            <w:rPr>
              <w:highlight w:val="none"/>
            </w:rPr>
            <w:fldChar w:fldCharType="separate"/>
          </w:r>
          <w:r>
            <w:rPr>
              <w:rFonts w:hint="eastAsia" w:ascii="宋体" w:hAnsi="宋体" w:eastAsia="宋体" w:cs="宋体"/>
              <w:bCs/>
              <w:kern w:val="44"/>
              <w:sz w:val="28"/>
              <w:szCs w:val="28"/>
              <w:highlight w:val="none"/>
            </w:rPr>
            <w:t>第五章 采购需求</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_Toc31910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46</w:t>
          </w:r>
          <w:r>
            <w:rPr>
              <w:rFonts w:hint="eastAsia" w:ascii="宋体" w:hAnsi="宋体" w:eastAsia="宋体" w:cs="宋体"/>
              <w:sz w:val="28"/>
              <w:szCs w:val="28"/>
              <w:highlight w:val="none"/>
            </w:rPr>
            <w:fldChar w:fldCharType="end"/>
          </w:r>
          <w:r>
            <w:rPr>
              <w:rFonts w:hint="eastAsia" w:ascii="宋体" w:hAnsi="宋体" w:eastAsia="宋体" w:cs="宋体"/>
              <w:sz w:val="28"/>
              <w:szCs w:val="28"/>
              <w:highlight w:val="none"/>
            </w:rPr>
            <w:fldChar w:fldCharType="end"/>
          </w:r>
        </w:p>
        <w:p>
          <w:pPr>
            <w:pStyle w:val="21"/>
            <w:tabs>
              <w:tab w:val="right" w:leader="dot" w:pos="8306"/>
            </w:tabs>
            <w:rPr>
              <w:rFonts w:hint="eastAsia" w:eastAsia="宋体"/>
              <w:highlight w:val="none"/>
              <w:lang w:val="en-US" w:eastAsia="zh-CN"/>
            </w:rPr>
          </w:pPr>
          <w:r>
            <w:rPr>
              <w:highlight w:val="none"/>
            </w:rPr>
            <w:fldChar w:fldCharType="begin"/>
          </w:r>
          <w:r>
            <w:rPr>
              <w:highlight w:val="none"/>
            </w:rPr>
            <w:instrText xml:space="preserve"> HYPERLINK \l "_Toc14421" </w:instrText>
          </w:r>
          <w:r>
            <w:rPr>
              <w:highlight w:val="none"/>
            </w:rPr>
            <w:fldChar w:fldCharType="separate"/>
          </w:r>
          <w:r>
            <w:rPr>
              <w:rFonts w:hint="eastAsia" w:ascii="宋体" w:hAnsi="宋体" w:eastAsia="宋体" w:cs="宋体"/>
              <w:bCs/>
              <w:kern w:val="44"/>
              <w:sz w:val="28"/>
              <w:szCs w:val="28"/>
              <w:highlight w:val="none"/>
            </w:rPr>
            <w:t xml:space="preserve">第六章 </w:t>
          </w:r>
          <w:r>
            <w:rPr>
              <w:rFonts w:hint="eastAsia" w:ascii="宋体" w:hAnsi="宋体" w:eastAsia="宋体" w:cs="宋体"/>
              <w:bCs/>
              <w:kern w:val="44"/>
              <w:sz w:val="28"/>
              <w:szCs w:val="28"/>
              <w:highlight w:val="none"/>
              <w:lang w:eastAsia="zh-CN"/>
            </w:rPr>
            <w:t>投标文件</w:t>
          </w:r>
          <w:r>
            <w:rPr>
              <w:rFonts w:hint="eastAsia" w:ascii="宋体" w:hAnsi="宋体" w:eastAsia="宋体" w:cs="宋体"/>
              <w:bCs/>
              <w:kern w:val="44"/>
              <w:sz w:val="28"/>
              <w:szCs w:val="28"/>
              <w:highlight w:val="none"/>
            </w:rPr>
            <w:t>格式</w:t>
          </w:r>
          <w:r>
            <w:rPr>
              <w:rFonts w:hint="eastAsia" w:ascii="宋体" w:hAnsi="宋体" w:eastAsia="宋体" w:cs="宋体"/>
              <w:sz w:val="28"/>
              <w:szCs w:val="28"/>
              <w:highlight w:val="none"/>
            </w:rPr>
            <w:tab/>
          </w:r>
          <w:r>
            <w:rPr>
              <w:rFonts w:hint="eastAsia" w:ascii="宋体" w:hAnsi="宋体" w:eastAsia="宋体" w:cs="宋体"/>
              <w:sz w:val="28"/>
              <w:szCs w:val="28"/>
              <w:highlight w:val="none"/>
              <w:lang w:val="en-US" w:eastAsia="zh-CN"/>
            </w:rPr>
            <w:t>63</w:t>
          </w:r>
          <w:r>
            <w:rPr>
              <w:rFonts w:hint="eastAsia" w:ascii="宋体" w:hAnsi="宋体" w:eastAsia="宋体" w:cs="宋体"/>
              <w:sz w:val="28"/>
              <w:szCs w:val="28"/>
              <w:highlight w:val="none"/>
            </w:rPr>
            <w:fldChar w:fldCharType="end"/>
          </w:r>
        </w:p>
        <w:p>
          <w:pPr>
            <w:ind w:firstLine="480"/>
            <w:rPr>
              <w:highlight w:val="none"/>
            </w:rPr>
          </w:pPr>
          <w:r>
            <w:rPr>
              <w:rFonts w:hint="eastAsia" w:ascii="宋体" w:hAnsi="宋体" w:cs="宋体"/>
              <w:szCs w:val="28"/>
              <w:highlight w:val="none"/>
            </w:rPr>
            <w:fldChar w:fldCharType="end"/>
          </w:r>
        </w:p>
      </w:sdtContent>
    </w:sdt>
    <w:p>
      <w:pPr>
        <w:ind w:firstLine="480"/>
        <w:rPr>
          <w:highlight w:val="none"/>
        </w:rPr>
      </w:pPr>
    </w:p>
    <w:p>
      <w:pPr>
        <w:ind w:firstLine="480"/>
        <w:rPr>
          <w:highlight w:val="none"/>
        </w:rPr>
      </w:pPr>
    </w:p>
    <w:p>
      <w:pPr>
        <w:ind w:firstLine="480"/>
        <w:rPr>
          <w:highlight w:val="none"/>
        </w:rPr>
        <w:sectPr>
          <w:footerReference r:id="rId11" w:type="default"/>
          <w:pgSz w:w="11906" w:h="16838"/>
          <w:pgMar w:top="1418" w:right="1588" w:bottom="1418" w:left="1588" w:header="851" w:footer="992" w:gutter="0"/>
          <w:pgBorders>
            <w:top w:val="none" w:sz="0" w:space="0"/>
            <w:left w:val="none" w:sz="0" w:space="0"/>
            <w:bottom w:val="none" w:sz="0" w:space="0"/>
            <w:right w:val="none" w:sz="0" w:space="0"/>
          </w:pgBorders>
          <w:pgNumType w:fmt="decimal" w:start="1"/>
          <w:cols w:space="425" w:num="1"/>
          <w:docGrid w:linePitch="312" w:charSpace="0"/>
        </w:sectPr>
      </w:pPr>
    </w:p>
    <w:p>
      <w:pPr>
        <w:ind w:firstLine="0" w:firstLineChars="0"/>
        <w:rPr>
          <w:highlight w:val="none"/>
        </w:rPr>
      </w:pPr>
    </w:p>
    <w:p>
      <w:pPr>
        <w:ind w:firstLine="480"/>
        <w:rPr>
          <w:highlight w:val="none"/>
        </w:rPr>
      </w:pPr>
    </w:p>
    <w:p>
      <w:pPr>
        <w:ind w:firstLine="480"/>
        <w:rPr>
          <w:highlight w:val="none"/>
        </w:rPr>
      </w:pPr>
    </w:p>
    <w:p>
      <w:pPr>
        <w:ind w:firstLine="480"/>
        <w:rPr>
          <w:highlight w:val="none"/>
        </w:rPr>
      </w:pPr>
    </w:p>
    <w:p>
      <w:pPr>
        <w:ind w:firstLine="480"/>
        <w:rPr>
          <w:highlight w:val="none"/>
        </w:rPr>
      </w:pPr>
    </w:p>
    <w:p>
      <w:pPr>
        <w:ind w:firstLine="480"/>
        <w:rPr>
          <w:highlight w:val="none"/>
        </w:rPr>
      </w:pPr>
    </w:p>
    <w:p>
      <w:pPr>
        <w:ind w:firstLine="480"/>
        <w:rPr>
          <w:highlight w:val="none"/>
        </w:rPr>
      </w:pPr>
    </w:p>
    <w:p>
      <w:pPr>
        <w:ind w:firstLine="480"/>
        <w:rPr>
          <w:highlight w:val="none"/>
        </w:rPr>
      </w:pPr>
    </w:p>
    <w:p>
      <w:pPr>
        <w:ind w:firstLine="480"/>
        <w:rPr>
          <w:highlight w:val="none"/>
        </w:rPr>
      </w:pPr>
    </w:p>
    <w:p>
      <w:pPr>
        <w:ind w:firstLine="480"/>
        <w:rPr>
          <w:highlight w:val="none"/>
        </w:rPr>
      </w:pPr>
    </w:p>
    <w:p>
      <w:pPr>
        <w:ind w:firstLine="480"/>
        <w:rPr>
          <w:highlight w:val="none"/>
        </w:rPr>
      </w:pPr>
    </w:p>
    <w:p>
      <w:pPr>
        <w:ind w:firstLine="480"/>
        <w:rPr>
          <w:highlight w:val="none"/>
        </w:rPr>
      </w:pPr>
    </w:p>
    <w:p>
      <w:pPr>
        <w:ind w:firstLine="480"/>
        <w:rPr>
          <w:highlight w:val="none"/>
        </w:rPr>
      </w:pPr>
    </w:p>
    <w:p>
      <w:pPr>
        <w:pStyle w:val="3"/>
        <w:ind w:firstLine="0" w:firstLineChars="0"/>
        <w:rPr>
          <w:rFonts w:hint="eastAsia" w:eastAsia="黑体"/>
          <w:highlight w:val="none"/>
          <w:lang w:eastAsia="zh-CN"/>
        </w:rPr>
      </w:pPr>
      <w:bookmarkStart w:id="3" w:name="_Toc15324"/>
      <w:r>
        <w:rPr>
          <w:rFonts w:hint="eastAsia"/>
          <w:highlight w:val="none"/>
        </w:rPr>
        <w:t xml:space="preserve">第一章 </w:t>
      </w:r>
      <w:bookmarkEnd w:id="3"/>
      <w:r>
        <w:rPr>
          <w:rFonts w:hint="eastAsia"/>
          <w:highlight w:val="none"/>
          <w:lang w:eastAsia="zh-CN"/>
        </w:rPr>
        <w:t>招标公告</w:t>
      </w:r>
    </w:p>
    <w:p>
      <w:pPr>
        <w:widowControl/>
        <w:spacing w:line="240" w:lineRule="auto"/>
        <w:ind w:firstLine="0" w:firstLineChars="0"/>
        <w:jc w:val="left"/>
        <w:rPr>
          <w:rFonts w:eastAsia="黑体"/>
          <w:bCs/>
          <w:kern w:val="44"/>
          <w:sz w:val="44"/>
          <w:szCs w:val="44"/>
          <w:highlight w:val="none"/>
        </w:rPr>
      </w:pPr>
      <w:r>
        <w:rPr>
          <w:highlight w:val="none"/>
        </w:rPr>
        <w:br w:type="page"/>
      </w:r>
    </w:p>
    <w:p>
      <w:pPr>
        <w:ind w:firstLine="0" w:firstLineChars="0"/>
        <w:jc w:val="center"/>
        <w:rPr>
          <w:rFonts w:hint="eastAsia" w:ascii="黑体" w:hAnsi="黑体" w:eastAsia="黑体"/>
          <w:sz w:val="36"/>
          <w:szCs w:val="36"/>
          <w:highlight w:val="none"/>
          <w:lang w:eastAsia="zh-CN"/>
        </w:rPr>
      </w:pPr>
      <w:r>
        <w:rPr>
          <w:rFonts w:hint="eastAsia" w:ascii="黑体" w:hAnsi="黑体" w:eastAsia="黑体"/>
          <w:sz w:val="36"/>
          <w:szCs w:val="36"/>
          <w:highlight w:val="none"/>
        </w:rPr>
        <w:t xml:space="preserve">第一章 </w:t>
      </w:r>
      <w:r>
        <w:rPr>
          <w:rFonts w:hint="eastAsia" w:ascii="黑体" w:hAnsi="黑体" w:eastAsia="黑体"/>
          <w:sz w:val="36"/>
          <w:szCs w:val="36"/>
          <w:highlight w:val="none"/>
          <w:lang w:eastAsia="zh-CN"/>
        </w:rPr>
        <w:t>招标公告</w:t>
      </w:r>
    </w:p>
    <w:p>
      <w:pPr>
        <w:ind w:firstLine="480"/>
        <w:rPr>
          <w:highlight w:val="none"/>
        </w:rPr>
      </w:pPr>
      <w:r>
        <w:rPr>
          <w:rFonts w:hint="eastAsia"/>
          <w:highlight w:val="none"/>
          <w:u w:val="single"/>
          <w:lang w:eastAsia="zh-CN"/>
        </w:rPr>
        <w:t>南通轨道交通集团有限公司运营分公司2026-2029年2号线结构监测委外维保项目</w:t>
      </w:r>
      <w:r>
        <w:rPr>
          <w:rFonts w:hint="eastAsia"/>
          <w:highlight w:val="none"/>
        </w:rPr>
        <w:t>已具备采购条件，现采用</w:t>
      </w:r>
      <w:r>
        <w:rPr>
          <w:rFonts w:hint="eastAsia"/>
          <w:highlight w:val="none"/>
          <w:lang w:eastAsia="zh-CN"/>
        </w:rPr>
        <w:t>公开招标</w:t>
      </w:r>
      <w:r>
        <w:rPr>
          <w:rFonts w:hint="eastAsia"/>
          <w:highlight w:val="none"/>
        </w:rPr>
        <w:t>方式进行</w:t>
      </w:r>
      <w:r>
        <w:rPr>
          <w:highlight w:val="none"/>
        </w:rPr>
        <w:t>采购。</w:t>
      </w:r>
    </w:p>
    <w:p>
      <w:pPr>
        <w:pStyle w:val="4"/>
        <w:ind w:firstLine="482"/>
        <w:rPr>
          <w:highlight w:val="none"/>
        </w:rPr>
      </w:pPr>
      <w:r>
        <w:rPr>
          <w:rFonts w:cs="Times New Roman"/>
          <w:highlight w:val="none"/>
        </w:rPr>
        <w:t>1</w:t>
      </w:r>
      <w:r>
        <w:rPr>
          <w:highlight w:val="none"/>
        </w:rPr>
        <w:t xml:space="preserve"> </w:t>
      </w:r>
      <w:r>
        <w:rPr>
          <w:rFonts w:hint="eastAsia"/>
          <w:highlight w:val="none"/>
        </w:rPr>
        <w:t>项目概况</w:t>
      </w:r>
    </w:p>
    <w:p>
      <w:pPr>
        <w:ind w:firstLine="482"/>
        <w:rPr>
          <w:rFonts w:hint="eastAsia" w:eastAsia="宋体"/>
          <w:highlight w:val="none"/>
          <w:lang w:eastAsia="zh-CN"/>
        </w:rPr>
      </w:pPr>
      <w:r>
        <w:rPr>
          <w:rFonts w:hint="eastAsia"/>
          <w:b/>
          <w:bCs/>
          <w:highlight w:val="none"/>
        </w:rPr>
        <w:t>1</w:t>
      </w:r>
      <w:r>
        <w:rPr>
          <w:b/>
          <w:bCs/>
          <w:highlight w:val="none"/>
        </w:rPr>
        <w:t>.1</w:t>
      </w:r>
      <w:r>
        <w:rPr>
          <w:rFonts w:hint="eastAsia"/>
          <w:b/>
          <w:bCs/>
          <w:highlight w:val="none"/>
        </w:rPr>
        <w:t>项目名称：</w:t>
      </w:r>
      <w:r>
        <w:rPr>
          <w:rFonts w:hint="eastAsia"/>
          <w:highlight w:val="none"/>
          <w:u w:val="single"/>
          <w:lang w:eastAsia="zh-CN"/>
        </w:rPr>
        <w:t>南通轨道交通集团有限公司运营分公司2026-2029年2号线结构监测委外维保项目</w:t>
      </w:r>
    </w:p>
    <w:p>
      <w:pPr>
        <w:ind w:firstLine="482"/>
        <w:rPr>
          <w:rFonts w:hint="eastAsia" w:eastAsia="宋体"/>
          <w:highlight w:val="none"/>
          <w:u w:val="single"/>
          <w:lang w:eastAsia="zh-CN"/>
        </w:rPr>
      </w:pPr>
      <w:r>
        <w:rPr>
          <w:rFonts w:hint="eastAsia"/>
          <w:b/>
          <w:bCs/>
          <w:highlight w:val="none"/>
        </w:rPr>
        <w:t>1</w:t>
      </w:r>
      <w:r>
        <w:rPr>
          <w:b/>
          <w:bCs/>
          <w:highlight w:val="none"/>
        </w:rPr>
        <w:t>.2</w:t>
      </w:r>
      <w:r>
        <w:rPr>
          <w:rFonts w:hint="eastAsia"/>
          <w:b/>
          <w:bCs/>
          <w:highlight w:val="none"/>
        </w:rPr>
        <w:t>项目编号</w:t>
      </w:r>
      <w:r>
        <w:rPr>
          <w:rFonts w:hint="eastAsia"/>
          <w:highlight w:val="none"/>
        </w:rPr>
        <w:t>：</w:t>
      </w:r>
      <w:r>
        <w:rPr>
          <w:rFonts w:hint="eastAsia"/>
          <w:color w:val="auto"/>
          <w:highlight w:val="none"/>
          <w:u w:val="single"/>
          <w:lang w:eastAsia="zh-CN"/>
        </w:rPr>
        <w:t>NTGY-2026-FW-ZB-034</w:t>
      </w:r>
    </w:p>
    <w:p>
      <w:pPr>
        <w:ind w:firstLine="482"/>
        <w:rPr>
          <w:highlight w:val="none"/>
        </w:rPr>
      </w:pPr>
      <w:r>
        <w:rPr>
          <w:rFonts w:hint="eastAsia"/>
          <w:b/>
          <w:bCs/>
          <w:highlight w:val="none"/>
        </w:rPr>
        <w:t>1</w:t>
      </w:r>
      <w:r>
        <w:rPr>
          <w:b/>
          <w:bCs/>
          <w:highlight w:val="none"/>
        </w:rPr>
        <w:t>.3</w:t>
      </w:r>
      <w:r>
        <w:rPr>
          <w:rFonts w:hint="eastAsia"/>
          <w:b/>
          <w:bCs/>
          <w:highlight w:val="none"/>
          <w:lang w:eastAsia="zh-CN"/>
        </w:rPr>
        <w:t>招标人</w:t>
      </w:r>
      <w:r>
        <w:rPr>
          <w:rFonts w:hint="eastAsia"/>
          <w:b/>
          <w:bCs/>
          <w:highlight w:val="none"/>
        </w:rPr>
        <w:t>：</w:t>
      </w:r>
      <w:r>
        <w:rPr>
          <w:rFonts w:hint="eastAsia"/>
          <w:highlight w:val="none"/>
          <w:u w:val="single"/>
        </w:rPr>
        <w:t>南通轨道交通集团有限公司运营分公司</w:t>
      </w:r>
    </w:p>
    <w:p>
      <w:pPr>
        <w:ind w:firstLine="482"/>
        <w:rPr>
          <w:highlight w:val="none"/>
        </w:rPr>
      </w:pPr>
      <w:r>
        <w:rPr>
          <w:rFonts w:hint="eastAsia"/>
          <w:b/>
          <w:bCs/>
          <w:highlight w:val="none"/>
        </w:rPr>
        <w:t>1</w:t>
      </w:r>
      <w:r>
        <w:rPr>
          <w:b/>
          <w:bCs/>
          <w:highlight w:val="none"/>
        </w:rPr>
        <w:t>.4</w:t>
      </w:r>
      <w:r>
        <w:rPr>
          <w:rFonts w:hint="eastAsia"/>
          <w:b/>
          <w:bCs/>
          <w:highlight w:val="none"/>
        </w:rPr>
        <w:t>代理机构：</w:t>
      </w:r>
      <w:r>
        <w:rPr>
          <w:rFonts w:hint="eastAsia" w:ascii="宋体" w:hAnsi="宋体"/>
          <w:szCs w:val="24"/>
          <w:highlight w:val="none"/>
          <w:u w:val="single"/>
        </w:rPr>
        <w:t>江苏建达全过程工程咨询有限公司</w:t>
      </w:r>
    </w:p>
    <w:p>
      <w:pPr>
        <w:ind w:firstLine="482"/>
        <w:rPr>
          <w:highlight w:val="none"/>
        </w:rPr>
      </w:pPr>
      <w:r>
        <w:rPr>
          <w:rFonts w:hint="eastAsia"/>
          <w:b/>
          <w:bCs/>
          <w:highlight w:val="none"/>
        </w:rPr>
        <w:t>1</w:t>
      </w:r>
      <w:r>
        <w:rPr>
          <w:b/>
          <w:bCs/>
          <w:highlight w:val="none"/>
        </w:rPr>
        <w:t>.5</w:t>
      </w:r>
      <w:r>
        <w:rPr>
          <w:rFonts w:hint="eastAsia"/>
          <w:b/>
          <w:bCs/>
          <w:highlight w:val="none"/>
        </w:rPr>
        <w:t>标段划分：</w:t>
      </w:r>
      <w:r>
        <w:rPr>
          <w:rFonts w:hint="eastAsia"/>
          <w:highlight w:val="none"/>
          <w:u w:val="single"/>
        </w:rPr>
        <w:t>不划分标段</w:t>
      </w:r>
    </w:p>
    <w:p>
      <w:pPr>
        <w:ind w:firstLine="482"/>
        <w:rPr>
          <w:rFonts w:hint="default" w:eastAsia="宋体"/>
          <w:highlight w:val="none"/>
          <w:u w:val="single"/>
          <w:lang w:val="en-US" w:eastAsia="zh-CN"/>
        </w:rPr>
      </w:pPr>
      <w:r>
        <w:rPr>
          <w:rFonts w:hint="eastAsia"/>
          <w:b/>
          <w:bCs/>
          <w:highlight w:val="none"/>
        </w:rPr>
        <w:t>1</w:t>
      </w:r>
      <w:r>
        <w:rPr>
          <w:b/>
          <w:bCs/>
          <w:highlight w:val="none"/>
        </w:rPr>
        <w:t>.6</w:t>
      </w:r>
      <w:r>
        <w:rPr>
          <w:rFonts w:hint="eastAsia"/>
          <w:b/>
          <w:bCs/>
          <w:highlight w:val="none"/>
        </w:rPr>
        <w:t>项目限价：</w:t>
      </w:r>
      <w:r>
        <w:rPr>
          <w:rFonts w:hint="eastAsia"/>
          <w:highlight w:val="none"/>
          <w:u w:val="single"/>
          <w:lang w:val="en-US" w:eastAsia="zh-CN"/>
        </w:rPr>
        <w:t>154万元</w:t>
      </w:r>
      <w:r>
        <w:rPr>
          <w:rFonts w:hint="eastAsia"/>
          <w:highlight w:val="none"/>
          <w:u w:val="single"/>
        </w:rPr>
        <w:t>人民币（含税）</w:t>
      </w:r>
    </w:p>
    <w:p>
      <w:pPr>
        <w:pStyle w:val="4"/>
        <w:ind w:firstLine="482"/>
        <w:rPr>
          <w:highlight w:val="none"/>
        </w:rPr>
      </w:pPr>
      <w:r>
        <w:rPr>
          <w:rFonts w:hint="eastAsia" w:cs="Times New Roman"/>
          <w:highlight w:val="none"/>
        </w:rPr>
        <w:t>2</w:t>
      </w:r>
      <w:r>
        <w:rPr>
          <w:rFonts w:cs="Times New Roman"/>
          <w:highlight w:val="none"/>
        </w:rPr>
        <w:t xml:space="preserve"> </w:t>
      </w:r>
      <w:r>
        <w:rPr>
          <w:rFonts w:hint="eastAsia"/>
          <w:highlight w:val="none"/>
          <w:lang w:eastAsia="zh-CN"/>
        </w:rPr>
        <w:t>招标范围</w:t>
      </w:r>
      <w:r>
        <w:rPr>
          <w:rFonts w:hint="eastAsia"/>
          <w:highlight w:val="none"/>
        </w:rPr>
        <w:t>及相关要求</w:t>
      </w:r>
    </w:p>
    <w:p>
      <w:pPr>
        <w:ind w:left="420" w:firstLine="60" w:firstLineChars="25"/>
        <w:rPr>
          <w:highlight w:val="none"/>
          <w:u w:val="single"/>
        </w:rPr>
      </w:pPr>
      <w:r>
        <w:rPr>
          <w:rFonts w:hint="eastAsia"/>
          <w:b/>
          <w:bCs/>
          <w:highlight w:val="none"/>
        </w:rPr>
        <w:t>2</w:t>
      </w:r>
      <w:r>
        <w:rPr>
          <w:b/>
          <w:bCs/>
          <w:highlight w:val="none"/>
        </w:rPr>
        <w:t>.1</w:t>
      </w:r>
      <w:r>
        <w:rPr>
          <w:rFonts w:hint="eastAsia"/>
          <w:b/>
          <w:bCs/>
          <w:highlight w:val="none"/>
          <w:lang w:eastAsia="zh-CN"/>
        </w:rPr>
        <w:t>招标范围</w:t>
      </w:r>
      <w:r>
        <w:rPr>
          <w:rFonts w:hint="eastAsia"/>
          <w:highlight w:val="none"/>
        </w:rPr>
        <w:t>：</w:t>
      </w:r>
      <w:r>
        <w:rPr>
          <w:rFonts w:hint="eastAsia"/>
          <w:highlight w:val="none"/>
          <w:u w:val="single"/>
        </w:rPr>
        <w:t>见第五章《采购需求》</w:t>
      </w:r>
    </w:p>
    <w:p>
      <w:pPr>
        <w:ind w:left="420" w:firstLine="60" w:firstLineChars="25"/>
        <w:rPr>
          <w:highlight w:val="none"/>
          <w:u w:val="single"/>
        </w:rPr>
      </w:pPr>
      <w:r>
        <w:rPr>
          <w:rFonts w:hint="eastAsia"/>
          <w:b/>
          <w:bCs/>
          <w:highlight w:val="none"/>
        </w:rPr>
        <w:t>2</w:t>
      </w:r>
      <w:r>
        <w:rPr>
          <w:b/>
          <w:bCs/>
          <w:highlight w:val="none"/>
        </w:rPr>
        <w:t>.2</w:t>
      </w:r>
      <w:r>
        <w:rPr>
          <w:rFonts w:hint="eastAsia"/>
          <w:b/>
          <w:bCs/>
          <w:highlight w:val="none"/>
        </w:rPr>
        <w:t>项目</w:t>
      </w:r>
      <w:r>
        <w:rPr>
          <w:rFonts w:hint="eastAsia"/>
          <w:b/>
          <w:bCs/>
          <w:highlight w:val="none"/>
          <w:lang w:val="en-US" w:eastAsia="zh-CN"/>
        </w:rPr>
        <w:t>服务</w:t>
      </w:r>
      <w:r>
        <w:rPr>
          <w:rFonts w:hint="eastAsia"/>
          <w:b/>
          <w:bCs/>
          <w:highlight w:val="none"/>
        </w:rPr>
        <w:t>期：</w:t>
      </w:r>
      <w:r>
        <w:rPr>
          <w:rFonts w:hint="eastAsia"/>
          <w:highlight w:val="none"/>
          <w:u w:val="single"/>
        </w:rPr>
        <w:t>见第五章《采购需求》</w:t>
      </w:r>
    </w:p>
    <w:p>
      <w:pPr>
        <w:ind w:left="420" w:firstLine="60" w:firstLineChars="25"/>
        <w:rPr>
          <w:highlight w:val="none"/>
          <w:u w:val="single"/>
        </w:rPr>
      </w:pPr>
      <w:r>
        <w:rPr>
          <w:rFonts w:hint="eastAsia"/>
          <w:b/>
          <w:bCs/>
          <w:highlight w:val="none"/>
        </w:rPr>
        <w:t>2</w:t>
      </w:r>
      <w:r>
        <w:rPr>
          <w:b/>
          <w:bCs/>
          <w:highlight w:val="none"/>
        </w:rPr>
        <w:t>.3</w:t>
      </w:r>
      <w:r>
        <w:rPr>
          <w:rFonts w:hint="eastAsia"/>
          <w:b/>
          <w:bCs/>
          <w:highlight w:val="none"/>
        </w:rPr>
        <w:t>实施地点：</w:t>
      </w:r>
      <w:r>
        <w:rPr>
          <w:rFonts w:hint="eastAsia"/>
          <w:highlight w:val="none"/>
          <w:u w:val="single"/>
          <w:lang w:eastAsia="zh-CN"/>
        </w:rPr>
        <w:t>招标人</w:t>
      </w:r>
      <w:r>
        <w:rPr>
          <w:rFonts w:hint="eastAsia"/>
          <w:highlight w:val="none"/>
          <w:u w:val="single"/>
        </w:rPr>
        <w:t>指定地点</w:t>
      </w:r>
    </w:p>
    <w:p>
      <w:pPr>
        <w:ind w:firstLine="482"/>
        <w:rPr>
          <w:highlight w:val="none"/>
          <w:u w:val="single"/>
        </w:rPr>
      </w:pPr>
      <w:r>
        <w:rPr>
          <w:rFonts w:hint="eastAsia"/>
          <w:b/>
          <w:bCs/>
          <w:highlight w:val="none"/>
        </w:rPr>
        <w:t>2</w:t>
      </w:r>
      <w:r>
        <w:rPr>
          <w:b/>
          <w:bCs/>
          <w:highlight w:val="none"/>
        </w:rPr>
        <w:t>.4</w:t>
      </w:r>
      <w:r>
        <w:rPr>
          <w:rFonts w:hint="eastAsia"/>
          <w:b/>
          <w:bCs/>
          <w:highlight w:val="none"/>
        </w:rPr>
        <w:t>质量标准：</w:t>
      </w:r>
      <w:r>
        <w:rPr>
          <w:rFonts w:hint="eastAsia"/>
          <w:highlight w:val="none"/>
          <w:u w:val="single"/>
        </w:rPr>
        <w:t>符合国家规范、标准及《采购需求》要求</w:t>
      </w:r>
    </w:p>
    <w:p>
      <w:pPr>
        <w:ind w:firstLine="482"/>
        <w:rPr>
          <w:highlight w:val="none"/>
          <w:u w:val="single"/>
        </w:rPr>
      </w:pPr>
      <w:r>
        <w:rPr>
          <w:rFonts w:hint="eastAsia"/>
          <w:b/>
          <w:bCs/>
          <w:highlight w:val="none"/>
        </w:rPr>
        <w:t>2</w:t>
      </w:r>
      <w:r>
        <w:rPr>
          <w:b/>
          <w:bCs/>
          <w:highlight w:val="none"/>
        </w:rPr>
        <w:t>.5</w:t>
      </w:r>
      <w:r>
        <w:rPr>
          <w:rFonts w:hint="eastAsia"/>
          <w:b/>
          <w:bCs/>
          <w:highlight w:val="none"/>
        </w:rPr>
        <w:t>合同履行期限：</w:t>
      </w:r>
      <w:r>
        <w:rPr>
          <w:rFonts w:hint="eastAsia"/>
          <w:highlight w:val="none"/>
          <w:u w:val="single"/>
        </w:rPr>
        <w:t>见第五章《采购需求》</w:t>
      </w:r>
    </w:p>
    <w:p>
      <w:pPr>
        <w:ind w:firstLine="480"/>
        <w:rPr>
          <w:highlight w:val="none"/>
          <w:u w:val="single"/>
        </w:rPr>
      </w:pPr>
      <w:r>
        <w:rPr>
          <w:rFonts w:hint="eastAsia"/>
          <w:highlight w:val="none"/>
        </w:rPr>
        <w:t>2</w:t>
      </w:r>
      <w:r>
        <w:rPr>
          <w:highlight w:val="none"/>
        </w:rPr>
        <w:t>.6</w:t>
      </w:r>
      <w:r>
        <w:rPr>
          <w:rFonts w:hint="eastAsia"/>
          <w:b/>
          <w:bCs/>
          <w:highlight w:val="none"/>
        </w:rPr>
        <w:t>偏离情况</w:t>
      </w:r>
      <w:r>
        <w:rPr>
          <w:rFonts w:hint="eastAsia"/>
          <w:highlight w:val="none"/>
        </w:rPr>
        <w:t>：</w:t>
      </w:r>
      <w:r>
        <w:rPr>
          <w:rFonts w:hint="eastAsia"/>
          <w:highlight w:val="none"/>
          <w:u w:val="single"/>
        </w:rPr>
        <w:t>不允许负偏离</w:t>
      </w:r>
    </w:p>
    <w:p>
      <w:pPr>
        <w:pStyle w:val="4"/>
        <w:ind w:firstLine="482"/>
        <w:rPr>
          <w:highlight w:val="none"/>
        </w:rPr>
      </w:pPr>
      <w:bookmarkStart w:id="4" w:name="_Hlk135227657"/>
      <w:r>
        <w:rPr>
          <w:rFonts w:hint="eastAsia" w:cs="Times New Roman"/>
          <w:highlight w:val="none"/>
        </w:rPr>
        <w:t>3</w:t>
      </w:r>
      <w:r>
        <w:rPr>
          <w:highlight w:val="none"/>
        </w:rPr>
        <w:t xml:space="preserve"> </w:t>
      </w:r>
      <w:r>
        <w:rPr>
          <w:rFonts w:hint="eastAsia"/>
          <w:highlight w:val="none"/>
          <w:lang w:eastAsia="zh-CN"/>
        </w:rPr>
        <w:t>投标人</w:t>
      </w:r>
      <w:r>
        <w:rPr>
          <w:rFonts w:hint="eastAsia"/>
          <w:highlight w:val="none"/>
        </w:rPr>
        <w:t>资格要求</w:t>
      </w:r>
    </w:p>
    <w:bookmarkEnd w:id="4"/>
    <w:p>
      <w:pPr>
        <w:ind w:firstLine="480"/>
        <w:rPr>
          <w:rFonts w:hint="eastAsia" w:ascii="Times New Roman" w:hAnsi="Times New Roman" w:eastAsia="宋体"/>
          <w:highlight w:val="none"/>
          <w:u w:val="single"/>
        </w:rPr>
      </w:pPr>
      <w:r>
        <w:rPr>
          <w:rFonts w:hint="eastAsia"/>
          <w:b/>
          <w:bCs/>
          <w:highlight w:val="none"/>
        </w:rPr>
        <w:t>3</w:t>
      </w:r>
      <w:r>
        <w:rPr>
          <w:b/>
          <w:bCs/>
          <w:highlight w:val="none"/>
        </w:rPr>
        <w:t>.1</w:t>
      </w:r>
      <w:r>
        <w:rPr>
          <w:rFonts w:hint="eastAsia"/>
          <w:b/>
          <w:bCs/>
          <w:highlight w:val="none"/>
        </w:rPr>
        <w:t>资格要求：</w:t>
      </w:r>
      <w:r>
        <w:rPr>
          <w:rFonts w:hint="eastAsia"/>
          <w:b w:val="0"/>
          <w:bCs w:val="0"/>
          <w:highlight w:val="none"/>
          <w:u w:val="single"/>
        </w:rPr>
        <w:t>投标人在中华人民共和国境内注册，具有独立法人资格，能够提供本次招标服务。</w:t>
      </w:r>
    </w:p>
    <w:p>
      <w:pPr>
        <w:ind w:firstLine="480"/>
        <w:rPr>
          <w:rFonts w:hint="eastAsia" w:ascii="Times New Roman" w:hAnsi="Times New Roman"/>
          <w:b/>
          <w:bCs/>
          <w:highlight w:val="none"/>
          <w:u w:val="single"/>
        </w:rPr>
      </w:pPr>
      <w:r>
        <w:rPr>
          <w:rFonts w:hint="eastAsia"/>
          <w:b/>
          <w:bCs/>
          <w:highlight w:val="none"/>
        </w:rPr>
        <w:t>3</w:t>
      </w:r>
      <w:r>
        <w:rPr>
          <w:b/>
          <w:bCs/>
          <w:highlight w:val="none"/>
        </w:rPr>
        <w:t>.2</w:t>
      </w:r>
      <w:r>
        <w:rPr>
          <w:rFonts w:hint="eastAsia"/>
          <w:b/>
          <w:bCs/>
          <w:highlight w:val="none"/>
        </w:rPr>
        <w:t>资质要求：</w:t>
      </w:r>
      <w:r>
        <w:rPr>
          <w:rFonts w:hint="eastAsia" w:ascii="Times New Roman" w:hAnsi="Times New Roman"/>
          <w:b/>
          <w:bCs/>
          <w:highlight w:val="none"/>
          <w:u w:val="none"/>
        </w:rPr>
        <w:t>投标人须具有下列资质之一：</w:t>
      </w:r>
    </w:p>
    <w:p>
      <w:pPr>
        <w:ind w:firstLine="480"/>
        <w:rPr>
          <w:rFonts w:hint="eastAsia" w:ascii="Times New Roman" w:hAnsi="Times New Roman"/>
          <w:b w:val="0"/>
          <w:bCs w:val="0"/>
          <w:highlight w:val="none"/>
          <w:u w:val="single"/>
        </w:rPr>
      </w:pPr>
      <w:r>
        <w:rPr>
          <w:rFonts w:hint="eastAsia" w:ascii="Times New Roman" w:hAnsi="Times New Roman"/>
          <w:b w:val="0"/>
          <w:bCs w:val="0"/>
          <w:highlight w:val="none"/>
          <w:u w:val="single"/>
        </w:rPr>
        <w:t>①建设主管部门颁发的工程勘察工程测量专业甲级资质或工程勘察综合类甲级资质；</w:t>
      </w:r>
    </w:p>
    <w:p>
      <w:pPr>
        <w:ind w:firstLine="480"/>
        <w:rPr>
          <w:rFonts w:hint="eastAsia" w:ascii="Times New Roman" w:hAnsi="Times New Roman" w:eastAsia="宋体"/>
          <w:b w:val="0"/>
          <w:bCs w:val="0"/>
          <w:highlight w:val="none"/>
          <w:u w:val="single"/>
          <w:lang w:eastAsia="zh-CN"/>
        </w:rPr>
      </w:pPr>
      <w:r>
        <w:rPr>
          <w:rFonts w:hint="eastAsia" w:ascii="Times New Roman" w:hAnsi="Times New Roman"/>
          <w:b w:val="0"/>
          <w:bCs w:val="0"/>
          <w:highlight w:val="none"/>
          <w:u w:val="single"/>
        </w:rPr>
        <w:t xml:space="preserve"> ②自然资源部（或原国家测绘地理信息局）颁发的甲级测绘资质</w:t>
      </w:r>
      <w:r>
        <w:rPr>
          <w:rFonts w:hint="eastAsia" w:ascii="Times New Roman" w:hAnsi="Times New Roman"/>
          <w:b w:val="0"/>
          <w:bCs w:val="0"/>
          <w:highlight w:val="none"/>
          <w:u w:val="single"/>
          <w:lang w:eastAsia="zh-CN"/>
        </w:rPr>
        <w:t>。</w:t>
      </w:r>
    </w:p>
    <w:p>
      <w:pPr>
        <w:ind w:firstLine="480"/>
        <w:rPr>
          <w:rFonts w:hint="eastAsia" w:ascii="Times New Roman" w:hAnsi="Times New Roman"/>
          <w:b w:val="0"/>
          <w:bCs w:val="0"/>
          <w:highlight w:val="none"/>
          <w:u w:val="single"/>
        </w:rPr>
      </w:pPr>
      <w:r>
        <w:rPr>
          <w:rFonts w:hint="eastAsia"/>
          <w:b/>
          <w:bCs/>
          <w:highlight w:val="none"/>
        </w:rPr>
        <w:t>3</w:t>
      </w:r>
      <w:r>
        <w:rPr>
          <w:b/>
          <w:bCs/>
          <w:highlight w:val="none"/>
        </w:rPr>
        <w:t>.3</w:t>
      </w:r>
      <w:r>
        <w:rPr>
          <w:rFonts w:hint="eastAsia"/>
          <w:b/>
          <w:bCs/>
          <w:highlight w:val="none"/>
        </w:rPr>
        <w:t>业绩要求：</w:t>
      </w:r>
      <w:r>
        <w:rPr>
          <w:rFonts w:hint="eastAsia" w:ascii="Times New Roman" w:hAnsi="Times New Roman"/>
          <w:b w:val="0"/>
          <w:bCs w:val="0"/>
          <w:highlight w:val="none"/>
          <w:u w:val="single"/>
        </w:rPr>
        <w:t>投标人自2021年1月1日以来至投标截止日期至少具有一项不低于80万元的国内城市轨道交通运营期结构监测或建设期第三方监测业绩（以合同签订时间为准）。</w:t>
      </w:r>
    </w:p>
    <w:p>
      <w:pPr>
        <w:ind w:firstLine="480"/>
        <w:rPr>
          <w:rFonts w:hint="eastAsia" w:ascii="Times New Roman" w:hAnsi="Times New Roman"/>
          <w:b w:val="0"/>
          <w:bCs w:val="0"/>
          <w:highlight w:val="none"/>
          <w:u w:val="single"/>
        </w:rPr>
      </w:pPr>
      <w:r>
        <w:rPr>
          <w:rFonts w:hint="eastAsia" w:ascii="Times New Roman" w:hAnsi="Times New Roman"/>
          <w:b w:val="0"/>
          <w:bCs w:val="0"/>
          <w:highlight w:val="none"/>
          <w:u w:val="single"/>
        </w:rPr>
        <w:t>注：其中运营期结构监测业绩指运营期全线结构变形监测、运营期线路控制保护区建设活动影响监测及其他特殊区段的</w:t>
      </w:r>
      <w:r>
        <w:rPr>
          <w:rFonts w:hint="eastAsia"/>
          <w:b w:val="0"/>
          <w:bCs w:val="0"/>
          <w:highlight w:val="none"/>
          <w:u w:val="single"/>
          <w:lang w:val="en-US" w:eastAsia="zh-CN"/>
        </w:rPr>
        <w:t>结</w:t>
      </w:r>
      <w:r>
        <w:rPr>
          <w:rFonts w:hint="eastAsia" w:ascii="Times New Roman" w:hAnsi="Times New Roman"/>
          <w:b w:val="0"/>
          <w:bCs w:val="0"/>
          <w:highlight w:val="none"/>
          <w:u w:val="single"/>
        </w:rPr>
        <w:t>构变形监测。建设期第三方监测业绩指在轨道交通工程建设期，建设单位委托第三方监测单位进行独立监测的业绩。不包括建设期施工监测业绩，也不包括建设期地铁保护区安全监测业绩。</w:t>
      </w:r>
    </w:p>
    <w:p>
      <w:pPr>
        <w:ind w:firstLine="480"/>
        <w:rPr>
          <w:rFonts w:hint="eastAsia" w:ascii="Times New Roman" w:hAnsi="Times New Roman"/>
          <w:b w:val="0"/>
          <w:bCs w:val="0"/>
          <w:highlight w:val="none"/>
          <w:u w:val="single"/>
        </w:rPr>
      </w:pPr>
      <w:r>
        <w:rPr>
          <w:rFonts w:hint="eastAsia"/>
          <w:b/>
          <w:bCs/>
          <w:highlight w:val="none"/>
        </w:rPr>
        <w:t>3</w:t>
      </w:r>
      <w:r>
        <w:rPr>
          <w:b/>
          <w:bCs/>
          <w:highlight w:val="none"/>
        </w:rPr>
        <w:t>.4</w:t>
      </w:r>
      <w:r>
        <w:rPr>
          <w:rFonts w:hint="eastAsia"/>
          <w:b/>
          <w:bCs/>
          <w:highlight w:val="none"/>
        </w:rPr>
        <w:t>信誉要求：</w:t>
      </w:r>
      <w:r>
        <w:rPr>
          <w:rFonts w:hint="eastAsia" w:ascii="Times New Roman" w:hAnsi="Times New Roman"/>
          <w:b w:val="0"/>
          <w:bCs w:val="0"/>
          <w:highlight w:val="none"/>
          <w:u w:val="single"/>
          <w:lang w:eastAsia="zh-CN"/>
        </w:rPr>
        <w:t>投标人</w:t>
      </w:r>
      <w:r>
        <w:rPr>
          <w:rFonts w:hint="eastAsia" w:ascii="Times New Roman" w:hAnsi="Times New Roman"/>
          <w:b w:val="0"/>
          <w:bCs w:val="0"/>
          <w:highlight w:val="none"/>
          <w:u w:val="single"/>
        </w:rPr>
        <w:t>具有良好的信誉，未被“信用中国”、“中国执行信息公</w:t>
      </w:r>
    </w:p>
    <w:p>
      <w:pPr>
        <w:ind w:left="0" w:leftChars="0" w:firstLine="0" w:firstLineChars="0"/>
        <w:rPr>
          <w:rFonts w:hint="eastAsia" w:ascii="Times New Roman" w:hAnsi="Times New Roman"/>
          <w:b w:val="0"/>
          <w:bCs w:val="0"/>
          <w:highlight w:val="none"/>
          <w:u w:val="single"/>
          <w:lang w:val="en-US" w:eastAsia="zh-CN"/>
        </w:rPr>
      </w:pPr>
      <w:r>
        <w:rPr>
          <w:rFonts w:hint="eastAsia" w:ascii="Times New Roman" w:hAnsi="Times New Roman"/>
          <w:b w:val="0"/>
          <w:bCs w:val="0"/>
          <w:highlight w:val="none"/>
          <w:u w:val="single"/>
        </w:rPr>
        <w:t>开网”及各级信用平台列入失信被执行人、重大税收违法案件当事人等名单；参加采购活动前三年内，在经营活动中无重大违法记录、无不良行为记录（不良行为记录包含</w:t>
      </w:r>
      <w:r>
        <w:rPr>
          <w:rFonts w:hint="eastAsia" w:ascii="Times New Roman" w:hAnsi="Times New Roman"/>
          <w:b w:val="0"/>
          <w:bCs w:val="0"/>
          <w:highlight w:val="none"/>
          <w:u w:val="single"/>
          <w:lang w:eastAsia="zh-CN"/>
        </w:rPr>
        <w:t>投标人</w:t>
      </w:r>
      <w:r>
        <w:rPr>
          <w:rFonts w:hint="eastAsia" w:ascii="Times New Roman" w:hAnsi="Times New Roman"/>
          <w:b w:val="0"/>
          <w:bCs w:val="0"/>
          <w:highlight w:val="none"/>
          <w:u w:val="single"/>
        </w:rPr>
        <w:t>经营过程中存在与主营业务相关的行政处罚、司法裁判与执行等记录）</w:t>
      </w:r>
      <w:r>
        <w:rPr>
          <w:rFonts w:hint="eastAsia" w:ascii="Times New Roman" w:hAnsi="Times New Roman"/>
          <w:b w:val="0"/>
          <w:bCs w:val="0"/>
          <w:highlight w:val="none"/>
          <w:u w:val="single"/>
          <w:lang w:val="en-US" w:eastAsia="zh-CN"/>
        </w:rPr>
        <w:t xml:space="preserve">    </w:t>
      </w:r>
    </w:p>
    <w:p>
      <w:pPr>
        <w:wordWrap w:val="0"/>
        <w:ind w:left="420" w:firstLine="60" w:firstLineChars="25"/>
        <w:jc w:val="left"/>
        <w:rPr>
          <w:rFonts w:hint="eastAsia"/>
          <w:b/>
          <w:bCs/>
          <w:highlight w:val="none"/>
        </w:rPr>
      </w:pPr>
      <w:r>
        <w:rPr>
          <w:rFonts w:hint="eastAsia"/>
          <w:b/>
          <w:bCs/>
          <w:highlight w:val="none"/>
        </w:rPr>
        <w:t>3</w:t>
      </w:r>
      <w:r>
        <w:rPr>
          <w:b/>
          <w:bCs/>
          <w:highlight w:val="none"/>
        </w:rPr>
        <w:t>.5</w:t>
      </w:r>
      <w:r>
        <w:rPr>
          <w:rFonts w:hint="eastAsia"/>
          <w:b/>
          <w:bCs/>
          <w:highlight w:val="none"/>
          <w:lang w:eastAsia="zh-CN"/>
        </w:rPr>
        <w:t>拟派项目负责人</w:t>
      </w:r>
      <w:r>
        <w:rPr>
          <w:rFonts w:hint="eastAsia"/>
          <w:b/>
          <w:bCs/>
          <w:highlight w:val="none"/>
        </w:rPr>
        <w:t>须同时满足以下要求：</w:t>
      </w:r>
    </w:p>
    <w:p>
      <w:pPr>
        <w:wordWrap w:val="0"/>
        <w:ind w:left="420" w:firstLine="60" w:firstLineChars="25"/>
        <w:jc w:val="left"/>
        <w:rPr>
          <w:rFonts w:hint="eastAsia"/>
          <w:b w:val="0"/>
          <w:bCs w:val="0"/>
          <w:highlight w:val="none"/>
          <w:u w:val="single"/>
        </w:rPr>
      </w:pPr>
      <w:r>
        <w:rPr>
          <w:rFonts w:hint="eastAsia"/>
          <w:b w:val="0"/>
          <w:bCs w:val="0"/>
          <w:highlight w:val="none"/>
          <w:u w:val="single"/>
        </w:rPr>
        <w:t>（1）须为投标人正式员工；</w:t>
      </w:r>
    </w:p>
    <w:p>
      <w:pPr>
        <w:wordWrap w:val="0"/>
        <w:ind w:left="420" w:firstLine="60" w:firstLineChars="25"/>
        <w:jc w:val="left"/>
        <w:rPr>
          <w:rFonts w:hint="eastAsia"/>
          <w:b w:val="0"/>
          <w:bCs w:val="0"/>
          <w:highlight w:val="none"/>
          <w:u w:val="single"/>
        </w:rPr>
      </w:pPr>
      <w:r>
        <w:rPr>
          <w:rFonts w:hint="eastAsia"/>
          <w:b w:val="0"/>
          <w:bCs w:val="0"/>
          <w:highlight w:val="none"/>
          <w:u w:val="single"/>
        </w:rPr>
        <w:t>（2）具有工程师及以上的职称；</w:t>
      </w:r>
    </w:p>
    <w:p>
      <w:pPr>
        <w:wordWrap w:val="0"/>
        <w:ind w:left="420" w:firstLine="60" w:firstLineChars="25"/>
        <w:jc w:val="left"/>
        <w:rPr>
          <w:rFonts w:hint="eastAsia"/>
          <w:b w:val="0"/>
          <w:bCs w:val="0"/>
          <w:highlight w:val="none"/>
          <w:u w:val="single"/>
        </w:rPr>
      </w:pPr>
      <w:r>
        <w:rPr>
          <w:rFonts w:hint="eastAsia"/>
          <w:b w:val="0"/>
          <w:bCs w:val="0"/>
          <w:highlight w:val="none"/>
          <w:u w:val="single"/>
        </w:rPr>
        <w:t>（3）具有5年及以上相关工作经验。</w:t>
      </w:r>
    </w:p>
    <w:p>
      <w:pPr>
        <w:wordWrap w:val="0"/>
        <w:ind w:left="420" w:firstLine="60" w:firstLineChars="25"/>
        <w:jc w:val="left"/>
        <w:rPr>
          <w:highlight w:val="none"/>
        </w:rPr>
      </w:pPr>
      <w:r>
        <w:rPr>
          <w:rFonts w:hint="eastAsia"/>
          <w:b/>
          <w:bCs/>
          <w:highlight w:val="none"/>
        </w:rPr>
        <w:t>3.6联合体要求：</w:t>
      </w:r>
      <w:r>
        <w:rPr>
          <w:rFonts w:hint="eastAsia"/>
          <w:highlight w:val="none"/>
          <w:u w:val="single"/>
        </w:rPr>
        <w:t>不接受</w:t>
      </w:r>
    </w:p>
    <w:p>
      <w:pPr>
        <w:wordWrap w:val="0"/>
        <w:ind w:left="420" w:firstLine="60" w:firstLineChars="25"/>
        <w:jc w:val="left"/>
        <w:rPr>
          <w:b/>
          <w:bCs/>
          <w:highlight w:val="none"/>
        </w:rPr>
      </w:pPr>
      <w:r>
        <w:rPr>
          <w:rFonts w:hint="eastAsia"/>
          <w:b/>
          <w:bCs/>
          <w:highlight w:val="none"/>
        </w:rPr>
        <w:t>3.7禁止情形：</w:t>
      </w:r>
    </w:p>
    <w:p>
      <w:pPr>
        <w:wordWrap w:val="0"/>
        <w:ind w:firstLine="480" w:firstLineChars="200"/>
        <w:jc w:val="left"/>
        <w:rPr>
          <w:highlight w:val="none"/>
        </w:rPr>
      </w:pPr>
      <w:r>
        <w:rPr>
          <w:rFonts w:hint="eastAsia"/>
          <w:highlight w:val="none"/>
        </w:rPr>
        <w:t>3.7.1单位负责人为同一人或者存在控股、管理关系的不同单位，不得参加本项目；</w:t>
      </w:r>
    </w:p>
    <w:p>
      <w:pPr>
        <w:wordWrap w:val="0"/>
        <w:ind w:left="420" w:firstLine="60" w:firstLineChars="25"/>
        <w:jc w:val="left"/>
        <w:rPr>
          <w:rFonts w:hint="eastAsia"/>
          <w:highlight w:val="none"/>
        </w:rPr>
      </w:pPr>
      <w:r>
        <w:rPr>
          <w:rFonts w:hint="eastAsia"/>
          <w:highlight w:val="none"/>
        </w:rPr>
        <w:t>3.7.2与</w:t>
      </w:r>
      <w:r>
        <w:rPr>
          <w:rFonts w:hint="eastAsia"/>
          <w:highlight w:val="none"/>
          <w:lang w:eastAsia="zh-CN"/>
        </w:rPr>
        <w:t>招标人</w:t>
      </w:r>
      <w:r>
        <w:rPr>
          <w:rFonts w:hint="eastAsia"/>
          <w:highlight w:val="none"/>
        </w:rPr>
        <w:t>存在利害关系可能影响采购公正性的法人、其他组织或者个人，</w:t>
      </w:r>
    </w:p>
    <w:p>
      <w:pPr>
        <w:wordWrap w:val="0"/>
        <w:ind w:firstLine="0" w:firstLineChars="0"/>
        <w:jc w:val="left"/>
        <w:rPr>
          <w:highlight w:val="none"/>
        </w:rPr>
      </w:pPr>
      <w:r>
        <w:rPr>
          <w:rFonts w:hint="eastAsia"/>
          <w:highlight w:val="none"/>
        </w:rPr>
        <w:t>不得参加本项目。</w:t>
      </w:r>
    </w:p>
    <w:p>
      <w:pPr>
        <w:wordWrap w:val="0"/>
        <w:ind w:left="0" w:leftChars="0" w:firstLine="0" w:firstLineChars="0"/>
        <w:jc w:val="left"/>
        <w:rPr>
          <w:highlight w:val="none"/>
        </w:rPr>
      </w:pPr>
      <w:r>
        <w:rPr>
          <w:rFonts w:hint="eastAsia"/>
          <w:b/>
          <w:highlight w:val="none"/>
        </w:rPr>
        <w:t>3.8其他要求：</w:t>
      </w:r>
      <w:r>
        <w:rPr>
          <w:rFonts w:hint="eastAsia" w:ascii="宋体" w:hAnsi="宋体" w:cs="宋体"/>
          <w:szCs w:val="24"/>
          <w:highlight w:val="none"/>
          <w:u w:val="single"/>
          <w:lang w:val="en-US" w:eastAsia="zh-CN"/>
        </w:rPr>
        <w:t>/</w:t>
      </w:r>
      <w:r>
        <w:rPr>
          <w:rFonts w:hint="eastAsia"/>
          <w:highlight w:val="none"/>
        </w:rPr>
        <w:t xml:space="preserve"> </w:t>
      </w:r>
    </w:p>
    <w:p>
      <w:pPr>
        <w:pStyle w:val="4"/>
        <w:ind w:firstLine="482"/>
        <w:rPr>
          <w:highlight w:val="none"/>
        </w:rPr>
      </w:pPr>
      <w:r>
        <w:rPr>
          <w:rFonts w:hint="eastAsia" w:cs="Times New Roman"/>
          <w:highlight w:val="none"/>
        </w:rPr>
        <w:t>4</w:t>
      </w:r>
      <w:r>
        <w:rPr>
          <w:highlight w:val="none"/>
        </w:rPr>
        <w:t xml:space="preserve"> </w:t>
      </w:r>
      <w:r>
        <w:rPr>
          <w:rFonts w:hint="eastAsia"/>
          <w:highlight w:val="none"/>
          <w:lang w:eastAsia="zh-CN"/>
        </w:rPr>
        <w:t>招标文件</w:t>
      </w:r>
      <w:r>
        <w:rPr>
          <w:rFonts w:hint="eastAsia"/>
          <w:highlight w:val="none"/>
        </w:rPr>
        <w:t>的获取</w:t>
      </w:r>
      <w:r>
        <w:rPr>
          <w:rFonts w:hint="eastAsia"/>
          <w:highlight w:val="none"/>
          <w:lang w:eastAsia="zh-CN"/>
        </w:rPr>
        <w:t>：</w:t>
      </w:r>
      <w:r>
        <w:rPr>
          <w:rFonts w:hint="eastAsia"/>
          <w:highlight w:val="none"/>
          <w:u w:val="single"/>
          <w:lang w:eastAsia="zh-CN"/>
        </w:rPr>
        <w:t>招标文件</w:t>
      </w:r>
      <w:r>
        <w:rPr>
          <w:rFonts w:hint="eastAsia"/>
          <w:highlight w:val="none"/>
          <w:u w:val="single"/>
        </w:rPr>
        <w:t>在本网页内下载</w:t>
      </w:r>
    </w:p>
    <w:p>
      <w:pPr>
        <w:pStyle w:val="4"/>
        <w:ind w:firstLine="482"/>
        <w:rPr>
          <w:highlight w:val="none"/>
        </w:rPr>
      </w:pPr>
      <w:r>
        <w:rPr>
          <w:rFonts w:hint="eastAsia" w:cs="Times New Roman"/>
          <w:highlight w:val="none"/>
        </w:rPr>
        <w:t>5</w:t>
      </w:r>
      <w:r>
        <w:rPr>
          <w:highlight w:val="none"/>
        </w:rPr>
        <w:t xml:space="preserve"> </w:t>
      </w:r>
      <w:r>
        <w:rPr>
          <w:rFonts w:hint="eastAsia"/>
          <w:highlight w:val="none"/>
          <w:lang w:eastAsia="zh-CN"/>
        </w:rPr>
        <w:t>投标文件</w:t>
      </w:r>
      <w:r>
        <w:rPr>
          <w:rFonts w:hint="eastAsia"/>
          <w:highlight w:val="none"/>
        </w:rPr>
        <w:t>的递交</w:t>
      </w:r>
    </w:p>
    <w:p>
      <w:pPr>
        <w:ind w:firstLine="482"/>
        <w:rPr>
          <w:highlight w:val="none"/>
        </w:rPr>
      </w:pPr>
      <w:r>
        <w:rPr>
          <w:rFonts w:hint="eastAsia"/>
          <w:b/>
          <w:bCs/>
          <w:highlight w:val="none"/>
        </w:rPr>
        <w:t>5</w:t>
      </w:r>
      <w:r>
        <w:rPr>
          <w:b/>
          <w:bCs/>
          <w:highlight w:val="none"/>
        </w:rPr>
        <w:t>.1</w:t>
      </w:r>
      <w:bookmarkStart w:id="5" w:name="OLE_LINK177"/>
      <w:r>
        <w:rPr>
          <w:rFonts w:hint="eastAsia"/>
          <w:b/>
          <w:bCs/>
          <w:highlight w:val="none"/>
          <w:lang w:eastAsia="zh-CN"/>
        </w:rPr>
        <w:t>投标文件</w:t>
      </w:r>
      <w:r>
        <w:rPr>
          <w:rFonts w:hint="eastAsia"/>
          <w:b/>
          <w:bCs/>
          <w:highlight w:val="none"/>
        </w:rPr>
        <w:t>递交截止时间</w:t>
      </w:r>
      <w:bookmarkEnd w:id="5"/>
      <w:r>
        <w:rPr>
          <w:rFonts w:hint="eastAsia"/>
          <w:b/>
          <w:bCs/>
          <w:highlight w:val="none"/>
        </w:rPr>
        <w:t>：</w:t>
      </w:r>
      <w:r>
        <w:rPr>
          <w:rFonts w:hint="eastAsia"/>
          <w:highlight w:val="none"/>
          <w:u w:val="single"/>
        </w:rPr>
        <w:t>2</w:t>
      </w:r>
      <w:r>
        <w:rPr>
          <w:highlight w:val="none"/>
          <w:u w:val="single"/>
        </w:rPr>
        <w:t>02</w:t>
      </w:r>
      <w:r>
        <w:rPr>
          <w:rFonts w:hint="eastAsia"/>
          <w:highlight w:val="none"/>
          <w:u w:val="single"/>
          <w:lang w:val="en-US" w:eastAsia="zh-CN"/>
        </w:rPr>
        <w:t>6</w:t>
      </w:r>
      <w:r>
        <w:rPr>
          <w:rFonts w:hint="eastAsia"/>
          <w:highlight w:val="none"/>
          <w:u w:val="single"/>
        </w:rPr>
        <w:t>年</w:t>
      </w:r>
      <w:r>
        <w:rPr>
          <w:rFonts w:hint="eastAsia"/>
          <w:highlight w:val="none"/>
          <w:u w:val="single"/>
          <w:lang w:val="en-US" w:eastAsia="zh-CN"/>
        </w:rPr>
        <w:t>10</w:t>
      </w:r>
      <w:r>
        <w:rPr>
          <w:rFonts w:hint="eastAsia"/>
          <w:highlight w:val="none"/>
          <w:u w:val="single"/>
        </w:rPr>
        <w:t>月</w:t>
      </w:r>
      <w:r>
        <w:rPr>
          <w:rFonts w:hint="eastAsia"/>
          <w:highlight w:val="none"/>
          <w:u w:val="single"/>
          <w:lang w:val="en-US" w:eastAsia="zh-CN"/>
        </w:rPr>
        <w:t>30</w:t>
      </w:r>
      <w:r>
        <w:rPr>
          <w:rFonts w:hint="eastAsia"/>
          <w:highlight w:val="none"/>
          <w:u w:val="single"/>
        </w:rPr>
        <w:t>日14:</w:t>
      </w:r>
      <w:r>
        <w:rPr>
          <w:rFonts w:hint="eastAsia"/>
          <w:highlight w:val="none"/>
          <w:u w:val="single"/>
          <w:lang w:val="en-US" w:eastAsia="zh-CN"/>
        </w:rPr>
        <w:t>3</w:t>
      </w:r>
      <w:r>
        <w:rPr>
          <w:highlight w:val="none"/>
          <w:u w:val="single"/>
        </w:rPr>
        <w:t>0</w:t>
      </w:r>
    </w:p>
    <w:p>
      <w:pPr>
        <w:ind w:left="420" w:firstLine="60" w:firstLineChars="25"/>
        <w:rPr>
          <w:rFonts w:ascii="宋体" w:hAnsi="宋体" w:cs="宋体"/>
          <w:szCs w:val="24"/>
          <w:highlight w:val="none"/>
          <w:u w:val="single"/>
        </w:rPr>
      </w:pPr>
      <w:r>
        <w:rPr>
          <w:rFonts w:hint="eastAsia"/>
          <w:b/>
          <w:bCs/>
          <w:highlight w:val="none"/>
        </w:rPr>
        <w:t>5</w:t>
      </w:r>
      <w:r>
        <w:rPr>
          <w:b/>
          <w:bCs/>
          <w:highlight w:val="none"/>
        </w:rPr>
        <w:t>.2</w:t>
      </w:r>
      <w:r>
        <w:rPr>
          <w:rFonts w:hint="eastAsia"/>
          <w:b/>
          <w:bCs/>
          <w:highlight w:val="none"/>
          <w:lang w:eastAsia="zh-CN"/>
        </w:rPr>
        <w:t>投标文件</w:t>
      </w:r>
      <w:r>
        <w:rPr>
          <w:rFonts w:hint="eastAsia"/>
          <w:b/>
          <w:bCs/>
          <w:highlight w:val="none"/>
        </w:rPr>
        <w:t>递交地点：</w:t>
      </w:r>
      <w:r>
        <w:rPr>
          <w:rFonts w:ascii="宋体" w:hAnsi="宋体" w:cs="宋体"/>
          <w:szCs w:val="24"/>
          <w:highlight w:val="none"/>
          <w:u w:val="single"/>
        </w:rPr>
        <w:t>南通市崇川区崇川</w:t>
      </w:r>
      <w:r>
        <w:rPr>
          <w:rFonts w:hint="eastAsia" w:ascii="宋体" w:hAnsi="宋体" w:cs="宋体"/>
          <w:szCs w:val="24"/>
          <w:highlight w:val="none"/>
          <w:u w:val="single"/>
        </w:rPr>
        <w:t>路</w:t>
      </w:r>
      <w:r>
        <w:rPr>
          <w:rFonts w:ascii="宋体" w:hAnsi="宋体" w:cs="宋体"/>
          <w:szCs w:val="24"/>
          <w:highlight w:val="none"/>
          <w:u w:val="single"/>
        </w:rPr>
        <w:t>15</w:t>
      </w:r>
      <w:r>
        <w:rPr>
          <w:rFonts w:hint="eastAsia" w:ascii="宋体" w:hAnsi="宋体" w:cs="宋体"/>
          <w:szCs w:val="24"/>
          <w:highlight w:val="none"/>
          <w:u w:val="single"/>
        </w:rPr>
        <w:t>8</w:t>
      </w:r>
      <w:r>
        <w:rPr>
          <w:rFonts w:ascii="宋体" w:hAnsi="宋体" w:cs="宋体"/>
          <w:szCs w:val="24"/>
          <w:highlight w:val="none"/>
          <w:u w:val="single"/>
        </w:rPr>
        <w:t>号轨道大厦15楼1506开</w:t>
      </w:r>
    </w:p>
    <w:p>
      <w:pPr>
        <w:ind w:firstLine="0" w:firstLineChars="0"/>
        <w:rPr>
          <w:highlight w:val="none"/>
          <w:u w:val="single"/>
        </w:rPr>
      </w:pPr>
      <w:r>
        <w:rPr>
          <w:rFonts w:ascii="宋体" w:hAnsi="宋体" w:cs="宋体"/>
          <w:szCs w:val="24"/>
          <w:highlight w:val="none"/>
          <w:u w:val="single"/>
        </w:rPr>
        <w:t>标室</w:t>
      </w:r>
    </w:p>
    <w:p>
      <w:pPr>
        <w:ind w:left="420" w:firstLine="60" w:firstLineChars="25"/>
        <w:rPr>
          <w:highlight w:val="none"/>
          <w:u w:val="single"/>
        </w:rPr>
      </w:pPr>
      <w:r>
        <w:rPr>
          <w:rFonts w:hint="eastAsia"/>
          <w:b/>
          <w:bCs/>
          <w:highlight w:val="none"/>
        </w:rPr>
        <w:t>5.3递交方式：</w:t>
      </w:r>
      <w:r>
        <w:rPr>
          <w:rFonts w:hint="eastAsia"/>
          <w:highlight w:val="none"/>
          <w:u w:val="single"/>
        </w:rPr>
        <w:t>由</w:t>
      </w:r>
      <w:r>
        <w:rPr>
          <w:rFonts w:hint="eastAsia"/>
          <w:highlight w:val="none"/>
          <w:u w:val="single"/>
          <w:lang w:eastAsia="zh-CN"/>
        </w:rPr>
        <w:t>投标人</w:t>
      </w:r>
      <w:r>
        <w:rPr>
          <w:rFonts w:hint="eastAsia"/>
          <w:highlight w:val="none"/>
          <w:u w:val="single"/>
        </w:rPr>
        <w:t>法定代表人或授权代理人现场递交纸质</w:t>
      </w:r>
      <w:r>
        <w:rPr>
          <w:rFonts w:hint="eastAsia"/>
          <w:highlight w:val="none"/>
          <w:u w:val="single"/>
          <w:lang w:eastAsia="zh-CN"/>
        </w:rPr>
        <w:t>投标文件</w:t>
      </w:r>
      <w:r>
        <w:rPr>
          <w:rFonts w:hint="eastAsia"/>
          <w:highlight w:val="none"/>
          <w:u w:val="single"/>
        </w:rPr>
        <w:t>，</w:t>
      </w:r>
    </w:p>
    <w:p>
      <w:pPr>
        <w:ind w:firstLine="0" w:firstLineChars="0"/>
        <w:rPr>
          <w:highlight w:val="none"/>
        </w:rPr>
      </w:pPr>
      <w:r>
        <w:rPr>
          <w:rFonts w:hint="eastAsia"/>
          <w:highlight w:val="none"/>
          <w:u w:val="single"/>
        </w:rPr>
        <w:t>不接受邮寄等其他方式。</w:t>
      </w:r>
    </w:p>
    <w:p>
      <w:pPr>
        <w:ind w:firstLine="480"/>
        <w:rPr>
          <w:highlight w:val="none"/>
        </w:rPr>
      </w:pPr>
      <w:r>
        <w:rPr>
          <w:rFonts w:hint="eastAsia"/>
          <w:highlight w:val="none"/>
        </w:rPr>
        <w:t>5</w:t>
      </w:r>
      <w:r>
        <w:rPr>
          <w:highlight w:val="none"/>
        </w:rPr>
        <w:t>.</w:t>
      </w:r>
      <w:r>
        <w:rPr>
          <w:rFonts w:hint="eastAsia"/>
          <w:highlight w:val="none"/>
        </w:rPr>
        <w:t>4逾期送达、未送达指定地点或未密封的</w:t>
      </w:r>
      <w:r>
        <w:rPr>
          <w:rFonts w:hint="eastAsia"/>
          <w:highlight w:val="none"/>
          <w:lang w:eastAsia="zh-CN"/>
        </w:rPr>
        <w:t>投标文件</w:t>
      </w:r>
      <w:r>
        <w:rPr>
          <w:rFonts w:hint="eastAsia"/>
          <w:highlight w:val="none"/>
        </w:rPr>
        <w:t>，</w:t>
      </w:r>
      <w:r>
        <w:rPr>
          <w:rFonts w:hint="eastAsia"/>
          <w:highlight w:val="none"/>
          <w:lang w:eastAsia="zh-CN"/>
        </w:rPr>
        <w:t>招标人</w:t>
      </w:r>
      <w:r>
        <w:rPr>
          <w:rFonts w:hint="eastAsia"/>
          <w:highlight w:val="none"/>
        </w:rPr>
        <w:t>将拒绝接收。</w:t>
      </w:r>
    </w:p>
    <w:p>
      <w:pPr>
        <w:pStyle w:val="4"/>
        <w:ind w:firstLine="482"/>
        <w:rPr>
          <w:highlight w:val="none"/>
        </w:rPr>
      </w:pPr>
      <w:r>
        <w:rPr>
          <w:rFonts w:hint="eastAsia" w:cs="Times New Roman"/>
          <w:highlight w:val="none"/>
        </w:rPr>
        <w:t>6</w:t>
      </w:r>
      <w:r>
        <w:rPr>
          <w:highlight w:val="none"/>
        </w:rPr>
        <w:t xml:space="preserve"> </w:t>
      </w:r>
      <w:r>
        <w:rPr>
          <w:rFonts w:hint="eastAsia"/>
          <w:highlight w:val="none"/>
        </w:rPr>
        <w:t>评审时间、地点和评审方法</w:t>
      </w:r>
    </w:p>
    <w:p>
      <w:pPr>
        <w:ind w:firstLine="482"/>
        <w:rPr>
          <w:highlight w:val="none"/>
          <w:u w:val="single"/>
        </w:rPr>
      </w:pPr>
      <w:r>
        <w:rPr>
          <w:rFonts w:hint="eastAsia"/>
          <w:b/>
          <w:bCs/>
          <w:highlight w:val="none"/>
        </w:rPr>
        <w:t>6</w:t>
      </w:r>
      <w:r>
        <w:rPr>
          <w:b/>
          <w:bCs/>
          <w:highlight w:val="none"/>
        </w:rPr>
        <w:t>.1</w:t>
      </w:r>
      <w:r>
        <w:rPr>
          <w:rFonts w:hint="eastAsia"/>
          <w:b/>
          <w:bCs/>
          <w:highlight w:val="none"/>
        </w:rPr>
        <w:t>评审时间：</w:t>
      </w:r>
      <w:r>
        <w:rPr>
          <w:rFonts w:hint="eastAsia"/>
          <w:highlight w:val="none"/>
          <w:u w:val="single"/>
        </w:rPr>
        <w:t>同</w:t>
      </w:r>
      <w:r>
        <w:rPr>
          <w:rFonts w:hint="eastAsia"/>
          <w:highlight w:val="none"/>
          <w:u w:val="single"/>
          <w:lang w:eastAsia="zh-CN"/>
        </w:rPr>
        <w:t>投标文件</w:t>
      </w:r>
      <w:r>
        <w:rPr>
          <w:rFonts w:hint="eastAsia"/>
          <w:highlight w:val="none"/>
          <w:u w:val="single"/>
        </w:rPr>
        <w:t>递交截止时间</w:t>
      </w:r>
    </w:p>
    <w:p>
      <w:pPr>
        <w:ind w:left="420" w:firstLine="60" w:firstLineChars="25"/>
        <w:rPr>
          <w:highlight w:val="none"/>
          <w:u w:val="single"/>
        </w:rPr>
      </w:pPr>
      <w:r>
        <w:rPr>
          <w:rFonts w:hint="eastAsia"/>
          <w:b/>
          <w:bCs/>
          <w:highlight w:val="none"/>
        </w:rPr>
        <w:t>6</w:t>
      </w:r>
      <w:r>
        <w:rPr>
          <w:b/>
          <w:bCs/>
          <w:highlight w:val="none"/>
        </w:rPr>
        <w:t>.2</w:t>
      </w:r>
      <w:r>
        <w:rPr>
          <w:rFonts w:hint="eastAsia"/>
          <w:b/>
          <w:bCs/>
          <w:highlight w:val="none"/>
        </w:rPr>
        <w:t>评审地点：</w:t>
      </w:r>
      <w:r>
        <w:rPr>
          <w:rFonts w:ascii="宋体" w:hAnsi="宋体" w:cs="宋体"/>
          <w:szCs w:val="24"/>
          <w:highlight w:val="none"/>
          <w:u w:val="single"/>
        </w:rPr>
        <w:t>南通市崇川区崇川</w:t>
      </w:r>
      <w:r>
        <w:rPr>
          <w:rFonts w:hint="eastAsia" w:ascii="宋体" w:hAnsi="宋体" w:cs="宋体"/>
          <w:szCs w:val="24"/>
          <w:highlight w:val="none"/>
          <w:u w:val="single"/>
        </w:rPr>
        <w:t>路</w:t>
      </w:r>
      <w:r>
        <w:rPr>
          <w:rFonts w:ascii="宋体" w:hAnsi="宋体" w:cs="宋体"/>
          <w:szCs w:val="24"/>
          <w:highlight w:val="none"/>
          <w:u w:val="single"/>
        </w:rPr>
        <w:t>15</w:t>
      </w:r>
      <w:r>
        <w:rPr>
          <w:rFonts w:hint="eastAsia" w:ascii="宋体" w:hAnsi="宋体" w:cs="宋体"/>
          <w:szCs w:val="24"/>
          <w:highlight w:val="none"/>
          <w:u w:val="single"/>
        </w:rPr>
        <w:t>8</w:t>
      </w:r>
      <w:r>
        <w:rPr>
          <w:rFonts w:ascii="宋体" w:hAnsi="宋体" w:cs="宋体"/>
          <w:szCs w:val="24"/>
          <w:highlight w:val="none"/>
          <w:u w:val="single"/>
        </w:rPr>
        <w:t>号轨道大厦15楼150</w:t>
      </w:r>
      <w:r>
        <w:rPr>
          <w:rFonts w:hint="eastAsia" w:ascii="宋体" w:hAnsi="宋体" w:cs="宋体"/>
          <w:szCs w:val="24"/>
          <w:highlight w:val="none"/>
          <w:u w:val="single"/>
        </w:rPr>
        <w:t>9评</w:t>
      </w:r>
      <w:r>
        <w:rPr>
          <w:rFonts w:ascii="宋体" w:hAnsi="宋体" w:cs="宋体"/>
          <w:szCs w:val="24"/>
          <w:highlight w:val="none"/>
          <w:u w:val="single"/>
        </w:rPr>
        <w:t>标室</w:t>
      </w:r>
    </w:p>
    <w:p>
      <w:pPr>
        <w:pStyle w:val="10"/>
        <w:ind w:firstLine="482"/>
        <w:rPr>
          <w:rFonts w:ascii="Times New Roman" w:cstheme="majorBidi"/>
          <w:kern w:val="2"/>
          <w:sz w:val="24"/>
          <w:szCs w:val="32"/>
          <w:highlight w:val="none"/>
          <w:u w:val="single"/>
        </w:rPr>
      </w:pPr>
      <w:r>
        <w:rPr>
          <w:rFonts w:hint="eastAsia" w:ascii="Times New Roman" w:cstheme="majorBidi"/>
          <w:b/>
          <w:bCs/>
          <w:kern w:val="2"/>
          <w:sz w:val="24"/>
          <w:szCs w:val="32"/>
          <w:highlight w:val="none"/>
        </w:rPr>
        <w:t>6.3资格审查：</w:t>
      </w:r>
      <w:r>
        <w:rPr>
          <w:rFonts w:hint="eastAsia" w:ascii="Times New Roman" w:cstheme="majorBidi"/>
          <w:kern w:val="2"/>
          <w:sz w:val="24"/>
          <w:szCs w:val="32"/>
          <w:highlight w:val="none"/>
          <w:u w:val="single"/>
        </w:rPr>
        <w:t>资格后审</w:t>
      </w:r>
    </w:p>
    <w:p>
      <w:pPr>
        <w:ind w:firstLine="482"/>
        <w:rPr>
          <w:rFonts w:cstheme="majorBidi"/>
          <w:szCs w:val="32"/>
          <w:highlight w:val="none"/>
          <w:u w:val="single"/>
        </w:rPr>
      </w:pPr>
      <w:r>
        <w:rPr>
          <w:rFonts w:hint="eastAsia"/>
          <w:b/>
          <w:bCs/>
          <w:highlight w:val="none"/>
        </w:rPr>
        <w:t>6</w:t>
      </w:r>
      <w:r>
        <w:rPr>
          <w:b/>
          <w:bCs/>
          <w:highlight w:val="none"/>
        </w:rPr>
        <w:t>.</w:t>
      </w:r>
      <w:r>
        <w:rPr>
          <w:rFonts w:hint="eastAsia"/>
          <w:b/>
          <w:bCs/>
          <w:highlight w:val="none"/>
        </w:rPr>
        <w:t>4评审方法：</w:t>
      </w:r>
      <w:r>
        <w:rPr>
          <w:rFonts w:hint="eastAsia" w:cstheme="majorBidi"/>
          <w:szCs w:val="32"/>
          <w:highlight w:val="none"/>
          <w:u w:val="single"/>
        </w:rPr>
        <w:t>综合评分法</w:t>
      </w:r>
    </w:p>
    <w:p>
      <w:pPr>
        <w:ind w:firstLine="482"/>
        <w:rPr>
          <w:highlight w:val="none"/>
        </w:rPr>
      </w:pPr>
      <w:r>
        <w:rPr>
          <w:rFonts w:hint="eastAsia"/>
          <w:b/>
          <w:bCs/>
          <w:highlight w:val="none"/>
        </w:rPr>
        <w:t>6</w:t>
      </w:r>
      <w:r>
        <w:rPr>
          <w:b/>
          <w:bCs/>
          <w:highlight w:val="none"/>
        </w:rPr>
        <w:t>.5</w:t>
      </w:r>
      <w:r>
        <w:rPr>
          <w:rFonts w:hint="eastAsia"/>
          <w:highlight w:val="none"/>
        </w:rPr>
        <w:t>本项目邀请所有</w:t>
      </w:r>
      <w:r>
        <w:rPr>
          <w:rFonts w:hint="eastAsia"/>
          <w:highlight w:val="none"/>
          <w:lang w:val="en-US" w:eastAsia="zh-CN"/>
        </w:rPr>
        <w:t>投标人</w:t>
      </w:r>
      <w:r>
        <w:rPr>
          <w:rFonts w:hint="eastAsia"/>
          <w:highlight w:val="none"/>
        </w:rPr>
        <w:t>的法定代表人或其授权代理人参加</w:t>
      </w:r>
      <w:r>
        <w:rPr>
          <w:rFonts w:hint="eastAsia"/>
          <w:highlight w:val="none"/>
          <w:lang w:val="en-US" w:eastAsia="zh-CN"/>
        </w:rPr>
        <w:t>开标</w:t>
      </w:r>
      <w:r>
        <w:rPr>
          <w:rFonts w:hint="eastAsia"/>
          <w:highlight w:val="none"/>
        </w:rPr>
        <w:t>会议。</w:t>
      </w:r>
    </w:p>
    <w:p>
      <w:pPr>
        <w:pStyle w:val="4"/>
        <w:ind w:firstLine="482"/>
        <w:rPr>
          <w:highlight w:val="none"/>
        </w:rPr>
      </w:pPr>
      <w:r>
        <w:rPr>
          <w:rFonts w:hint="eastAsia"/>
          <w:highlight w:val="none"/>
        </w:rPr>
        <w:t xml:space="preserve">7 </w:t>
      </w:r>
      <w:r>
        <w:rPr>
          <w:rFonts w:hint="eastAsia"/>
          <w:highlight w:val="none"/>
          <w:lang w:eastAsia="zh-CN"/>
        </w:rPr>
        <w:t>招标公告</w:t>
      </w:r>
      <w:r>
        <w:rPr>
          <w:rFonts w:hint="eastAsia"/>
          <w:highlight w:val="none"/>
        </w:rPr>
        <w:t>媒介</w:t>
      </w:r>
    </w:p>
    <w:p>
      <w:pPr>
        <w:ind w:firstLine="480"/>
        <w:rPr>
          <w:highlight w:val="none"/>
        </w:rPr>
      </w:pPr>
      <w:r>
        <w:rPr>
          <w:rFonts w:hint="eastAsia"/>
          <w:highlight w:val="none"/>
        </w:rPr>
        <w:t>本公告同时在以下媒体发布：</w:t>
      </w:r>
    </w:p>
    <w:p>
      <w:pPr>
        <w:ind w:firstLine="480"/>
        <w:rPr>
          <w:color w:val="auto"/>
          <w:highlight w:val="none"/>
          <w:u w:val="single"/>
        </w:rPr>
      </w:pPr>
      <w:r>
        <w:rPr>
          <w:rFonts w:hint="eastAsia"/>
          <w:color w:val="auto"/>
          <w:highlight w:val="none"/>
          <w:u w:val="single"/>
        </w:rPr>
        <w:t>南通轨道交通官方网站（</w:t>
      </w:r>
      <w:r>
        <w:rPr>
          <w:rFonts w:hint="eastAsia"/>
          <w:color w:val="auto"/>
          <w:highlight w:val="none"/>
        </w:rPr>
        <w:fldChar w:fldCharType="begin"/>
      </w:r>
      <w:r>
        <w:rPr>
          <w:color w:val="auto"/>
          <w:highlight w:val="none"/>
        </w:rPr>
        <w:instrText xml:space="preserve"> HYPERLINK "https://www.ntrailway.com/）、" </w:instrText>
      </w:r>
      <w:r>
        <w:rPr>
          <w:rFonts w:hint="eastAsia"/>
          <w:color w:val="auto"/>
          <w:highlight w:val="none"/>
        </w:rPr>
        <w:fldChar w:fldCharType="separate"/>
      </w:r>
      <w:r>
        <w:rPr>
          <w:rFonts w:hint="eastAsia"/>
          <w:color w:val="auto"/>
          <w:highlight w:val="none"/>
          <w:u w:val="single"/>
        </w:rPr>
        <w:t>https://www.ntrailway.com/）</w:t>
      </w:r>
      <w:r>
        <w:rPr>
          <w:rFonts w:hint="eastAsia"/>
          <w:color w:val="auto"/>
          <w:highlight w:val="none"/>
          <w:u w:val="single"/>
        </w:rPr>
        <w:fldChar w:fldCharType="end"/>
      </w:r>
    </w:p>
    <w:p>
      <w:pPr>
        <w:ind w:firstLine="480"/>
        <w:rPr>
          <w:color w:val="auto"/>
          <w:highlight w:val="none"/>
          <w:u w:val="single"/>
        </w:rPr>
      </w:pPr>
      <w:r>
        <w:rPr>
          <w:rFonts w:hint="eastAsia"/>
          <w:color w:val="auto"/>
          <w:highlight w:val="none"/>
          <w:u w:val="single"/>
        </w:rPr>
        <w:t>江苏招标采购服务平台（http://www.jszbcg.com/）</w:t>
      </w:r>
    </w:p>
    <w:p>
      <w:pPr>
        <w:pStyle w:val="4"/>
        <w:ind w:firstLine="482"/>
        <w:rPr>
          <w:rFonts w:cs="Times New Roman"/>
          <w:highlight w:val="none"/>
        </w:rPr>
      </w:pPr>
      <w:r>
        <w:rPr>
          <w:rFonts w:hint="eastAsia" w:cs="Times New Roman"/>
          <w:highlight w:val="none"/>
        </w:rPr>
        <w:t>8</w:t>
      </w:r>
      <w:r>
        <w:rPr>
          <w:rFonts w:cs="Times New Roman"/>
          <w:highlight w:val="none"/>
        </w:rPr>
        <w:t xml:space="preserve"> </w:t>
      </w:r>
      <w:r>
        <w:rPr>
          <w:rFonts w:hint="eastAsia" w:cs="Times New Roman"/>
          <w:highlight w:val="none"/>
        </w:rPr>
        <w:t>特别提醒</w:t>
      </w:r>
    </w:p>
    <w:p>
      <w:pPr>
        <w:ind w:firstLine="480"/>
        <w:rPr>
          <w:highlight w:val="none"/>
        </w:rPr>
      </w:pPr>
      <w:r>
        <w:rPr>
          <w:rFonts w:hint="eastAsia"/>
          <w:highlight w:val="none"/>
          <w:lang w:val="en-US" w:eastAsia="zh-CN"/>
        </w:rPr>
        <w:t>投标人</w:t>
      </w:r>
      <w:r>
        <w:rPr>
          <w:rFonts w:hint="eastAsia"/>
          <w:highlight w:val="none"/>
        </w:rPr>
        <w:t>参与采购活动必须严格履行诚信承诺，出现违反本</w:t>
      </w:r>
      <w:r>
        <w:rPr>
          <w:rFonts w:hint="eastAsia"/>
          <w:highlight w:val="none"/>
          <w:lang w:eastAsia="zh-CN"/>
        </w:rPr>
        <w:t>招标文件</w:t>
      </w:r>
      <w:r>
        <w:rPr>
          <w:rFonts w:hint="eastAsia"/>
          <w:highlight w:val="none"/>
        </w:rPr>
        <w:t>第六章“承诺函”的行为或其他不良行为的，本公司将做出相应的处理。</w:t>
      </w:r>
    </w:p>
    <w:p>
      <w:pPr>
        <w:pStyle w:val="4"/>
        <w:ind w:firstLine="482"/>
        <w:rPr>
          <w:highlight w:val="none"/>
        </w:rPr>
      </w:pPr>
      <w:r>
        <w:rPr>
          <w:rFonts w:hint="eastAsia" w:cs="Times New Roman"/>
          <w:highlight w:val="none"/>
        </w:rPr>
        <w:t>9</w:t>
      </w:r>
      <w:r>
        <w:rPr>
          <w:highlight w:val="none"/>
        </w:rPr>
        <w:t xml:space="preserve"> </w:t>
      </w:r>
      <w:r>
        <w:rPr>
          <w:rFonts w:hint="eastAsia"/>
          <w:highlight w:val="none"/>
        </w:rPr>
        <w:t>联系方式</w:t>
      </w:r>
    </w:p>
    <w:p>
      <w:pPr>
        <w:ind w:firstLine="482"/>
        <w:rPr>
          <w:highlight w:val="none"/>
          <w:u w:val="single"/>
        </w:rPr>
      </w:pPr>
      <w:r>
        <w:rPr>
          <w:rFonts w:hint="eastAsia"/>
          <w:b/>
          <w:bCs/>
          <w:highlight w:val="none"/>
          <w:lang w:eastAsia="zh-CN"/>
        </w:rPr>
        <w:t>招标人</w:t>
      </w:r>
      <w:r>
        <w:rPr>
          <w:rFonts w:hint="eastAsia"/>
          <w:b/>
          <w:bCs/>
          <w:highlight w:val="none"/>
        </w:rPr>
        <w:t>：</w:t>
      </w:r>
      <w:r>
        <w:rPr>
          <w:rFonts w:hint="eastAsia"/>
          <w:highlight w:val="none"/>
          <w:u w:val="single"/>
        </w:rPr>
        <w:t>南通轨道交通集团有限公司运营分公司</w:t>
      </w:r>
    </w:p>
    <w:p>
      <w:pPr>
        <w:ind w:firstLine="482"/>
        <w:rPr>
          <w:rFonts w:hint="eastAsia" w:eastAsia="宋体"/>
          <w:highlight w:val="none"/>
          <w:lang w:val="en-US" w:eastAsia="zh-CN"/>
        </w:rPr>
      </w:pPr>
      <w:r>
        <w:rPr>
          <w:rFonts w:hint="eastAsia"/>
          <w:b/>
          <w:bCs/>
          <w:highlight w:val="none"/>
        </w:rPr>
        <w:t>联系人：</w:t>
      </w:r>
      <w:r>
        <w:rPr>
          <w:rFonts w:hint="eastAsia"/>
          <w:highlight w:val="none"/>
          <w:u w:val="single"/>
          <w:lang w:eastAsia="zh-CN"/>
        </w:rPr>
        <w:t>宗先生</w:t>
      </w:r>
    </w:p>
    <w:p>
      <w:pPr>
        <w:ind w:firstLine="482"/>
        <w:rPr>
          <w:b w:val="0"/>
          <w:bCs w:val="0"/>
          <w:highlight w:val="none"/>
          <w:u w:val="single"/>
        </w:rPr>
      </w:pPr>
      <w:r>
        <w:rPr>
          <w:rFonts w:hint="eastAsia"/>
          <w:b/>
          <w:bCs/>
          <w:highlight w:val="none"/>
        </w:rPr>
        <w:t>电话：</w:t>
      </w:r>
      <w:r>
        <w:rPr>
          <w:rFonts w:hint="eastAsia"/>
          <w:b w:val="0"/>
          <w:bCs w:val="0"/>
          <w:highlight w:val="none"/>
          <w:u w:val="single"/>
        </w:rPr>
        <w:t>0513-69888680</w:t>
      </w:r>
    </w:p>
    <w:p>
      <w:pPr>
        <w:pStyle w:val="10"/>
        <w:ind w:firstLine="482"/>
        <w:rPr>
          <w:rFonts w:ascii="Times New Roman"/>
          <w:kern w:val="2"/>
          <w:sz w:val="24"/>
          <w:szCs w:val="22"/>
          <w:highlight w:val="none"/>
          <w:u w:val="single"/>
        </w:rPr>
      </w:pPr>
      <w:r>
        <w:rPr>
          <w:rFonts w:hint="eastAsia" w:ascii="Times New Roman"/>
          <w:b/>
          <w:bCs/>
          <w:kern w:val="2"/>
          <w:sz w:val="24"/>
          <w:szCs w:val="22"/>
          <w:highlight w:val="none"/>
        </w:rPr>
        <w:t>地址：</w:t>
      </w:r>
      <w:r>
        <w:rPr>
          <w:rFonts w:hint="eastAsia" w:ascii="Times New Roman"/>
          <w:kern w:val="2"/>
          <w:sz w:val="24"/>
          <w:szCs w:val="22"/>
          <w:highlight w:val="none"/>
          <w:u w:val="single"/>
        </w:rPr>
        <w:t>南通市通州区平潮镇南通轨道交通平东车辆段</w:t>
      </w:r>
    </w:p>
    <w:p>
      <w:pPr>
        <w:ind w:firstLine="480"/>
        <w:rPr>
          <w:highlight w:val="none"/>
        </w:rPr>
      </w:pPr>
    </w:p>
    <w:p>
      <w:pPr>
        <w:ind w:firstLine="482"/>
        <w:rPr>
          <w:highlight w:val="none"/>
        </w:rPr>
      </w:pPr>
      <w:r>
        <w:rPr>
          <w:rFonts w:hint="eastAsia"/>
          <w:b/>
          <w:bCs/>
          <w:highlight w:val="none"/>
        </w:rPr>
        <w:t>代理机构：</w:t>
      </w:r>
      <w:r>
        <w:rPr>
          <w:rFonts w:hint="eastAsia"/>
          <w:highlight w:val="none"/>
          <w:u w:val="single"/>
        </w:rPr>
        <w:t>江苏建达全过程工程咨询有限公司</w:t>
      </w:r>
    </w:p>
    <w:p>
      <w:pPr>
        <w:ind w:firstLine="482"/>
        <w:rPr>
          <w:highlight w:val="none"/>
        </w:rPr>
      </w:pPr>
      <w:r>
        <w:rPr>
          <w:rFonts w:hint="eastAsia"/>
          <w:b/>
          <w:bCs/>
          <w:highlight w:val="none"/>
        </w:rPr>
        <w:t>联系人：</w:t>
      </w:r>
      <w:r>
        <w:rPr>
          <w:rFonts w:hint="eastAsia"/>
          <w:highlight w:val="none"/>
          <w:u w:val="single"/>
        </w:rPr>
        <w:t>吴小松</w:t>
      </w:r>
      <w:r>
        <w:rPr>
          <w:highlight w:val="none"/>
          <w:u w:val="single"/>
        </w:rPr>
        <w:t xml:space="preserve"> </w:t>
      </w:r>
    </w:p>
    <w:p>
      <w:pPr>
        <w:ind w:firstLine="482"/>
        <w:rPr>
          <w:highlight w:val="none"/>
        </w:rPr>
      </w:pPr>
      <w:r>
        <w:rPr>
          <w:rFonts w:hint="eastAsia"/>
          <w:b/>
          <w:bCs/>
          <w:highlight w:val="none"/>
        </w:rPr>
        <w:t>电话：</w:t>
      </w:r>
      <w:r>
        <w:rPr>
          <w:highlight w:val="none"/>
          <w:u w:val="single"/>
        </w:rPr>
        <w:t xml:space="preserve">15301476960 </w:t>
      </w:r>
    </w:p>
    <w:p>
      <w:pPr>
        <w:ind w:firstLine="482"/>
        <w:rPr>
          <w:highlight w:val="none"/>
          <w:u w:val="single"/>
        </w:rPr>
      </w:pPr>
      <w:r>
        <w:rPr>
          <w:rFonts w:hint="eastAsia"/>
          <w:b/>
          <w:bCs/>
          <w:highlight w:val="none"/>
        </w:rPr>
        <w:t>邮箱：</w:t>
      </w:r>
      <w:r>
        <w:rPr>
          <w:highlight w:val="none"/>
          <w:u w:val="single"/>
        </w:rPr>
        <w:t xml:space="preserve">1614454577@qq.com </w:t>
      </w:r>
    </w:p>
    <w:p>
      <w:pPr>
        <w:pStyle w:val="10"/>
        <w:ind w:firstLine="482"/>
        <w:rPr>
          <w:rFonts w:ascii="Times New Roman"/>
          <w:kern w:val="2"/>
          <w:sz w:val="24"/>
          <w:szCs w:val="22"/>
          <w:highlight w:val="none"/>
        </w:rPr>
      </w:pPr>
      <w:r>
        <w:rPr>
          <w:rFonts w:hint="eastAsia" w:ascii="Times New Roman"/>
          <w:b/>
          <w:kern w:val="2"/>
          <w:sz w:val="24"/>
          <w:szCs w:val="22"/>
          <w:highlight w:val="none"/>
        </w:rPr>
        <w:t>地址：</w:t>
      </w:r>
      <w:r>
        <w:rPr>
          <w:rFonts w:hint="eastAsia" w:ascii="Times New Roman"/>
          <w:kern w:val="2"/>
          <w:sz w:val="24"/>
          <w:szCs w:val="22"/>
          <w:highlight w:val="none"/>
          <w:u w:val="single"/>
        </w:rPr>
        <w:t>南通市崇川区世纪大道18号恒隆国际大厦B座14楼</w:t>
      </w:r>
    </w:p>
    <w:p>
      <w:pPr>
        <w:ind w:firstLine="480"/>
        <w:rPr>
          <w:highlight w:val="none"/>
        </w:rPr>
      </w:pPr>
    </w:p>
    <w:p>
      <w:pPr>
        <w:ind w:firstLine="482"/>
        <w:rPr>
          <w:highlight w:val="none"/>
          <w:u w:val="single"/>
        </w:rPr>
      </w:pPr>
      <w:r>
        <w:rPr>
          <w:rFonts w:hint="eastAsia"/>
          <w:b/>
          <w:bCs/>
          <w:highlight w:val="none"/>
        </w:rPr>
        <w:t>监督部门：</w:t>
      </w:r>
      <w:r>
        <w:rPr>
          <w:rFonts w:hint="eastAsia"/>
          <w:highlight w:val="none"/>
          <w:u w:val="single"/>
        </w:rPr>
        <w:t>南通轨道交通集团有限公司运营分公司纪检监督部</w:t>
      </w:r>
    </w:p>
    <w:p>
      <w:pPr>
        <w:ind w:firstLine="482"/>
        <w:rPr>
          <w:highlight w:val="none"/>
          <w:u w:val="single"/>
        </w:rPr>
      </w:pPr>
      <w:r>
        <w:rPr>
          <w:rFonts w:hint="eastAsia"/>
          <w:b/>
          <w:bCs/>
          <w:highlight w:val="none"/>
        </w:rPr>
        <w:t>联系电话：</w:t>
      </w:r>
      <w:r>
        <w:rPr>
          <w:rFonts w:hint="eastAsia"/>
          <w:highlight w:val="none"/>
          <w:u w:val="single"/>
        </w:rPr>
        <w:t>0513-69888665</w:t>
      </w:r>
    </w:p>
    <w:p>
      <w:pPr>
        <w:pStyle w:val="10"/>
        <w:ind w:firstLine="482"/>
        <w:rPr>
          <w:rFonts w:ascii="Times New Roman"/>
          <w:kern w:val="2"/>
          <w:sz w:val="24"/>
          <w:szCs w:val="22"/>
          <w:highlight w:val="none"/>
          <w:u w:val="single"/>
        </w:rPr>
      </w:pPr>
      <w:r>
        <w:rPr>
          <w:rFonts w:hint="eastAsia" w:ascii="Times New Roman"/>
          <w:b/>
          <w:bCs/>
          <w:kern w:val="2"/>
          <w:sz w:val="24"/>
          <w:szCs w:val="22"/>
          <w:highlight w:val="none"/>
        </w:rPr>
        <w:t>地址：</w:t>
      </w:r>
      <w:r>
        <w:rPr>
          <w:rFonts w:hint="eastAsia" w:ascii="Times New Roman"/>
          <w:kern w:val="2"/>
          <w:sz w:val="24"/>
          <w:szCs w:val="22"/>
          <w:highlight w:val="none"/>
          <w:u w:val="single"/>
        </w:rPr>
        <w:t>南通市通州区平潮镇南通轨道交通平东车辆段综合楼5楼</w:t>
      </w:r>
    </w:p>
    <w:p>
      <w:pPr>
        <w:ind w:firstLine="480"/>
        <w:rPr>
          <w:highlight w:val="none"/>
        </w:rPr>
      </w:pPr>
    </w:p>
    <w:p>
      <w:pPr>
        <w:ind w:firstLine="480"/>
        <w:rPr>
          <w:highlight w:val="none"/>
        </w:rPr>
      </w:pPr>
    </w:p>
    <w:p>
      <w:pPr>
        <w:ind w:firstLine="480"/>
        <w:rPr>
          <w:highlight w:val="none"/>
        </w:rPr>
      </w:pPr>
    </w:p>
    <w:p>
      <w:pPr>
        <w:ind w:firstLine="480"/>
        <w:rPr>
          <w:highlight w:val="none"/>
        </w:rPr>
      </w:pPr>
    </w:p>
    <w:p>
      <w:pPr>
        <w:ind w:firstLine="480"/>
        <w:rPr>
          <w:highlight w:val="none"/>
        </w:rPr>
      </w:pPr>
    </w:p>
    <w:p>
      <w:pPr>
        <w:ind w:firstLine="480"/>
        <w:rPr>
          <w:highlight w:val="none"/>
          <w:u w:val="single"/>
        </w:rPr>
      </w:pPr>
    </w:p>
    <w:p>
      <w:pPr>
        <w:pStyle w:val="34"/>
        <w:rPr>
          <w:rFonts w:ascii="Times New Roman"/>
          <w:kern w:val="2"/>
          <w:sz w:val="24"/>
          <w:szCs w:val="22"/>
          <w:highlight w:val="none"/>
          <w:u w:val="single"/>
        </w:rPr>
      </w:pPr>
    </w:p>
    <w:p>
      <w:pPr>
        <w:pStyle w:val="34"/>
        <w:rPr>
          <w:rFonts w:ascii="Times New Roman"/>
          <w:kern w:val="2"/>
          <w:sz w:val="24"/>
          <w:szCs w:val="22"/>
          <w:highlight w:val="none"/>
          <w:u w:val="single"/>
        </w:rPr>
      </w:pPr>
    </w:p>
    <w:p>
      <w:pPr>
        <w:ind w:firstLine="480"/>
        <w:rPr>
          <w:highlight w:val="none"/>
        </w:rPr>
      </w:pPr>
    </w:p>
    <w:p>
      <w:pPr>
        <w:ind w:firstLine="480"/>
        <w:rPr>
          <w:highlight w:val="none"/>
        </w:rPr>
      </w:pPr>
    </w:p>
    <w:p>
      <w:pPr>
        <w:ind w:firstLine="480"/>
        <w:rPr>
          <w:highlight w:val="none"/>
        </w:rPr>
      </w:pPr>
    </w:p>
    <w:p>
      <w:pPr>
        <w:ind w:firstLine="480"/>
        <w:rPr>
          <w:highlight w:val="none"/>
        </w:rPr>
      </w:pPr>
    </w:p>
    <w:p>
      <w:pPr>
        <w:ind w:firstLine="480"/>
        <w:rPr>
          <w:highlight w:val="none"/>
        </w:rPr>
      </w:pPr>
    </w:p>
    <w:p>
      <w:pPr>
        <w:ind w:firstLine="480"/>
        <w:rPr>
          <w:highlight w:val="none"/>
        </w:rPr>
      </w:pPr>
    </w:p>
    <w:p>
      <w:pPr>
        <w:ind w:firstLine="480"/>
        <w:rPr>
          <w:highlight w:val="none"/>
        </w:rPr>
      </w:pPr>
    </w:p>
    <w:p>
      <w:pPr>
        <w:ind w:firstLine="480"/>
        <w:rPr>
          <w:highlight w:val="none"/>
        </w:rPr>
      </w:pPr>
    </w:p>
    <w:p>
      <w:pPr>
        <w:ind w:firstLine="480"/>
        <w:rPr>
          <w:highlight w:val="none"/>
        </w:rPr>
      </w:pPr>
    </w:p>
    <w:p>
      <w:pPr>
        <w:ind w:left="0" w:leftChars="0" w:firstLine="0" w:firstLineChars="0"/>
        <w:rPr>
          <w:highlight w:val="none"/>
        </w:rPr>
      </w:pPr>
    </w:p>
    <w:p>
      <w:pPr>
        <w:ind w:firstLine="480"/>
        <w:rPr>
          <w:highlight w:val="none"/>
        </w:rPr>
      </w:pPr>
    </w:p>
    <w:p>
      <w:pPr>
        <w:pStyle w:val="3"/>
        <w:ind w:firstLine="140" w:firstLineChars="32"/>
        <w:rPr>
          <w:highlight w:val="none"/>
        </w:rPr>
      </w:pPr>
      <w:bookmarkStart w:id="6" w:name="_Toc18896"/>
      <w:r>
        <w:rPr>
          <w:rFonts w:hint="eastAsia"/>
          <w:highlight w:val="none"/>
        </w:rPr>
        <w:t xml:space="preserve">第二章 </w:t>
      </w:r>
      <w:r>
        <w:rPr>
          <w:rFonts w:hint="eastAsia"/>
          <w:highlight w:val="none"/>
          <w:lang w:eastAsia="zh-CN"/>
        </w:rPr>
        <w:t>投标人</w:t>
      </w:r>
      <w:r>
        <w:rPr>
          <w:rFonts w:hint="eastAsia"/>
          <w:highlight w:val="none"/>
        </w:rPr>
        <w:t>须知</w:t>
      </w:r>
      <w:bookmarkEnd w:id="6"/>
    </w:p>
    <w:p>
      <w:pPr>
        <w:ind w:firstLine="640"/>
        <w:rPr>
          <w:sz w:val="32"/>
          <w:szCs w:val="40"/>
          <w:highlight w:val="none"/>
        </w:rPr>
      </w:pPr>
      <w:r>
        <w:rPr>
          <w:rFonts w:hint="eastAsia"/>
          <w:sz w:val="32"/>
          <w:szCs w:val="40"/>
          <w:highlight w:val="none"/>
        </w:rPr>
        <w:br w:type="page"/>
      </w:r>
    </w:p>
    <w:p>
      <w:pPr>
        <w:pStyle w:val="4"/>
        <w:ind w:firstLine="0" w:firstLineChars="0"/>
        <w:jc w:val="center"/>
        <w:rPr>
          <w:sz w:val="32"/>
          <w:szCs w:val="40"/>
          <w:highlight w:val="none"/>
        </w:rPr>
      </w:pPr>
      <w:r>
        <w:rPr>
          <w:rFonts w:hint="eastAsia"/>
          <w:sz w:val="32"/>
          <w:szCs w:val="40"/>
          <w:highlight w:val="none"/>
          <w:lang w:eastAsia="zh-CN"/>
        </w:rPr>
        <w:t>投标人</w:t>
      </w:r>
      <w:r>
        <w:rPr>
          <w:rFonts w:hint="eastAsia"/>
          <w:sz w:val="32"/>
          <w:szCs w:val="40"/>
          <w:highlight w:val="none"/>
        </w:rPr>
        <w:t>须知前附表</w:t>
      </w:r>
    </w:p>
    <w:p>
      <w:pPr>
        <w:ind w:firstLine="480"/>
        <w:rPr>
          <w:highlight w:val="none"/>
        </w:rPr>
      </w:pPr>
      <w:r>
        <w:rPr>
          <w:highlight w:val="none"/>
        </w:rPr>
        <w:t> </w:t>
      </w:r>
    </w:p>
    <w:tbl>
      <w:tblPr>
        <w:tblStyle w:val="25"/>
        <w:tblW w:w="492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4"/>
        <w:gridCol w:w="1961"/>
        <w:gridCol w:w="58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7" w:hRule="atLeast"/>
        </w:trPr>
        <w:tc>
          <w:tcPr>
            <w:tcW w:w="553" w:type="pct"/>
            <w:vAlign w:val="center"/>
          </w:tcPr>
          <w:p>
            <w:pPr>
              <w:spacing w:before="156" w:after="156" w:line="300" w:lineRule="auto"/>
              <w:ind w:firstLine="0" w:firstLineChars="0"/>
              <w:jc w:val="center"/>
              <w:rPr>
                <w:rFonts w:asciiTheme="minorEastAsia" w:hAnsiTheme="minorEastAsia" w:eastAsiaTheme="minorEastAsia" w:cstheme="minorEastAsia"/>
                <w:b/>
                <w:sz w:val="22"/>
                <w:highlight w:val="none"/>
              </w:rPr>
            </w:pPr>
            <w:r>
              <w:rPr>
                <w:rFonts w:hint="eastAsia" w:asciiTheme="minorEastAsia" w:hAnsiTheme="minorEastAsia" w:eastAsiaTheme="minorEastAsia" w:cstheme="minorEastAsia"/>
                <w:b/>
                <w:sz w:val="22"/>
                <w:highlight w:val="none"/>
              </w:rPr>
              <w:t>条款号</w:t>
            </w:r>
          </w:p>
        </w:tc>
        <w:tc>
          <w:tcPr>
            <w:tcW w:w="1112" w:type="pct"/>
            <w:vAlign w:val="center"/>
          </w:tcPr>
          <w:p>
            <w:pPr>
              <w:spacing w:before="156" w:after="156" w:line="300" w:lineRule="auto"/>
              <w:ind w:left="-106" w:leftChars="-44" w:firstLine="0" w:firstLineChars="0"/>
              <w:jc w:val="center"/>
              <w:rPr>
                <w:rFonts w:asciiTheme="minorEastAsia" w:hAnsiTheme="minorEastAsia" w:eastAsiaTheme="minorEastAsia" w:cstheme="minorEastAsia"/>
                <w:b/>
                <w:sz w:val="22"/>
                <w:highlight w:val="none"/>
              </w:rPr>
            </w:pPr>
            <w:r>
              <w:rPr>
                <w:rFonts w:hint="eastAsia" w:asciiTheme="minorEastAsia" w:hAnsiTheme="minorEastAsia" w:eastAsiaTheme="minorEastAsia" w:cstheme="minorEastAsia"/>
                <w:b/>
                <w:sz w:val="22"/>
                <w:highlight w:val="none"/>
              </w:rPr>
              <w:t>条 款 名 称</w:t>
            </w:r>
          </w:p>
        </w:tc>
        <w:tc>
          <w:tcPr>
            <w:tcW w:w="3334" w:type="pct"/>
            <w:vAlign w:val="center"/>
          </w:tcPr>
          <w:p>
            <w:pPr>
              <w:spacing w:before="156" w:after="156" w:line="300" w:lineRule="auto"/>
              <w:ind w:left="-9" w:leftChars="-42" w:hanging="92" w:hangingChars="42"/>
              <w:jc w:val="center"/>
              <w:rPr>
                <w:rFonts w:asciiTheme="minorEastAsia" w:hAnsiTheme="minorEastAsia" w:eastAsiaTheme="minorEastAsia" w:cstheme="minorEastAsia"/>
                <w:b/>
                <w:sz w:val="22"/>
                <w:highlight w:val="none"/>
              </w:rPr>
            </w:pPr>
            <w:r>
              <w:rPr>
                <w:rFonts w:hint="eastAsia" w:asciiTheme="minorEastAsia" w:hAnsiTheme="minorEastAsia" w:eastAsiaTheme="minorEastAsia" w:cstheme="minorEastAsia"/>
                <w:b/>
                <w:sz w:val="22"/>
                <w:highlight w:val="none"/>
              </w:rPr>
              <w:t>编 列 内 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exact"/>
        </w:trPr>
        <w:tc>
          <w:tcPr>
            <w:tcW w:w="553" w:type="pct"/>
            <w:vAlign w:val="center"/>
          </w:tcPr>
          <w:p>
            <w:pPr>
              <w:spacing w:before="156" w:after="156" w:line="300" w:lineRule="auto"/>
              <w:ind w:firstLine="0" w:firstLineChars="0"/>
              <w:jc w:val="center"/>
              <w:rPr>
                <w:rFonts w:ascii="宋体" w:hAnsi="宋体" w:cs="宋体"/>
                <w:sz w:val="21"/>
                <w:szCs w:val="21"/>
                <w:highlight w:val="none"/>
              </w:rPr>
            </w:pPr>
            <w:r>
              <w:rPr>
                <w:rFonts w:hint="eastAsia" w:ascii="宋体" w:hAnsi="宋体" w:cs="宋体"/>
                <w:sz w:val="21"/>
                <w:szCs w:val="21"/>
                <w:highlight w:val="none"/>
              </w:rPr>
              <w:t>1.2</w:t>
            </w:r>
          </w:p>
        </w:tc>
        <w:tc>
          <w:tcPr>
            <w:tcW w:w="1112" w:type="pct"/>
            <w:vAlign w:val="center"/>
          </w:tcPr>
          <w:p>
            <w:pPr>
              <w:spacing w:before="156" w:after="156" w:line="300" w:lineRule="auto"/>
              <w:ind w:left="-106" w:leftChars="-44" w:firstLine="0" w:firstLineChars="0"/>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eastAsia="zh-CN"/>
              </w:rPr>
              <w:t>招标人</w:t>
            </w:r>
          </w:p>
        </w:tc>
        <w:tc>
          <w:tcPr>
            <w:tcW w:w="3334" w:type="pct"/>
            <w:vAlign w:val="center"/>
          </w:tcPr>
          <w:p>
            <w:pPr>
              <w:spacing w:before="156" w:after="156" w:line="300" w:lineRule="auto"/>
              <w:ind w:left="-31" w:leftChars="-13" w:firstLine="29" w:firstLineChars="14"/>
              <w:jc w:val="left"/>
              <w:rPr>
                <w:rFonts w:ascii="宋体" w:hAnsi="宋体" w:cs="宋体"/>
                <w:sz w:val="21"/>
                <w:szCs w:val="21"/>
                <w:highlight w:val="none"/>
              </w:rPr>
            </w:pPr>
            <w:r>
              <w:rPr>
                <w:rFonts w:hint="eastAsia" w:ascii="宋体" w:hAnsi="宋体" w:cs="宋体"/>
                <w:sz w:val="21"/>
                <w:szCs w:val="21"/>
                <w:highlight w:val="none"/>
              </w:rPr>
              <w:t>南通轨道交通集团有限公司运营分公司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1" w:hRule="atLeast"/>
        </w:trPr>
        <w:tc>
          <w:tcPr>
            <w:tcW w:w="553" w:type="pct"/>
            <w:vAlign w:val="center"/>
          </w:tcPr>
          <w:p>
            <w:pPr>
              <w:spacing w:before="156" w:after="156" w:line="300" w:lineRule="auto"/>
              <w:ind w:firstLine="0" w:firstLineChars="0"/>
              <w:jc w:val="center"/>
              <w:rPr>
                <w:rFonts w:ascii="宋体" w:hAnsi="宋体" w:cs="宋体"/>
                <w:sz w:val="21"/>
                <w:szCs w:val="21"/>
                <w:highlight w:val="none"/>
              </w:rPr>
            </w:pPr>
            <w:r>
              <w:rPr>
                <w:rFonts w:hint="eastAsia" w:ascii="宋体" w:hAnsi="宋体" w:cs="宋体"/>
                <w:sz w:val="21"/>
                <w:szCs w:val="21"/>
                <w:highlight w:val="none"/>
              </w:rPr>
              <w:t>1.2</w:t>
            </w:r>
          </w:p>
        </w:tc>
        <w:tc>
          <w:tcPr>
            <w:tcW w:w="1112" w:type="pct"/>
            <w:vAlign w:val="center"/>
          </w:tcPr>
          <w:p>
            <w:pPr>
              <w:spacing w:before="156" w:after="156" w:line="300" w:lineRule="auto"/>
              <w:ind w:left="-106" w:leftChars="-44" w:firstLine="0" w:firstLineChars="0"/>
              <w:jc w:val="center"/>
              <w:rPr>
                <w:rFonts w:ascii="宋体" w:hAnsi="宋体" w:cs="宋体"/>
                <w:sz w:val="21"/>
                <w:szCs w:val="21"/>
                <w:highlight w:val="none"/>
              </w:rPr>
            </w:pPr>
            <w:r>
              <w:rPr>
                <w:rFonts w:hint="eastAsia" w:ascii="宋体" w:hAnsi="宋体" w:cs="宋体"/>
                <w:sz w:val="21"/>
                <w:szCs w:val="21"/>
                <w:highlight w:val="none"/>
              </w:rPr>
              <w:t>代理人</w:t>
            </w:r>
          </w:p>
        </w:tc>
        <w:tc>
          <w:tcPr>
            <w:tcW w:w="3334" w:type="pct"/>
          </w:tcPr>
          <w:p>
            <w:pPr>
              <w:spacing w:before="156" w:after="156" w:line="300" w:lineRule="auto"/>
              <w:ind w:left="-31" w:leftChars="-13" w:firstLine="29" w:firstLineChars="14"/>
              <w:rPr>
                <w:rFonts w:ascii="宋体" w:hAnsi="宋体" w:cs="宋体"/>
                <w:sz w:val="21"/>
                <w:szCs w:val="21"/>
                <w:highlight w:val="none"/>
              </w:rPr>
            </w:pPr>
            <w:r>
              <w:rPr>
                <w:rFonts w:hint="eastAsia" w:ascii="宋体" w:hAnsi="宋体" w:cs="宋体"/>
                <w:sz w:val="21"/>
                <w:szCs w:val="21"/>
                <w:highlight w:val="none"/>
              </w:rPr>
              <w:t>江苏建达全过程工程咨询有限公司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8" w:hRule="exact"/>
        </w:trPr>
        <w:tc>
          <w:tcPr>
            <w:tcW w:w="553" w:type="pct"/>
            <w:vAlign w:val="center"/>
          </w:tcPr>
          <w:p>
            <w:pPr>
              <w:spacing w:before="156" w:after="156" w:line="300" w:lineRule="auto"/>
              <w:ind w:firstLine="0" w:firstLineChars="0"/>
              <w:jc w:val="center"/>
              <w:rPr>
                <w:rFonts w:ascii="宋体" w:hAnsi="宋体" w:cs="宋体"/>
                <w:sz w:val="21"/>
                <w:szCs w:val="21"/>
                <w:highlight w:val="none"/>
              </w:rPr>
            </w:pPr>
            <w:r>
              <w:rPr>
                <w:rFonts w:hint="eastAsia" w:ascii="宋体" w:hAnsi="宋体" w:cs="宋体"/>
                <w:sz w:val="21"/>
                <w:szCs w:val="21"/>
                <w:highlight w:val="none"/>
              </w:rPr>
              <w:t>1.2</w:t>
            </w:r>
          </w:p>
        </w:tc>
        <w:tc>
          <w:tcPr>
            <w:tcW w:w="1112" w:type="pct"/>
            <w:vAlign w:val="center"/>
          </w:tcPr>
          <w:p>
            <w:pPr>
              <w:spacing w:before="156" w:after="156" w:line="300" w:lineRule="auto"/>
              <w:ind w:left="-106" w:leftChars="-44" w:firstLine="0" w:firstLineChars="0"/>
              <w:jc w:val="center"/>
              <w:rPr>
                <w:rFonts w:ascii="宋体" w:hAnsi="宋体" w:cs="宋体"/>
                <w:sz w:val="21"/>
                <w:szCs w:val="21"/>
                <w:highlight w:val="none"/>
              </w:rPr>
            </w:pPr>
            <w:r>
              <w:rPr>
                <w:rFonts w:hint="eastAsia" w:ascii="宋体" w:hAnsi="宋体" w:cs="宋体"/>
                <w:sz w:val="21"/>
                <w:szCs w:val="21"/>
                <w:highlight w:val="none"/>
              </w:rPr>
              <w:t>项目名称</w:t>
            </w:r>
          </w:p>
        </w:tc>
        <w:tc>
          <w:tcPr>
            <w:tcW w:w="3334" w:type="pct"/>
            <w:vAlign w:val="center"/>
          </w:tcPr>
          <w:p>
            <w:pPr>
              <w:spacing w:before="156" w:after="156" w:line="300" w:lineRule="auto"/>
              <w:ind w:firstLine="0" w:firstLineChars="0"/>
              <w:jc w:val="left"/>
              <w:rPr>
                <w:rFonts w:hint="eastAsia" w:ascii="宋体" w:hAnsi="宋体" w:eastAsia="宋体" w:cs="宋体"/>
                <w:sz w:val="21"/>
                <w:szCs w:val="21"/>
                <w:highlight w:val="none"/>
                <w:lang w:eastAsia="zh-CN"/>
              </w:rPr>
            </w:pPr>
            <w:r>
              <w:rPr>
                <w:rFonts w:hint="eastAsia" w:ascii="宋体" w:hAnsi="宋体" w:cs="宋体"/>
                <w:sz w:val="21"/>
                <w:szCs w:val="21"/>
                <w:highlight w:val="none"/>
                <w:lang w:eastAsia="zh-CN"/>
              </w:rPr>
              <w:t>南通轨道交通集团有限公司运营分公司2026-2029年2号线结构监测委外维保项目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exact"/>
        </w:trPr>
        <w:tc>
          <w:tcPr>
            <w:tcW w:w="553" w:type="pct"/>
            <w:vAlign w:val="center"/>
          </w:tcPr>
          <w:p>
            <w:pPr>
              <w:spacing w:before="156" w:after="156" w:line="300" w:lineRule="auto"/>
              <w:ind w:firstLine="0" w:firstLineChars="0"/>
              <w:jc w:val="center"/>
              <w:rPr>
                <w:rFonts w:ascii="宋体" w:hAnsi="宋体" w:cs="宋体"/>
                <w:sz w:val="21"/>
                <w:szCs w:val="21"/>
                <w:highlight w:val="none"/>
              </w:rPr>
            </w:pPr>
            <w:r>
              <w:rPr>
                <w:rFonts w:hint="eastAsia" w:ascii="宋体" w:hAnsi="宋体" w:cs="宋体"/>
                <w:sz w:val="21"/>
                <w:szCs w:val="21"/>
                <w:highlight w:val="none"/>
              </w:rPr>
              <w:t>1.2</w:t>
            </w:r>
          </w:p>
        </w:tc>
        <w:tc>
          <w:tcPr>
            <w:tcW w:w="1112" w:type="pct"/>
            <w:vAlign w:val="center"/>
          </w:tcPr>
          <w:p>
            <w:pPr>
              <w:spacing w:before="156" w:after="156" w:line="300" w:lineRule="auto"/>
              <w:ind w:left="-106" w:leftChars="-44" w:firstLine="0" w:firstLineChars="0"/>
              <w:jc w:val="center"/>
              <w:rPr>
                <w:rFonts w:ascii="宋体" w:hAnsi="宋体" w:cs="宋体"/>
                <w:sz w:val="21"/>
                <w:szCs w:val="21"/>
                <w:highlight w:val="none"/>
              </w:rPr>
            </w:pPr>
            <w:r>
              <w:rPr>
                <w:rFonts w:hint="eastAsia" w:ascii="宋体" w:hAnsi="宋体" w:cs="宋体"/>
                <w:sz w:val="21"/>
                <w:szCs w:val="21"/>
                <w:highlight w:val="none"/>
              </w:rPr>
              <w:t>项目编号</w:t>
            </w:r>
          </w:p>
        </w:tc>
        <w:tc>
          <w:tcPr>
            <w:tcW w:w="3334" w:type="pct"/>
            <w:vAlign w:val="center"/>
          </w:tcPr>
          <w:p>
            <w:pPr>
              <w:spacing w:before="156" w:after="156" w:line="300" w:lineRule="auto"/>
              <w:ind w:left="-31" w:leftChars="-13" w:firstLine="29" w:firstLineChars="14"/>
              <w:jc w:val="left"/>
              <w:rPr>
                <w:rFonts w:hint="eastAsia" w:ascii="宋体" w:hAnsi="宋体" w:eastAsia="宋体" w:cs="宋体"/>
                <w:sz w:val="21"/>
                <w:szCs w:val="21"/>
                <w:highlight w:val="none"/>
                <w:lang w:eastAsia="zh-CN"/>
              </w:rPr>
            </w:pPr>
            <w:r>
              <w:rPr>
                <w:rFonts w:hint="eastAsia" w:ascii="宋体" w:hAnsi="宋体" w:cs="宋体"/>
                <w:sz w:val="21"/>
                <w:szCs w:val="21"/>
                <w:highlight w:val="none"/>
                <w:lang w:eastAsia="zh-CN"/>
              </w:rPr>
              <w:t>NTGY-2026-FW-ZB-034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exact"/>
        </w:trPr>
        <w:tc>
          <w:tcPr>
            <w:tcW w:w="553" w:type="pct"/>
            <w:vAlign w:val="center"/>
          </w:tcPr>
          <w:p>
            <w:pPr>
              <w:spacing w:before="156" w:after="156" w:line="300" w:lineRule="auto"/>
              <w:ind w:firstLine="0" w:firstLineChars="0"/>
              <w:jc w:val="center"/>
              <w:rPr>
                <w:rFonts w:ascii="宋体" w:hAnsi="宋体" w:cs="宋体"/>
                <w:sz w:val="21"/>
                <w:szCs w:val="21"/>
                <w:highlight w:val="none"/>
              </w:rPr>
            </w:pPr>
            <w:r>
              <w:rPr>
                <w:rFonts w:hint="eastAsia" w:ascii="宋体" w:hAnsi="宋体" w:cs="宋体"/>
                <w:sz w:val="21"/>
                <w:szCs w:val="21"/>
                <w:highlight w:val="none"/>
              </w:rPr>
              <w:t>1.2</w:t>
            </w:r>
          </w:p>
        </w:tc>
        <w:tc>
          <w:tcPr>
            <w:tcW w:w="1112" w:type="pct"/>
            <w:vAlign w:val="center"/>
          </w:tcPr>
          <w:p>
            <w:pPr>
              <w:spacing w:before="156" w:after="156" w:line="300" w:lineRule="auto"/>
              <w:ind w:left="-106" w:leftChars="-44" w:firstLine="0" w:firstLineChars="0"/>
              <w:jc w:val="center"/>
              <w:rPr>
                <w:rFonts w:ascii="宋体" w:hAnsi="宋体" w:cs="宋体"/>
                <w:sz w:val="21"/>
                <w:szCs w:val="21"/>
                <w:highlight w:val="none"/>
              </w:rPr>
            </w:pPr>
            <w:r>
              <w:rPr>
                <w:rFonts w:hint="eastAsia" w:ascii="宋体" w:hAnsi="宋体" w:cs="宋体"/>
                <w:sz w:val="21"/>
                <w:szCs w:val="21"/>
                <w:highlight w:val="none"/>
              </w:rPr>
              <w:t>项目工期</w:t>
            </w:r>
          </w:p>
        </w:tc>
        <w:tc>
          <w:tcPr>
            <w:tcW w:w="3334" w:type="pct"/>
            <w:vAlign w:val="center"/>
          </w:tcPr>
          <w:p>
            <w:pPr>
              <w:spacing w:before="156" w:after="156" w:line="300" w:lineRule="auto"/>
              <w:ind w:left="-29" w:leftChars="-12" w:firstLine="31" w:firstLineChars="0"/>
              <w:jc w:val="left"/>
              <w:rPr>
                <w:rFonts w:ascii="宋体" w:hAnsi="宋体" w:cs="宋体"/>
                <w:sz w:val="21"/>
                <w:szCs w:val="21"/>
                <w:highlight w:val="none"/>
              </w:rPr>
            </w:pPr>
            <w:r>
              <w:rPr>
                <w:rFonts w:hint="eastAsia" w:ascii="宋体" w:hAnsi="宋体" w:cs="宋体"/>
                <w:sz w:val="21"/>
                <w:szCs w:val="21"/>
                <w:highlight w:val="none"/>
              </w:rPr>
              <w:t>见第五章《采购需求》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exact"/>
        </w:trPr>
        <w:tc>
          <w:tcPr>
            <w:tcW w:w="553" w:type="pct"/>
            <w:vAlign w:val="center"/>
          </w:tcPr>
          <w:p>
            <w:pPr>
              <w:spacing w:before="156" w:after="156" w:line="300" w:lineRule="auto"/>
              <w:ind w:firstLine="0" w:firstLineChars="0"/>
              <w:jc w:val="center"/>
              <w:rPr>
                <w:rFonts w:ascii="宋体" w:hAnsi="宋体" w:cs="宋体"/>
                <w:sz w:val="21"/>
                <w:szCs w:val="21"/>
                <w:highlight w:val="none"/>
              </w:rPr>
            </w:pPr>
            <w:r>
              <w:rPr>
                <w:rFonts w:hint="eastAsia" w:ascii="宋体" w:hAnsi="宋体" w:cs="宋体"/>
                <w:sz w:val="21"/>
                <w:szCs w:val="21"/>
                <w:highlight w:val="none"/>
              </w:rPr>
              <w:t>1.2</w:t>
            </w:r>
          </w:p>
        </w:tc>
        <w:tc>
          <w:tcPr>
            <w:tcW w:w="1112" w:type="pct"/>
            <w:vAlign w:val="center"/>
          </w:tcPr>
          <w:p>
            <w:pPr>
              <w:spacing w:before="156" w:after="156" w:line="300" w:lineRule="auto"/>
              <w:ind w:left="-106" w:leftChars="-44" w:firstLine="0" w:firstLineChars="0"/>
              <w:jc w:val="center"/>
              <w:rPr>
                <w:rFonts w:ascii="宋体" w:hAnsi="宋体" w:cs="宋体"/>
                <w:sz w:val="21"/>
                <w:szCs w:val="21"/>
                <w:highlight w:val="none"/>
              </w:rPr>
            </w:pPr>
            <w:r>
              <w:rPr>
                <w:rFonts w:hint="eastAsia" w:ascii="宋体" w:hAnsi="宋体" w:cs="宋体"/>
                <w:sz w:val="21"/>
                <w:szCs w:val="21"/>
                <w:highlight w:val="none"/>
              </w:rPr>
              <w:t>实施地点</w:t>
            </w:r>
          </w:p>
        </w:tc>
        <w:tc>
          <w:tcPr>
            <w:tcW w:w="3334" w:type="pct"/>
            <w:vAlign w:val="center"/>
          </w:tcPr>
          <w:p>
            <w:pPr>
              <w:spacing w:before="156" w:after="156" w:line="300" w:lineRule="auto"/>
              <w:ind w:left="-31" w:leftChars="-13" w:firstLine="29" w:firstLineChars="14"/>
              <w:jc w:val="left"/>
              <w:rPr>
                <w:rFonts w:ascii="宋体" w:hAnsi="宋体" w:cs="宋体"/>
                <w:sz w:val="21"/>
                <w:szCs w:val="21"/>
                <w:highlight w:val="none"/>
              </w:rPr>
            </w:pPr>
            <w:r>
              <w:rPr>
                <w:rFonts w:hint="eastAsia" w:ascii="宋体" w:hAnsi="宋体" w:cs="宋体"/>
                <w:sz w:val="21"/>
                <w:szCs w:val="21"/>
                <w:highlight w:val="none"/>
                <w:lang w:eastAsia="zh-CN"/>
              </w:rPr>
              <w:t>招标人</w:t>
            </w:r>
            <w:r>
              <w:rPr>
                <w:rFonts w:ascii="宋体" w:hAnsi="宋体" w:cs="宋体"/>
                <w:sz w:val="21"/>
                <w:szCs w:val="21"/>
                <w:highlight w:val="none"/>
              </w:rPr>
              <w:t>指定地点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exact"/>
        </w:trPr>
        <w:tc>
          <w:tcPr>
            <w:tcW w:w="553" w:type="pct"/>
            <w:vAlign w:val="center"/>
          </w:tcPr>
          <w:p>
            <w:pPr>
              <w:spacing w:before="156" w:after="156" w:line="300" w:lineRule="auto"/>
              <w:ind w:firstLine="0" w:firstLineChars="0"/>
              <w:jc w:val="center"/>
              <w:rPr>
                <w:rFonts w:ascii="宋体" w:hAnsi="宋体" w:cs="宋体"/>
                <w:sz w:val="21"/>
                <w:szCs w:val="21"/>
                <w:highlight w:val="none"/>
              </w:rPr>
            </w:pPr>
            <w:r>
              <w:rPr>
                <w:rFonts w:hint="eastAsia" w:ascii="宋体" w:hAnsi="宋体" w:cs="宋体"/>
                <w:sz w:val="21"/>
                <w:szCs w:val="21"/>
                <w:highlight w:val="none"/>
              </w:rPr>
              <w:t>1.2</w:t>
            </w:r>
          </w:p>
        </w:tc>
        <w:tc>
          <w:tcPr>
            <w:tcW w:w="1112" w:type="pct"/>
            <w:vAlign w:val="center"/>
          </w:tcPr>
          <w:p>
            <w:pPr>
              <w:spacing w:before="156" w:after="156" w:line="300" w:lineRule="auto"/>
              <w:ind w:left="-106" w:leftChars="-44" w:firstLine="0" w:firstLineChars="0"/>
              <w:jc w:val="center"/>
              <w:rPr>
                <w:rFonts w:ascii="宋体" w:hAnsi="宋体" w:cs="宋体"/>
                <w:sz w:val="21"/>
                <w:szCs w:val="21"/>
                <w:highlight w:val="none"/>
              </w:rPr>
            </w:pPr>
            <w:r>
              <w:rPr>
                <w:rFonts w:hint="eastAsia" w:ascii="宋体" w:hAnsi="宋体" w:cs="宋体"/>
                <w:sz w:val="21"/>
                <w:szCs w:val="21"/>
                <w:highlight w:val="none"/>
              </w:rPr>
              <w:t>质量及验收标准</w:t>
            </w:r>
          </w:p>
        </w:tc>
        <w:tc>
          <w:tcPr>
            <w:tcW w:w="3334" w:type="pct"/>
            <w:vAlign w:val="center"/>
          </w:tcPr>
          <w:p>
            <w:pPr>
              <w:spacing w:before="156" w:after="156" w:line="300" w:lineRule="auto"/>
              <w:ind w:left="-31" w:leftChars="-13" w:firstLine="29" w:firstLineChars="14"/>
              <w:jc w:val="left"/>
              <w:rPr>
                <w:rFonts w:ascii="宋体" w:hAnsi="宋体" w:cs="宋体"/>
                <w:sz w:val="21"/>
                <w:szCs w:val="21"/>
                <w:highlight w:val="none"/>
              </w:rPr>
            </w:pPr>
            <w:r>
              <w:rPr>
                <w:rFonts w:hint="eastAsia" w:ascii="宋体" w:hAnsi="宋体" w:cs="宋体"/>
                <w:sz w:val="21"/>
                <w:szCs w:val="21"/>
                <w:highlight w:val="none"/>
              </w:rPr>
              <w:t>符合国家规范、标准及第五章“采购需求”要求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exact"/>
        </w:trPr>
        <w:tc>
          <w:tcPr>
            <w:tcW w:w="553" w:type="pct"/>
            <w:vAlign w:val="center"/>
          </w:tcPr>
          <w:p>
            <w:pPr>
              <w:spacing w:before="156" w:after="156" w:line="300" w:lineRule="auto"/>
              <w:ind w:firstLine="0" w:firstLineChars="0"/>
              <w:jc w:val="center"/>
              <w:rPr>
                <w:rFonts w:ascii="宋体" w:hAnsi="宋体" w:cs="宋体"/>
                <w:sz w:val="21"/>
                <w:szCs w:val="21"/>
                <w:highlight w:val="none"/>
              </w:rPr>
            </w:pPr>
            <w:r>
              <w:rPr>
                <w:rFonts w:hint="eastAsia" w:ascii="宋体" w:hAnsi="宋体" w:cs="宋体"/>
                <w:sz w:val="21"/>
                <w:szCs w:val="21"/>
                <w:highlight w:val="none"/>
              </w:rPr>
              <w:t>1.3</w:t>
            </w:r>
          </w:p>
        </w:tc>
        <w:tc>
          <w:tcPr>
            <w:tcW w:w="1112" w:type="pct"/>
            <w:vAlign w:val="center"/>
          </w:tcPr>
          <w:p>
            <w:pPr>
              <w:spacing w:before="156" w:after="156" w:line="300" w:lineRule="auto"/>
              <w:ind w:left="-106" w:leftChars="-44" w:firstLine="0" w:firstLineChars="0"/>
              <w:jc w:val="center"/>
              <w:rPr>
                <w:rFonts w:ascii="宋体" w:hAnsi="宋体" w:cs="宋体"/>
                <w:sz w:val="21"/>
                <w:szCs w:val="21"/>
                <w:highlight w:val="none"/>
              </w:rPr>
            </w:pPr>
            <w:r>
              <w:rPr>
                <w:rFonts w:hint="eastAsia" w:ascii="宋体" w:hAnsi="宋体" w:cs="宋体"/>
                <w:sz w:val="21"/>
                <w:szCs w:val="21"/>
                <w:highlight w:val="none"/>
                <w:lang w:eastAsia="zh-CN"/>
              </w:rPr>
              <w:t>投标人</w:t>
            </w:r>
            <w:r>
              <w:rPr>
                <w:rFonts w:hint="eastAsia" w:ascii="宋体" w:hAnsi="宋体" w:cs="宋体"/>
                <w:sz w:val="21"/>
                <w:szCs w:val="21"/>
                <w:highlight w:val="none"/>
              </w:rPr>
              <w:t>资格要求</w:t>
            </w:r>
          </w:p>
        </w:tc>
        <w:tc>
          <w:tcPr>
            <w:tcW w:w="3334" w:type="pct"/>
            <w:vAlign w:val="center"/>
          </w:tcPr>
          <w:p>
            <w:pPr>
              <w:spacing w:before="156" w:after="156" w:line="300" w:lineRule="auto"/>
              <w:ind w:left="-31" w:leftChars="-13" w:firstLine="29" w:firstLineChars="14"/>
              <w:jc w:val="left"/>
              <w:rPr>
                <w:rFonts w:ascii="宋体" w:hAnsi="宋体" w:cs="宋体"/>
                <w:sz w:val="21"/>
                <w:szCs w:val="21"/>
                <w:highlight w:val="none"/>
              </w:rPr>
            </w:pPr>
            <w:r>
              <w:rPr>
                <w:rFonts w:hint="eastAsia" w:ascii="宋体" w:hAnsi="宋体" w:cs="宋体"/>
                <w:sz w:val="21"/>
                <w:szCs w:val="21"/>
                <w:highlight w:val="none"/>
              </w:rPr>
              <w:t>见第一章“</w:t>
            </w:r>
            <w:r>
              <w:rPr>
                <w:rFonts w:hint="eastAsia" w:ascii="宋体" w:hAnsi="宋体" w:cs="宋体"/>
                <w:sz w:val="21"/>
                <w:szCs w:val="21"/>
                <w:highlight w:val="none"/>
                <w:lang w:eastAsia="zh-CN"/>
              </w:rPr>
              <w:t>招标公告</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exact"/>
        </w:trPr>
        <w:tc>
          <w:tcPr>
            <w:tcW w:w="553" w:type="pct"/>
            <w:vAlign w:val="center"/>
          </w:tcPr>
          <w:p>
            <w:pPr>
              <w:spacing w:before="156" w:after="156" w:line="300" w:lineRule="auto"/>
              <w:ind w:firstLine="0" w:firstLineChars="0"/>
              <w:jc w:val="center"/>
              <w:rPr>
                <w:rFonts w:ascii="宋体" w:hAnsi="宋体" w:cs="宋体"/>
                <w:sz w:val="21"/>
                <w:szCs w:val="21"/>
                <w:highlight w:val="none"/>
              </w:rPr>
            </w:pPr>
            <w:r>
              <w:rPr>
                <w:rFonts w:hint="eastAsia" w:ascii="宋体" w:hAnsi="宋体" w:cs="宋体"/>
                <w:sz w:val="21"/>
                <w:szCs w:val="21"/>
                <w:highlight w:val="none"/>
              </w:rPr>
              <w:t>1.8</w:t>
            </w:r>
          </w:p>
        </w:tc>
        <w:tc>
          <w:tcPr>
            <w:tcW w:w="1112" w:type="pct"/>
            <w:vAlign w:val="center"/>
          </w:tcPr>
          <w:p>
            <w:pPr>
              <w:spacing w:before="156" w:after="156" w:line="300" w:lineRule="auto"/>
              <w:ind w:left="-106" w:leftChars="-44" w:firstLine="0" w:firstLineChars="0"/>
              <w:jc w:val="center"/>
              <w:rPr>
                <w:rFonts w:ascii="宋体" w:hAnsi="宋体" w:cs="宋体"/>
                <w:sz w:val="21"/>
                <w:szCs w:val="21"/>
                <w:highlight w:val="none"/>
              </w:rPr>
            </w:pPr>
            <w:r>
              <w:rPr>
                <w:rFonts w:hint="eastAsia" w:ascii="宋体" w:hAnsi="宋体" w:cs="宋体"/>
                <w:sz w:val="21"/>
                <w:szCs w:val="21"/>
                <w:highlight w:val="none"/>
              </w:rPr>
              <w:t>踏勘现场</w:t>
            </w:r>
          </w:p>
        </w:tc>
        <w:tc>
          <w:tcPr>
            <w:tcW w:w="3334" w:type="pct"/>
            <w:vAlign w:val="center"/>
          </w:tcPr>
          <w:p>
            <w:pPr>
              <w:spacing w:before="156" w:after="156" w:line="300" w:lineRule="auto"/>
              <w:ind w:left="-31" w:leftChars="-13" w:firstLine="29" w:firstLineChars="14"/>
              <w:jc w:val="left"/>
              <w:rPr>
                <w:rFonts w:ascii="宋体" w:hAnsi="宋体" w:cs="宋体"/>
                <w:sz w:val="21"/>
                <w:szCs w:val="21"/>
                <w:highlight w:val="none"/>
              </w:rPr>
            </w:pPr>
            <w:r>
              <w:rPr>
                <w:rFonts w:hint="eastAsia" w:ascii="宋体" w:hAnsi="宋体" w:cs="宋体"/>
                <w:sz w:val="21"/>
                <w:szCs w:val="21"/>
                <w:highlight w:val="none"/>
              </w:rPr>
              <w:t>不组织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exact"/>
        </w:trPr>
        <w:tc>
          <w:tcPr>
            <w:tcW w:w="553" w:type="pct"/>
            <w:vAlign w:val="center"/>
          </w:tcPr>
          <w:p>
            <w:pPr>
              <w:spacing w:before="156" w:after="156" w:line="300" w:lineRule="auto"/>
              <w:ind w:firstLine="0" w:firstLineChars="0"/>
              <w:jc w:val="center"/>
              <w:rPr>
                <w:rFonts w:ascii="宋体" w:hAnsi="宋体" w:cs="宋体"/>
                <w:sz w:val="21"/>
                <w:szCs w:val="21"/>
                <w:highlight w:val="none"/>
              </w:rPr>
            </w:pPr>
            <w:r>
              <w:rPr>
                <w:rFonts w:hint="eastAsia" w:ascii="宋体" w:hAnsi="宋体" w:cs="宋体"/>
                <w:sz w:val="21"/>
                <w:szCs w:val="21"/>
                <w:highlight w:val="none"/>
              </w:rPr>
              <w:t>1</w:t>
            </w:r>
            <w:r>
              <w:rPr>
                <w:rFonts w:ascii="宋体" w:hAnsi="宋体" w:cs="宋体"/>
                <w:sz w:val="21"/>
                <w:szCs w:val="21"/>
                <w:highlight w:val="none"/>
              </w:rPr>
              <w:t>.9</w:t>
            </w:r>
          </w:p>
        </w:tc>
        <w:tc>
          <w:tcPr>
            <w:tcW w:w="1112" w:type="pct"/>
            <w:vAlign w:val="center"/>
          </w:tcPr>
          <w:p>
            <w:pPr>
              <w:spacing w:before="156" w:after="156" w:line="300" w:lineRule="auto"/>
              <w:ind w:left="-106" w:leftChars="-44" w:firstLine="0" w:firstLineChars="0"/>
              <w:jc w:val="center"/>
              <w:rPr>
                <w:rFonts w:ascii="宋体" w:hAnsi="宋体" w:cs="宋体"/>
                <w:sz w:val="21"/>
                <w:szCs w:val="21"/>
                <w:highlight w:val="none"/>
              </w:rPr>
            </w:pPr>
            <w:r>
              <w:rPr>
                <w:rFonts w:hint="eastAsia" w:ascii="宋体" w:hAnsi="宋体" w:cs="宋体"/>
                <w:sz w:val="21"/>
                <w:szCs w:val="21"/>
                <w:highlight w:val="none"/>
              </w:rPr>
              <w:t>分包</w:t>
            </w:r>
          </w:p>
        </w:tc>
        <w:tc>
          <w:tcPr>
            <w:tcW w:w="3334" w:type="pct"/>
            <w:vAlign w:val="center"/>
          </w:tcPr>
          <w:p>
            <w:pPr>
              <w:spacing w:before="156" w:after="156" w:line="300" w:lineRule="auto"/>
              <w:ind w:left="-31" w:leftChars="-13" w:firstLine="29" w:firstLineChars="14"/>
              <w:jc w:val="left"/>
              <w:rPr>
                <w:rFonts w:ascii="宋体" w:hAnsi="宋体" w:cs="宋体"/>
                <w:sz w:val="21"/>
                <w:szCs w:val="21"/>
                <w:highlight w:val="none"/>
              </w:rPr>
            </w:pPr>
            <w:r>
              <w:rPr>
                <w:rFonts w:hint="eastAsia" w:ascii="宋体" w:hAnsi="宋体" w:cs="宋体"/>
                <w:sz w:val="21"/>
                <w:szCs w:val="21"/>
                <w:highlight w:val="none"/>
              </w:rPr>
              <w:t>不允许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4" w:hRule="exact"/>
        </w:trPr>
        <w:tc>
          <w:tcPr>
            <w:tcW w:w="553" w:type="pct"/>
            <w:vAlign w:val="center"/>
          </w:tcPr>
          <w:p>
            <w:pPr>
              <w:spacing w:before="156" w:after="156" w:line="300" w:lineRule="auto"/>
              <w:ind w:firstLine="0" w:firstLineChars="0"/>
              <w:jc w:val="center"/>
              <w:rPr>
                <w:rFonts w:ascii="宋体" w:hAnsi="宋体" w:cs="宋体"/>
                <w:sz w:val="21"/>
                <w:szCs w:val="21"/>
                <w:highlight w:val="none"/>
              </w:rPr>
            </w:pPr>
            <w:r>
              <w:rPr>
                <w:rFonts w:hint="eastAsia" w:ascii="宋体" w:hAnsi="宋体" w:cs="宋体"/>
                <w:sz w:val="21"/>
                <w:szCs w:val="21"/>
                <w:highlight w:val="none"/>
              </w:rPr>
              <w:t>2.2.1</w:t>
            </w:r>
          </w:p>
        </w:tc>
        <w:tc>
          <w:tcPr>
            <w:tcW w:w="1112" w:type="pct"/>
            <w:vAlign w:val="center"/>
          </w:tcPr>
          <w:p>
            <w:pPr>
              <w:ind w:left="-106" w:leftChars="-44" w:firstLine="0" w:firstLineChars="0"/>
              <w:jc w:val="center"/>
              <w:rPr>
                <w:rFonts w:ascii="宋体" w:hAnsi="宋体" w:cs="宋体"/>
                <w:sz w:val="21"/>
                <w:szCs w:val="21"/>
                <w:highlight w:val="none"/>
              </w:rPr>
            </w:pPr>
            <w:r>
              <w:rPr>
                <w:rFonts w:hint="eastAsia" w:ascii="宋体" w:hAnsi="宋体" w:cs="宋体"/>
                <w:sz w:val="21"/>
                <w:szCs w:val="21"/>
                <w:highlight w:val="none"/>
                <w:lang w:eastAsia="zh-CN"/>
              </w:rPr>
              <w:t>投标人</w:t>
            </w:r>
            <w:r>
              <w:rPr>
                <w:rFonts w:hint="eastAsia" w:ascii="宋体" w:hAnsi="宋体" w:cs="宋体"/>
                <w:sz w:val="21"/>
                <w:szCs w:val="21"/>
                <w:highlight w:val="none"/>
              </w:rPr>
              <w:t>要求澄清</w:t>
            </w:r>
            <w:r>
              <w:rPr>
                <w:rFonts w:hint="eastAsia" w:ascii="宋体" w:hAnsi="宋体" w:cs="宋体"/>
                <w:sz w:val="21"/>
                <w:szCs w:val="21"/>
                <w:highlight w:val="none"/>
                <w:lang w:eastAsia="zh-CN"/>
              </w:rPr>
              <w:t>招标文件</w:t>
            </w:r>
            <w:r>
              <w:rPr>
                <w:rFonts w:hint="eastAsia" w:ascii="宋体" w:hAnsi="宋体" w:cs="宋体"/>
                <w:sz w:val="21"/>
                <w:szCs w:val="21"/>
                <w:highlight w:val="none"/>
              </w:rPr>
              <w:t>的时间和形式</w:t>
            </w:r>
          </w:p>
        </w:tc>
        <w:tc>
          <w:tcPr>
            <w:tcW w:w="3334" w:type="pct"/>
            <w:vAlign w:val="center"/>
          </w:tcPr>
          <w:p>
            <w:pPr>
              <w:spacing w:before="156" w:after="156" w:line="300" w:lineRule="auto"/>
              <w:ind w:left="-31" w:leftChars="-13" w:firstLine="29" w:firstLineChars="14"/>
              <w:jc w:val="left"/>
              <w:rPr>
                <w:rFonts w:ascii="宋体" w:hAnsi="宋体" w:cs="宋体"/>
                <w:sz w:val="21"/>
                <w:szCs w:val="21"/>
                <w:highlight w:val="none"/>
              </w:rPr>
            </w:pPr>
            <w:r>
              <w:rPr>
                <w:rFonts w:hint="eastAsia" w:ascii="宋体" w:hAnsi="宋体" w:cs="宋体"/>
                <w:sz w:val="21"/>
                <w:szCs w:val="21"/>
                <w:highlight w:val="none"/>
              </w:rPr>
              <w:t>要求澄清截止时间：</w:t>
            </w:r>
            <w:r>
              <w:rPr>
                <w:rFonts w:hint="eastAsia" w:ascii="宋体" w:hAnsi="宋体" w:cs="宋体"/>
                <w:sz w:val="21"/>
                <w:szCs w:val="21"/>
                <w:highlight w:val="none"/>
                <w:u w:val="single"/>
                <w:lang w:eastAsia="zh-CN"/>
              </w:rPr>
              <w:t>2026年</w:t>
            </w:r>
            <w:r>
              <w:rPr>
                <w:rFonts w:hint="eastAsia" w:ascii="宋体" w:hAnsi="宋体" w:cs="宋体"/>
                <w:sz w:val="21"/>
                <w:szCs w:val="21"/>
                <w:highlight w:val="none"/>
                <w:u w:val="single"/>
                <w:lang w:val="en-US" w:eastAsia="zh-CN"/>
              </w:rPr>
              <w:t>10</w:t>
            </w:r>
            <w:r>
              <w:rPr>
                <w:rFonts w:hint="eastAsia" w:ascii="宋体" w:hAnsi="宋体" w:cs="宋体"/>
                <w:sz w:val="21"/>
                <w:szCs w:val="21"/>
                <w:highlight w:val="none"/>
                <w:u w:val="single"/>
                <w:lang w:eastAsia="zh-CN"/>
              </w:rPr>
              <w:t>月</w:t>
            </w:r>
            <w:r>
              <w:rPr>
                <w:rFonts w:hint="eastAsia" w:ascii="宋体" w:hAnsi="宋体" w:cs="宋体"/>
                <w:sz w:val="21"/>
                <w:szCs w:val="21"/>
                <w:highlight w:val="none"/>
                <w:u w:val="single"/>
                <w:lang w:val="en-US" w:eastAsia="zh-CN"/>
              </w:rPr>
              <w:t>16</w:t>
            </w:r>
            <w:bookmarkStart w:id="271" w:name="_GoBack"/>
            <w:bookmarkEnd w:id="271"/>
            <w:r>
              <w:rPr>
                <w:rFonts w:hint="eastAsia" w:ascii="宋体" w:hAnsi="宋体" w:cs="宋体"/>
                <w:sz w:val="21"/>
                <w:szCs w:val="21"/>
                <w:highlight w:val="none"/>
                <w:u w:val="single"/>
              </w:rPr>
              <w:t>日 17:00</w:t>
            </w:r>
            <w:r>
              <w:rPr>
                <w:rFonts w:hint="eastAsia" w:ascii="宋体" w:hAnsi="宋体" w:cs="宋体"/>
                <w:sz w:val="21"/>
                <w:szCs w:val="21"/>
                <w:highlight w:val="none"/>
                <w:lang w:eastAsia="zh-CN"/>
              </w:rPr>
              <w:t>招标人</w:t>
            </w:r>
            <w:r>
              <w:rPr>
                <w:rFonts w:hint="eastAsia" w:ascii="宋体" w:hAnsi="宋体" w:cs="宋体"/>
                <w:sz w:val="21"/>
                <w:szCs w:val="21"/>
                <w:highlight w:val="none"/>
              </w:rPr>
              <w:t>有权拒绝回复</w:t>
            </w:r>
            <w:r>
              <w:rPr>
                <w:rFonts w:hint="eastAsia" w:ascii="宋体" w:hAnsi="宋体" w:cs="宋体"/>
                <w:sz w:val="21"/>
                <w:szCs w:val="21"/>
                <w:highlight w:val="none"/>
                <w:lang w:eastAsia="zh-CN"/>
              </w:rPr>
              <w:t>投标人</w:t>
            </w:r>
            <w:r>
              <w:rPr>
                <w:rFonts w:hint="eastAsia" w:ascii="宋体" w:hAnsi="宋体" w:cs="宋体"/>
                <w:sz w:val="21"/>
                <w:szCs w:val="21"/>
                <w:highlight w:val="none"/>
              </w:rPr>
              <w:t>在上述时间后提出的任何澄清要求。</w:t>
            </w:r>
          </w:p>
          <w:p>
            <w:pPr>
              <w:spacing w:before="156" w:after="156" w:line="300" w:lineRule="auto"/>
              <w:ind w:left="-31" w:leftChars="-13" w:firstLine="29" w:firstLineChars="14"/>
              <w:jc w:val="left"/>
              <w:rPr>
                <w:rFonts w:ascii="宋体" w:hAnsi="宋体" w:cs="宋体"/>
                <w:sz w:val="21"/>
                <w:szCs w:val="21"/>
                <w:highlight w:val="none"/>
              </w:rPr>
            </w:pPr>
            <w:r>
              <w:rPr>
                <w:rFonts w:hint="eastAsia" w:ascii="宋体" w:hAnsi="宋体" w:cs="宋体"/>
                <w:sz w:val="21"/>
                <w:szCs w:val="21"/>
                <w:highlight w:val="none"/>
              </w:rPr>
              <w:t>形式：</w:t>
            </w:r>
            <w:r>
              <w:rPr>
                <w:rFonts w:hint="eastAsia" w:ascii="宋体" w:hAnsi="宋体" w:cs="宋体"/>
                <w:sz w:val="21"/>
                <w:szCs w:val="21"/>
                <w:highlight w:val="none"/>
                <w:lang w:eastAsia="zh-CN"/>
              </w:rPr>
              <w:t>投标人</w:t>
            </w:r>
            <w:r>
              <w:rPr>
                <w:rFonts w:hint="eastAsia" w:ascii="宋体" w:hAnsi="宋体" w:cs="宋体"/>
                <w:sz w:val="21"/>
                <w:szCs w:val="21"/>
                <w:highlight w:val="none"/>
              </w:rPr>
              <w:t>将加盖公章的要求澄清文件以电子邮件形式发送至代理机构电子邮箱</w:t>
            </w:r>
            <w:r>
              <w:rPr>
                <w:rFonts w:hint="eastAsia" w:ascii="宋体" w:hAnsi="宋体" w:cs="宋体"/>
                <w:sz w:val="21"/>
                <w:szCs w:val="21"/>
                <w:highlight w:val="none"/>
                <w:u w:val="single"/>
              </w:rPr>
              <w:t>1614454577@qq.com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1" w:hRule="exact"/>
        </w:trPr>
        <w:tc>
          <w:tcPr>
            <w:tcW w:w="553" w:type="pct"/>
            <w:vAlign w:val="center"/>
          </w:tcPr>
          <w:p>
            <w:pPr>
              <w:spacing w:before="156" w:after="156" w:line="300" w:lineRule="auto"/>
              <w:ind w:firstLine="0" w:firstLineChars="0"/>
              <w:jc w:val="center"/>
              <w:rPr>
                <w:rFonts w:ascii="宋体" w:hAnsi="宋体" w:cs="宋体"/>
                <w:sz w:val="21"/>
                <w:szCs w:val="21"/>
                <w:highlight w:val="none"/>
              </w:rPr>
            </w:pPr>
            <w:r>
              <w:rPr>
                <w:rFonts w:hint="eastAsia" w:ascii="宋体" w:hAnsi="宋体" w:cs="宋体"/>
                <w:sz w:val="21"/>
                <w:szCs w:val="21"/>
                <w:highlight w:val="none"/>
              </w:rPr>
              <w:t>3.2.3</w:t>
            </w:r>
          </w:p>
        </w:tc>
        <w:tc>
          <w:tcPr>
            <w:tcW w:w="1112" w:type="pct"/>
            <w:vAlign w:val="center"/>
          </w:tcPr>
          <w:p>
            <w:pPr>
              <w:spacing w:line="300" w:lineRule="auto"/>
              <w:ind w:left="-106" w:leftChars="-44" w:firstLine="0" w:firstLineChars="0"/>
              <w:jc w:val="center"/>
              <w:rPr>
                <w:rFonts w:ascii="宋体" w:hAnsi="宋体" w:cs="宋体"/>
                <w:sz w:val="21"/>
                <w:szCs w:val="21"/>
                <w:highlight w:val="none"/>
              </w:rPr>
            </w:pPr>
            <w:bookmarkStart w:id="7" w:name="OLE_LINK20"/>
            <w:bookmarkStart w:id="8" w:name="OLE_LINK21"/>
            <w:r>
              <w:rPr>
                <w:rFonts w:hint="eastAsia" w:ascii="宋体" w:hAnsi="宋体" w:cs="宋体"/>
                <w:sz w:val="21"/>
                <w:szCs w:val="21"/>
                <w:highlight w:val="none"/>
              </w:rPr>
              <w:t>最高限价</w:t>
            </w:r>
            <w:bookmarkEnd w:id="7"/>
            <w:bookmarkEnd w:id="8"/>
          </w:p>
        </w:tc>
        <w:tc>
          <w:tcPr>
            <w:tcW w:w="3334" w:type="pct"/>
            <w:vAlign w:val="center"/>
          </w:tcPr>
          <w:p>
            <w:pPr>
              <w:spacing w:before="156" w:after="156" w:line="300" w:lineRule="auto"/>
              <w:ind w:left="-31" w:leftChars="-13" w:firstLine="29" w:firstLineChars="14"/>
              <w:jc w:val="both"/>
              <w:rPr>
                <w:rFonts w:hint="default"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本项目限价为：</w:t>
            </w:r>
            <w:r>
              <w:rPr>
                <w:rFonts w:hint="eastAsia" w:ascii="宋体" w:hAnsi="宋体" w:cs="宋体"/>
                <w:b/>
                <w:bCs/>
                <w:sz w:val="21"/>
                <w:szCs w:val="21"/>
                <w:highlight w:val="none"/>
                <w:u w:val="single"/>
                <w:lang w:val="en-US" w:eastAsia="zh-CN"/>
              </w:rPr>
              <w:t>154万元（含税）</w:t>
            </w:r>
          </w:p>
          <w:p>
            <w:pPr>
              <w:spacing w:before="156" w:after="156" w:line="300" w:lineRule="auto"/>
              <w:ind w:left="-31" w:leftChars="-13" w:firstLine="29" w:firstLineChars="14"/>
              <w:jc w:val="both"/>
              <w:rPr>
                <w:rFonts w:ascii="宋体" w:hAnsi="宋体" w:cs="宋体"/>
                <w:sz w:val="21"/>
                <w:szCs w:val="21"/>
                <w:highlight w:val="none"/>
              </w:rPr>
            </w:pPr>
            <w:r>
              <w:rPr>
                <w:rFonts w:hint="eastAsia" w:ascii="宋体" w:hAnsi="宋体" w:cs="宋体"/>
                <w:sz w:val="21"/>
                <w:szCs w:val="21"/>
                <w:highlight w:val="none"/>
                <w:lang w:eastAsia="zh-CN"/>
              </w:rPr>
              <w:t>投标人</w:t>
            </w:r>
            <w:r>
              <w:rPr>
                <w:rFonts w:hint="eastAsia" w:ascii="宋体" w:hAnsi="宋体" w:cs="宋体"/>
                <w:sz w:val="21"/>
                <w:szCs w:val="21"/>
                <w:highlight w:val="none"/>
              </w:rPr>
              <w:t>的报价超过</w:t>
            </w:r>
            <w:r>
              <w:rPr>
                <w:rFonts w:hint="eastAsia" w:ascii="宋体" w:hAnsi="宋体" w:cs="宋体"/>
                <w:sz w:val="21"/>
                <w:szCs w:val="21"/>
                <w:highlight w:val="none"/>
                <w:lang w:val="en-US" w:eastAsia="zh-CN"/>
              </w:rPr>
              <w:t>项目限价</w:t>
            </w:r>
            <w:r>
              <w:rPr>
                <w:rFonts w:hint="eastAsia" w:ascii="宋体" w:hAnsi="宋体" w:cs="宋体"/>
                <w:sz w:val="21"/>
                <w:szCs w:val="21"/>
                <w:highlight w:val="none"/>
              </w:rPr>
              <w:t>的，其</w:t>
            </w:r>
            <w:r>
              <w:rPr>
                <w:rFonts w:hint="eastAsia" w:ascii="宋体" w:hAnsi="宋体" w:cs="宋体"/>
                <w:sz w:val="21"/>
                <w:szCs w:val="21"/>
                <w:highlight w:val="none"/>
                <w:lang w:eastAsia="zh-CN"/>
              </w:rPr>
              <w:t>投标文件</w:t>
            </w:r>
            <w:r>
              <w:rPr>
                <w:rFonts w:hint="eastAsia" w:ascii="宋体" w:hAnsi="宋体" w:cs="宋体"/>
                <w:sz w:val="21"/>
                <w:szCs w:val="21"/>
                <w:highlight w:val="none"/>
              </w:rPr>
              <w:t>将被视为无效。</w:t>
            </w:r>
          </w:p>
          <w:p>
            <w:pPr>
              <w:spacing w:before="156" w:after="156" w:line="300" w:lineRule="auto"/>
              <w:ind w:left="-31" w:leftChars="-13" w:firstLine="29" w:firstLineChars="14"/>
              <w:jc w:val="center"/>
              <w:rPr>
                <w:rFonts w:ascii="宋体" w:hAnsi="宋体" w:cs="宋体"/>
                <w:sz w:val="21"/>
                <w:szCs w:val="21"/>
                <w:highlight w:val="none"/>
              </w:rPr>
            </w:pPr>
          </w:p>
          <w:p>
            <w:pPr>
              <w:spacing w:before="156" w:after="156" w:line="300" w:lineRule="auto"/>
              <w:ind w:left="-31" w:leftChars="-13" w:firstLine="29" w:firstLineChars="14"/>
              <w:jc w:val="center"/>
              <w:rPr>
                <w:rFonts w:ascii="宋体" w:hAnsi="宋体" w:cs="宋体"/>
                <w:sz w:val="21"/>
                <w:szCs w:val="21"/>
                <w:highlight w:val="none"/>
              </w:rPr>
            </w:pPr>
          </w:p>
          <w:p>
            <w:pPr>
              <w:spacing w:line="300" w:lineRule="auto"/>
              <w:ind w:left="-31" w:leftChars="-13" w:firstLine="30" w:firstLineChars="14"/>
              <w:jc w:val="center"/>
              <w:rPr>
                <w:rFonts w:ascii="宋体" w:hAnsi="宋体" w:cs="宋体"/>
                <w:b/>
                <w:bCs/>
                <w:kern w:val="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exact"/>
        </w:trPr>
        <w:tc>
          <w:tcPr>
            <w:tcW w:w="553" w:type="pct"/>
            <w:vAlign w:val="center"/>
          </w:tcPr>
          <w:p>
            <w:pPr>
              <w:spacing w:before="156" w:after="156" w:line="300" w:lineRule="auto"/>
              <w:ind w:firstLine="0" w:firstLineChars="0"/>
              <w:jc w:val="center"/>
              <w:rPr>
                <w:rFonts w:ascii="宋体" w:hAnsi="宋体" w:cs="宋体"/>
                <w:sz w:val="21"/>
                <w:szCs w:val="21"/>
                <w:highlight w:val="none"/>
              </w:rPr>
            </w:pPr>
            <w:r>
              <w:rPr>
                <w:rFonts w:hint="eastAsia" w:ascii="宋体" w:hAnsi="宋体" w:cs="宋体"/>
                <w:sz w:val="21"/>
                <w:szCs w:val="21"/>
                <w:highlight w:val="none"/>
              </w:rPr>
              <w:t>3.3</w:t>
            </w:r>
          </w:p>
        </w:tc>
        <w:tc>
          <w:tcPr>
            <w:tcW w:w="1112" w:type="pct"/>
            <w:vAlign w:val="center"/>
          </w:tcPr>
          <w:p>
            <w:pPr>
              <w:spacing w:before="156" w:after="156" w:line="300" w:lineRule="auto"/>
              <w:ind w:left="-106" w:leftChars="-44" w:firstLine="0" w:firstLineChars="0"/>
              <w:jc w:val="center"/>
              <w:rPr>
                <w:rFonts w:ascii="宋体" w:hAnsi="宋体" w:cs="宋体"/>
                <w:sz w:val="21"/>
                <w:szCs w:val="21"/>
                <w:highlight w:val="none"/>
              </w:rPr>
            </w:pPr>
            <w:r>
              <w:rPr>
                <w:rFonts w:hint="eastAsia" w:ascii="宋体" w:hAnsi="宋体" w:cs="宋体"/>
                <w:sz w:val="21"/>
                <w:szCs w:val="21"/>
                <w:highlight w:val="none"/>
                <w:lang w:eastAsia="zh-CN"/>
              </w:rPr>
              <w:t>投标文件</w:t>
            </w:r>
            <w:r>
              <w:rPr>
                <w:rFonts w:hint="eastAsia" w:ascii="宋体" w:hAnsi="宋体" w:cs="宋体"/>
                <w:sz w:val="21"/>
                <w:szCs w:val="21"/>
                <w:highlight w:val="none"/>
              </w:rPr>
              <w:t>有效期</w:t>
            </w:r>
          </w:p>
        </w:tc>
        <w:tc>
          <w:tcPr>
            <w:tcW w:w="3334" w:type="pct"/>
            <w:vAlign w:val="center"/>
          </w:tcPr>
          <w:p>
            <w:pPr>
              <w:spacing w:before="156" w:after="156" w:line="300" w:lineRule="auto"/>
              <w:ind w:left="-31" w:leftChars="-13" w:firstLine="29" w:firstLineChars="14"/>
              <w:jc w:val="left"/>
              <w:rPr>
                <w:rFonts w:ascii="宋体" w:hAnsi="宋体" w:cs="宋体"/>
                <w:sz w:val="21"/>
                <w:szCs w:val="21"/>
                <w:highlight w:val="none"/>
              </w:rPr>
            </w:pPr>
            <w:r>
              <w:rPr>
                <w:rFonts w:hint="eastAsia" w:ascii="宋体" w:hAnsi="宋体" w:cs="宋体"/>
                <w:sz w:val="21"/>
                <w:szCs w:val="21"/>
                <w:highlight w:val="none"/>
                <w:u w:val="single"/>
              </w:rPr>
              <w:t>90日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exact"/>
        </w:trPr>
        <w:tc>
          <w:tcPr>
            <w:tcW w:w="553" w:type="pct"/>
            <w:vAlign w:val="center"/>
          </w:tcPr>
          <w:p>
            <w:pPr>
              <w:spacing w:before="156" w:after="156" w:line="300" w:lineRule="auto"/>
              <w:ind w:firstLine="0" w:firstLineChars="0"/>
              <w:jc w:val="center"/>
              <w:rPr>
                <w:rFonts w:ascii="宋体" w:hAnsi="宋体" w:cs="宋体"/>
                <w:sz w:val="21"/>
                <w:szCs w:val="21"/>
                <w:highlight w:val="none"/>
              </w:rPr>
            </w:pPr>
            <w:r>
              <w:rPr>
                <w:rFonts w:hint="eastAsia" w:ascii="宋体" w:hAnsi="宋体" w:cs="宋体"/>
                <w:sz w:val="21"/>
                <w:szCs w:val="21"/>
                <w:highlight w:val="none"/>
              </w:rPr>
              <w:t>3.4</w:t>
            </w:r>
          </w:p>
        </w:tc>
        <w:tc>
          <w:tcPr>
            <w:tcW w:w="1112" w:type="pct"/>
            <w:vAlign w:val="center"/>
          </w:tcPr>
          <w:p>
            <w:pPr>
              <w:spacing w:before="156" w:after="156" w:line="300" w:lineRule="auto"/>
              <w:ind w:left="-106" w:leftChars="-44" w:firstLine="0" w:firstLineChars="0"/>
              <w:jc w:val="center"/>
              <w:rPr>
                <w:rFonts w:ascii="宋体" w:hAnsi="宋体" w:cs="宋体"/>
                <w:sz w:val="21"/>
                <w:szCs w:val="21"/>
                <w:highlight w:val="none"/>
              </w:rPr>
            </w:pPr>
            <w:r>
              <w:rPr>
                <w:rFonts w:hint="eastAsia" w:ascii="宋体" w:hAnsi="宋体" w:cs="宋体"/>
                <w:sz w:val="21"/>
                <w:szCs w:val="21"/>
                <w:highlight w:val="none"/>
                <w:lang w:val="en-US" w:eastAsia="zh-CN"/>
              </w:rPr>
              <w:t>投标</w:t>
            </w:r>
            <w:r>
              <w:rPr>
                <w:rFonts w:hint="eastAsia" w:ascii="宋体" w:hAnsi="宋体" w:cs="宋体"/>
                <w:sz w:val="21"/>
                <w:szCs w:val="21"/>
                <w:highlight w:val="none"/>
              </w:rPr>
              <w:t>保证金</w:t>
            </w:r>
          </w:p>
        </w:tc>
        <w:tc>
          <w:tcPr>
            <w:tcW w:w="3334" w:type="pct"/>
            <w:vAlign w:val="bottom"/>
          </w:tcPr>
          <w:p>
            <w:pPr>
              <w:ind w:firstLine="0" w:firstLineChars="0"/>
              <w:jc w:val="left"/>
              <w:rPr>
                <w:rFonts w:ascii="宋体" w:hAnsi="宋体" w:cs="宋体"/>
                <w:sz w:val="21"/>
                <w:szCs w:val="21"/>
                <w:highlight w:val="none"/>
              </w:rPr>
            </w:pPr>
            <w:r>
              <w:rPr>
                <w:rFonts w:hint="eastAsia" w:ascii="宋体" w:hAnsi="宋体" w:cs="宋体"/>
                <w:sz w:val="21"/>
                <w:szCs w:val="21"/>
                <w:highlight w:val="none"/>
              </w:rPr>
              <w:t>不要求递交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exact"/>
        </w:trPr>
        <w:tc>
          <w:tcPr>
            <w:tcW w:w="553" w:type="pct"/>
            <w:vAlign w:val="center"/>
          </w:tcPr>
          <w:p>
            <w:pPr>
              <w:spacing w:before="156" w:after="156" w:line="300" w:lineRule="auto"/>
              <w:ind w:firstLine="0" w:firstLineChars="0"/>
              <w:jc w:val="center"/>
              <w:rPr>
                <w:rFonts w:ascii="宋体" w:hAnsi="宋体" w:cs="宋体"/>
                <w:sz w:val="21"/>
                <w:szCs w:val="21"/>
                <w:highlight w:val="none"/>
              </w:rPr>
            </w:pPr>
            <w:r>
              <w:rPr>
                <w:rFonts w:hint="eastAsia" w:ascii="宋体" w:hAnsi="宋体" w:cs="宋体"/>
                <w:sz w:val="21"/>
                <w:szCs w:val="21"/>
                <w:highlight w:val="none"/>
              </w:rPr>
              <w:t>3.6</w:t>
            </w:r>
          </w:p>
        </w:tc>
        <w:tc>
          <w:tcPr>
            <w:tcW w:w="1112" w:type="pct"/>
            <w:vAlign w:val="center"/>
          </w:tcPr>
          <w:p>
            <w:pPr>
              <w:spacing w:before="156" w:after="156" w:line="300" w:lineRule="auto"/>
              <w:ind w:left="-106" w:leftChars="-44" w:firstLine="0" w:firstLineChars="0"/>
              <w:jc w:val="center"/>
              <w:rPr>
                <w:rFonts w:ascii="宋体" w:hAnsi="宋体" w:cs="宋体"/>
                <w:sz w:val="21"/>
                <w:szCs w:val="21"/>
                <w:highlight w:val="none"/>
              </w:rPr>
            </w:pPr>
            <w:r>
              <w:rPr>
                <w:rFonts w:hint="eastAsia" w:ascii="宋体" w:hAnsi="宋体" w:cs="宋体"/>
                <w:sz w:val="21"/>
                <w:szCs w:val="21"/>
                <w:highlight w:val="none"/>
              </w:rPr>
              <w:t>是否允许递交备选报价方案</w:t>
            </w:r>
          </w:p>
        </w:tc>
        <w:tc>
          <w:tcPr>
            <w:tcW w:w="3334" w:type="pct"/>
            <w:vAlign w:val="center"/>
          </w:tcPr>
          <w:p>
            <w:pPr>
              <w:spacing w:before="156" w:after="156" w:line="300" w:lineRule="auto"/>
              <w:ind w:left="-31" w:leftChars="-13" w:firstLine="29" w:firstLineChars="14"/>
              <w:jc w:val="left"/>
              <w:rPr>
                <w:rFonts w:ascii="宋体" w:hAnsi="宋体" w:cs="宋体"/>
                <w:sz w:val="21"/>
                <w:szCs w:val="21"/>
                <w:highlight w:val="none"/>
              </w:rPr>
            </w:pPr>
            <w:r>
              <w:rPr>
                <w:rFonts w:hint="eastAsia" w:ascii="宋体" w:hAnsi="宋体" w:cs="宋体"/>
                <w:sz w:val="21"/>
                <w:szCs w:val="21"/>
                <w:highlight w:val="none"/>
              </w:rPr>
              <w:t>不允许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3" w:hRule="exact"/>
        </w:trPr>
        <w:tc>
          <w:tcPr>
            <w:tcW w:w="553" w:type="pct"/>
            <w:vAlign w:val="center"/>
          </w:tcPr>
          <w:p>
            <w:pPr>
              <w:spacing w:before="156" w:after="156" w:line="300" w:lineRule="auto"/>
              <w:ind w:firstLine="0" w:firstLineChars="0"/>
              <w:jc w:val="center"/>
              <w:rPr>
                <w:rFonts w:ascii="宋体" w:hAnsi="宋体" w:cs="宋体"/>
                <w:sz w:val="21"/>
                <w:szCs w:val="21"/>
                <w:highlight w:val="none"/>
              </w:rPr>
            </w:pPr>
            <w:r>
              <w:rPr>
                <w:rFonts w:hint="eastAsia" w:ascii="宋体" w:hAnsi="宋体" w:cs="宋体"/>
                <w:sz w:val="21"/>
                <w:szCs w:val="21"/>
                <w:highlight w:val="none"/>
              </w:rPr>
              <w:t>3.7.5</w:t>
            </w:r>
          </w:p>
        </w:tc>
        <w:tc>
          <w:tcPr>
            <w:tcW w:w="1112" w:type="pct"/>
            <w:vAlign w:val="center"/>
          </w:tcPr>
          <w:p>
            <w:pPr>
              <w:spacing w:before="156" w:after="156" w:line="300" w:lineRule="auto"/>
              <w:ind w:left="-106" w:leftChars="-44" w:firstLine="0" w:firstLineChars="0"/>
              <w:jc w:val="center"/>
              <w:rPr>
                <w:rFonts w:ascii="宋体" w:hAnsi="宋体" w:cs="宋体"/>
                <w:sz w:val="21"/>
                <w:szCs w:val="21"/>
                <w:highlight w:val="none"/>
              </w:rPr>
            </w:pPr>
            <w:r>
              <w:rPr>
                <w:rFonts w:hint="eastAsia" w:ascii="宋体" w:hAnsi="宋体" w:cs="宋体"/>
                <w:sz w:val="21"/>
                <w:szCs w:val="21"/>
                <w:highlight w:val="none"/>
                <w:lang w:eastAsia="zh-CN"/>
              </w:rPr>
              <w:t>投标文件</w:t>
            </w:r>
            <w:r>
              <w:rPr>
                <w:rFonts w:hint="eastAsia" w:ascii="宋体" w:hAnsi="宋体" w:cs="宋体"/>
                <w:sz w:val="21"/>
                <w:szCs w:val="21"/>
                <w:highlight w:val="none"/>
              </w:rPr>
              <w:t>份数</w:t>
            </w:r>
          </w:p>
        </w:tc>
        <w:tc>
          <w:tcPr>
            <w:tcW w:w="3334" w:type="pct"/>
            <w:vAlign w:val="center"/>
          </w:tcPr>
          <w:p>
            <w:pPr>
              <w:spacing w:before="156" w:after="156" w:line="300" w:lineRule="auto"/>
              <w:ind w:left="-29" w:leftChars="-12" w:firstLine="31" w:firstLineChars="0"/>
              <w:jc w:val="left"/>
              <w:rPr>
                <w:rFonts w:ascii="宋体" w:hAnsi="宋体" w:cs="宋体"/>
                <w:sz w:val="21"/>
                <w:szCs w:val="21"/>
                <w:highlight w:val="none"/>
              </w:rPr>
            </w:pPr>
            <w:r>
              <w:rPr>
                <w:rFonts w:hint="eastAsia" w:ascii="宋体" w:hAnsi="宋体" w:cs="宋体"/>
                <w:sz w:val="21"/>
                <w:szCs w:val="21"/>
                <w:highlight w:val="none"/>
                <w:lang w:eastAsia="zh-CN"/>
              </w:rPr>
              <w:t>投标文件</w:t>
            </w:r>
            <w:r>
              <w:rPr>
                <w:rFonts w:hint="eastAsia" w:ascii="宋体" w:hAnsi="宋体" w:cs="宋体"/>
                <w:sz w:val="21"/>
                <w:szCs w:val="21"/>
                <w:highlight w:val="none"/>
              </w:rPr>
              <w:t>正本</w:t>
            </w:r>
            <w:r>
              <w:rPr>
                <w:rFonts w:hint="eastAsia" w:ascii="宋体" w:hAnsi="宋体" w:cs="宋体"/>
                <w:sz w:val="21"/>
                <w:szCs w:val="21"/>
                <w:highlight w:val="none"/>
                <w:u w:val="single"/>
              </w:rPr>
              <w:t xml:space="preserve"> 1</w:t>
            </w:r>
            <w:r>
              <w:rPr>
                <w:rFonts w:hint="eastAsia" w:ascii="宋体" w:hAnsi="宋体" w:cs="宋体"/>
                <w:sz w:val="21"/>
                <w:szCs w:val="21"/>
                <w:highlight w:val="none"/>
              </w:rPr>
              <w:t>份，副本</w:t>
            </w:r>
            <w:r>
              <w:rPr>
                <w:rFonts w:hint="eastAsia" w:ascii="宋体" w:hAnsi="宋体" w:cs="宋体"/>
                <w:sz w:val="21"/>
                <w:szCs w:val="21"/>
                <w:highlight w:val="none"/>
                <w:u w:val="single"/>
              </w:rPr>
              <w:t>4</w:t>
            </w:r>
            <w:r>
              <w:rPr>
                <w:rFonts w:hint="eastAsia" w:ascii="宋体" w:hAnsi="宋体" w:cs="宋体"/>
                <w:sz w:val="21"/>
                <w:szCs w:val="21"/>
                <w:highlight w:val="none"/>
              </w:rPr>
              <w:t>份，电子文本</w:t>
            </w:r>
            <w:r>
              <w:rPr>
                <w:rFonts w:hint="eastAsia" w:ascii="宋体" w:hAnsi="宋体" w:cs="宋体"/>
                <w:sz w:val="21"/>
                <w:szCs w:val="21"/>
                <w:highlight w:val="none"/>
                <w:u w:val="single"/>
              </w:rPr>
              <w:t>1</w:t>
            </w:r>
            <w:r>
              <w:rPr>
                <w:rFonts w:hint="eastAsia" w:ascii="宋体" w:hAnsi="宋体" w:cs="宋体"/>
                <w:sz w:val="21"/>
                <w:szCs w:val="21"/>
                <w:highlight w:val="none"/>
              </w:rPr>
              <w:t>份（存放U盘介质中，含</w:t>
            </w:r>
            <w:r>
              <w:rPr>
                <w:rFonts w:hint="eastAsia" w:ascii="宋体" w:hAnsi="宋体" w:cs="宋体"/>
                <w:sz w:val="21"/>
                <w:szCs w:val="21"/>
                <w:highlight w:val="none"/>
                <w:lang w:eastAsia="zh-CN"/>
              </w:rPr>
              <w:t>投标文件</w:t>
            </w:r>
            <w:r>
              <w:rPr>
                <w:rFonts w:hint="eastAsia" w:ascii="宋体" w:hAnsi="宋体" w:cs="宋体"/>
                <w:sz w:val="21"/>
                <w:szCs w:val="21"/>
                <w:highlight w:val="none"/>
              </w:rPr>
              <w:t>正本扫描件PDF版本以及可编辑的word或excel版本）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4" w:hRule="exact"/>
        </w:trPr>
        <w:tc>
          <w:tcPr>
            <w:tcW w:w="553" w:type="pct"/>
            <w:vAlign w:val="center"/>
          </w:tcPr>
          <w:p>
            <w:pPr>
              <w:spacing w:before="156" w:after="156" w:line="300" w:lineRule="auto"/>
              <w:ind w:firstLine="0" w:firstLineChars="0"/>
              <w:jc w:val="center"/>
              <w:rPr>
                <w:rFonts w:ascii="宋体" w:hAnsi="宋体" w:cs="宋体"/>
                <w:sz w:val="21"/>
                <w:szCs w:val="21"/>
                <w:highlight w:val="none"/>
              </w:rPr>
            </w:pPr>
            <w:r>
              <w:rPr>
                <w:rFonts w:hint="eastAsia" w:ascii="宋体" w:hAnsi="宋体" w:cs="宋体"/>
                <w:sz w:val="21"/>
                <w:szCs w:val="21"/>
                <w:highlight w:val="none"/>
              </w:rPr>
              <w:t>3.7.6</w:t>
            </w:r>
          </w:p>
        </w:tc>
        <w:tc>
          <w:tcPr>
            <w:tcW w:w="1112" w:type="pct"/>
            <w:vAlign w:val="center"/>
          </w:tcPr>
          <w:p>
            <w:pPr>
              <w:spacing w:before="156" w:after="156" w:line="300" w:lineRule="auto"/>
              <w:ind w:left="-106" w:leftChars="-44" w:firstLine="0" w:firstLineChars="0"/>
              <w:jc w:val="center"/>
              <w:rPr>
                <w:rFonts w:ascii="宋体" w:hAnsi="宋体" w:cs="宋体"/>
                <w:sz w:val="21"/>
                <w:szCs w:val="21"/>
                <w:highlight w:val="none"/>
              </w:rPr>
            </w:pPr>
            <w:r>
              <w:rPr>
                <w:rFonts w:hint="eastAsia" w:ascii="宋体" w:hAnsi="宋体" w:cs="宋体"/>
                <w:sz w:val="21"/>
                <w:szCs w:val="21"/>
                <w:highlight w:val="none"/>
              </w:rPr>
              <w:t>装订</w:t>
            </w:r>
          </w:p>
        </w:tc>
        <w:tc>
          <w:tcPr>
            <w:tcW w:w="3334" w:type="pct"/>
            <w:vAlign w:val="center"/>
          </w:tcPr>
          <w:p>
            <w:pPr>
              <w:pStyle w:val="23"/>
              <w:topLinePunct/>
              <w:spacing w:after="120"/>
              <w:ind w:left="-29" w:leftChars="-12" w:firstLine="30" w:firstLineChars="14"/>
              <w:jc w:val="left"/>
              <w:rPr>
                <w:rFonts w:ascii="宋体" w:hAnsi="宋体" w:cs="宋体"/>
                <w:sz w:val="21"/>
                <w:szCs w:val="21"/>
                <w:highlight w:val="none"/>
              </w:rPr>
            </w:pPr>
            <w:r>
              <w:rPr>
                <w:rFonts w:hint="eastAsia" w:ascii="宋体" w:hAnsi="宋体" w:cs="宋体"/>
                <w:b/>
                <w:bCs/>
                <w:sz w:val="21"/>
                <w:szCs w:val="21"/>
                <w:highlight w:val="none"/>
              </w:rPr>
              <w:t>需要，分册装订，</w:t>
            </w:r>
            <w:r>
              <w:rPr>
                <w:rFonts w:hint="eastAsia" w:ascii="宋体" w:hAnsi="宋体" w:cs="宋体"/>
                <w:b/>
                <w:bCs/>
                <w:sz w:val="21"/>
                <w:szCs w:val="21"/>
                <w:highlight w:val="none"/>
                <w:lang w:eastAsia="zh-CN"/>
              </w:rPr>
              <w:t>投标文件</w:t>
            </w:r>
            <w:r>
              <w:rPr>
                <w:rFonts w:hint="eastAsia" w:ascii="宋体" w:hAnsi="宋体" w:cs="宋体"/>
                <w:b/>
                <w:bCs/>
                <w:sz w:val="21"/>
                <w:szCs w:val="21"/>
                <w:highlight w:val="none"/>
              </w:rPr>
              <w:t>第一册“ 资格审查”、第二册“商务技术部分”和第三册“报价部分”单独装订，并分开密封，《电子文本》单独密封。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exact"/>
        </w:trPr>
        <w:tc>
          <w:tcPr>
            <w:tcW w:w="553" w:type="pct"/>
            <w:vAlign w:val="center"/>
          </w:tcPr>
          <w:p>
            <w:pPr>
              <w:spacing w:before="156" w:after="156" w:line="300" w:lineRule="auto"/>
              <w:ind w:firstLine="0" w:firstLineChars="0"/>
              <w:jc w:val="center"/>
              <w:rPr>
                <w:rFonts w:ascii="宋体" w:hAnsi="宋体" w:cs="宋体"/>
                <w:sz w:val="21"/>
                <w:szCs w:val="21"/>
                <w:highlight w:val="none"/>
              </w:rPr>
            </w:pPr>
            <w:r>
              <w:rPr>
                <w:rFonts w:hint="eastAsia" w:ascii="宋体" w:hAnsi="宋体" w:cs="宋体"/>
                <w:sz w:val="21"/>
                <w:szCs w:val="21"/>
                <w:highlight w:val="none"/>
              </w:rPr>
              <w:t>4.1.2</w:t>
            </w:r>
          </w:p>
        </w:tc>
        <w:tc>
          <w:tcPr>
            <w:tcW w:w="1112" w:type="pct"/>
            <w:vAlign w:val="center"/>
          </w:tcPr>
          <w:p>
            <w:pPr>
              <w:spacing w:before="156" w:after="156" w:line="300" w:lineRule="auto"/>
              <w:ind w:left="-106" w:leftChars="-44" w:firstLine="0" w:firstLineChars="0"/>
              <w:jc w:val="center"/>
              <w:rPr>
                <w:rFonts w:ascii="宋体" w:hAnsi="宋体" w:cs="宋体"/>
                <w:sz w:val="21"/>
                <w:szCs w:val="21"/>
                <w:highlight w:val="none"/>
              </w:rPr>
            </w:pPr>
            <w:r>
              <w:rPr>
                <w:rFonts w:hint="eastAsia" w:ascii="宋体" w:hAnsi="宋体" w:cs="宋体"/>
                <w:sz w:val="21"/>
                <w:szCs w:val="21"/>
                <w:highlight w:val="none"/>
              </w:rPr>
              <w:t>封袋上应载明的信息</w:t>
            </w:r>
          </w:p>
        </w:tc>
        <w:tc>
          <w:tcPr>
            <w:tcW w:w="3334" w:type="pct"/>
            <w:vAlign w:val="center"/>
          </w:tcPr>
          <w:p>
            <w:pPr>
              <w:ind w:left="-31" w:leftChars="-13" w:firstLine="29" w:firstLineChars="14"/>
              <w:jc w:val="left"/>
              <w:rPr>
                <w:rFonts w:ascii="宋体" w:hAnsi="宋体" w:cs="宋体"/>
                <w:bCs/>
                <w:sz w:val="21"/>
                <w:szCs w:val="21"/>
                <w:highlight w:val="none"/>
              </w:rPr>
            </w:pPr>
            <w:r>
              <w:rPr>
                <w:rFonts w:hint="eastAsia" w:ascii="宋体" w:hAnsi="宋体" w:cs="宋体"/>
                <w:bCs/>
                <w:sz w:val="21"/>
                <w:szCs w:val="21"/>
                <w:highlight w:val="none"/>
              </w:rPr>
              <w:t>见第六章“</w:t>
            </w:r>
            <w:r>
              <w:rPr>
                <w:rFonts w:hint="eastAsia" w:ascii="宋体" w:hAnsi="宋体" w:cs="宋体"/>
                <w:bCs/>
                <w:sz w:val="21"/>
                <w:szCs w:val="21"/>
                <w:highlight w:val="none"/>
                <w:lang w:eastAsia="zh-CN"/>
              </w:rPr>
              <w:t>投标文件</w:t>
            </w:r>
            <w:r>
              <w:rPr>
                <w:rFonts w:hint="eastAsia" w:ascii="宋体" w:hAnsi="宋体" w:cs="宋体"/>
                <w:bCs/>
                <w:sz w:val="21"/>
                <w:szCs w:val="21"/>
                <w:highlight w:val="none"/>
              </w:rPr>
              <w:t xml:space="preserve">格式/1 </w:t>
            </w:r>
            <w:r>
              <w:rPr>
                <w:rFonts w:hint="eastAsia" w:ascii="宋体" w:hAnsi="宋体" w:cs="宋体"/>
                <w:bCs/>
                <w:sz w:val="21"/>
                <w:szCs w:val="21"/>
                <w:highlight w:val="none"/>
                <w:lang w:eastAsia="zh-CN"/>
              </w:rPr>
              <w:t>投标文件</w:t>
            </w:r>
            <w:r>
              <w:rPr>
                <w:rFonts w:hint="eastAsia" w:ascii="宋体" w:hAnsi="宋体" w:cs="宋体"/>
                <w:bCs/>
                <w:sz w:val="21"/>
                <w:szCs w:val="21"/>
                <w:highlight w:val="none"/>
              </w:rPr>
              <w:t>封面”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4" w:hRule="exact"/>
        </w:trPr>
        <w:tc>
          <w:tcPr>
            <w:tcW w:w="553" w:type="pct"/>
            <w:vAlign w:val="center"/>
          </w:tcPr>
          <w:p>
            <w:pPr>
              <w:spacing w:before="156" w:after="156" w:line="300" w:lineRule="auto"/>
              <w:ind w:firstLine="0" w:firstLineChars="0"/>
              <w:jc w:val="center"/>
              <w:rPr>
                <w:rFonts w:ascii="宋体" w:hAnsi="宋体" w:cs="宋体"/>
                <w:sz w:val="21"/>
                <w:szCs w:val="21"/>
                <w:highlight w:val="none"/>
              </w:rPr>
            </w:pPr>
            <w:r>
              <w:rPr>
                <w:rFonts w:hint="eastAsia" w:ascii="宋体" w:hAnsi="宋体" w:cs="宋体"/>
                <w:sz w:val="21"/>
                <w:szCs w:val="21"/>
                <w:highlight w:val="none"/>
              </w:rPr>
              <w:t>4.2</w:t>
            </w:r>
          </w:p>
        </w:tc>
        <w:tc>
          <w:tcPr>
            <w:tcW w:w="1112" w:type="pct"/>
            <w:vAlign w:val="center"/>
          </w:tcPr>
          <w:p>
            <w:pPr>
              <w:spacing w:before="156" w:after="156" w:line="300" w:lineRule="auto"/>
              <w:ind w:left="-106" w:leftChars="-44" w:firstLine="0" w:firstLineChars="0"/>
              <w:jc w:val="center"/>
              <w:rPr>
                <w:rFonts w:ascii="宋体" w:hAnsi="宋体" w:cs="宋体"/>
                <w:sz w:val="21"/>
                <w:szCs w:val="21"/>
                <w:highlight w:val="none"/>
              </w:rPr>
            </w:pPr>
            <w:r>
              <w:rPr>
                <w:rFonts w:hint="eastAsia" w:ascii="宋体" w:hAnsi="宋体" w:cs="宋体"/>
                <w:sz w:val="21"/>
                <w:szCs w:val="21"/>
                <w:highlight w:val="none"/>
              </w:rPr>
              <w:t>递交</w:t>
            </w:r>
            <w:r>
              <w:rPr>
                <w:rFonts w:hint="eastAsia" w:ascii="宋体" w:hAnsi="宋体" w:cs="宋体"/>
                <w:sz w:val="21"/>
                <w:szCs w:val="21"/>
                <w:highlight w:val="none"/>
                <w:lang w:eastAsia="zh-CN"/>
              </w:rPr>
              <w:t>投标文件</w:t>
            </w:r>
            <w:r>
              <w:rPr>
                <w:rFonts w:hint="eastAsia" w:ascii="宋体" w:hAnsi="宋体" w:cs="宋体"/>
                <w:sz w:val="21"/>
                <w:szCs w:val="21"/>
                <w:highlight w:val="none"/>
              </w:rPr>
              <w:t>的截止时间和地点</w:t>
            </w:r>
          </w:p>
        </w:tc>
        <w:tc>
          <w:tcPr>
            <w:tcW w:w="3334" w:type="pct"/>
            <w:vAlign w:val="center"/>
          </w:tcPr>
          <w:p>
            <w:pPr>
              <w:spacing w:before="156" w:after="156" w:line="300" w:lineRule="auto"/>
              <w:ind w:left="-31" w:leftChars="-13" w:firstLine="29" w:firstLineChars="14"/>
              <w:jc w:val="left"/>
              <w:rPr>
                <w:rFonts w:ascii="宋体" w:hAnsi="宋体" w:cs="宋体"/>
                <w:sz w:val="21"/>
                <w:szCs w:val="21"/>
                <w:highlight w:val="none"/>
              </w:rPr>
            </w:pPr>
            <w:r>
              <w:rPr>
                <w:rFonts w:hint="eastAsia" w:ascii="宋体" w:hAnsi="宋体" w:cs="宋体"/>
                <w:sz w:val="21"/>
                <w:szCs w:val="21"/>
                <w:highlight w:val="none"/>
              </w:rPr>
              <w:t>见第一章“</w:t>
            </w:r>
            <w:r>
              <w:rPr>
                <w:rFonts w:hint="eastAsia" w:ascii="宋体" w:hAnsi="宋体" w:cs="宋体"/>
                <w:sz w:val="21"/>
                <w:szCs w:val="21"/>
                <w:highlight w:val="none"/>
                <w:lang w:eastAsia="zh-CN"/>
              </w:rPr>
              <w:t>招标公告</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exact"/>
        </w:trPr>
        <w:tc>
          <w:tcPr>
            <w:tcW w:w="553" w:type="pct"/>
            <w:vAlign w:val="center"/>
          </w:tcPr>
          <w:p>
            <w:pPr>
              <w:spacing w:before="156" w:after="156" w:line="300" w:lineRule="auto"/>
              <w:ind w:firstLine="0" w:firstLineChars="0"/>
              <w:jc w:val="center"/>
              <w:rPr>
                <w:rFonts w:ascii="宋体" w:hAnsi="宋体" w:cs="宋体"/>
                <w:sz w:val="21"/>
                <w:szCs w:val="21"/>
                <w:highlight w:val="none"/>
              </w:rPr>
            </w:pPr>
            <w:r>
              <w:rPr>
                <w:rFonts w:hint="eastAsia" w:ascii="宋体" w:hAnsi="宋体" w:cs="宋体"/>
                <w:sz w:val="21"/>
                <w:szCs w:val="21"/>
                <w:highlight w:val="none"/>
              </w:rPr>
              <w:t>4.2</w:t>
            </w:r>
          </w:p>
        </w:tc>
        <w:tc>
          <w:tcPr>
            <w:tcW w:w="1112" w:type="pct"/>
            <w:vAlign w:val="center"/>
          </w:tcPr>
          <w:p>
            <w:pPr>
              <w:spacing w:before="156" w:after="156" w:line="300" w:lineRule="auto"/>
              <w:ind w:left="-106" w:leftChars="-44" w:firstLine="0" w:firstLineChars="0"/>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rPr>
              <w:t>是否退还</w:t>
            </w:r>
            <w:r>
              <w:rPr>
                <w:rFonts w:hint="eastAsia" w:ascii="宋体" w:hAnsi="宋体" w:cs="宋体"/>
                <w:sz w:val="21"/>
                <w:szCs w:val="21"/>
                <w:highlight w:val="none"/>
                <w:lang w:eastAsia="zh-CN"/>
              </w:rPr>
              <w:t>投标文件</w:t>
            </w:r>
          </w:p>
        </w:tc>
        <w:tc>
          <w:tcPr>
            <w:tcW w:w="3334" w:type="pct"/>
            <w:vAlign w:val="center"/>
          </w:tcPr>
          <w:p>
            <w:pPr>
              <w:spacing w:before="156" w:after="156" w:line="300" w:lineRule="auto"/>
              <w:ind w:left="-31" w:leftChars="-13" w:firstLine="29" w:firstLineChars="14"/>
              <w:jc w:val="left"/>
              <w:rPr>
                <w:rFonts w:ascii="宋体" w:hAnsi="宋体" w:cs="宋体"/>
                <w:sz w:val="21"/>
                <w:szCs w:val="21"/>
                <w:highlight w:val="none"/>
              </w:rPr>
            </w:pPr>
            <w:r>
              <w:rPr>
                <w:rFonts w:hint="eastAsia" w:ascii="宋体" w:hAnsi="宋体" w:cs="宋体"/>
                <w:sz w:val="21"/>
                <w:szCs w:val="21"/>
                <w:highlight w:val="none"/>
              </w:rPr>
              <w:t>不退还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exact"/>
        </w:trPr>
        <w:tc>
          <w:tcPr>
            <w:tcW w:w="553" w:type="pct"/>
            <w:vAlign w:val="center"/>
          </w:tcPr>
          <w:p>
            <w:pPr>
              <w:spacing w:before="156" w:after="156" w:line="300" w:lineRule="auto"/>
              <w:ind w:firstLine="0" w:firstLineChars="0"/>
              <w:jc w:val="center"/>
              <w:rPr>
                <w:rFonts w:ascii="宋体" w:hAnsi="宋体" w:cs="宋体"/>
                <w:sz w:val="21"/>
                <w:szCs w:val="21"/>
                <w:highlight w:val="none"/>
              </w:rPr>
            </w:pPr>
            <w:r>
              <w:rPr>
                <w:rFonts w:hint="eastAsia" w:ascii="宋体" w:hAnsi="宋体" w:cs="宋体"/>
                <w:sz w:val="21"/>
                <w:szCs w:val="21"/>
                <w:highlight w:val="none"/>
              </w:rPr>
              <w:t>5.1</w:t>
            </w:r>
          </w:p>
        </w:tc>
        <w:tc>
          <w:tcPr>
            <w:tcW w:w="1112" w:type="pct"/>
            <w:vAlign w:val="center"/>
          </w:tcPr>
          <w:p>
            <w:pPr>
              <w:spacing w:before="156" w:after="156" w:line="300" w:lineRule="auto"/>
              <w:ind w:left="-106" w:leftChars="-44" w:firstLine="0" w:firstLineChars="0"/>
              <w:jc w:val="center"/>
              <w:rPr>
                <w:rFonts w:ascii="宋体" w:hAnsi="宋体" w:cs="宋体"/>
                <w:sz w:val="21"/>
                <w:szCs w:val="21"/>
                <w:highlight w:val="none"/>
              </w:rPr>
            </w:pPr>
            <w:r>
              <w:rPr>
                <w:rFonts w:hint="eastAsia" w:ascii="宋体" w:hAnsi="宋体" w:cs="宋体"/>
                <w:sz w:val="21"/>
                <w:szCs w:val="21"/>
                <w:highlight w:val="none"/>
              </w:rPr>
              <w:t>评审的时间和地点</w:t>
            </w:r>
          </w:p>
        </w:tc>
        <w:tc>
          <w:tcPr>
            <w:tcW w:w="3334" w:type="pct"/>
            <w:vAlign w:val="center"/>
          </w:tcPr>
          <w:p>
            <w:pPr>
              <w:spacing w:before="156" w:after="156" w:line="300" w:lineRule="auto"/>
              <w:ind w:left="-31" w:leftChars="-13" w:firstLine="29" w:firstLineChars="14"/>
              <w:jc w:val="left"/>
              <w:rPr>
                <w:rFonts w:ascii="宋体" w:hAnsi="宋体" w:cs="宋体"/>
                <w:sz w:val="21"/>
                <w:szCs w:val="21"/>
                <w:highlight w:val="none"/>
                <w:u w:val="single"/>
              </w:rPr>
            </w:pPr>
            <w:r>
              <w:rPr>
                <w:rFonts w:hint="eastAsia" w:ascii="宋体" w:hAnsi="宋体" w:cs="宋体"/>
                <w:sz w:val="21"/>
                <w:szCs w:val="21"/>
                <w:highlight w:val="none"/>
              </w:rPr>
              <w:t>见第一章“</w:t>
            </w:r>
            <w:r>
              <w:rPr>
                <w:rFonts w:hint="eastAsia" w:ascii="宋体" w:hAnsi="宋体" w:cs="宋体"/>
                <w:sz w:val="21"/>
                <w:szCs w:val="21"/>
                <w:highlight w:val="none"/>
                <w:lang w:eastAsia="zh-CN"/>
              </w:rPr>
              <w:t>招标公告</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exact"/>
        </w:trPr>
        <w:tc>
          <w:tcPr>
            <w:tcW w:w="553" w:type="pct"/>
            <w:vAlign w:val="center"/>
          </w:tcPr>
          <w:p>
            <w:pPr>
              <w:spacing w:before="156" w:after="156" w:line="300" w:lineRule="auto"/>
              <w:ind w:firstLine="0" w:firstLineChars="0"/>
              <w:jc w:val="center"/>
              <w:rPr>
                <w:rFonts w:ascii="宋体" w:hAnsi="宋体" w:cs="宋体"/>
                <w:sz w:val="21"/>
                <w:szCs w:val="21"/>
                <w:highlight w:val="none"/>
              </w:rPr>
            </w:pPr>
            <w:r>
              <w:rPr>
                <w:rFonts w:hint="eastAsia" w:ascii="宋体" w:hAnsi="宋体" w:cs="宋体"/>
                <w:sz w:val="21"/>
                <w:szCs w:val="21"/>
                <w:highlight w:val="none"/>
              </w:rPr>
              <w:t>5.2</w:t>
            </w:r>
          </w:p>
        </w:tc>
        <w:tc>
          <w:tcPr>
            <w:tcW w:w="1112" w:type="pct"/>
            <w:vAlign w:val="center"/>
          </w:tcPr>
          <w:p>
            <w:pPr>
              <w:spacing w:before="156" w:after="156" w:line="300" w:lineRule="auto"/>
              <w:ind w:left="-106" w:leftChars="-44" w:firstLine="0" w:firstLineChars="0"/>
              <w:jc w:val="center"/>
              <w:rPr>
                <w:rFonts w:ascii="宋体" w:hAnsi="宋体" w:cs="宋体"/>
                <w:sz w:val="21"/>
                <w:szCs w:val="21"/>
                <w:highlight w:val="none"/>
              </w:rPr>
            </w:pPr>
            <w:r>
              <w:rPr>
                <w:rFonts w:hint="eastAsia" w:ascii="宋体" w:hAnsi="宋体" w:cs="宋体"/>
                <w:sz w:val="21"/>
                <w:szCs w:val="21"/>
                <w:highlight w:val="none"/>
              </w:rPr>
              <w:t>开启顺序</w:t>
            </w:r>
          </w:p>
        </w:tc>
        <w:tc>
          <w:tcPr>
            <w:tcW w:w="3334" w:type="pct"/>
            <w:vAlign w:val="center"/>
          </w:tcPr>
          <w:p>
            <w:pPr>
              <w:spacing w:before="156" w:after="156" w:line="300" w:lineRule="auto"/>
              <w:ind w:left="-31" w:leftChars="-13" w:firstLine="29" w:firstLineChars="14"/>
              <w:jc w:val="left"/>
              <w:rPr>
                <w:rFonts w:ascii="宋体" w:hAnsi="宋体" w:cs="宋体"/>
                <w:sz w:val="21"/>
                <w:szCs w:val="21"/>
                <w:highlight w:val="none"/>
                <w:u w:val="single"/>
              </w:rPr>
            </w:pPr>
            <w:r>
              <w:rPr>
                <w:rFonts w:ascii="宋体" w:hAnsi="宋体" w:cs="宋体"/>
                <w:sz w:val="21"/>
                <w:szCs w:val="21"/>
                <w:highlight w:val="none"/>
              </w:rPr>
              <w:t>按</w:t>
            </w:r>
            <w:r>
              <w:rPr>
                <w:rFonts w:hint="eastAsia" w:ascii="宋体" w:hAnsi="宋体" w:cs="宋体"/>
                <w:sz w:val="21"/>
                <w:szCs w:val="21"/>
                <w:highlight w:val="none"/>
                <w:lang w:eastAsia="zh-CN"/>
              </w:rPr>
              <w:t>投标人</w:t>
            </w:r>
            <w:r>
              <w:rPr>
                <w:rFonts w:hint="eastAsia" w:ascii="宋体" w:hAnsi="宋体" w:cs="宋体"/>
                <w:sz w:val="21"/>
                <w:szCs w:val="21"/>
                <w:highlight w:val="none"/>
                <w:lang w:val="en-US" w:eastAsia="zh-CN"/>
              </w:rPr>
              <w:t>签到</w:t>
            </w:r>
            <w:r>
              <w:rPr>
                <w:rFonts w:ascii="宋体" w:hAnsi="宋体" w:cs="宋体"/>
                <w:sz w:val="21"/>
                <w:szCs w:val="21"/>
                <w:highlight w:val="none"/>
              </w:rPr>
              <w:t>的先后顺序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exact"/>
        </w:trPr>
        <w:tc>
          <w:tcPr>
            <w:tcW w:w="553" w:type="pct"/>
            <w:vAlign w:val="center"/>
          </w:tcPr>
          <w:p>
            <w:pPr>
              <w:spacing w:before="156" w:after="156" w:line="300" w:lineRule="auto"/>
              <w:ind w:firstLine="0" w:firstLineChars="0"/>
              <w:jc w:val="center"/>
              <w:rPr>
                <w:rFonts w:ascii="宋体" w:hAnsi="宋体" w:cs="宋体"/>
                <w:sz w:val="21"/>
                <w:szCs w:val="21"/>
                <w:highlight w:val="none"/>
              </w:rPr>
            </w:pPr>
            <w:r>
              <w:rPr>
                <w:rFonts w:hint="eastAsia" w:ascii="宋体" w:hAnsi="宋体" w:cs="宋体"/>
                <w:sz w:val="21"/>
                <w:szCs w:val="21"/>
                <w:highlight w:val="none"/>
              </w:rPr>
              <w:t>6.1</w:t>
            </w:r>
          </w:p>
        </w:tc>
        <w:tc>
          <w:tcPr>
            <w:tcW w:w="1112" w:type="pct"/>
            <w:vAlign w:val="center"/>
          </w:tcPr>
          <w:p>
            <w:pPr>
              <w:spacing w:before="156" w:after="156" w:line="300" w:lineRule="auto"/>
              <w:ind w:left="-31" w:leftChars="-13" w:firstLine="29" w:firstLineChars="14"/>
              <w:jc w:val="center"/>
              <w:rPr>
                <w:rFonts w:ascii="宋体" w:hAnsi="宋体" w:cs="宋体"/>
                <w:sz w:val="21"/>
                <w:szCs w:val="21"/>
                <w:highlight w:val="none"/>
              </w:rPr>
            </w:pPr>
            <w:r>
              <w:rPr>
                <w:rFonts w:hint="eastAsia" w:ascii="宋体" w:hAnsi="宋体" w:cs="宋体"/>
                <w:sz w:val="21"/>
                <w:szCs w:val="21"/>
                <w:highlight w:val="none"/>
              </w:rPr>
              <w:t>评审小组的组建</w:t>
            </w:r>
          </w:p>
        </w:tc>
        <w:tc>
          <w:tcPr>
            <w:tcW w:w="3334" w:type="pct"/>
            <w:vAlign w:val="center"/>
          </w:tcPr>
          <w:p>
            <w:pPr>
              <w:spacing w:before="156" w:after="156" w:line="300" w:lineRule="auto"/>
              <w:ind w:left="-31" w:leftChars="-13" w:firstLine="29" w:firstLineChars="14"/>
              <w:jc w:val="left"/>
              <w:rPr>
                <w:rFonts w:ascii="宋体" w:hAnsi="宋体" w:cs="宋体"/>
                <w:sz w:val="21"/>
                <w:szCs w:val="21"/>
                <w:highlight w:val="none"/>
              </w:rPr>
            </w:pPr>
            <w:r>
              <w:rPr>
                <w:rFonts w:ascii="宋体" w:hAnsi="宋体" w:cs="宋体"/>
                <w:sz w:val="21"/>
                <w:szCs w:val="21"/>
                <w:highlight w:val="none"/>
                <w:u w:val="single"/>
              </w:rPr>
              <w:t>5</w:t>
            </w:r>
            <w:r>
              <w:rPr>
                <w:rFonts w:hint="eastAsia" w:ascii="宋体" w:hAnsi="宋体" w:cs="宋体"/>
                <w:sz w:val="21"/>
                <w:szCs w:val="21"/>
                <w:highlight w:val="none"/>
              </w:rPr>
              <w:t>人及以上单数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1" w:hRule="exact"/>
        </w:trPr>
        <w:tc>
          <w:tcPr>
            <w:tcW w:w="553" w:type="pct"/>
            <w:vAlign w:val="center"/>
          </w:tcPr>
          <w:p>
            <w:pPr>
              <w:spacing w:before="156" w:after="156" w:line="300" w:lineRule="auto"/>
              <w:ind w:firstLine="0" w:firstLineChars="0"/>
              <w:jc w:val="center"/>
              <w:rPr>
                <w:rFonts w:ascii="宋体" w:hAnsi="宋体" w:cs="宋体"/>
                <w:sz w:val="21"/>
                <w:szCs w:val="21"/>
                <w:highlight w:val="none"/>
              </w:rPr>
            </w:pPr>
            <w:r>
              <w:rPr>
                <w:rFonts w:hint="eastAsia" w:ascii="宋体" w:hAnsi="宋体" w:cs="宋体"/>
                <w:sz w:val="21"/>
                <w:szCs w:val="21"/>
                <w:highlight w:val="none"/>
              </w:rPr>
              <w:t>6.2.3</w:t>
            </w:r>
          </w:p>
        </w:tc>
        <w:tc>
          <w:tcPr>
            <w:tcW w:w="1112" w:type="pct"/>
            <w:vAlign w:val="center"/>
          </w:tcPr>
          <w:p>
            <w:pPr>
              <w:spacing w:before="156" w:after="156" w:line="300" w:lineRule="auto"/>
              <w:ind w:left="-106" w:leftChars="-44" w:firstLine="0" w:firstLineChars="0"/>
              <w:jc w:val="center"/>
              <w:rPr>
                <w:rFonts w:ascii="宋体" w:hAnsi="宋体" w:cs="宋体"/>
                <w:sz w:val="21"/>
                <w:szCs w:val="21"/>
                <w:highlight w:val="none"/>
              </w:rPr>
            </w:pPr>
            <w:r>
              <w:rPr>
                <w:rFonts w:hint="eastAsia" w:ascii="宋体" w:hAnsi="宋体" w:cs="宋体"/>
                <w:sz w:val="21"/>
                <w:szCs w:val="21"/>
                <w:highlight w:val="none"/>
              </w:rPr>
              <w:t>推荐</w:t>
            </w:r>
            <w:r>
              <w:rPr>
                <w:rFonts w:hint="eastAsia" w:ascii="宋体" w:hAnsi="宋体" w:cs="宋体"/>
                <w:sz w:val="21"/>
                <w:szCs w:val="21"/>
                <w:highlight w:val="none"/>
                <w:lang w:val="en-US" w:eastAsia="zh-CN"/>
              </w:rPr>
              <w:t>中标</w:t>
            </w:r>
            <w:r>
              <w:rPr>
                <w:rFonts w:hint="eastAsia" w:ascii="宋体" w:hAnsi="宋体" w:cs="宋体"/>
                <w:sz w:val="21"/>
                <w:szCs w:val="21"/>
                <w:highlight w:val="none"/>
              </w:rPr>
              <w:t>候选</w:t>
            </w:r>
            <w:r>
              <w:rPr>
                <w:rFonts w:hint="eastAsia" w:ascii="宋体" w:hAnsi="宋体" w:cs="宋体"/>
                <w:sz w:val="21"/>
                <w:szCs w:val="21"/>
                <w:highlight w:val="none"/>
                <w:lang w:val="en-US" w:eastAsia="zh-CN"/>
              </w:rPr>
              <w:t>人</w:t>
            </w:r>
            <w:r>
              <w:rPr>
                <w:rFonts w:hint="eastAsia" w:ascii="宋体" w:hAnsi="宋体" w:cs="宋体"/>
                <w:sz w:val="21"/>
                <w:szCs w:val="21"/>
                <w:highlight w:val="none"/>
              </w:rPr>
              <w:t>的排序及数量</w:t>
            </w:r>
          </w:p>
        </w:tc>
        <w:tc>
          <w:tcPr>
            <w:tcW w:w="3334" w:type="pct"/>
            <w:vAlign w:val="center"/>
          </w:tcPr>
          <w:p>
            <w:pPr>
              <w:ind w:firstLine="0" w:firstLineChars="0"/>
              <w:jc w:val="left"/>
              <w:rPr>
                <w:rFonts w:hint="eastAsia" w:ascii="宋体" w:hAnsi="宋体" w:eastAsia="宋体" w:cs="宋体"/>
                <w:sz w:val="21"/>
                <w:szCs w:val="21"/>
                <w:highlight w:val="none"/>
                <w:lang w:val="en-US" w:eastAsia="zh-CN"/>
              </w:rPr>
            </w:pPr>
            <w:r>
              <w:rPr>
                <w:rFonts w:hint="eastAsia" w:ascii="宋体" w:hAnsi="宋体" w:cs="宋体"/>
                <w:sz w:val="21"/>
                <w:szCs w:val="21"/>
                <w:highlight w:val="none"/>
              </w:rPr>
              <w:t>按照最终得分由高到低的顺序推荐</w:t>
            </w:r>
            <w:r>
              <w:rPr>
                <w:rFonts w:hint="eastAsia" w:ascii="宋体" w:hAnsi="宋体" w:cs="宋体"/>
                <w:sz w:val="21"/>
                <w:szCs w:val="21"/>
                <w:highlight w:val="none"/>
                <w:u w:val="single"/>
              </w:rPr>
              <w:t>1</w:t>
            </w:r>
            <w:r>
              <w:rPr>
                <w:rFonts w:hint="eastAsia" w:ascii="宋体" w:hAnsi="宋体" w:cs="宋体"/>
                <w:sz w:val="21"/>
                <w:szCs w:val="21"/>
                <w:highlight w:val="none"/>
              </w:rPr>
              <w:t>名</w:t>
            </w:r>
            <w:r>
              <w:rPr>
                <w:rFonts w:hint="eastAsia" w:ascii="宋体" w:hAnsi="宋体" w:cs="宋体"/>
                <w:sz w:val="21"/>
                <w:szCs w:val="21"/>
                <w:highlight w:val="none"/>
                <w:lang w:val="en-US" w:eastAsia="zh-CN"/>
              </w:rPr>
              <w:t>中标</w:t>
            </w:r>
            <w:r>
              <w:rPr>
                <w:rFonts w:hint="eastAsia" w:ascii="宋体" w:hAnsi="宋体" w:cs="宋体"/>
                <w:sz w:val="21"/>
                <w:szCs w:val="21"/>
                <w:highlight w:val="none"/>
              </w:rPr>
              <w:t>候选</w:t>
            </w:r>
            <w:r>
              <w:rPr>
                <w:rFonts w:hint="eastAsia" w:ascii="宋体" w:hAnsi="宋体" w:cs="宋体"/>
                <w:sz w:val="21"/>
                <w:szCs w:val="21"/>
                <w:highlight w:val="none"/>
                <w:lang w:val="en-US" w:eastAsia="zh-CN"/>
              </w:rPr>
              <w:t>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9" w:hRule="exact"/>
        </w:trPr>
        <w:tc>
          <w:tcPr>
            <w:tcW w:w="553" w:type="pct"/>
            <w:vAlign w:val="center"/>
          </w:tcPr>
          <w:p>
            <w:pPr>
              <w:spacing w:before="156" w:after="156" w:line="300" w:lineRule="auto"/>
              <w:ind w:firstLine="0" w:firstLineChars="0"/>
              <w:jc w:val="center"/>
              <w:rPr>
                <w:rFonts w:ascii="宋体" w:hAnsi="宋体" w:cs="宋体"/>
                <w:sz w:val="21"/>
                <w:szCs w:val="21"/>
                <w:highlight w:val="none"/>
              </w:rPr>
            </w:pPr>
            <w:r>
              <w:rPr>
                <w:rFonts w:hint="eastAsia" w:ascii="宋体" w:hAnsi="宋体" w:cs="宋体"/>
                <w:sz w:val="21"/>
                <w:szCs w:val="21"/>
                <w:highlight w:val="none"/>
              </w:rPr>
              <w:t>7.4</w:t>
            </w:r>
          </w:p>
        </w:tc>
        <w:tc>
          <w:tcPr>
            <w:tcW w:w="1112" w:type="pct"/>
            <w:vAlign w:val="center"/>
          </w:tcPr>
          <w:p>
            <w:pPr>
              <w:spacing w:before="156" w:after="156" w:line="300" w:lineRule="auto"/>
              <w:ind w:left="-106" w:leftChars="-44" w:firstLine="0" w:firstLineChars="0"/>
              <w:jc w:val="center"/>
              <w:rPr>
                <w:rFonts w:ascii="宋体" w:hAnsi="宋体" w:cs="宋体"/>
                <w:sz w:val="21"/>
                <w:szCs w:val="21"/>
                <w:highlight w:val="none"/>
              </w:rPr>
            </w:pPr>
            <w:r>
              <w:rPr>
                <w:rFonts w:hint="eastAsia" w:ascii="宋体" w:hAnsi="宋体" w:cs="宋体"/>
                <w:sz w:val="21"/>
                <w:szCs w:val="21"/>
                <w:highlight w:val="none"/>
              </w:rPr>
              <w:t>履约保证金</w:t>
            </w:r>
          </w:p>
        </w:tc>
        <w:tc>
          <w:tcPr>
            <w:tcW w:w="3334" w:type="pct"/>
            <w:vAlign w:val="center"/>
          </w:tcPr>
          <w:p>
            <w:pPr>
              <w:ind w:firstLine="0" w:firstLineChars="0"/>
              <w:jc w:val="left"/>
              <w:rPr>
                <w:rFonts w:hint="default"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合同总价的5%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exact"/>
        </w:trPr>
        <w:tc>
          <w:tcPr>
            <w:tcW w:w="553" w:type="pct"/>
            <w:vAlign w:val="center"/>
          </w:tcPr>
          <w:p>
            <w:pPr>
              <w:spacing w:before="156" w:after="156" w:line="300" w:lineRule="auto"/>
              <w:ind w:firstLine="0" w:firstLineChars="0"/>
              <w:jc w:val="center"/>
              <w:rPr>
                <w:rFonts w:ascii="宋体" w:hAnsi="宋体" w:cs="宋体"/>
                <w:sz w:val="21"/>
                <w:szCs w:val="21"/>
                <w:highlight w:val="none"/>
              </w:rPr>
            </w:pPr>
            <w:r>
              <w:rPr>
                <w:rFonts w:hint="eastAsia" w:ascii="宋体" w:hAnsi="宋体" w:cs="宋体"/>
                <w:sz w:val="21"/>
                <w:szCs w:val="21"/>
                <w:highlight w:val="none"/>
              </w:rPr>
              <w:t>8.1</w:t>
            </w:r>
          </w:p>
        </w:tc>
        <w:tc>
          <w:tcPr>
            <w:tcW w:w="1112" w:type="pct"/>
            <w:vAlign w:val="center"/>
          </w:tcPr>
          <w:p>
            <w:pPr>
              <w:spacing w:before="156" w:after="156" w:line="300" w:lineRule="auto"/>
              <w:ind w:left="-106" w:leftChars="-44" w:firstLine="0" w:firstLineChars="0"/>
              <w:jc w:val="center"/>
              <w:rPr>
                <w:rFonts w:ascii="宋体" w:hAnsi="宋体" w:cs="宋体"/>
                <w:sz w:val="21"/>
                <w:szCs w:val="21"/>
                <w:highlight w:val="none"/>
              </w:rPr>
            </w:pPr>
            <w:r>
              <w:rPr>
                <w:rFonts w:hint="eastAsia" w:ascii="宋体" w:hAnsi="宋体" w:cs="宋体"/>
                <w:sz w:val="21"/>
                <w:szCs w:val="21"/>
                <w:highlight w:val="none"/>
              </w:rPr>
              <w:t>监督部门</w:t>
            </w:r>
          </w:p>
        </w:tc>
        <w:tc>
          <w:tcPr>
            <w:tcW w:w="3334" w:type="pct"/>
            <w:vAlign w:val="center"/>
          </w:tcPr>
          <w:p>
            <w:pPr>
              <w:ind w:firstLine="0" w:firstLineChars="0"/>
              <w:jc w:val="left"/>
              <w:rPr>
                <w:rFonts w:ascii="宋体" w:hAnsi="宋体" w:cs="宋体"/>
                <w:sz w:val="21"/>
                <w:szCs w:val="21"/>
                <w:highlight w:val="none"/>
              </w:rPr>
            </w:pPr>
            <w:r>
              <w:rPr>
                <w:rFonts w:hint="eastAsia" w:ascii="宋体" w:hAnsi="宋体" w:cs="宋体"/>
                <w:sz w:val="21"/>
                <w:szCs w:val="21"/>
                <w:highlight w:val="none"/>
              </w:rPr>
              <w:t>见第一章“</w:t>
            </w:r>
            <w:r>
              <w:rPr>
                <w:rFonts w:hint="eastAsia" w:ascii="宋体" w:hAnsi="宋体" w:cs="宋体"/>
                <w:sz w:val="21"/>
                <w:szCs w:val="21"/>
                <w:highlight w:val="none"/>
                <w:lang w:eastAsia="zh-CN"/>
              </w:rPr>
              <w:t>招标公告</w:t>
            </w:r>
            <w:r>
              <w:rPr>
                <w:rFonts w:hint="eastAsia" w:ascii="宋体" w:hAnsi="宋体" w:cs="宋体"/>
                <w:sz w:val="21"/>
                <w:szCs w:val="21"/>
                <w:highlight w:val="none"/>
              </w:rPr>
              <w:t>”</w:t>
            </w:r>
          </w:p>
        </w:tc>
      </w:tr>
    </w:tbl>
    <w:p>
      <w:pPr>
        <w:ind w:firstLine="480"/>
        <w:rPr>
          <w:highlight w:val="none"/>
        </w:rPr>
      </w:pPr>
    </w:p>
    <w:p>
      <w:pPr>
        <w:widowControl/>
        <w:spacing w:line="240" w:lineRule="auto"/>
        <w:ind w:firstLine="0" w:firstLineChars="0"/>
        <w:jc w:val="left"/>
        <w:rPr>
          <w:highlight w:val="none"/>
        </w:rPr>
      </w:pPr>
      <w:r>
        <w:rPr>
          <w:highlight w:val="none"/>
        </w:rPr>
        <w:br w:type="page"/>
      </w:r>
    </w:p>
    <w:p>
      <w:pPr>
        <w:pStyle w:val="4"/>
        <w:ind w:firstLine="482"/>
        <w:jc w:val="left"/>
        <w:rPr>
          <w:highlight w:val="none"/>
        </w:rPr>
      </w:pPr>
      <w:r>
        <w:rPr>
          <w:rFonts w:hint="eastAsia"/>
          <w:highlight w:val="none"/>
        </w:rPr>
        <w:t>1</w:t>
      </w:r>
      <w:r>
        <w:rPr>
          <w:highlight w:val="none"/>
        </w:rPr>
        <w:t xml:space="preserve"> </w:t>
      </w:r>
      <w:r>
        <w:rPr>
          <w:rFonts w:hint="eastAsia"/>
          <w:highlight w:val="none"/>
        </w:rPr>
        <w:t>总则</w:t>
      </w:r>
    </w:p>
    <w:p>
      <w:pPr>
        <w:pStyle w:val="5"/>
        <w:ind w:firstLine="482"/>
        <w:rPr>
          <w:highlight w:val="none"/>
        </w:rPr>
      </w:pPr>
      <w:r>
        <w:rPr>
          <w:rFonts w:hint="eastAsia"/>
          <w:highlight w:val="none"/>
        </w:rPr>
        <w:t>1.1采购方式</w:t>
      </w:r>
    </w:p>
    <w:p>
      <w:pPr>
        <w:ind w:firstLine="480"/>
        <w:rPr>
          <w:highlight w:val="none"/>
        </w:rPr>
      </w:pPr>
      <w:r>
        <w:rPr>
          <w:rFonts w:hint="eastAsia"/>
          <w:highlight w:val="none"/>
        </w:rPr>
        <w:t>本项目已具备条件，现对本项目采用</w:t>
      </w:r>
      <w:r>
        <w:rPr>
          <w:rFonts w:hint="eastAsia"/>
          <w:highlight w:val="none"/>
          <w:lang w:eastAsia="zh-CN"/>
        </w:rPr>
        <w:t>公开招标</w:t>
      </w:r>
      <w:r>
        <w:rPr>
          <w:rFonts w:hint="eastAsia"/>
          <w:highlight w:val="none"/>
        </w:rPr>
        <w:t>方式进行采购。</w:t>
      </w:r>
    </w:p>
    <w:p>
      <w:pPr>
        <w:pStyle w:val="5"/>
        <w:ind w:firstLine="482"/>
        <w:rPr>
          <w:highlight w:val="none"/>
        </w:rPr>
      </w:pPr>
      <w:r>
        <w:rPr>
          <w:rFonts w:hint="eastAsia"/>
          <w:highlight w:val="none"/>
        </w:rPr>
        <w:t>1.</w:t>
      </w:r>
      <w:r>
        <w:rPr>
          <w:highlight w:val="none"/>
        </w:rPr>
        <w:t>2</w:t>
      </w:r>
      <w:r>
        <w:rPr>
          <w:rFonts w:hint="eastAsia"/>
          <w:highlight w:val="none"/>
        </w:rPr>
        <w:t>项目概况</w:t>
      </w:r>
      <w:r>
        <w:rPr>
          <w:rFonts w:hint="eastAsia"/>
          <w:highlight w:val="none"/>
          <w:lang w:eastAsia="zh-CN"/>
        </w:rPr>
        <w:t>招标范围</w:t>
      </w:r>
      <w:r>
        <w:rPr>
          <w:rFonts w:hint="eastAsia"/>
          <w:highlight w:val="none"/>
        </w:rPr>
        <w:t>及相关要求</w:t>
      </w:r>
    </w:p>
    <w:p>
      <w:pPr>
        <w:ind w:firstLine="480"/>
        <w:rPr>
          <w:highlight w:val="none"/>
        </w:rPr>
      </w:pPr>
      <w:r>
        <w:rPr>
          <w:rFonts w:hint="eastAsia"/>
          <w:highlight w:val="none"/>
        </w:rPr>
        <w:t>见第一章“</w:t>
      </w:r>
      <w:r>
        <w:rPr>
          <w:rFonts w:hint="eastAsia"/>
          <w:highlight w:val="none"/>
          <w:lang w:eastAsia="zh-CN"/>
        </w:rPr>
        <w:t>招标公告</w:t>
      </w:r>
      <w:r>
        <w:rPr>
          <w:rFonts w:hint="eastAsia"/>
          <w:highlight w:val="none"/>
        </w:rPr>
        <w:t>”</w:t>
      </w:r>
    </w:p>
    <w:p>
      <w:pPr>
        <w:pStyle w:val="5"/>
        <w:ind w:firstLine="482"/>
        <w:rPr>
          <w:highlight w:val="none"/>
        </w:rPr>
      </w:pPr>
      <w:r>
        <w:rPr>
          <w:rFonts w:hint="eastAsia"/>
          <w:highlight w:val="none"/>
        </w:rPr>
        <w:t>1.3</w:t>
      </w:r>
      <w:r>
        <w:rPr>
          <w:rFonts w:hint="eastAsia"/>
          <w:highlight w:val="none"/>
          <w:lang w:eastAsia="zh-CN"/>
        </w:rPr>
        <w:t>投标人</w:t>
      </w:r>
      <w:r>
        <w:rPr>
          <w:rFonts w:hint="eastAsia"/>
          <w:highlight w:val="none"/>
        </w:rPr>
        <w:t>资格要求</w:t>
      </w:r>
    </w:p>
    <w:p>
      <w:pPr>
        <w:ind w:firstLine="480"/>
        <w:rPr>
          <w:highlight w:val="none"/>
        </w:rPr>
      </w:pPr>
      <w:r>
        <w:rPr>
          <w:rFonts w:hint="eastAsia"/>
          <w:highlight w:val="none"/>
        </w:rPr>
        <w:t>见第一章“</w:t>
      </w:r>
      <w:r>
        <w:rPr>
          <w:rFonts w:hint="eastAsia"/>
          <w:highlight w:val="none"/>
          <w:lang w:eastAsia="zh-CN"/>
        </w:rPr>
        <w:t>招标公告</w:t>
      </w:r>
      <w:r>
        <w:rPr>
          <w:rFonts w:hint="eastAsia"/>
          <w:highlight w:val="none"/>
        </w:rPr>
        <w:t>”。</w:t>
      </w:r>
    </w:p>
    <w:p>
      <w:pPr>
        <w:pStyle w:val="5"/>
        <w:ind w:firstLine="482"/>
        <w:rPr>
          <w:highlight w:val="none"/>
        </w:rPr>
      </w:pPr>
      <w:r>
        <w:rPr>
          <w:rFonts w:hint="eastAsia"/>
          <w:highlight w:val="none"/>
        </w:rPr>
        <w:t>1.4费用承担</w:t>
      </w:r>
    </w:p>
    <w:p>
      <w:pPr>
        <w:ind w:firstLine="480"/>
        <w:rPr>
          <w:highlight w:val="none"/>
        </w:rPr>
      </w:pPr>
      <w:r>
        <w:rPr>
          <w:rFonts w:hint="eastAsia"/>
          <w:highlight w:val="none"/>
          <w:lang w:eastAsia="zh-CN"/>
        </w:rPr>
        <w:t>投标人</w:t>
      </w:r>
      <w:r>
        <w:rPr>
          <w:rFonts w:hint="eastAsia"/>
          <w:highlight w:val="none"/>
        </w:rPr>
        <w:t>准备和参加采购活动发生的费用自理。</w:t>
      </w:r>
    </w:p>
    <w:p>
      <w:pPr>
        <w:pStyle w:val="5"/>
        <w:ind w:firstLine="482"/>
        <w:rPr>
          <w:highlight w:val="none"/>
        </w:rPr>
      </w:pPr>
      <w:r>
        <w:rPr>
          <w:rFonts w:hint="eastAsia"/>
          <w:highlight w:val="none"/>
        </w:rPr>
        <w:t>1.5 保密</w:t>
      </w:r>
    </w:p>
    <w:p>
      <w:pPr>
        <w:ind w:firstLine="480"/>
        <w:rPr>
          <w:highlight w:val="none"/>
        </w:rPr>
      </w:pPr>
      <w:r>
        <w:rPr>
          <w:rFonts w:hint="eastAsia"/>
          <w:highlight w:val="none"/>
          <w:lang w:eastAsia="zh-CN"/>
        </w:rPr>
        <w:t>投标人</w:t>
      </w:r>
      <w:r>
        <w:rPr>
          <w:rFonts w:hint="eastAsia"/>
          <w:highlight w:val="none"/>
        </w:rPr>
        <w:t>应对</w:t>
      </w:r>
      <w:r>
        <w:rPr>
          <w:rFonts w:hint="eastAsia"/>
          <w:highlight w:val="none"/>
          <w:lang w:eastAsia="zh-CN"/>
        </w:rPr>
        <w:t>招标文件</w:t>
      </w:r>
      <w:r>
        <w:rPr>
          <w:rFonts w:hint="eastAsia"/>
          <w:highlight w:val="none"/>
        </w:rPr>
        <w:t>及采购活动中获知的</w:t>
      </w:r>
      <w:r>
        <w:rPr>
          <w:rFonts w:hint="eastAsia"/>
          <w:highlight w:val="none"/>
          <w:lang w:eastAsia="zh-CN"/>
        </w:rPr>
        <w:t>招标人</w:t>
      </w:r>
      <w:r>
        <w:rPr>
          <w:rFonts w:hint="eastAsia"/>
          <w:highlight w:val="none"/>
        </w:rPr>
        <w:t>商业和技术等未公开信息保密，违者应对由此造成的后果承担法律责任。</w:t>
      </w:r>
    </w:p>
    <w:p>
      <w:pPr>
        <w:pStyle w:val="5"/>
        <w:ind w:firstLine="482"/>
        <w:rPr>
          <w:highlight w:val="none"/>
        </w:rPr>
      </w:pPr>
      <w:r>
        <w:rPr>
          <w:rFonts w:hint="eastAsia"/>
          <w:highlight w:val="none"/>
        </w:rPr>
        <w:t>1.6 语言文字</w:t>
      </w:r>
    </w:p>
    <w:p>
      <w:pPr>
        <w:ind w:firstLine="480"/>
        <w:rPr>
          <w:highlight w:val="none"/>
        </w:rPr>
      </w:pPr>
      <w:r>
        <w:rPr>
          <w:rFonts w:hint="eastAsia"/>
          <w:highlight w:val="none"/>
        </w:rPr>
        <w:t>除专用术语外，语言均使用中文（必要时专用术语应附有中文注释）。</w:t>
      </w:r>
    </w:p>
    <w:p>
      <w:pPr>
        <w:pStyle w:val="5"/>
        <w:ind w:firstLine="482"/>
        <w:rPr>
          <w:highlight w:val="none"/>
        </w:rPr>
      </w:pPr>
      <w:r>
        <w:rPr>
          <w:rFonts w:hint="eastAsia"/>
          <w:highlight w:val="none"/>
        </w:rPr>
        <w:t>1.7 计量单位</w:t>
      </w:r>
    </w:p>
    <w:p>
      <w:pPr>
        <w:ind w:firstLine="480"/>
        <w:rPr>
          <w:highlight w:val="none"/>
        </w:rPr>
      </w:pPr>
      <w:r>
        <w:rPr>
          <w:rFonts w:hint="eastAsia"/>
          <w:highlight w:val="none"/>
        </w:rPr>
        <w:t>所有计量均采用中华人民共和国法定计量单位（</w:t>
      </w:r>
      <w:r>
        <w:rPr>
          <w:rFonts w:hint="eastAsia"/>
          <w:highlight w:val="none"/>
          <w:lang w:eastAsia="zh-CN"/>
        </w:rPr>
        <w:t>招标文件</w:t>
      </w:r>
      <w:r>
        <w:rPr>
          <w:rFonts w:hint="eastAsia"/>
          <w:highlight w:val="none"/>
        </w:rPr>
        <w:t>另有要求的，按照</w:t>
      </w:r>
      <w:r>
        <w:rPr>
          <w:rFonts w:hint="eastAsia"/>
          <w:highlight w:val="none"/>
          <w:lang w:eastAsia="zh-CN"/>
        </w:rPr>
        <w:t>招标文件</w:t>
      </w:r>
      <w:r>
        <w:rPr>
          <w:rFonts w:hint="eastAsia"/>
          <w:highlight w:val="none"/>
        </w:rPr>
        <w:t>要求执行）。</w:t>
      </w:r>
    </w:p>
    <w:p>
      <w:pPr>
        <w:pStyle w:val="5"/>
        <w:ind w:firstLine="482"/>
        <w:rPr>
          <w:highlight w:val="none"/>
        </w:rPr>
      </w:pPr>
      <w:r>
        <w:rPr>
          <w:rFonts w:hint="eastAsia"/>
          <w:highlight w:val="none"/>
        </w:rPr>
        <w:t>1.8 踏勘现场</w:t>
      </w:r>
    </w:p>
    <w:p>
      <w:pPr>
        <w:ind w:firstLine="480"/>
        <w:rPr>
          <w:highlight w:val="none"/>
        </w:rPr>
      </w:pPr>
      <w:r>
        <w:rPr>
          <w:rFonts w:hint="eastAsia"/>
          <w:highlight w:val="none"/>
        </w:rPr>
        <w:t>1.8.1</w:t>
      </w:r>
      <w:r>
        <w:rPr>
          <w:rFonts w:hint="eastAsia"/>
          <w:highlight w:val="none"/>
          <w:lang w:eastAsia="zh-CN"/>
        </w:rPr>
        <w:t>招标人</w:t>
      </w:r>
      <w:r>
        <w:rPr>
          <w:rFonts w:hint="eastAsia"/>
          <w:highlight w:val="none"/>
        </w:rPr>
        <w:t>不组织踏勘现场，</w:t>
      </w:r>
      <w:r>
        <w:rPr>
          <w:rFonts w:hint="eastAsia"/>
          <w:highlight w:val="none"/>
          <w:lang w:eastAsia="zh-CN"/>
        </w:rPr>
        <w:t>投标人</w:t>
      </w:r>
      <w:r>
        <w:rPr>
          <w:rFonts w:hint="eastAsia"/>
          <w:highlight w:val="none"/>
        </w:rPr>
        <w:t>自行踏勘现场。</w:t>
      </w:r>
    </w:p>
    <w:p>
      <w:pPr>
        <w:ind w:firstLine="480"/>
        <w:rPr>
          <w:highlight w:val="none"/>
        </w:rPr>
      </w:pPr>
      <w:r>
        <w:rPr>
          <w:rFonts w:hint="eastAsia"/>
          <w:highlight w:val="none"/>
        </w:rPr>
        <w:t>1.8.2</w:t>
      </w:r>
      <w:r>
        <w:rPr>
          <w:rFonts w:hint="eastAsia"/>
          <w:highlight w:val="none"/>
          <w:lang w:eastAsia="zh-CN"/>
        </w:rPr>
        <w:t>投标人</w:t>
      </w:r>
      <w:r>
        <w:rPr>
          <w:rFonts w:hint="eastAsia"/>
          <w:highlight w:val="none"/>
        </w:rPr>
        <w:t>踏勘现场发生的费用自理。</w:t>
      </w:r>
    </w:p>
    <w:p>
      <w:pPr>
        <w:ind w:firstLine="480"/>
        <w:rPr>
          <w:highlight w:val="none"/>
        </w:rPr>
      </w:pPr>
      <w:r>
        <w:rPr>
          <w:rFonts w:hint="eastAsia"/>
          <w:highlight w:val="none"/>
        </w:rPr>
        <w:t>1.8.</w:t>
      </w:r>
      <w:r>
        <w:rPr>
          <w:highlight w:val="none"/>
        </w:rPr>
        <w:t>3</w:t>
      </w:r>
      <w:r>
        <w:rPr>
          <w:rFonts w:hint="eastAsia"/>
          <w:highlight w:val="none"/>
          <w:lang w:eastAsia="zh-CN"/>
        </w:rPr>
        <w:t>投标人</w:t>
      </w:r>
      <w:r>
        <w:rPr>
          <w:rFonts w:hint="eastAsia"/>
          <w:highlight w:val="none"/>
        </w:rPr>
        <w:t>自行负责在踏勘现场中所发生的人员伤亡和财产损失等全部责任。</w:t>
      </w:r>
    </w:p>
    <w:p>
      <w:pPr>
        <w:pStyle w:val="5"/>
        <w:ind w:firstLine="482"/>
        <w:rPr>
          <w:highlight w:val="none"/>
        </w:rPr>
      </w:pPr>
      <w:r>
        <w:rPr>
          <w:rFonts w:hint="eastAsia"/>
          <w:highlight w:val="none"/>
        </w:rPr>
        <w:t>1.9 分包</w:t>
      </w:r>
    </w:p>
    <w:p>
      <w:pPr>
        <w:ind w:firstLine="480"/>
        <w:rPr>
          <w:highlight w:val="none"/>
        </w:rPr>
      </w:pPr>
      <w:r>
        <w:rPr>
          <w:rFonts w:hint="eastAsia"/>
          <w:highlight w:val="none"/>
        </w:rPr>
        <w:t>不允许</w:t>
      </w:r>
      <w:r>
        <w:rPr>
          <w:rFonts w:hint="eastAsia"/>
          <w:highlight w:val="none"/>
          <w:lang w:eastAsia="zh-CN"/>
        </w:rPr>
        <w:t>投标人</w:t>
      </w:r>
      <w:r>
        <w:rPr>
          <w:rFonts w:hint="eastAsia"/>
          <w:highlight w:val="none"/>
        </w:rPr>
        <w:t>在成交后将本项目的任何部分工作进行分包。</w:t>
      </w:r>
    </w:p>
    <w:p>
      <w:pPr>
        <w:pStyle w:val="4"/>
        <w:ind w:firstLine="482"/>
        <w:jc w:val="left"/>
        <w:rPr>
          <w:rFonts w:hint="eastAsia" w:eastAsia="宋体"/>
          <w:highlight w:val="none"/>
          <w:lang w:eastAsia="zh-CN"/>
        </w:rPr>
      </w:pPr>
      <w:r>
        <w:rPr>
          <w:rFonts w:hint="eastAsia"/>
          <w:highlight w:val="none"/>
        </w:rPr>
        <w:t>2</w:t>
      </w:r>
      <w:r>
        <w:rPr>
          <w:highlight w:val="none"/>
        </w:rPr>
        <w:t xml:space="preserve"> </w:t>
      </w:r>
      <w:r>
        <w:rPr>
          <w:rFonts w:hint="eastAsia"/>
          <w:highlight w:val="none"/>
          <w:lang w:eastAsia="zh-CN"/>
        </w:rPr>
        <w:t>招标文件</w:t>
      </w:r>
    </w:p>
    <w:p>
      <w:pPr>
        <w:pStyle w:val="5"/>
        <w:ind w:firstLine="482"/>
        <w:rPr>
          <w:highlight w:val="none"/>
        </w:rPr>
      </w:pPr>
      <w:r>
        <w:rPr>
          <w:rFonts w:hint="eastAsia"/>
          <w:highlight w:val="none"/>
        </w:rPr>
        <w:t>2.1</w:t>
      </w:r>
      <w:r>
        <w:rPr>
          <w:rFonts w:hint="eastAsia"/>
          <w:highlight w:val="none"/>
          <w:lang w:eastAsia="zh-CN"/>
        </w:rPr>
        <w:t>招标文件</w:t>
      </w:r>
      <w:r>
        <w:rPr>
          <w:rFonts w:hint="eastAsia"/>
          <w:highlight w:val="none"/>
        </w:rPr>
        <w:t>组成</w:t>
      </w:r>
    </w:p>
    <w:p>
      <w:pPr>
        <w:ind w:firstLine="480"/>
        <w:rPr>
          <w:highlight w:val="none"/>
        </w:rPr>
      </w:pPr>
      <w:r>
        <w:rPr>
          <w:rFonts w:hint="eastAsia"/>
          <w:highlight w:val="none"/>
        </w:rPr>
        <w:t>本</w:t>
      </w:r>
      <w:r>
        <w:rPr>
          <w:rFonts w:hint="eastAsia"/>
          <w:highlight w:val="none"/>
          <w:lang w:eastAsia="zh-CN"/>
        </w:rPr>
        <w:t>招标文件</w:t>
      </w:r>
      <w:r>
        <w:rPr>
          <w:rFonts w:hint="eastAsia"/>
          <w:highlight w:val="none"/>
        </w:rPr>
        <w:t>共六章，内容如下：</w:t>
      </w:r>
    </w:p>
    <w:p>
      <w:pPr>
        <w:ind w:firstLine="480"/>
        <w:rPr>
          <w:rFonts w:hint="eastAsia" w:eastAsia="宋体"/>
          <w:highlight w:val="none"/>
          <w:lang w:eastAsia="zh-CN"/>
        </w:rPr>
      </w:pPr>
      <w:r>
        <w:rPr>
          <w:rFonts w:hint="eastAsia"/>
          <w:highlight w:val="none"/>
        </w:rPr>
        <w:t xml:space="preserve">第一章 </w:t>
      </w:r>
      <w:r>
        <w:rPr>
          <w:rFonts w:hint="eastAsia"/>
          <w:highlight w:val="none"/>
          <w:lang w:eastAsia="zh-CN"/>
        </w:rPr>
        <w:t>招标公告</w:t>
      </w:r>
    </w:p>
    <w:p>
      <w:pPr>
        <w:ind w:firstLine="480"/>
        <w:rPr>
          <w:highlight w:val="none"/>
        </w:rPr>
      </w:pPr>
      <w:r>
        <w:rPr>
          <w:rFonts w:hint="eastAsia"/>
          <w:highlight w:val="none"/>
        </w:rPr>
        <w:t xml:space="preserve">第二章 </w:t>
      </w:r>
      <w:r>
        <w:rPr>
          <w:rFonts w:hint="eastAsia"/>
          <w:highlight w:val="none"/>
          <w:lang w:eastAsia="zh-CN"/>
        </w:rPr>
        <w:t>投标人</w:t>
      </w:r>
      <w:r>
        <w:rPr>
          <w:rFonts w:hint="eastAsia"/>
          <w:highlight w:val="none"/>
        </w:rPr>
        <w:t>须知</w:t>
      </w:r>
    </w:p>
    <w:p>
      <w:pPr>
        <w:ind w:firstLine="480"/>
        <w:rPr>
          <w:highlight w:val="none"/>
        </w:rPr>
      </w:pPr>
      <w:r>
        <w:rPr>
          <w:rFonts w:hint="eastAsia"/>
          <w:highlight w:val="none"/>
        </w:rPr>
        <w:t>第三章 评审方法</w:t>
      </w:r>
    </w:p>
    <w:p>
      <w:pPr>
        <w:ind w:firstLine="480"/>
        <w:rPr>
          <w:highlight w:val="none"/>
        </w:rPr>
      </w:pPr>
      <w:r>
        <w:rPr>
          <w:rFonts w:hint="eastAsia"/>
          <w:highlight w:val="none"/>
        </w:rPr>
        <w:t>第四章 合同条款及格式</w:t>
      </w:r>
    </w:p>
    <w:p>
      <w:pPr>
        <w:ind w:firstLine="480"/>
        <w:rPr>
          <w:highlight w:val="none"/>
        </w:rPr>
      </w:pPr>
      <w:r>
        <w:rPr>
          <w:rFonts w:hint="eastAsia"/>
          <w:highlight w:val="none"/>
        </w:rPr>
        <w:t>第五章 采购需求</w:t>
      </w:r>
    </w:p>
    <w:p>
      <w:pPr>
        <w:ind w:firstLine="480"/>
        <w:rPr>
          <w:highlight w:val="none"/>
        </w:rPr>
      </w:pPr>
      <w:r>
        <w:rPr>
          <w:rFonts w:hint="eastAsia"/>
          <w:highlight w:val="none"/>
        </w:rPr>
        <w:t>第六章</w:t>
      </w:r>
      <w:r>
        <w:rPr>
          <w:highlight w:val="none"/>
        </w:rPr>
        <w:t xml:space="preserve"> </w:t>
      </w:r>
      <w:r>
        <w:rPr>
          <w:rFonts w:hint="eastAsia"/>
          <w:highlight w:val="none"/>
          <w:lang w:eastAsia="zh-CN"/>
        </w:rPr>
        <w:t>投标文件</w:t>
      </w:r>
      <w:r>
        <w:rPr>
          <w:rFonts w:hint="eastAsia"/>
          <w:highlight w:val="none"/>
        </w:rPr>
        <w:t>格式</w:t>
      </w:r>
    </w:p>
    <w:p>
      <w:pPr>
        <w:ind w:firstLine="480"/>
        <w:rPr>
          <w:highlight w:val="none"/>
        </w:rPr>
      </w:pPr>
      <w:r>
        <w:rPr>
          <w:rFonts w:hint="eastAsia"/>
          <w:highlight w:val="none"/>
          <w:lang w:eastAsia="zh-CN"/>
        </w:rPr>
        <w:t>招标人</w:t>
      </w:r>
      <w:r>
        <w:rPr>
          <w:rFonts w:hint="eastAsia"/>
          <w:highlight w:val="none"/>
        </w:rPr>
        <w:t>根据本章规定对</w:t>
      </w:r>
      <w:r>
        <w:rPr>
          <w:rFonts w:hint="eastAsia"/>
          <w:highlight w:val="none"/>
          <w:lang w:eastAsia="zh-CN"/>
        </w:rPr>
        <w:t>招标文件</w:t>
      </w:r>
      <w:r>
        <w:rPr>
          <w:rFonts w:hint="eastAsia"/>
          <w:highlight w:val="none"/>
        </w:rPr>
        <w:t>所作的澄清、修改，构成</w:t>
      </w:r>
      <w:r>
        <w:rPr>
          <w:rFonts w:hint="eastAsia"/>
          <w:highlight w:val="none"/>
          <w:lang w:eastAsia="zh-CN"/>
        </w:rPr>
        <w:t>招标文件</w:t>
      </w:r>
      <w:r>
        <w:rPr>
          <w:rFonts w:hint="eastAsia"/>
          <w:highlight w:val="none"/>
        </w:rPr>
        <w:t>的组成部分。</w:t>
      </w:r>
    </w:p>
    <w:p>
      <w:pPr>
        <w:pStyle w:val="5"/>
        <w:ind w:firstLine="482"/>
        <w:rPr>
          <w:highlight w:val="none"/>
        </w:rPr>
      </w:pPr>
      <w:r>
        <w:rPr>
          <w:rFonts w:hint="eastAsia"/>
          <w:highlight w:val="none"/>
        </w:rPr>
        <w:t xml:space="preserve">2.2 </w:t>
      </w:r>
      <w:r>
        <w:rPr>
          <w:rFonts w:hint="eastAsia"/>
          <w:highlight w:val="none"/>
          <w:lang w:eastAsia="zh-CN"/>
        </w:rPr>
        <w:t>招标文件</w:t>
      </w:r>
      <w:r>
        <w:rPr>
          <w:rFonts w:hint="eastAsia"/>
          <w:highlight w:val="none"/>
        </w:rPr>
        <w:t>的澄清</w:t>
      </w:r>
    </w:p>
    <w:p>
      <w:pPr>
        <w:ind w:firstLine="480"/>
        <w:rPr>
          <w:highlight w:val="none"/>
        </w:rPr>
      </w:pPr>
      <w:r>
        <w:rPr>
          <w:rFonts w:hint="eastAsia"/>
          <w:highlight w:val="none"/>
        </w:rPr>
        <w:t>2.2.1</w:t>
      </w:r>
      <w:r>
        <w:rPr>
          <w:rFonts w:hint="eastAsia"/>
          <w:highlight w:val="none"/>
          <w:lang w:eastAsia="zh-CN"/>
        </w:rPr>
        <w:t>投标人</w:t>
      </w:r>
      <w:r>
        <w:rPr>
          <w:rFonts w:hint="eastAsia"/>
          <w:highlight w:val="none"/>
        </w:rPr>
        <w:t>应仔细阅读和检查</w:t>
      </w:r>
      <w:r>
        <w:rPr>
          <w:rFonts w:hint="eastAsia"/>
          <w:highlight w:val="none"/>
          <w:lang w:eastAsia="zh-CN"/>
        </w:rPr>
        <w:t>招标文件</w:t>
      </w:r>
      <w:r>
        <w:rPr>
          <w:rFonts w:hint="eastAsia"/>
          <w:highlight w:val="none"/>
        </w:rPr>
        <w:t>的全部内容。如发现缺页或附件不全，应及时向</w:t>
      </w:r>
      <w:r>
        <w:rPr>
          <w:rFonts w:hint="eastAsia"/>
          <w:highlight w:val="none"/>
          <w:lang w:eastAsia="zh-CN"/>
        </w:rPr>
        <w:t>招标人</w:t>
      </w:r>
      <w:r>
        <w:rPr>
          <w:rFonts w:hint="eastAsia"/>
          <w:highlight w:val="none"/>
        </w:rPr>
        <w:t>提出，以便补齐。如有疑问，应在</w:t>
      </w:r>
      <w:r>
        <w:rPr>
          <w:rFonts w:hint="eastAsia"/>
          <w:highlight w:val="none"/>
          <w:lang w:eastAsia="zh-CN"/>
        </w:rPr>
        <w:t>投标人</w:t>
      </w:r>
      <w:r>
        <w:rPr>
          <w:rFonts w:hint="eastAsia"/>
          <w:highlight w:val="none"/>
        </w:rPr>
        <w:t>须知前附表规定的时间前以书面形式，要求</w:t>
      </w:r>
      <w:r>
        <w:rPr>
          <w:rFonts w:hint="eastAsia"/>
          <w:highlight w:val="none"/>
          <w:lang w:eastAsia="zh-CN"/>
        </w:rPr>
        <w:t>招标人</w:t>
      </w:r>
      <w:r>
        <w:rPr>
          <w:rFonts w:hint="eastAsia"/>
          <w:highlight w:val="none"/>
        </w:rPr>
        <w:t>对</w:t>
      </w:r>
      <w:r>
        <w:rPr>
          <w:rFonts w:hint="eastAsia"/>
          <w:highlight w:val="none"/>
          <w:lang w:eastAsia="zh-CN"/>
        </w:rPr>
        <w:t>招标文件</w:t>
      </w:r>
      <w:r>
        <w:rPr>
          <w:rFonts w:hint="eastAsia"/>
          <w:highlight w:val="none"/>
        </w:rPr>
        <w:t>予以澄清。</w:t>
      </w:r>
    </w:p>
    <w:p>
      <w:pPr>
        <w:ind w:firstLine="480"/>
        <w:rPr>
          <w:highlight w:val="none"/>
        </w:rPr>
      </w:pPr>
      <w:r>
        <w:rPr>
          <w:rFonts w:hint="eastAsia"/>
          <w:highlight w:val="none"/>
        </w:rPr>
        <w:t>2</w:t>
      </w:r>
      <w:r>
        <w:rPr>
          <w:highlight w:val="none"/>
        </w:rPr>
        <w:t>.2.2</w:t>
      </w:r>
      <w:r>
        <w:rPr>
          <w:rFonts w:hint="eastAsia"/>
          <w:highlight w:val="none"/>
          <w:lang w:eastAsia="zh-CN"/>
        </w:rPr>
        <w:t>招标人</w:t>
      </w:r>
      <w:r>
        <w:rPr>
          <w:rFonts w:hint="eastAsia"/>
          <w:highlight w:val="none"/>
        </w:rPr>
        <w:t>可根据</w:t>
      </w:r>
      <w:r>
        <w:rPr>
          <w:rFonts w:hint="eastAsia"/>
          <w:highlight w:val="none"/>
          <w:lang w:eastAsia="zh-CN"/>
        </w:rPr>
        <w:t>投标人</w:t>
      </w:r>
      <w:r>
        <w:rPr>
          <w:rFonts w:hint="eastAsia"/>
          <w:highlight w:val="none"/>
        </w:rPr>
        <w:t>的要求或主动对</w:t>
      </w:r>
      <w:r>
        <w:rPr>
          <w:rFonts w:hint="eastAsia"/>
          <w:highlight w:val="none"/>
          <w:lang w:eastAsia="zh-CN"/>
        </w:rPr>
        <w:t>招标文件</w:t>
      </w:r>
      <w:r>
        <w:rPr>
          <w:rFonts w:hint="eastAsia"/>
          <w:highlight w:val="none"/>
        </w:rPr>
        <w:t>进行澄清或修改。</w:t>
      </w:r>
      <w:r>
        <w:rPr>
          <w:rFonts w:hint="eastAsia"/>
          <w:highlight w:val="none"/>
          <w:lang w:eastAsia="zh-CN"/>
        </w:rPr>
        <w:t>招标人</w:t>
      </w:r>
      <w:r>
        <w:rPr>
          <w:rFonts w:hint="eastAsia"/>
          <w:highlight w:val="none"/>
        </w:rPr>
        <w:t>可视具体情况在补充文件中通知</w:t>
      </w:r>
      <w:r>
        <w:rPr>
          <w:rFonts w:hint="eastAsia"/>
          <w:highlight w:val="none"/>
          <w:lang w:eastAsia="zh-CN"/>
        </w:rPr>
        <w:t>投标人</w:t>
      </w:r>
      <w:r>
        <w:rPr>
          <w:rFonts w:hint="eastAsia"/>
          <w:highlight w:val="none"/>
        </w:rPr>
        <w:t>推迟递交</w:t>
      </w:r>
      <w:r>
        <w:rPr>
          <w:rFonts w:hint="eastAsia"/>
          <w:highlight w:val="none"/>
          <w:lang w:eastAsia="zh-CN"/>
        </w:rPr>
        <w:t>投标文件</w:t>
      </w:r>
      <w:r>
        <w:rPr>
          <w:rFonts w:hint="eastAsia"/>
          <w:highlight w:val="none"/>
        </w:rPr>
        <w:t>的截止时间。</w:t>
      </w:r>
    </w:p>
    <w:p>
      <w:pPr>
        <w:ind w:firstLine="480"/>
        <w:rPr>
          <w:highlight w:val="none"/>
        </w:rPr>
      </w:pPr>
      <w:r>
        <w:rPr>
          <w:rFonts w:hint="eastAsia"/>
          <w:highlight w:val="none"/>
        </w:rPr>
        <w:t>2.2.3</w:t>
      </w:r>
      <w:r>
        <w:rPr>
          <w:rFonts w:hint="eastAsia"/>
          <w:highlight w:val="none"/>
          <w:lang w:eastAsia="zh-CN"/>
        </w:rPr>
        <w:t>投标人</w:t>
      </w:r>
      <w:r>
        <w:rPr>
          <w:rFonts w:hint="eastAsia"/>
          <w:highlight w:val="none"/>
        </w:rPr>
        <w:t>在收到补充文件后，应按</w:t>
      </w:r>
      <w:r>
        <w:rPr>
          <w:rFonts w:hint="eastAsia"/>
          <w:highlight w:val="none"/>
          <w:lang w:eastAsia="zh-CN"/>
        </w:rPr>
        <w:t>投标人</w:t>
      </w:r>
      <w:r>
        <w:rPr>
          <w:rFonts w:hint="eastAsia"/>
          <w:highlight w:val="none"/>
        </w:rPr>
        <w:t>须知前附表规定的时间和方式通知</w:t>
      </w:r>
      <w:r>
        <w:rPr>
          <w:rFonts w:hint="eastAsia"/>
          <w:highlight w:val="none"/>
          <w:lang w:eastAsia="zh-CN"/>
        </w:rPr>
        <w:t>招标人</w:t>
      </w:r>
      <w:r>
        <w:rPr>
          <w:rFonts w:hint="eastAsia"/>
          <w:highlight w:val="none"/>
        </w:rPr>
        <w:t>，确认已收到该补充文件，逾期未通知</w:t>
      </w:r>
      <w:r>
        <w:rPr>
          <w:rFonts w:hint="eastAsia"/>
          <w:highlight w:val="none"/>
          <w:lang w:eastAsia="zh-CN"/>
        </w:rPr>
        <w:t>招标人</w:t>
      </w:r>
      <w:r>
        <w:rPr>
          <w:rFonts w:hint="eastAsia"/>
          <w:highlight w:val="none"/>
        </w:rPr>
        <w:t>的默认为充分认可</w:t>
      </w:r>
      <w:r>
        <w:rPr>
          <w:rFonts w:hint="eastAsia"/>
          <w:highlight w:val="none"/>
          <w:lang w:eastAsia="zh-CN"/>
        </w:rPr>
        <w:t>招标人</w:t>
      </w:r>
      <w:r>
        <w:rPr>
          <w:rFonts w:hint="eastAsia"/>
          <w:highlight w:val="none"/>
        </w:rPr>
        <w:t>发出的补充文件。</w:t>
      </w:r>
    </w:p>
    <w:p>
      <w:pPr>
        <w:ind w:firstLine="480"/>
        <w:rPr>
          <w:highlight w:val="none"/>
        </w:rPr>
      </w:pPr>
      <w:r>
        <w:rPr>
          <w:rFonts w:hint="eastAsia"/>
          <w:highlight w:val="none"/>
        </w:rPr>
        <w:t>2</w:t>
      </w:r>
      <w:r>
        <w:rPr>
          <w:highlight w:val="none"/>
        </w:rPr>
        <w:t>.2.4</w:t>
      </w:r>
      <w:r>
        <w:rPr>
          <w:rFonts w:hint="eastAsia"/>
          <w:highlight w:val="none"/>
          <w:lang w:eastAsia="zh-CN"/>
        </w:rPr>
        <w:t>招标人</w:t>
      </w:r>
      <w:r>
        <w:rPr>
          <w:rFonts w:hint="eastAsia"/>
          <w:highlight w:val="none"/>
        </w:rPr>
        <w:t>有权拒绝回复</w:t>
      </w:r>
      <w:r>
        <w:rPr>
          <w:rFonts w:hint="eastAsia"/>
          <w:highlight w:val="none"/>
          <w:lang w:eastAsia="zh-CN"/>
        </w:rPr>
        <w:t>投标人</w:t>
      </w:r>
      <w:r>
        <w:rPr>
          <w:rFonts w:hint="eastAsia"/>
          <w:highlight w:val="none"/>
        </w:rPr>
        <w:t>在</w:t>
      </w:r>
      <w:r>
        <w:rPr>
          <w:rFonts w:hint="eastAsia"/>
          <w:highlight w:val="none"/>
          <w:lang w:eastAsia="zh-CN"/>
        </w:rPr>
        <w:t>投标人</w:t>
      </w:r>
      <w:r>
        <w:rPr>
          <w:rFonts w:hint="eastAsia"/>
          <w:highlight w:val="none"/>
        </w:rPr>
        <w:t>须知前附表规定的时间后提出的任何澄清要求。</w:t>
      </w:r>
    </w:p>
    <w:p>
      <w:pPr>
        <w:pStyle w:val="4"/>
        <w:ind w:firstLine="482"/>
        <w:jc w:val="left"/>
        <w:rPr>
          <w:rFonts w:hint="eastAsia" w:eastAsia="宋体"/>
          <w:highlight w:val="none"/>
          <w:lang w:eastAsia="zh-CN"/>
        </w:rPr>
      </w:pPr>
      <w:r>
        <w:rPr>
          <w:rFonts w:hint="eastAsia"/>
          <w:highlight w:val="none"/>
        </w:rPr>
        <w:t>3</w:t>
      </w:r>
      <w:r>
        <w:rPr>
          <w:highlight w:val="none"/>
        </w:rPr>
        <w:t xml:space="preserve"> </w:t>
      </w:r>
      <w:r>
        <w:rPr>
          <w:rFonts w:hint="eastAsia"/>
          <w:highlight w:val="none"/>
          <w:lang w:eastAsia="zh-CN"/>
        </w:rPr>
        <w:t>投标文件</w:t>
      </w:r>
    </w:p>
    <w:p>
      <w:pPr>
        <w:pStyle w:val="5"/>
        <w:ind w:firstLine="482"/>
        <w:rPr>
          <w:highlight w:val="none"/>
        </w:rPr>
      </w:pPr>
      <w:r>
        <w:rPr>
          <w:rFonts w:hint="eastAsia"/>
          <w:highlight w:val="none"/>
        </w:rPr>
        <w:t xml:space="preserve">3.1 </w:t>
      </w:r>
      <w:r>
        <w:rPr>
          <w:rFonts w:hint="eastAsia"/>
          <w:highlight w:val="none"/>
          <w:lang w:eastAsia="zh-CN"/>
        </w:rPr>
        <w:t>投标文件</w:t>
      </w:r>
      <w:r>
        <w:rPr>
          <w:rFonts w:hint="eastAsia"/>
          <w:highlight w:val="none"/>
        </w:rPr>
        <w:t>的组成</w:t>
      </w:r>
    </w:p>
    <w:p>
      <w:pPr>
        <w:ind w:firstLine="480"/>
        <w:rPr>
          <w:highlight w:val="none"/>
        </w:rPr>
      </w:pPr>
      <w:r>
        <w:rPr>
          <w:rFonts w:hint="eastAsia"/>
          <w:highlight w:val="none"/>
        </w:rPr>
        <w:t>3</w:t>
      </w:r>
      <w:r>
        <w:rPr>
          <w:highlight w:val="none"/>
        </w:rPr>
        <w:t>.1.1</w:t>
      </w:r>
      <w:r>
        <w:rPr>
          <w:rFonts w:hint="eastAsia"/>
          <w:highlight w:val="none"/>
          <w:lang w:eastAsia="zh-CN"/>
        </w:rPr>
        <w:t>投标文件</w:t>
      </w:r>
      <w:r>
        <w:rPr>
          <w:rFonts w:hint="eastAsia"/>
          <w:highlight w:val="none"/>
        </w:rPr>
        <w:t>应包含下列内容</w:t>
      </w:r>
    </w:p>
    <w:p>
      <w:pPr>
        <w:ind w:firstLine="480"/>
        <w:rPr>
          <w:highlight w:val="none"/>
        </w:rPr>
      </w:pPr>
      <w:r>
        <w:rPr>
          <w:rFonts w:hint="eastAsia"/>
          <w:highlight w:val="none"/>
        </w:rPr>
        <w:t xml:space="preserve">第一册 </w:t>
      </w:r>
      <w:r>
        <w:rPr>
          <w:highlight w:val="none"/>
        </w:rPr>
        <w:t xml:space="preserve"> </w:t>
      </w:r>
      <w:r>
        <w:rPr>
          <w:rFonts w:hint="eastAsia"/>
          <w:highlight w:val="none"/>
        </w:rPr>
        <w:t>资格审查部分</w:t>
      </w:r>
    </w:p>
    <w:p>
      <w:pPr>
        <w:ind w:firstLine="480"/>
        <w:rPr>
          <w:highlight w:val="none"/>
        </w:rPr>
      </w:pPr>
      <w:r>
        <w:rPr>
          <w:rFonts w:hint="eastAsia"/>
          <w:highlight w:val="none"/>
        </w:rPr>
        <w:t>（1）承诺函</w:t>
      </w:r>
    </w:p>
    <w:p>
      <w:pPr>
        <w:ind w:firstLine="480"/>
        <w:rPr>
          <w:highlight w:val="none"/>
        </w:rPr>
      </w:pPr>
      <w:r>
        <w:rPr>
          <w:rFonts w:hint="eastAsia"/>
          <w:highlight w:val="none"/>
        </w:rPr>
        <w:t>（2）企业营业执照或事业单位法人证书（提供复印件并加盖公章）</w:t>
      </w:r>
    </w:p>
    <w:p>
      <w:pPr>
        <w:ind w:firstLine="480"/>
        <w:rPr>
          <w:highlight w:val="none"/>
        </w:rPr>
      </w:pPr>
      <w:r>
        <w:rPr>
          <w:rFonts w:hint="eastAsia"/>
          <w:highlight w:val="none"/>
        </w:rPr>
        <w:t>（3）法定代表人身份证明书（提供复印件并加盖公章）</w:t>
      </w:r>
    </w:p>
    <w:p>
      <w:pPr>
        <w:ind w:firstLine="480"/>
        <w:rPr>
          <w:highlight w:val="none"/>
        </w:rPr>
      </w:pPr>
      <w:r>
        <w:rPr>
          <w:rFonts w:hint="eastAsia"/>
          <w:highlight w:val="none"/>
        </w:rPr>
        <w:t>（4）授权委托书原件，授权代理人本人身份证复印件（如有授权）</w:t>
      </w:r>
    </w:p>
    <w:p>
      <w:pPr>
        <w:ind w:firstLine="480"/>
        <w:rPr>
          <w:rFonts w:hint="eastAsia" w:eastAsia="宋体"/>
          <w:highlight w:val="none"/>
          <w:lang w:eastAsia="zh-CN"/>
        </w:rPr>
      </w:pPr>
      <w:r>
        <w:rPr>
          <w:rFonts w:hint="eastAsia"/>
          <w:highlight w:val="none"/>
        </w:rPr>
        <w:t>（</w:t>
      </w:r>
      <w:r>
        <w:rPr>
          <w:rFonts w:hint="eastAsia"/>
          <w:highlight w:val="none"/>
          <w:lang w:val="en-US" w:eastAsia="zh-CN"/>
        </w:rPr>
        <w:t>5</w:t>
      </w:r>
      <w:r>
        <w:rPr>
          <w:rFonts w:hint="eastAsia"/>
          <w:highlight w:val="none"/>
        </w:rPr>
        <w:t>）</w:t>
      </w:r>
      <w:r>
        <w:rPr>
          <w:rFonts w:hint="eastAsia"/>
          <w:highlight w:val="none"/>
          <w:lang w:eastAsia="zh-CN"/>
        </w:rPr>
        <w:t>资质要求</w:t>
      </w:r>
    </w:p>
    <w:p>
      <w:pPr>
        <w:ind w:firstLine="480"/>
        <w:rPr>
          <w:rFonts w:hint="eastAsia"/>
          <w:highlight w:val="none"/>
        </w:rPr>
      </w:pPr>
      <w:r>
        <w:rPr>
          <w:rFonts w:hint="eastAsia"/>
          <w:highlight w:val="none"/>
        </w:rPr>
        <w:t>（</w:t>
      </w:r>
      <w:r>
        <w:rPr>
          <w:rFonts w:hint="eastAsia"/>
          <w:highlight w:val="none"/>
          <w:lang w:val="en-US" w:eastAsia="zh-CN"/>
        </w:rPr>
        <w:t>6</w:t>
      </w:r>
      <w:r>
        <w:rPr>
          <w:rFonts w:hint="eastAsia"/>
          <w:highlight w:val="none"/>
        </w:rPr>
        <w:t>）项目负责人要求</w:t>
      </w:r>
    </w:p>
    <w:p>
      <w:pPr>
        <w:ind w:firstLine="480"/>
        <w:rPr>
          <w:rFonts w:hint="eastAsia"/>
          <w:highlight w:val="none"/>
        </w:rPr>
      </w:pPr>
      <w:r>
        <w:rPr>
          <w:rFonts w:hint="eastAsia"/>
          <w:highlight w:val="none"/>
        </w:rPr>
        <w:t>（</w:t>
      </w:r>
      <w:r>
        <w:rPr>
          <w:rFonts w:hint="eastAsia"/>
          <w:highlight w:val="none"/>
          <w:lang w:val="en-US" w:eastAsia="zh-CN"/>
        </w:rPr>
        <w:t>7</w:t>
      </w:r>
      <w:r>
        <w:rPr>
          <w:rFonts w:hint="eastAsia"/>
          <w:highlight w:val="none"/>
        </w:rPr>
        <w:t>）业绩要求</w:t>
      </w:r>
    </w:p>
    <w:p>
      <w:pPr>
        <w:ind w:firstLine="480"/>
        <w:rPr>
          <w:highlight w:val="none"/>
        </w:rPr>
      </w:pPr>
      <w:r>
        <w:rPr>
          <w:rFonts w:hint="eastAsia"/>
          <w:highlight w:val="none"/>
        </w:rPr>
        <w:t>（</w:t>
      </w:r>
      <w:r>
        <w:rPr>
          <w:rFonts w:hint="eastAsia"/>
          <w:highlight w:val="none"/>
          <w:lang w:val="en-US" w:eastAsia="zh-CN"/>
        </w:rPr>
        <w:t>8</w:t>
      </w:r>
      <w:r>
        <w:rPr>
          <w:rFonts w:hint="eastAsia"/>
          <w:highlight w:val="none"/>
        </w:rPr>
        <w:t>）</w:t>
      </w:r>
      <w:r>
        <w:rPr>
          <w:rFonts w:hint="eastAsia"/>
          <w:highlight w:val="none"/>
          <w:lang w:eastAsia="zh-CN"/>
        </w:rPr>
        <w:t>投标人</w:t>
      </w:r>
      <w:r>
        <w:rPr>
          <w:rFonts w:hint="eastAsia"/>
          <w:highlight w:val="none"/>
        </w:rPr>
        <w:t>认为需要提交的其他资料</w:t>
      </w:r>
    </w:p>
    <w:p>
      <w:pPr>
        <w:ind w:firstLine="480"/>
        <w:rPr>
          <w:b/>
          <w:bCs/>
          <w:highlight w:val="none"/>
        </w:rPr>
      </w:pPr>
      <w:r>
        <w:rPr>
          <w:rFonts w:hint="eastAsia"/>
          <w:highlight w:val="none"/>
        </w:rPr>
        <w:t xml:space="preserve">第二册 </w:t>
      </w:r>
      <w:r>
        <w:rPr>
          <w:highlight w:val="none"/>
        </w:rPr>
        <w:t xml:space="preserve"> </w:t>
      </w:r>
      <w:r>
        <w:rPr>
          <w:rFonts w:hint="eastAsia"/>
          <w:highlight w:val="none"/>
        </w:rPr>
        <w:t>商务技术部分</w:t>
      </w:r>
    </w:p>
    <w:p>
      <w:pPr>
        <w:numPr>
          <w:ilvl w:val="0"/>
          <w:numId w:val="1"/>
        </w:numPr>
        <w:ind w:firstLine="480"/>
        <w:rPr>
          <w:highlight w:val="none"/>
        </w:rPr>
      </w:pPr>
      <w:r>
        <w:rPr>
          <w:rFonts w:hint="eastAsia"/>
          <w:highlight w:val="none"/>
        </w:rPr>
        <w:t>商务和技术偏离表</w:t>
      </w:r>
    </w:p>
    <w:p>
      <w:pPr>
        <w:ind w:firstLine="480"/>
        <w:rPr>
          <w:rFonts w:hint="default" w:eastAsia="宋体"/>
          <w:highlight w:val="none"/>
          <w:lang w:val="en-US" w:eastAsia="zh-CN"/>
        </w:rPr>
      </w:pPr>
      <w:r>
        <w:rPr>
          <w:rFonts w:hint="eastAsia"/>
          <w:highlight w:val="none"/>
        </w:rPr>
        <w:t>（</w:t>
      </w:r>
      <w:r>
        <w:rPr>
          <w:highlight w:val="none"/>
        </w:rPr>
        <w:t>2</w:t>
      </w:r>
      <w:r>
        <w:rPr>
          <w:rFonts w:hint="eastAsia"/>
          <w:highlight w:val="none"/>
        </w:rPr>
        <w:t>）</w:t>
      </w:r>
      <w:r>
        <w:rPr>
          <w:rFonts w:hint="eastAsia"/>
          <w:highlight w:val="none"/>
          <w:lang w:val="en-US" w:eastAsia="zh-CN"/>
        </w:rPr>
        <w:t>商务部分</w:t>
      </w:r>
    </w:p>
    <w:p>
      <w:pPr>
        <w:ind w:firstLine="480"/>
        <w:rPr>
          <w:rFonts w:hint="default" w:eastAsia="宋体"/>
          <w:color w:val="000000" w:themeColor="text1"/>
          <w:highlight w:val="none"/>
          <w:lang w:val="en-US" w:eastAsia="zh-CN"/>
          <w14:textFill>
            <w14:solidFill>
              <w14:schemeClr w14:val="tx1"/>
            </w14:solidFill>
          </w14:textFill>
        </w:rPr>
      </w:pPr>
      <w:r>
        <w:rPr>
          <w:rFonts w:hint="eastAsia"/>
          <w:highlight w:val="none"/>
        </w:rPr>
        <w:t>（3）</w:t>
      </w:r>
      <w:r>
        <w:rPr>
          <w:rFonts w:hint="eastAsia"/>
          <w:color w:val="000000" w:themeColor="text1"/>
          <w:highlight w:val="none"/>
          <w:lang w:val="en-US" w:eastAsia="zh-CN"/>
          <w14:textFill>
            <w14:solidFill>
              <w14:schemeClr w14:val="tx1"/>
            </w14:solidFill>
          </w14:textFill>
        </w:rPr>
        <w:t>技术部分</w:t>
      </w:r>
    </w:p>
    <w:p>
      <w:pPr>
        <w:ind w:firstLine="480"/>
        <w:rPr>
          <w:highlight w:val="none"/>
        </w:rPr>
      </w:pPr>
      <w:r>
        <w:rPr>
          <w:rFonts w:hint="eastAsia"/>
          <w:highlight w:val="none"/>
        </w:rPr>
        <w:t xml:space="preserve">第三册 </w:t>
      </w:r>
      <w:r>
        <w:rPr>
          <w:highlight w:val="none"/>
        </w:rPr>
        <w:t xml:space="preserve"> </w:t>
      </w:r>
      <w:r>
        <w:rPr>
          <w:rFonts w:hint="eastAsia"/>
          <w:highlight w:val="none"/>
        </w:rPr>
        <w:t>报价部分</w:t>
      </w:r>
    </w:p>
    <w:p>
      <w:pPr>
        <w:numPr>
          <w:ilvl w:val="0"/>
          <w:numId w:val="2"/>
        </w:numPr>
        <w:ind w:firstLine="480"/>
        <w:rPr>
          <w:rFonts w:hint="eastAsia" w:ascii="Times New Roman" w:hAnsi="Times New Roman" w:eastAsia="宋体"/>
          <w:color w:val="000000" w:themeColor="text1"/>
          <w:highlight w:val="none"/>
          <w:lang w:val="en-US" w:eastAsia="zh-CN"/>
          <w14:textFill>
            <w14:solidFill>
              <w14:schemeClr w14:val="tx1"/>
            </w14:solidFill>
          </w14:textFill>
        </w:rPr>
      </w:pPr>
      <w:r>
        <w:rPr>
          <w:rFonts w:hint="eastAsia" w:ascii="Times New Roman" w:hAnsi="Times New Roman" w:eastAsia="宋体"/>
          <w:color w:val="000000" w:themeColor="text1"/>
          <w:highlight w:val="none"/>
          <w:lang w:val="en-US" w:eastAsia="zh-CN"/>
          <w14:textFill>
            <w14:solidFill>
              <w14:schemeClr w14:val="tx1"/>
            </w14:solidFill>
          </w14:textFill>
        </w:rPr>
        <w:t>响应函</w:t>
      </w:r>
    </w:p>
    <w:p>
      <w:pPr>
        <w:numPr>
          <w:ilvl w:val="0"/>
          <w:numId w:val="2"/>
        </w:numPr>
        <w:ind w:firstLine="480"/>
        <w:rPr>
          <w:rFonts w:hint="eastAsia" w:ascii="Times New Roman" w:hAnsi="Times New Roman" w:eastAsia="宋体"/>
          <w:color w:val="000000" w:themeColor="text1"/>
          <w:highlight w:val="none"/>
          <w:lang w:val="en-US" w:eastAsia="zh-CN"/>
          <w14:textFill>
            <w14:solidFill>
              <w14:schemeClr w14:val="tx1"/>
            </w14:solidFill>
          </w14:textFill>
        </w:rPr>
      </w:pPr>
      <w:r>
        <w:rPr>
          <w:rFonts w:hint="eastAsia" w:ascii="Times New Roman" w:hAnsi="Times New Roman" w:eastAsia="宋体"/>
          <w:color w:val="000000" w:themeColor="text1"/>
          <w:highlight w:val="none"/>
          <w:lang w:val="en-US" w:eastAsia="zh-CN"/>
          <w14:textFill>
            <w14:solidFill>
              <w14:schemeClr w14:val="tx1"/>
            </w14:solidFill>
          </w14:textFill>
        </w:rPr>
        <w:t>分项报价表</w:t>
      </w:r>
    </w:p>
    <w:p>
      <w:pPr>
        <w:ind w:firstLine="480"/>
        <w:rPr>
          <w:highlight w:val="none"/>
        </w:rPr>
      </w:pPr>
      <w:r>
        <w:rPr>
          <w:rFonts w:hint="eastAsia"/>
          <w:highlight w:val="none"/>
          <w:lang w:eastAsia="zh-CN"/>
        </w:rPr>
        <w:t>投标人</w:t>
      </w:r>
      <w:r>
        <w:rPr>
          <w:rFonts w:hint="eastAsia"/>
          <w:highlight w:val="none"/>
        </w:rPr>
        <w:t>在评审过程中做出的符合</w:t>
      </w:r>
      <w:r>
        <w:rPr>
          <w:rFonts w:hint="eastAsia"/>
          <w:highlight w:val="none"/>
          <w:lang w:eastAsia="zh-CN"/>
        </w:rPr>
        <w:t>招标文件</w:t>
      </w:r>
      <w:r>
        <w:rPr>
          <w:rFonts w:hint="eastAsia"/>
          <w:highlight w:val="none"/>
        </w:rPr>
        <w:t>要求的澄清、说明、补正，构成</w:t>
      </w:r>
      <w:r>
        <w:rPr>
          <w:rFonts w:hint="eastAsia"/>
          <w:highlight w:val="none"/>
          <w:lang w:eastAsia="zh-CN"/>
        </w:rPr>
        <w:t>投标文件</w:t>
      </w:r>
      <w:r>
        <w:rPr>
          <w:rFonts w:hint="eastAsia"/>
          <w:highlight w:val="none"/>
        </w:rPr>
        <w:t>的组成部分。</w:t>
      </w:r>
    </w:p>
    <w:p>
      <w:pPr>
        <w:pStyle w:val="5"/>
        <w:ind w:firstLine="482"/>
        <w:rPr>
          <w:highlight w:val="none"/>
        </w:rPr>
      </w:pPr>
      <w:r>
        <w:rPr>
          <w:rFonts w:hint="eastAsia"/>
          <w:highlight w:val="none"/>
        </w:rPr>
        <w:t>3</w:t>
      </w:r>
      <w:r>
        <w:rPr>
          <w:highlight w:val="none"/>
        </w:rPr>
        <w:t xml:space="preserve">.2 </w:t>
      </w:r>
      <w:r>
        <w:rPr>
          <w:rFonts w:hint="eastAsia"/>
          <w:highlight w:val="none"/>
        </w:rPr>
        <w:t>报价</w:t>
      </w:r>
    </w:p>
    <w:p>
      <w:pPr>
        <w:ind w:firstLine="480"/>
        <w:rPr>
          <w:highlight w:val="none"/>
        </w:rPr>
      </w:pPr>
      <w:r>
        <w:rPr>
          <w:rFonts w:hint="eastAsia"/>
          <w:highlight w:val="none"/>
        </w:rPr>
        <w:t>3</w:t>
      </w:r>
      <w:r>
        <w:rPr>
          <w:highlight w:val="none"/>
        </w:rPr>
        <w:t>.2.1</w:t>
      </w:r>
      <w:r>
        <w:rPr>
          <w:rFonts w:hint="eastAsia"/>
          <w:highlight w:val="none"/>
          <w:lang w:eastAsia="zh-CN"/>
        </w:rPr>
        <w:t>投标人</w:t>
      </w:r>
      <w:r>
        <w:rPr>
          <w:rFonts w:hint="eastAsia"/>
          <w:highlight w:val="none"/>
        </w:rPr>
        <w:t>应按</w:t>
      </w:r>
      <w:r>
        <w:rPr>
          <w:rFonts w:hint="eastAsia"/>
          <w:highlight w:val="none"/>
          <w:lang w:eastAsia="zh-CN"/>
        </w:rPr>
        <w:t>招标文件</w:t>
      </w:r>
      <w:r>
        <w:rPr>
          <w:rFonts w:hint="eastAsia"/>
          <w:highlight w:val="none"/>
        </w:rPr>
        <w:t>提供的格式（见第六章“</w:t>
      </w:r>
      <w:r>
        <w:rPr>
          <w:rFonts w:hint="eastAsia"/>
          <w:highlight w:val="none"/>
          <w:lang w:eastAsia="zh-CN"/>
        </w:rPr>
        <w:t>投标文件</w:t>
      </w:r>
      <w:r>
        <w:rPr>
          <w:rFonts w:hint="eastAsia"/>
          <w:highlight w:val="none"/>
        </w:rPr>
        <w:t>格式”）在</w:t>
      </w:r>
      <w:r>
        <w:rPr>
          <w:rFonts w:hint="eastAsia"/>
          <w:highlight w:val="none"/>
          <w:lang w:val="en-US" w:eastAsia="zh-CN"/>
        </w:rPr>
        <w:t>响应函</w:t>
      </w:r>
      <w:r>
        <w:rPr>
          <w:rFonts w:hint="eastAsia"/>
          <w:highlight w:val="none"/>
        </w:rPr>
        <w:t>进行报价。</w:t>
      </w:r>
      <w:r>
        <w:rPr>
          <w:rFonts w:hint="eastAsia"/>
          <w:highlight w:val="none"/>
          <w:lang w:val="en-US" w:eastAsia="zh-CN"/>
        </w:rPr>
        <w:t>响应函</w:t>
      </w:r>
      <w:r>
        <w:rPr>
          <w:rFonts w:hint="eastAsia"/>
          <w:highlight w:val="none"/>
        </w:rPr>
        <w:t>中报价应为包含国家规定的增值税在内的含税价格，同时应列明增值税税率。</w:t>
      </w:r>
    </w:p>
    <w:p>
      <w:pPr>
        <w:ind w:firstLine="480"/>
        <w:rPr>
          <w:highlight w:val="none"/>
        </w:rPr>
      </w:pPr>
      <w:r>
        <w:rPr>
          <w:rFonts w:hint="eastAsia"/>
          <w:highlight w:val="none"/>
        </w:rPr>
        <w:t>3.2.2</w:t>
      </w:r>
      <w:r>
        <w:rPr>
          <w:rFonts w:hint="eastAsia"/>
          <w:highlight w:val="none"/>
          <w:lang w:eastAsia="zh-CN"/>
        </w:rPr>
        <w:t>投标人</w:t>
      </w:r>
      <w:r>
        <w:rPr>
          <w:rFonts w:hint="eastAsia"/>
          <w:highlight w:val="none"/>
        </w:rPr>
        <w:t>应充分了解采购项目的情况以及影响报价的其他要素。</w:t>
      </w:r>
      <w:r>
        <w:rPr>
          <w:rFonts w:hint="eastAsia"/>
          <w:highlight w:val="none"/>
          <w:lang w:eastAsia="zh-CN"/>
        </w:rPr>
        <w:t>招标人</w:t>
      </w:r>
      <w:r>
        <w:rPr>
          <w:rFonts w:hint="eastAsia"/>
          <w:highlight w:val="none"/>
        </w:rPr>
        <w:t>在合同履行过程中，有权对项目实施的内容进行增加或减少。</w:t>
      </w:r>
    </w:p>
    <w:p>
      <w:pPr>
        <w:ind w:firstLine="480"/>
        <w:rPr>
          <w:highlight w:val="none"/>
        </w:rPr>
      </w:pPr>
      <w:r>
        <w:rPr>
          <w:rFonts w:hint="eastAsia"/>
          <w:highlight w:val="none"/>
        </w:rPr>
        <w:t>3.2.3</w:t>
      </w:r>
      <w:r>
        <w:rPr>
          <w:rFonts w:hint="eastAsia"/>
          <w:highlight w:val="none"/>
          <w:lang w:eastAsia="zh-CN"/>
        </w:rPr>
        <w:t>招标人</w:t>
      </w:r>
      <w:r>
        <w:rPr>
          <w:rFonts w:hint="eastAsia"/>
          <w:highlight w:val="none"/>
        </w:rPr>
        <w:t>设有最高限价的，</w:t>
      </w:r>
      <w:r>
        <w:rPr>
          <w:rFonts w:hint="eastAsia"/>
          <w:highlight w:val="none"/>
          <w:lang w:eastAsia="zh-CN"/>
        </w:rPr>
        <w:t>投标人</w:t>
      </w:r>
      <w:r>
        <w:rPr>
          <w:rFonts w:hint="eastAsia"/>
          <w:highlight w:val="none"/>
        </w:rPr>
        <w:t>的报价不得超过最高限价。</w:t>
      </w:r>
    </w:p>
    <w:p>
      <w:pPr>
        <w:pStyle w:val="5"/>
        <w:ind w:firstLine="482"/>
        <w:rPr>
          <w:highlight w:val="none"/>
        </w:rPr>
      </w:pPr>
      <w:r>
        <w:rPr>
          <w:rFonts w:hint="eastAsia"/>
          <w:highlight w:val="none"/>
        </w:rPr>
        <w:t>3.3</w:t>
      </w:r>
      <w:r>
        <w:rPr>
          <w:highlight w:val="none"/>
        </w:rPr>
        <w:t xml:space="preserve"> </w:t>
      </w:r>
      <w:r>
        <w:rPr>
          <w:rFonts w:hint="eastAsia"/>
          <w:highlight w:val="none"/>
          <w:lang w:eastAsia="zh-CN"/>
        </w:rPr>
        <w:t>投标文件</w:t>
      </w:r>
      <w:r>
        <w:rPr>
          <w:rFonts w:hint="eastAsia"/>
          <w:highlight w:val="none"/>
        </w:rPr>
        <w:t>有效期</w:t>
      </w:r>
    </w:p>
    <w:p>
      <w:pPr>
        <w:ind w:firstLine="480"/>
        <w:rPr>
          <w:highlight w:val="none"/>
        </w:rPr>
      </w:pPr>
      <w:r>
        <w:rPr>
          <w:rFonts w:hint="eastAsia"/>
          <w:highlight w:val="none"/>
        </w:rPr>
        <w:t>除</w:t>
      </w:r>
      <w:r>
        <w:rPr>
          <w:rFonts w:hint="eastAsia"/>
          <w:highlight w:val="none"/>
          <w:lang w:eastAsia="zh-CN"/>
        </w:rPr>
        <w:t>投标人</w:t>
      </w:r>
      <w:r>
        <w:rPr>
          <w:rFonts w:hint="eastAsia"/>
          <w:highlight w:val="none"/>
        </w:rPr>
        <w:t>须知前附表另有规定外，</w:t>
      </w:r>
      <w:r>
        <w:rPr>
          <w:rFonts w:hint="eastAsia"/>
          <w:highlight w:val="none"/>
          <w:lang w:eastAsia="zh-CN"/>
        </w:rPr>
        <w:t>投标文件</w:t>
      </w:r>
      <w:r>
        <w:rPr>
          <w:rFonts w:hint="eastAsia"/>
          <w:highlight w:val="none"/>
        </w:rPr>
        <w:t>有效期应为9</w:t>
      </w:r>
      <w:r>
        <w:rPr>
          <w:highlight w:val="none"/>
        </w:rPr>
        <w:t>0</w:t>
      </w:r>
      <w:r>
        <w:rPr>
          <w:rFonts w:hint="eastAsia"/>
          <w:highlight w:val="none"/>
        </w:rPr>
        <w:t>日，从</w:t>
      </w:r>
      <w:r>
        <w:rPr>
          <w:rFonts w:hint="eastAsia"/>
          <w:highlight w:val="none"/>
          <w:lang w:eastAsia="zh-CN"/>
        </w:rPr>
        <w:t>招标文件</w:t>
      </w:r>
      <w:r>
        <w:rPr>
          <w:rFonts w:hint="eastAsia"/>
          <w:highlight w:val="none"/>
        </w:rPr>
        <w:t>规定的递交</w:t>
      </w:r>
      <w:r>
        <w:rPr>
          <w:rFonts w:hint="eastAsia"/>
          <w:highlight w:val="none"/>
          <w:lang w:eastAsia="zh-CN"/>
        </w:rPr>
        <w:t>投标文件</w:t>
      </w:r>
      <w:r>
        <w:rPr>
          <w:rFonts w:hint="eastAsia"/>
          <w:highlight w:val="none"/>
        </w:rPr>
        <w:t>的截止时间开始计算。</w:t>
      </w:r>
    </w:p>
    <w:p>
      <w:pPr>
        <w:pStyle w:val="5"/>
        <w:ind w:firstLine="482"/>
        <w:rPr>
          <w:highlight w:val="none"/>
        </w:rPr>
      </w:pPr>
      <w:r>
        <w:rPr>
          <w:rFonts w:hint="eastAsia"/>
          <w:highlight w:val="none"/>
        </w:rPr>
        <w:t>3.4</w:t>
      </w:r>
      <w:r>
        <w:rPr>
          <w:highlight w:val="none"/>
        </w:rPr>
        <w:t xml:space="preserve"> </w:t>
      </w:r>
      <w:r>
        <w:rPr>
          <w:rFonts w:hint="eastAsia"/>
          <w:highlight w:val="none"/>
          <w:lang w:val="en-US" w:eastAsia="zh-CN"/>
        </w:rPr>
        <w:t>投标</w:t>
      </w:r>
      <w:r>
        <w:rPr>
          <w:rFonts w:hint="eastAsia"/>
          <w:highlight w:val="none"/>
        </w:rPr>
        <w:t>保证金</w:t>
      </w:r>
    </w:p>
    <w:p>
      <w:pPr>
        <w:ind w:firstLine="480"/>
        <w:rPr>
          <w:highlight w:val="none"/>
        </w:rPr>
      </w:pPr>
      <w:r>
        <w:rPr>
          <w:rFonts w:hint="eastAsia"/>
          <w:highlight w:val="none"/>
        </w:rPr>
        <w:t>本项目免收</w:t>
      </w:r>
      <w:r>
        <w:rPr>
          <w:rFonts w:hint="eastAsia"/>
          <w:highlight w:val="none"/>
          <w:lang w:val="en-US" w:eastAsia="zh-CN"/>
        </w:rPr>
        <w:t>投标</w:t>
      </w:r>
      <w:r>
        <w:rPr>
          <w:rFonts w:hint="eastAsia"/>
          <w:highlight w:val="none"/>
        </w:rPr>
        <w:t>保证金</w:t>
      </w:r>
    </w:p>
    <w:p>
      <w:pPr>
        <w:pStyle w:val="5"/>
        <w:ind w:firstLine="482"/>
        <w:rPr>
          <w:highlight w:val="none"/>
        </w:rPr>
      </w:pPr>
      <w:r>
        <w:rPr>
          <w:rFonts w:hint="eastAsia"/>
          <w:highlight w:val="none"/>
        </w:rPr>
        <w:t>3.5</w:t>
      </w:r>
      <w:r>
        <w:rPr>
          <w:highlight w:val="none"/>
        </w:rPr>
        <w:t xml:space="preserve"> </w:t>
      </w:r>
      <w:r>
        <w:rPr>
          <w:rFonts w:hint="eastAsia"/>
          <w:highlight w:val="none"/>
        </w:rPr>
        <w:t>资格审查</w:t>
      </w:r>
    </w:p>
    <w:p>
      <w:pPr>
        <w:ind w:firstLine="480"/>
        <w:rPr>
          <w:highlight w:val="none"/>
        </w:rPr>
      </w:pPr>
      <w:r>
        <w:rPr>
          <w:rFonts w:hint="eastAsia"/>
          <w:highlight w:val="none"/>
          <w:lang w:eastAsia="zh-CN"/>
        </w:rPr>
        <w:t>投标人</w:t>
      </w:r>
      <w:r>
        <w:rPr>
          <w:rFonts w:hint="eastAsia"/>
          <w:highlight w:val="none"/>
        </w:rPr>
        <w:t>应提供第三章“评审方法”规定的资格审查资料。</w:t>
      </w:r>
    </w:p>
    <w:p>
      <w:pPr>
        <w:pStyle w:val="5"/>
        <w:ind w:firstLine="482"/>
        <w:rPr>
          <w:highlight w:val="none"/>
        </w:rPr>
      </w:pPr>
      <w:r>
        <w:rPr>
          <w:rFonts w:hint="eastAsia"/>
          <w:highlight w:val="none"/>
        </w:rPr>
        <w:t>3</w:t>
      </w:r>
      <w:r>
        <w:rPr>
          <w:highlight w:val="none"/>
        </w:rPr>
        <w:t xml:space="preserve">.6 </w:t>
      </w:r>
      <w:r>
        <w:rPr>
          <w:rFonts w:hint="eastAsia"/>
          <w:highlight w:val="none"/>
        </w:rPr>
        <w:t>响应方案</w:t>
      </w:r>
    </w:p>
    <w:p>
      <w:pPr>
        <w:ind w:firstLine="480"/>
        <w:rPr>
          <w:highlight w:val="none"/>
        </w:rPr>
      </w:pPr>
      <w:r>
        <w:rPr>
          <w:rFonts w:hint="eastAsia"/>
          <w:highlight w:val="none"/>
        </w:rPr>
        <w:t xml:space="preserve">3.6.1 </w:t>
      </w:r>
      <w:r>
        <w:rPr>
          <w:rFonts w:hint="eastAsia"/>
          <w:highlight w:val="none"/>
          <w:lang w:eastAsia="zh-CN"/>
        </w:rPr>
        <w:t>投标文件</w:t>
      </w:r>
      <w:r>
        <w:rPr>
          <w:rFonts w:hint="eastAsia"/>
          <w:highlight w:val="none"/>
        </w:rPr>
        <w:t>应当对</w:t>
      </w:r>
      <w:r>
        <w:rPr>
          <w:rFonts w:hint="eastAsia"/>
          <w:highlight w:val="none"/>
          <w:lang w:eastAsia="zh-CN"/>
        </w:rPr>
        <w:t>招标文件</w:t>
      </w:r>
      <w:r>
        <w:rPr>
          <w:rFonts w:hint="eastAsia"/>
          <w:highlight w:val="none"/>
        </w:rPr>
        <w:t>中的实质性内容作出响应。采购需求中明确为关键条款的，</w:t>
      </w:r>
      <w:r>
        <w:rPr>
          <w:rFonts w:hint="eastAsia"/>
          <w:highlight w:val="none"/>
          <w:lang w:eastAsia="zh-CN"/>
        </w:rPr>
        <w:t>投标人</w:t>
      </w:r>
      <w:r>
        <w:rPr>
          <w:rFonts w:hint="eastAsia"/>
          <w:highlight w:val="none"/>
        </w:rPr>
        <w:t>应提供有关证据或证明材料。</w:t>
      </w:r>
    </w:p>
    <w:p>
      <w:pPr>
        <w:ind w:firstLine="480"/>
        <w:rPr>
          <w:highlight w:val="none"/>
        </w:rPr>
      </w:pPr>
      <w:r>
        <w:rPr>
          <w:rFonts w:hint="eastAsia"/>
          <w:highlight w:val="none"/>
        </w:rPr>
        <w:t xml:space="preserve">3.6.2 </w:t>
      </w:r>
      <w:r>
        <w:rPr>
          <w:rFonts w:hint="eastAsia"/>
          <w:highlight w:val="none"/>
          <w:lang w:eastAsia="zh-CN"/>
        </w:rPr>
        <w:t>投标人</w:t>
      </w:r>
      <w:r>
        <w:rPr>
          <w:rFonts w:hint="eastAsia"/>
          <w:highlight w:val="none"/>
        </w:rPr>
        <w:t>只能提出唯一的响应方案。</w:t>
      </w:r>
      <w:r>
        <w:rPr>
          <w:rFonts w:hint="eastAsia"/>
          <w:highlight w:val="none"/>
          <w:lang w:eastAsia="zh-CN"/>
        </w:rPr>
        <w:t>投标人</w:t>
      </w:r>
      <w:r>
        <w:rPr>
          <w:rFonts w:hint="eastAsia"/>
          <w:highlight w:val="none"/>
        </w:rPr>
        <w:t>在</w:t>
      </w:r>
      <w:r>
        <w:rPr>
          <w:rFonts w:hint="eastAsia"/>
          <w:highlight w:val="none"/>
          <w:lang w:eastAsia="zh-CN"/>
        </w:rPr>
        <w:t>投标文件</w:t>
      </w:r>
      <w:r>
        <w:rPr>
          <w:rFonts w:hint="eastAsia"/>
          <w:highlight w:val="none"/>
        </w:rPr>
        <w:t>中提出多个响应方案的其</w:t>
      </w:r>
      <w:r>
        <w:rPr>
          <w:rFonts w:hint="eastAsia"/>
          <w:highlight w:val="none"/>
          <w:lang w:eastAsia="zh-CN"/>
        </w:rPr>
        <w:t>投标文件</w:t>
      </w:r>
      <w:r>
        <w:rPr>
          <w:rFonts w:hint="eastAsia"/>
          <w:highlight w:val="none"/>
        </w:rPr>
        <w:t>将被视为无效。</w:t>
      </w:r>
    </w:p>
    <w:p>
      <w:pPr>
        <w:ind w:firstLine="480"/>
        <w:rPr>
          <w:highlight w:val="none"/>
        </w:rPr>
      </w:pPr>
      <w:r>
        <w:rPr>
          <w:rFonts w:hint="eastAsia"/>
          <w:highlight w:val="none"/>
        </w:rPr>
        <w:t xml:space="preserve">3.6.3 </w:t>
      </w:r>
      <w:r>
        <w:rPr>
          <w:rFonts w:hint="eastAsia"/>
          <w:highlight w:val="none"/>
          <w:lang w:eastAsia="zh-CN"/>
        </w:rPr>
        <w:t>投标文件</w:t>
      </w:r>
      <w:r>
        <w:rPr>
          <w:rFonts w:hint="eastAsia"/>
          <w:highlight w:val="none"/>
        </w:rPr>
        <w:t>对</w:t>
      </w:r>
      <w:r>
        <w:rPr>
          <w:rFonts w:hint="eastAsia"/>
          <w:highlight w:val="none"/>
          <w:lang w:eastAsia="zh-CN"/>
        </w:rPr>
        <w:t>招标文件</w:t>
      </w:r>
      <w:r>
        <w:rPr>
          <w:rFonts w:hint="eastAsia"/>
          <w:highlight w:val="none"/>
        </w:rPr>
        <w:t>的全部偏差，均应在</w:t>
      </w:r>
      <w:r>
        <w:rPr>
          <w:rFonts w:hint="eastAsia"/>
          <w:highlight w:val="none"/>
          <w:lang w:eastAsia="zh-CN"/>
        </w:rPr>
        <w:t>投标文件</w:t>
      </w:r>
      <w:r>
        <w:rPr>
          <w:rFonts w:hint="eastAsia"/>
          <w:highlight w:val="none"/>
        </w:rPr>
        <w:t>的商务和技术偏差表中列明。</w:t>
      </w:r>
      <w:r>
        <w:rPr>
          <w:rFonts w:hint="eastAsia"/>
          <w:highlight w:val="none"/>
          <w:lang w:eastAsia="zh-CN"/>
        </w:rPr>
        <w:t>投标文件</w:t>
      </w:r>
      <w:r>
        <w:rPr>
          <w:rFonts w:hint="eastAsia"/>
          <w:highlight w:val="none"/>
        </w:rPr>
        <w:t>偏差表中未列明的内容，将视为</w:t>
      </w:r>
      <w:r>
        <w:rPr>
          <w:rFonts w:hint="eastAsia"/>
          <w:highlight w:val="none"/>
          <w:lang w:eastAsia="zh-CN"/>
        </w:rPr>
        <w:t>投标人</w:t>
      </w:r>
      <w:r>
        <w:rPr>
          <w:rFonts w:hint="eastAsia"/>
          <w:highlight w:val="none"/>
        </w:rPr>
        <w:t>响应</w:t>
      </w:r>
      <w:r>
        <w:rPr>
          <w:rFonts w:hint="eastAsia"/>
          <w:highlight w:val="none"/>
          <w:lang w:eastAsia="zh-CN"/>
        </w:rPr>
        <w:t>招标文件</w:t>
      </w:r>
      <w:r>
        <w:rPr>
          <w:rFonts w:hint="eastAsia"/>
          <w:highlight w:val="none"/>
        </w:rPr>
        <w:t>的要求；但如发现</w:t>
      </w:r>
      <w:r>
        <w:rPr>
          <w:rFonts w:hint="eastAsia"/>
          <w:highlight w:val="none"/>
          <w:lang w:eastAsia="zh-CN"/>
        </w:rPr>
        <w:t>投标文件</w:t>
      </w:r>
      <w:r>
        <w:rPr>
          <w:rFonts w:hint="eastAsia"/>
          <w:highlight w:val="none"/>
        </w:rPr>
        <w:t>的其他部分与商务和技术偏差表的描述不一致或</w:t>
      </w:r>
      <w:r>
        <w:rPr>
          <w:rFonts w:hint="eastAsia"/>
          <w:highlight w:val="none"/>
          <w:lang w:eastAsia="zh-CN"/>
        </w:rPr>
        <w:t>投标人</w:t>
      </w:r>
      <w:r>
        <w:rPr>
          <w:rFonts w:hint="eastAsia"/>
          <w:highlight w:val="none"/>
        </w:rPr>
        <w:t>的响应缺乏支持性文件，则评审小组有权要求</w:t>
      </w:r>
      <w:r>
        <w:rPr>
          <w:rFonts w:hint="eastAsia"/>
          <w:highlight w:val="none"/>
          <w:lang w:eastAsia="zh-CN"/>
        </w:rPr>
        <w:t>投标人</w:t>
      </w:r>
      <w:r>
        <w:rPr>
          <w:rFonts w:hint="eastAsia"/>
          <w:highlight w:val="none"/>
        </w:rPr>
        <w:t>对相关问题进行澄清，并根据澄清结果对</w:t>
      </w:r>
      <w:r>
        <w:rPr>
          <w:rFonts w:hint="eastAsia"/>
          <w:highlight w:val="none"/>
          <w:lang w:eastAsia="zh-CN"/>
        </w:rPr>
        <w:t>投标人</w:t>
      </w:r>
      <w:r>
        <w:rPr>
          <w:rFonts w:hint="eastAsia"/>
          <w:highlight w:val="none"/>
        </w:rPr>
        <w:t>的</w:t>
      </w:r>
      <w:r>
        <w:rPr>
          <w:rFonts w:hint="eastAsia"/>
          <w:highlight w:val="none"/>
          <w:lang w:eastAsia="zh-CN"/>
        </w:rPr>
        <w:t>投标文件</w:t>
      </w:r>
      <w:r>
        <w:rPr>
          <w:rFonts w:hint="eastAsia"/>
          <w:highlight w:val="none"/>
        </w:rPr>
        <w:t>进行评审。</w:t>
      </w:r>
    </w:p>
    <w:p>
      <w:pPr>
        <w:pStyle w:val="5"/>
        <w:ind w:firstLine="482"/>
        <w:rPr>
          <w:highlight w:val="none"/>
        </w:rPr>
      </w:pPr>
      <w:r>
        <w:rPr>
          <w:rFonts w:hint="eastAsia"/>
          <w:highlight w:val="none"/>
        </w:rPr>
        <w:t>3</w:t>
      </w:r>
      <w:r>
        <w:rPr>
          <w:highlight w:val="none"/>
        </w:rPr>
        <w:t xml:space="preserve">.7 </w:t>
      </w:r>
      <w:r>
        <w:rPr>
          <w:rFonts w:hint="eastAsia"/>
          <w:highlight w:val="none"/>
          <w:lang w:eastAsia="zh-CN"/>
        </w:rPr>
        <w:t>投标文件</w:t>
      </w:r>
      <w:r>
        <w:rPr>
          <w:rFonts w:hint="eastAsia"/>
          <w:highlight w:val="none"/>
        </w:rPr>
        <w:t>的编制</w:t>
      </w:r>
    </w:p>
    <w:p>
      <w:pPr>
        <w:ind w:firstLine="480"/>
        <w:rPr>
          <w:highlight w:val="none"/>
        </w:rPr>
      </w:pPr>
      <w:r>
        <w:rPr>
          <w:rFonts w:hint="eastAsia"/>
          <w:highlight w:val="none"/>
        </w:rPr>
        <w:t>3</w:t>
      </w:r>
      <w:r>
        <w:rPr>
          <w:highlight w:val="none"/>
        </w:rPr>
        <w:t>.7.1</w:t>
      </w:r>
      <w:r>
        <w:rPr>
          <w:rFonts w:hint="eastAsia"/>
          <w:highlight w:val="none"/>
          <w:lang w:eastAsia="zh-CN"/>
        </w:rPr>
        <w:t>投标文件</w:t>
      </w:r>
      <w:r>
        <w:rPr>
          <w:rFonts w:hint="eastAsia"/>
          <w:highlight w:val="none"/>
        </w:rPr>
        <w:t>应按第六章“</w:t>
      </w:r>
      <w:r>
        <w:rPr>
          <w:rFonts w:hint="eastAsia"/>
          <w:highlight w:val="none"/>
          <w:lang w:eastAsia="zh-CN"/>
        </w:rPr>
        <w:t>投标文件</w:t>
      </w:r>
      <w:r>
        <w:rPr>
          <w:rFonts w:hint="eastAsia"/>
          <w:highlight w:val="none"/>
        </w:rPr>
        <w:t>格式”进行编写，如有必要，可以增加附件作为</w:t>
      </w:r>
      <w:r>
        <w:rPr>
          <w:rFonts w:hint="eastAsia"/>
          <w:highlight w:val="none"/>
          <w:lang w:eastAsia="zh-CN"/>
        </w:rPr>
        <w:t>投标文件</w:t>
      </w:r>
      <w:r>
        <w:rPr>
          <w:rFonts w:hint="eastAsia"/>
          <w:highlight w:val="none"/>
        </w:rPr>
        <w:t>的组成部分。</w:t>
      </w:r>
    </w:p>
    <w:p>
      <w:pPr>
        <w:ind w:firstLine="480"/>
        <w:rPr>
          <w:highlight w:val="none"/>
        </w:rPr>
      </w:pPr>
      <w:r>
        <w:rPr>
          <w:rFonts w:hint="eastAsia"/>
          <w:highlight w:val="none"/>
        </w:rPr>
        <w:t xml:space="preserve">3.7.2 </w:t>
      </w:r>
      <w:r>
        <w:rPr>
          <w:rFonts w:hint="eastAsia"/>
          <w:highlight w:val="none"/>
          <w:lang w:eastAsia="zh-CN"/>
        </w:rPr>
        <w:t>投标文件</w:t>
      </w:r>
      <w:r>
        <w:rPr>
          <w:rFonts w:hint="eastAsia"/>
          <w:highlight w:val="none"/>
        </w:rPr>
        <w:t>应用不褪色的材料书写或打印。</w:t>
      </w:r>
    </w:p>
    <w:p>
      <w:pPr>
        <w:ind w:firstLine="480"/>
        <w:rPr>
          <w:highlight w:val="none"/>
        </w:rPr>
      </w:pPr>
      <w:r>
        <w:rPr>
          <w:rFonts w:hint="eastAsia"/>
          <w:highlight w:val="none"/>
          <w:lang w:eastAsia="zh-CN"/>
        </w:rPr>
        <w:t>分项报价表</w:t>
      </w:r>
      <w:r>
        <w:rPr>
          <w:rFonts w:hint="eastAsia"/>
          <w:highlight w:val="none"/>
        </w:rPr>
        <w:t>应由</w:t>
      </w:r>
      <w:r>
        <w:rPr>
          <w:rFonts w:hint="eastAsia"/>
          <w:highlight w:val="none"/>
          <w:lang w:eastAsia="zh-CN"/>
        </w:rPr>
        <w:t>投标人</w:t>
      </w:r>
      <w:r>
        <w:rPr>
          <w:rFonts w:hint="eastAsia"/>
          <w:highlight w:val="none"/>
        </w:rPr>
        <w:t>的法定代表人（单位负责人）或其授权代理人签字并加盖单位公章。</w:t>
      </w:r>
    </w:p>
    <w:p>
      <w:pPr>
        <w:ind w:firstLine="480"/>
        <w:rPr>
          <w:highlight w:val="none"/>
        </w:rPr>
      </w:pPr>
      <w:r>
        <w:rPr>
          <w:rFonts w:hint="eastAsia"/>
          <w:highlight w:val="none"/>
          <w:lang w:eastAsia="zh-CN"/>
        </w:rPr>
        <w:t>分项报价表</w:t>
      </w:r>
      <w:r>
        <w:rPr>
          <w:rFonts w:hint="eastAsia"/>
          <w:highlight w:val="none"/>
        </w:rPr>
        <w:t>由代理人签字的，应在</w:t>
      </w:r>
      <w:r>
        <w:rPr>
          <w:rFonts w:hint="eastAsia"/>
          <w:highlight w:val="none"/>
          <w:lang w:eastAsia="zh-CN"/>
        </w:rPr>
        <w:t>投标文件</w:t>
      </w:r>
      <w:r>
        <w:rPr>
          <w:rFonts w:hint="eastAsia"/>
          <w:highlight w:val="none"/>
        </w:rPr>
        <w:t>中附授权委托书，授权委托书应由</w:t>
      </w:r>
      <w:r>
        <w:rPr>
          <w:rFonts w:hint="eastAsia"/>
          <w:highlight w:val="none"/>
          <w:lang w:eastAsia="zh-CN"/>
        </w:rPr>
        <w:t>投标人</w:t>
      </w:r>
      <w:r>
        <w:rPr>
          <w:rFonts w:hint="eastAsia"/>
          <w:highlight w:val="none"/>
        </w:rPr>
        <w:t>法定代表人（单位负责人）签字并加盖单位公章。</w:t>
      </w:r>
    </w:p>
    <w:p>
      <w:pPr>
        <w:ind w:firstLine="480"/>
        <w:rPr>
          <w:highlight w:val="none"/>
        </w:rPr>
      </w:pPr>
      <w:r>
        <w:rPr>
          <w:rFonts w:hint="eastAsia"/>
          <w:highlight w:val="none"/>
        </w:rPr>
        <w:t>3.7.3评审过程中</w:t>
      </w:r>
      <w:r>
        <w:rPr>
          <w:rFonts w:hint="eastAsia"/>
          <w:highlight w:val="none"/>
          <w:lang w:eastAsia="zh-CN"/>
        </w:rPr>
        <w:t>投标人</w:t>
      </w:r>
      <w:r>
        <w:rPr>
          <w:rFonts w:hint="eastAsia"/>
          <w:highlight w:val="none"/>
        </w:rPr>
        <w:t>对</w:t>
      </w:r>
      <w:r>
        <w:rPr>
          <w:rFonts w:hint="eastAsia"/>
          <w:highlight w:val="none"/>
          <w:lang w:eastAsia="zh-CN"/>
        </w:rPr>
        <w:t>投标文件</w:t>
      </w:r>
      <w:r>
        <w:rPr>
          <w:rFonts w:hint="eastAsia"/>
          <w:highlight w:val="none"/>
        </w:rPr>
        <w:t>的澄清、说明和补正应由</w:t>
      </w:r>
      <w:r>
        <w:rPr>
          <w:rFonts w:hint="eastAsia"/>
          <w:highlight w:val="none"/>
          <w:lang w:eastAsia="zh-CN"/>
        </w:rPr>
        <w:t>投标人</w:t>
      </w:r>
      <w:r>
        <w:rPr>
          <w:rFonts w:hint="eastAsia"/>
          <w:highlight w:val="none"/>
        </w:rPr>
        <w:t>的法定代表人（单位负责人）或其授权的代理人签字或加盖单位公章。</w:t>
      </w:r>
    </w:p>
    <w:p>
      <w:pPr>
        <w:ind w:firstLine="480"/>
        <w:rPr>
          <w:highlight w:val="none"/>
        </w:rPr>
      </w:pPr>
      <w:r>
        <w:rPr>
          <w:rFonts w:hint="eastAsia"/>
          <w:highlight w:val="none"/>
        </w:rPr>
        <w:t>3.7.4</w:t>
      </w:r>
      <w:r>
        <w:rPr>
          <w:rFonts w:hint="eastAsia"/>
          <w:highlight w:val="none"/>
          <w:lang w:eastAsia="zh-CN"/>
        </w:rPr>
        <w:t>投标文件</w:t>
      </w:r>
      <w:r>
        <w:rPr>
          <w:rFonts w:hint="eastAsia"/>
          <w:highlight w:val="none"/>
        </w:rPr>
        <w:t>应尽量避免涂改、行间插字或删除。如果出现上述情况，改动之处由</w:t>
      </w:r>
      <w:r>
        <w:rPr>
          <w:rFonts w:hint="eastAsia"/>
          <w:highlight w:val="none"/>
          <w:lang w:eastAsia="zh-CN"/>
        </w:rPr>
        <w:t>投标人</w:t>
      </w:r>
      <w:r>
        <w:rPr>
          <w:rFonts w:hint="eastAsia"/>
          <w:highlight w:val="none"/>
        </w:rPr>
        <w:t>的法定代表人（单位负责人）或其授权的代理人签字或加盖单</w:t>
      </w:r>
      <w:r>
        <w:rPr>
          <w:rFonts w:hint="eastAsia"/>
          <w:highlight w:val="none"/>
          <w:lang w:eastAsia="zh-CN"/>
        </w:rPr>
        <w:t>位公</w:t>
      </w:r>
      <w:r>
        <w:rPr>
          <w:rFonts w:hint="eastAsia"/>
          <w:highlight w:val="none"/>
        </w:rPr>
        <w:t>章。</w:t>
      </w:r>
    </w:p>
    <w:p>
      <w:pPr>
        <w:ind w:firstLine="480"/>
        <w:rPr>
          <w:highlight w:val="none"/>
        </w:rPr>
      </w:pPr>
      <w:r>
        <w:rPr>
          <w:rFonts w:hint="eastAsia"/>
          <w:highlight w:val="none"/>
        </w:rPr>
        <w:t>3.7.5</w:t>
      </w:r>
      <w:r>
        <w:rPr>
          <w:rFonts w:hint="eastAsia"/>
          <w:highlight w:val="none"/>
          <w:lang w:eastAsia="zh-CN"/>
        </w:rPr>
        <w:t>投标文件</w:t>
      </w:r>
      <w:r>
        <w:rPr>
          <w:rFonts w:hint="eastAsia"/>
          <w:highlight w:val="none"/>
        </w:rPr>
        <w:t>正本一份副本份数见</w:t>
      </w:r>
      <w:r>
        <w:rPr>
          <w:rFonts w:hint="eastAsia"/>
          <w:highlight w:val="none"/>
          <w:lang w:eastAsia="zh-CN"/>
        </w:rPr>
        <w:t>投标人</w:t>
      </w:r>
      <w:r>
        <w:rPr>
          <w:rFonts w:hint="eastAsia"/>
          <w:highlight w:val="none"/>
        </w:rPr>
        <w:t>须知前附表。正本和副本的封面右上应清楚地标记“正本”或“副本”的字样。</w:t>
      </w:r>
      <w:r>
        <w:rPr>
          <w:rFonts w:hint="eastAsia"/>
          <w:highlight w:val="none"/>
          <w:lang w:eastAsia="zh-CN"/>
        </w:rPr>
        <w:t>投标人</w:t>
      </w:r>
      <w:r>
        <w:rPr>
          <w:rFonts w:hint="eastAsia"/>
          <w:highlight w:val="none"/>
        </w:rPr>
        <w:t>应根据</w:t>
      </w:r>
      <w:r>
        <w:rPr>
          <w:rFonts w:hint="eastAsia"/>
          <w:highlight w:val="none"/>
          <w:lang w:eastAsia="zh-CN"/>
        </w:rPr>
        <w:t>投标人</w:t>
      </w:r>
      <w:r>
        <w:rPr>
          <w:rFonts w:hint="eastAsia"/>
          <w:highlight w:val="none"/>
        </w:rPr>
        <w:t>须知前附表要求提交电子版文件。当副本和正本不一致或电子版文件和纸质正本文件不一致时，以纸质正本文件为准。</w:t>
      </w:r>
    </w:p>
    <w:p>
      <w:pPr>
        <w:ind w:firstLine="480"/>
        <w:rPr>
          <w:highlight w:val="none"/>
        </w:rPr>
      </w:pPr>
      <w:r>
        <w:rPr>
          <w:rFonts w:hint="eastAsia"/>
          <w:highlight w:val="none"/>
        </w:rPr>
        <w:t>3.7.6</w:t>
      </w:r>
      <w:r>
        <w:rPr>
          <w:rFonts w:hint="eastAsia"/>
          <w:highlight w:val="none"/>
          <w:lang w:eastAsia="zh-CN"/>
        </w:rPr>
        <w:t>投标文件</w:t>
      </w:r>
      <w:r>
        <w:rPr>
          <w:rFonts w:hint="eastAsia"/>
          <w:highlight w:val="none"/>
        </w:rPr>
        <w:t>的正本与副本应分别装订，并编制目录。</w:t>
      </w:r>
      <w:r>
        <w:rPr>
          <w:rFonts w:hint="eastAsia"/>
          <w:highlight w:val="none"/>
          <w:lang w:eastAsia="zh-CN"/>
        </w:rPr>
        <w:t>投标文件</w:t>
      </w:r>
      <w:r>
        <w:rPr>
          <w:rFonts w:hint="eastAsia"/>
          <w:highlight w:val="none"/>
        </w:rPr>
        <w:t>需分册装订的，具体分册装订要求见</w:t>
      </w:r>
      <w:r>
        <w:rPr>
          <w:rFonts w:hint="eastAsia"/>
          <w:highlight w:val="none"/>
          <w:lang w:eastAsia="zh-CN"/>
        </w:rPr>
        <w:t>投标人</w:t>
      </w:r>
      <w:r>
        <w:rPr>
          <w:rFonts w:hint="eastAsia"/>
          <w:highlight w:val="none"/>
        </w:rPr>
        <w:t>须知前附表规定。</w:t>
      </w:r>
    </w:p>
    <w:p>
      <w:pPr>
        <w:pStyle w:val="4"/>
        <w:ind w:firstLine="482"/>
        <w:jc w:val="left"/>
        <w:rPr>
          <w:highlight w:val="none"/>
        </w:rPr>
      </w:pPr>
      <w:r>
        <w:rPr>
          <w:rFonts w:hint="eastAsia"/>
          <w:highlight w:val="none"/>
        </w:rPr>
        <w:t>4</w:t>
      </w:r>
      <w:r>
        <w:rPr>
          <w:highlight w:val="none"/>
        </w:rPr>
        <w:t xml:space="preserve"> </w:t>
      </w:r>
      <w:r>
        <w:rPr>
          <w:rFonts w:hint="eastAsia"/>
          <w:highlight w:val="none"/>
          <w:lang w:eastAsia="zh-CN"/>
        </w:rPr>
        <w:t>投标文件</w:t>
      </w:r>
      <w:r>
        <w:rPr>
          <w:rFonts w:hint="eastAsia"/>
          <w:highlight w:val="none"/>
        </w:rPr>
        <w:t>的递交</w:t>
      </w:r>
    </w:p>
    <w:p>
      <w:pPr>
        <w:pStyle w:val="5"/>
        <w:ind w:firstLine="482"/>
        <w:rPr>
          <w:highlight w:val="none"/>
        </w:rPr>
      </w:pPr>
      <w:r>
        <w:rPr>
          <w:rFonts w:hint="eastAsia"/>
          <w:highlight w:val="none"/>
        </w:rPr>
        <w:t>4</w:t>
      </w:r>
      <w:r>
        <w:rPr>
          <w:highlight w:val="none"/>
        </w:rPr>
        <w:t>.</w:t>
      </w:r>
      <w:r>
        <w:rPr>
          <w:rFonts w:hint="eastAsia"/>
          <w:highlight w:val="none"/>
        </w:rPr>
        <w:t>1</w:t>
      </w:r>
      <w:r>
        <w:rPr>
          <w:highlight w:val="none"/>
        </w:rPr>
        <w:t xml:space="preserve"> </w:t>
      </w:r>
      <w:r>
        <w:rPr>
          <w:rFonts w:hint="eastAsia"/>
          <w:highlight w:val="none"/>
          <w:lang w:eastAsia="zh-CN"/>
        </w:rPr>
        <w:t>投标文件</w:t>
      </w:r>
      <w:r>
        <w:rPr>
          <w:rFonts w:hint="eastAsia"/>
          <w:highlight w:val="none"/>
        </w:rPr>
        <w:t>的包装与标记</w:t>
      </w:r>
    </w:p>
    <w:p>
      <w:pPr>
        <w:ind w:firstLine="480"/>
        <w:rPr>
          <w:highlight w:val="none"/>
        </w:rPr>
      </w:pPr>
      <w:r>
        <w:rPr>
          <w:rFonts w:hint="eastAsia"/>
          <w:highlight w:val="none"/>
        </w:rPr>
        <w:t xml:space="preserve">4.1.1 </w:t>
      </w:r>
      <w:r>
        <w:rPr>
          <w:rFonts w:hint="eastAsia"/>
          <w:highlight w:val="none"/>
          <w:lang w:eastAsia="zh-CN"/>
        </w:rPr>
        <w:t>投标文件</w:t>
      </w:r>
      <w:r>
        <w:rPr>
          <w:rFonts w:hint="eastAsia"/>
          <w:highlight w:val="none"/>
        </w:rPr>
        <w:t>应密封包装，未密封的</w:t>
      </w:r>
      <w:r>
        <w:rPr>
          <w:rFonts w:hint="eastAsia"/>
          <w:highlight w:val="none"/>
          <w:lang w:eastAsia="zh-CN"/>
        </w:rPr>
        <w:t>投标文件</w:t>
      </w:r>
      <w:r>
        <w:rPr>
          <w:rFonts w:hint="eastAsia"/>
          <w:highlight w:val="none"/>
        </w:rPr>
        <w:t>，</w:t>
      </w:r>
      <w:r>
        <w:rPr>
          <w:rFonts w:hint="eastAsia"/>
          <w:highlight w:val="none"/>
          <w:lang w:eastAsia="zh-CN"/>
        </w:rPr>
        <w:t>招标人</w:t>
      </w:r>
      <w:r>
        <w:rPr>
          <w:rFonts w:hint="eastAsia"/>
          <w:highlight w:val="none"/>
        </w:rPr>
        <w:t>将拒绝接收；</w:t>
      </w:r>
    </w:p>
    <w:p>
      <w:pPr>
        <w:ind w:firstLine="480"/>
        <w:rPr>
          <w:highlight w:val="none"/>
        </w:rPr>
      </w:pPr>
      <w:r>
        <w:rPr>
          <w:rFonts w:hint="eastAsia"/>
          <w:highlight w:val="none"/>
        </w:rPr>
        <w:t>4.1.2</w:t>
      </w:r>
      <w:r>
        <w:rPr>
          <w:highlight w:val="none"/>
        </w:rPr>
        <w:t xml:space="preserve"> </w:t>
      </w:r>
      <w:r>
        <w:rPr>
          <w:rFonts w:hint="eastAsia"/>
          <w:highlight w:val="none"/>
          <w:lang w:eastAsia="zh-CN"/>
        </w:rPr>
        <w:t>投标文件</w:t>
      </w:r>
      <w:r>
        <w:rPr>
          <w:rFonts w:hint="eastAsia"/>
          <w:highlight w:val="none"/>
        </w:rPr>
        <w:t>封面上应载明的内容见</w:t>
      </w:r>
      <w:r>
        <w:rPr>
          <w:rFonts w:hint="eastAsia"/>
          <w:highlight w:val="none"/>
          <w:lang w:eastAsia="zh-CN"/>
        </w:rPr>
        <w:t>投标人</w:t>
      </w:r>
      <w:r>
        <w:rPr>
          <w:rFonts w:hint="eastAsia"/>
          <w:highlight w:val="none"/>
        </w:rPr>
        <w:t>须知前附表。</w:t>
      </w:r>
    </w:p>
    <w:p>
      <w:pPr>
        <w:pStyle w:val="5"/>
        <w:ind w:firstLine="482"/>
        <w:rPr>
          <w:highlight w:val="none"/>
        </w:rPr>
      </w:pPr>
      <w:r>
        <w:rPr>
          <w:rFonts w:hint="eastAsia"/>
          <w:highlight w:val="none"/>
        </w:rPr>
        <w:t>4.2</w:t>
      </w:r>
      <w:r>
        <w:rPr>
          <w:highlight w:val="none"/>
        </w:rPr>
        <w:t xml:space="preserve"> </w:t>
      </w:r>
      <w:r>
        <w:rPr>
          <w:rFonts w:hint="eastAsia"/>
          <w:highlight w:val="none"/>
          <w:lang w:eastAsia="zh-CN"/>
        </w:rPr>
        <w:t>投标文件</w:t>
      </w:r>
      <w:r>
        <w:rPr>
          <w:rFonts w:hint="eastAsia"/>
          <w:highlight w:val="none"/>
        </w:rPr>
        <w:t>的递交</w:t>
      </w:r>
    </w:p>
    <w:p>
      <w:pPr>
        <w:ind w:firstLine="480"/>
        <w:rPr>
          <w:highlight w:val="none"/>
        </w:rPr>
      </w:pPr>
      <w:r>
        <w:rPr>
          <w:rFonts w:hint="eastAsia"/>
          <w:highlight w:val="none"/>
        </w:rPr>
        <w:t>4.2</w:t>
      </w:r>
      <w:r>
        <w:rPr>
          <w:highlight w:val="none"/>
        </w:rPr>
        <w:t>.</w:t>
      </w:r>
      <w:r>
        <w:rPr>
          <w:rFonts w:hint="eastAsia"/>
          <w:highlight w:val="none"/>
        </w:rPr>
        <w:t>1</w:t>
      </w:r>
      <w:r>
        <w:rPr>
          <w:highlight w:val="none"/>
        </w:rPr>
        <w:t xml:space="preserve"> </w:t>
      </w:r>
      <w:r>
        <w:rPr>
          <w:rFonts w:hint="eastAsia"/>
          <w:highlight w:val="none"/>
          <w:lang w:eastAsia="zh-CN"/>
        </w:rPr>
        <w:t>投标人</w:t>
      </w:r>
      <w:r>
        <w:rPr>
          <w:rFonts w:hint="eastAsia"/>
          <w:highlight w:val="none"/>
        </w:rPr>
        <w:t>应在</w:t>
      </w:r>
      <w:r>
        <w:rPr>
          <w:rFonts w:hint="eastAsia"/>
          <w:highlight w:val="none"/>
          <w:lang w:eastAsia="zh-CN"/>
        </w:rPr>
        <w:t>投标人</w:t>
      </w:r>
      <w:r>
        <w:rPr>
          <w:rFonts w:hint="eastAsia"/>
          <w:highlight w:val="none"/>
        </w:rPr>
        <w:t>须知前附表规定的递交</w:t>
      </w:r>
      <w:r>
        <w:rPr>
          <w:rFonts w:hint="eastAsia"/>
          <w:highlight w:val="none"/>
          <w:lang w:eastAsia="zh-CN"/>
        </w:rPr>
        <w:t>投标文件</w:t>
      </w:r>
      <w:r>
        <w:rPr>
          <w:rFonts w:hint="eastAsia"/>
          <w:highlight w:val="none"/>
        </w:rPr>
        <w:t>的截止时间前，将</w:t>
      </w:r>
      <w:r>
        <w:rPr>
          <w:rFonts w:hint="eastAsia"/>
          <w:highlight w:val="none"/>
          <w:lang w:eastAsia="zh-CN"/>
        </w:rPr>
        <w:t>投标文件</w:t>
      </w:r>
      <w:r>
        <w:rPr>
          <w:rFonts w:hint="eastAsia"/>
          <w:highlight w:val="none"/>
        </w:rPr>
        <w:t>递交至</w:t>
      </w:r>
      <w:r>
        <w:rPr>
          <w:rFonts w:hint="eastAsia"/>
          <w:highlight w:val="none"/>
          <w:lang w:eastAsia="zh-CN"/>
        </w:rPr>
        <w:t>投标人</w:t>
      </w:r>
      <w:r>
        <w:rPr>
          <w:rFonts w:hint="eastAsia"/>
          <w:highlight w:val="none"/>
        </w:rPr>
        <w:t>须知前附表规定的地点。逾期送达的或者未送达指定地点的</w:t>
      </w:r>
      <w:r>
        <w:rPr>
          <w:rFonts w:hint="eastAsia"/>
          <w:highlight w:val="none"/>
          <w:lang w:eastAsia="zh-CN"/>
        </w:rPr>
        <w:t>投标文件招标人</w:t>
      </w:r>
      <w:r>
        <w:rPr>
          <w:rFonts w:hint="eastAsia"/>
          <w:highlight w:val="none"/>
        </w:rPr>
        <w:t>将拒绝接收。</w:t>
      </w:r>
    </w:p>
    <w:p>
      <w:pPr>
        <w:ind w:firstLine="480"/>
        <w:rPr>
          <w:highlight w:val="none"/>
        </w:rPr>
      </w:pPr>
      <w:r>
        <w:rPr>
          <w:rFonts w:hint="eastAsia"/>
          <w:highlight w:val="none"/>
        </w:rPr>
        <w:t>4.2.2</w:t>
      </w:r>
      <w:r>
        <w:rPr>
          <w:highlight w:val="none"/>
        </w:rPr>
        <w:t xml:space="preserve"> </w:t>
      </w:r>
      <w:r>
        <w:rPr>
          <w:rFonts w:hint="eastAsia"/>
          <w:highlight w:val="none"/>
        </w:rPr>
        <w:t>除</w:t>
      </w:r>
      <w:r>
        <w:rPr>
          <w:rFonts w:hint="eastAsia"/>
          <w:highlight w:val="none"/>
          <w:lang w:eastAsia="zh-CN"/>
        </w:rPr>
        <w:t>投标人</w:t>
      </w:r>
      <w:r>
        <w:rPr>
          <w:rFonts w:hint="eastAsia"/>
          <w:highlight w:val="none"/>
        </w:rPr>
        <w:t>须知前附表另有规定外，</w:t>
      </w:r>
      <w:r>
        <w:rPr>
          <w:rFonts w:hint="eastAsia"/>
          <w:highlight w:val="none"/>
          <w:lang w:eastAsia="zh-CN"/>
        </w:rPr>
        <w:t>投标人</w:t>
      </w:r>
      <w:r>
        <w:rPr>
          <w:rFonts w:hint="eastAsia"/>
          <w:highlight w:val="none"/>
        </w:rPr>
        <w:t>所递交的</w:t>
      </w:r>
      <w:r>
        <w:rPr>
          <w:rFonts w:hint="eastAsia"/>
          <w:highlight w:val="none"/>
          <w:lang w:eastAsia="zh-CN"/>
        </w:rPr>
        <w:t>投标文件</w:t>
      </w:r>
      <w:r>
        <w:rPr>
          <w:rFonts w:hint="eastAsia"/>
          <w:highlight w:val="none"/>
        </w:rPr>
        <w:t>不予退还。</w:t>
      </w:r>
    </w:p>
    <w:p>
      <w:pPr>
        <w:pStyle w:val="5"/>
        <w:ind w:firstLine="482"/>
        <w:rPr>
          <w:highlight w:val="none"/>
        </w:rPr>
      </w:pPr>
      <w:r>
        <w:rPr>
          <w:rFonts w:hint="eastAsia"/>
          <w:highlight w:val="none"/>
        </w:rPr>
        <w:t>4.3</w:t>
      </w:r>
      <w:r>
        <w:rPr>
          <w:rFonts w:hint="eastAsia"/>
          <w:highlight w:val="none"/>
          <w:lang w:eastAsia="zh-CN"/>
        </w:rPr>
        <w:t>投标文件</w:t>
      </w:r>
      <w:r>
        <w:rPr>
          <w:rFonts w:hint="eastAsia"/>
          <w:highlight w:val="none"/>
        </w:rPr>
        <w:t>的修改与撤回</w:t>
      </w:r>
    </w:p>
    <w:p>
      <w:pPr>
        <w:ind w:firstLine="480"/>
        <w:rPr>
          <w:highlight w:val="none"/>
        </w:rPr>
      </w:pPr>
      <w:r>
        <w:rPr>
          <w:rFonts w:hint="eastAsia"/>
          <w:highlight w:val="none"/>
        </w:rPr>
        <w:t>4.3.1在</w:t>
      </w:r>
      <w:r>
        <w:rPr>
          <w:rFonts w:hint="eastAsia"/>
          <w:highlight w:val="none"/>
          <w:lang w:eastAsia="zh-CN"/>
        </w:rPr>
        <w:t>投标人</w:t>
      </w:r>
      <w:r>
        <w:rPr>
          <w:rFonts w:hint="eastAsia"/>
          <w:highlight w:val="none"/>
        </w:rPr>
        <w:t>须知前附表规定的递交</w:t>
      </w:r>
      <w:r>
        <w:rPr>
          <w:rFonts w:hint="eastAsia"/>
          <w:highlight w:val="none"/>
          <w:lang w:eastAsia="zh-CN"/>
        </w:rPr>
        <w:t>投标文件</w:t>
      </w:r>
      <w:r>
        <w:rPr>
          <w:rFonts w:hint="eastAsia"/>
          <w:highlight w:val="none"/>
        </w:rPr>
        <w:t>的截止时间前</w:t>
      </w:r>
      <w:r>
        <w:rPr>
          <w:rFonts w:hint="eastAsia"/>
          <w:highlight w:val="none"/>
          <w:lang w:eastAsia="zh-CN"/>
        </w:rPr>
        <w:t>投标人</w:t>
      </w:r>
      <w:r>
        <w:rPr>
          <w:rFonts w:hint="eastAsia"/>
          <w:highlight w:val="none"/>
        </w:rPr>
        <w:t>可以修改或撤回已递交的</w:t>
      </w:r>
      <w:r>
        <w:rPr>
          <w:rFonts w:hint="eastAsia"/>
          <w:highlight w:val="none"/>
          <w:lang w:eastAsia="zh-CN"/>
        </w:rPr>
        <w:t>投标文件</w:t>
      </w:r>
      <w:r>
        <w:rPr>
          <w:rFonts w:hint="eastAsia"/>
          <w:highlight w:val="none"/>
        </w:rPr>
        <w:t>，但应以书面形式通知</w:t>
      </w:r>
      <w:r>
        <w:rPr>
          <w:rFonts w:hint="eastAsia"/>
          <w:highlight w:val="none"/>
          <w:lang w:eastAsia="zh-CN"/>
        </w:rPr>
        <w:t>招标人</w:t>
      </w:r>
      <w:r>
        <w:rPr>
          <w:rFonts w:hint="eastAsia"/>
          <w:highlight w:val="none"/>
        </w:rPr>
        <w:t>。</w:t>
      </w:r>
    </w:p>
    <w:p>
      <w:pPr>
        <w:ind w:firstLine="480"/>
        <w:rPr>
          <w:highlight w:val="none"/>
        </w:rPr>
      </w:pPr>
      <w:r>
        <w:rPr>
          <w:rFonts w:hint="eastAsia"/>
          <w:highlight w:val="none"/>
        </w:rPr>
        <w:t>4.3.2</w:t>
      </w:r>
      <w:r>
        <w:rPr>
          <w:rFonts w:hint="eastAsia"/>
          <w:highlight w:val="none"/>
          <w:lang w:eastAsia="zh-CN"/>
        </w:rPr>
        <w:t>投标文件</w:t>
      </w:r>
      <w:r>
        <w:rPr>
          <w:rFonts w:hint="eastAsia"/>
          <w:highlight w:val="none"/>
        </w:rPr>
        <w:t>的修改文件或</w:t>
      </w:r>
      <w:r>
        <w:rPr>
          <w:rFonts w:hint="eastAsia"/>
          <w:highlight w:val="none"/>
          <w:lang w:eastAsia="zh-CN"/>
        </w:rPr>
        <w:t>投标人</w:t>
      </w:r>
      <w:r>
        <w:rPr>
          <w:rFonts w:hint="eastAsia"/>
          <w:highlight w:val="none"/>
        </w:rPr>
        <w:t>撤回已递交</w:t>
      </w:r>
      <w:r>
        <w:rPr>
          <w:rFonts w:hint="eastAsia"/>
          <w:highlight w:val="none"/>
          <w:lang w:eastAsia="zh-CN"/>
        </w:rPr>
        <w:t>投标文件</w:t>
      </w:r>
      <w:r>
        <w:rPr>
          <w:rFonts w:hint="eastAsia"/>
          <w:highlight w:val="none"/>
        </w:rPr>
        <w:t>的书面通知应由</w:t>
      </w:r>
      <w:r>
        <w:rPr>
          <w:rFonts w:hint="eastAsia"/>
          <w:highlight w:val="none"/>
          <w:lang w:eastAsia="zh-CN"/>
        </w:rPr>
        <w:t>投标人</w:t>
      </w:r>
      <w:r>
        <w:rPr>
          <w:rFonts w:hint="eastAsia"/>
          <w:highlight w:val="none"/>
        </w:rPr>
        <w:t>的法定代表人（单位负责人）或其授权的代理人签字并加盖单位公章。</w:t>
      </w:r>
      <w:r>
        <w:rPr>
          <w:rFonts w:hint="eastAsia"/>
          <w:highlight w:val="none"/>
          <w:lang w:eastAsia="zh-CN"/>
        </w:rPr>
        <w:t>招标人</w:t>
      </w:r>
      <w:r>
        <w:rPr>
          <w:rFonts w:hint="eastAsia"/>
          <w:highlight w:val="none"/>
        </w:rPr>
        <w:t>收到</w:t>
      </w:r>
      <w:r>
        <w:rPr>
          <w:rFonts w:hint="eastAsia"/>
          <w:highlight w:val="none"/>
          <w:lang w:eastAsia="zh-CN"/>
        </w:rPr>
        <w:t>投标人</w:t>
      </w:r>
      <w:r>
        <w:rPr>
          <w:rFonts w:hint="eastAsia"/>
          <w:highlight w:val="none"/>
        </w:rPr>
        <w:t>撤回</w:t>
      </w:r>
      <w:r>
        <w:rPr>
          <w:rFonts w:hint="eastAsia"/>
          <w:highlight w:val="none"/>
          <w:lang w:eastAsia="zh-CN"/>
        </w:rPr>
        <w:t>投标文件</w:t>
      </w:r>
      <w:r>
        <w:rPr>
          <w:rFonts w:hint="eastAsia"/>
          <w:highlight w:val="none"/>
        </w:rPr>
        <w:t>的书面通知后，退回</w:t>
      </w:r>
      <w:r>
        <w:rPr>
          <w:rFonts w:hint="eastAsia"/>
          <w:highlight w:val="none"/>
          <w:lang w:eastAsia="zh-CN"/>
        </w:rPr>
        <w:t>投标人</w:t>
      </w:r>
      <w:r>
        <w:rPr>
          <w:rFonts w:hint="eastAsia"/>
          <w:highlight w:val="none"/>
        </w:rPr>
        <w:t>的</w:t>
      </w:r>
      <w:r>
        <w:rPr>
          <w:rFonts w:hint="eastAsia"/>
          <w:highlight w:val="none"/>
          <w:lang w:eastAsia="zh-CN"/>
        </w:rPr>
        <w:t>投标文件</w:t>
      </w:r>
      <w:r>
        <w:rPr>
          <w:rFonts w:hint="eastAsia"/>
          <w:highlight w:val="none"/>
        </w:rPr>
        <w:t>。修改的内容为</w:t>
      </w:r>
      <w:r>
        <w:rPr>
          <w:rFonts w:hint="eastAsia"/>
          <w:highlight w:val="none"/>
          <w:lang w:eastAsia="zh-CN"/>
        </w:rPr>
        <w:t>投标文件</w:t>
      </w:r>
      <w:r>
        <w:rPr>
          <w:rFonts w:hint="eastAsia"/>
          <w:highlight w:val="none"/>
        </w:rPr>
        <w:t>的组成部分，</w:t>
      </w:r>
      <w:r>
        <w:rPr>
          <w:rFonts w:hint="eastAsia"/>
          <w:highlight w:val="none"/>
          <w:lang w:eastAsia="zh-CN"/>
        </w:rPr>
        <w:t>投标文件</w:t>
      </w:r>
      <w:r>
        <w:rPr>
          <w:rFonts w:hint="eastAsia"/>
          <w:highlight w:val="none"/>
        </w:rPr>
        <w:t>的修改文件应按照本章第3</w:t>
      </w:r>
      <w:r>
        <w:rPr>
          <w:rFonts w:hint="eastAsia"/>
          <w:highlight w:val="none"/>
          <w:lang w:eastAsia="zh-CN"/>
        </w:rPr>
        <w:t>条和</w:t>
      </w:r>
      <w:r>
        <w:rPr>
          <w:rFonts w:hint="eastAsia"/>
          <w:highlight w:val="none"/>
        </w:rPr>
        <w:t>第4条的规定进行编制、包装、标记和递交，并标明“修改”字样。</w:t>
      </w:r>
    </w:p>
    <w:p>
      <w:pPr>
        <w:pStyle w:val="4"/>
        <w:ind w:firstLine="482"/>
        <w:jc w:val="left"/>
        <w:rPr>
          <w:rFonts w:hint="eastAsia" w:eastAsia="宋体"/>
          <w:highlight w:val="none"/>
          <w:lang w:eastAsia="zh-CN"/>
        </w:rPr>
      </w:pPr>
      <w:r>
        <w:rPr>
          <w:rFonts w:hint="eastAsia"/>
          <w:highlight w:val="none"/>
        </w:rPr>
        <w:t>5</w:t>
      </w:r>
      <w:r>
        <w:rPr>
          <w:highlight w:val="none"/>
        </w:rPr>
        <w:t xml:space="preserve"> </w:t>
      </w:r>
      <w:r>
        <w:rPr>
          <w:rFonts w:hint="eastAsia"/>
          <w:highlight w:val="none"/>
        </w:rPr>
        <w:t>开启</w:t>
      </w:r>
      <w:r>
        <w:rPr>
          <w:rFonts w:hint="eastAsia"/>
          <w:highlight w:val="none"/>
          <w:lang w:eastAsia="zh-CN"/>
        </w:rPr>
        <w:t>投标文件</w:t>
      </w:r>
    </w:p>
    <w:p>
      <w:pPr>
        <w:pStyle w:val="5"/>
        <w:ind w:firstLine="482"/>
        <w:rPr>
          <w:highlight w:val="none"/>
        </w:rPr>
      </w:pPr>
      <w:r>
        <w:rPr>
          <w:rFonts w:hint="eastAsia"/>
          <w:highlight w:val="none"/>
        </w:rPr>
        <w:t>5</w:t>
      </w:r>
      <w:r>
        <w:rPr>
          <w:highlight w:val="none"/>
        </w:rPr>
        <w:t>.</w:t>
      </w:r>
      <w:r>
        <w:rPr>
          <w:rFonts w:hint="eastAsia"/>
          <w:highlight w:val="none"/>
        </w:rPr>
        <w:t>1</w:t>
      </w:r>
      <w:r>
        <w:rPr>
          <w:highlight w:val="none"/>
        </w:rPr>
        <w:t xml:space="preserve"> </w:t>
      </w:r>
      <w:r>
        <w:rPr>
          <w:rFonts w:hint="eastAsia"/>
          <w:highlight w:val="none"/>
        </w:rPr>
        <w:t>开启</w:t>
      </w:r>
      <w:r>
        <w:rPr>
          <w:rFonts w:hint="eastAsia"/>
          <w:highlight w:val="none"/>
          <w:lang w:eastAsia="zh-CN"/>
        </w:rPr>
        <w:t>投标文件</w:t>
      </w:r>
      <w:r>
        <w:rPr>
          <w:rFonts w:hint="eastAsia"/>
          <w:highlight w:val="none"/>
        </w:rPr>
        <w:t>的时间和地点</w:t>
      </w:r>
    </w:p>
    <w:p>
      <w:pPr>
        <w:ind w:firstLine="480"/>
        <w:rPr>
          <w:highlight w:val="none"/>
        </w:rPr>
      </w:pPr>
      <w:r>
        <w:rPr>
          <w:rFonts w:hint="eastAsia"/>
          <w:highlight w:val="none"/>
        </w:rPr>
        <w:t>本项目邀请所有</w:t>
      </w:r>
      <w:r>
        <w:rPr>
          <w:rFonts w:hint="eastAsia"/>
          <w:highlight w:val="none"/>
          <w:lang w:eastAsia="zh-CN"/>
        </w:rPr>
        <w:t>投标人</w:t>
      </w:r>
      <w:r>
        <w:rPr>
          <w:rFonts w:hint="eastAsia"/>
          <w:highlight w:val="none"/>
        </w:rPr>
        <w:t>的法定代表人或其授权代理人参加现场评审会议。</w:t>
      </w:r>
    </w:p>
    <w:p>
      <w:pPr>
        <w:pStyle w:val="5"/>
        <w:ind w:firstLine="482"/>
        <w:rPr>
          <w:highlight w:val="none"/>
        </w:rPr>
      </w:pPr>
      <w:r>
        <w:rPr>
          <w:rFonts w:hint="eastAsia"/>
          <w:highlight w:val="none"/>
        </w:rPr>
        <w:t>5</w:t>
      </w:r>
      <w:r>
        <w:rPr>
          <w:highlight w:val="none"/>
        </w:rPr>
        <w:t xml:space="preserve">.2 </w:t>
      </w:r>
      <w:r>
        <w:rPr>
          <w:rFonts w:hint="eastAsia"/>
          <w:highlight w:val="none"/>
        </w:rPr>
        <w:t>开启程序</w:t>
      </w:r>
    </w:p>
    <w:p>
      <w:pPr>
        <w:ind w:firstLine="480"/>
        <w:rPr>
          <w:rFonts w:hint="eastAsia" w:eastAsia="宋体"/>
          <w:highlight w:val="none"/>
          <w:lang w:eastAsia="zh-CN"/>
        </w:rPr>
      </w:pPr>
      <w:r>
        <w:rPr>
          <w:rFonts w:hint="eastAsia"/>
          <w:highlight w:val="none"/>
        </w:rPr>
        <w:t>主持人按下列程序公开开启</w:t>
      </w:r>
      <w:r>
        <w:rPr>
          <w:rFonts w:hint="eastAsia"/>
          <w:highlight w:val="none"/>
          <w:lang w:eastAsia="zh-CN"/>
        </w:rPr>
        <w:t>投标文件</w:t>
      </w:r>
    </w:p>
    <w:p>
      <w:pPr>
        <w:ind w:firstLine="480"/>
        <w:rPr>
          <w:highlight w:val="none"/>
        </w:rPr>
      </w:pPr>
      <w:r>
        <w:rPr>
          <w:rFonts w:hint="eastAsia"/>
          <w:highlight w:val="none"/>
        </w:rPr>
        <w:t>（1）宣布开启会议纪律；</w:t>
      </w:r>
    </w:p>
    <w:p>
      <w:pPr>
        <w:ind w:firstLine="480"/>
        <w:rPr>
          <w:highlight w:val="none"/>
        </w:rPr>
      </w:pPr>
      <w:r>
        <w:rPr>
          <w:rFonts w:hint="eastAsia"/>
          <w:highlight w:val="none"/>
        </w:rPr>
        <w:t>（2）宣布参加开启会议的工作人员姓名；</w:t>
      </w:r>
    </w:p>
    <w:p>
      <w:pPr>
        <w:ind w:firstLine="480"/>
        <w:rPr>
          <w:highlight w:val="none"/>
        </w:rPr>
      </w:pPr>
      <w:r>
        <w:rPr>
          <w:rFonts w:hint="eastAsia"/>
          <w:highlight w:val="none"/>
        </w:rPr>
        <w:t>（3）纪检监督员检查确认</w:t>
      </w:r>
      <w:r>
        <w:rPr>
          <w:rFonts w:hint="eastAsia"/>
          <w:highlight w:val="none"/>
          <w:lang w:eastAsia="zh-CN"/>
        </w:rPr>
        <w:t>投标文件</w:t>
      </w:r>
      <w:r>
        <w:rPr>
          <w:rFonts w:hint="eastAsia"/>
          <w:highlight w:val="none"/>
        </w:rPr>
        <w:t>的密封情况；</w:t>
      </w:r>
    </w:p>
    <w:p>
      <w:pPr>
        <w:ind w:firstLine="480"/>
        <w:rPr>
          <w:highlight w:val="none"/>
        </w:rPr>
      </w:pPr>
      <w:r>
        <w:rPr>
          <w:rFonts w:hint="eastAsia"/>
          <w:highlight w:val="none"/>
        </w:rPr>
        <w:t>（4）按照</w:t>
      </w:r>
      <w:r>
        <w:rPr>
          <w:rFonts w:hint="eastAsia"/>
          <w:highlight w:val="none"/>
          <w:lang w:eastAsia="zh-CN"/>
        </w:rPr>
        <w:t>投标人</w:t>
      </w:r>
      <w:r>
        <w:rPr>
          <w:rFonts w:hint="eastAsia"/>
          <w:highlight w:val="none"/>
          <w:lang w:val="en-US" w:eastAsia="zh-CN"/>
        </w:rPr>
        <w:t>须知</w:t>
      </w:r>
      <w:r>
        <w:rPr>
          <w:rFonts w:hint="eastAsia"/>
          <w:highlight w:val="none"/>
        </w:rPr>
        <w:t>前附表规定的开启顺序开启</w:t>
      </w:r>
      <w:r>
        <w:rPr>
          <w:rFonts w:hint="eastAsia"/>
          <w:highlight w:val="none"/>
          <w:lang w:eastAsia="zh-CN"/>
        </w:rPr>
        <w:t>投标文件</w:t>
      </w:r>
      <w:r>
        <w:rPr>
          <w:rFonts w:hint="eastAsia"/>
          <w:highlight w:val="none"/>
        </w:rPr>
        <w:t>，公布递交</w:t>
      </w:r>
      <w:r>
        <w:rPr>
          <w:rFonts w:hint="eastAsia"/>
          <w:highlight w:val="none"/>
          <w:lang w:eastAsia="zh-CN"/>
        </w:rPr>
        <w:t>投标文件</w:t>
      </w:r>
      <w:r>
        <w:rPr>
          <w:rFonts w:hint="eastAsia"/>
          <w:highlight w:val="none"/>
        </w:rPr>
        <w:t>的</w:t>
      </w:r>
      <w:r>
        <w:rPr>
          <w:rFonts w:hint="eastAsia"/>
          <w:highlight w:val="none"/>
          <w:lang w:eastAsia="zh-CN"/>
        </w:rPr>
        <w:t>投标人</w:t>
      </w:r>
      <w:r>
        <w:rPr>
          <w:rFonts w:hint="eastAsia"/>
          <w:highlight w:val="none"/>
        </w:rPr>
        <w:t>名称；</w:t>
      </w:r>
    </w:p>
    <w:p>
      <w:pPr>
        <w:ind w:firstLine="480"/>
        <w:rPr>
          <w:highlight w:val="none"/>
        </w:rPr>
      </w:pPr>
      <w:r>
        <w:rPr>
          <w:rFonts w:hint="eastAsia"/>
          <w:highlight w:val="none"/>
        </w:rPr>
        <w:t>（5）相关工作人员等在</w:t>
      </w:r>
      <w:r>
        <w:rPr>
          <w:rFonts w:hint="eastAsia"/>
          <w:highlight w:val="none"/>
          <w:lang w:eastAsia="zh-CN"/>
        </w:rPr>
        <w:t>投标文件</w:t>
      </w:r>
      <w:r>
        <w:rPr>
          <w:rFonts w:hint="eastAsia"/>
          <w:highlight w:val="none"/>
        </w:rPr>
        <w:t>开启记录上签字确认；</w:t>
      </w:r>
    </w:p>
    <w:p>
      <w:pPr>
        <w:ind w:firstLine="480"/>
        <w:rPr>
          <w:highlight w:val="none"/>
        </w:rPr>
      </w:pPr>
      <w:r>
        <w:rPr>
          <w:rFonts w:hint="eastAsia"/>
          <w:highlight w:val="none"/>
        </w:rPr>
        <w:t>（6）宣布有关注意事项；</w:t>
      </w:r>
    </w:p>
    <w:p>
      <w:pPr>
        <w:ind w:firstLine="480"/>
        <w:rPr>
          <w:highlight w:val="none"/>
        </w:rPr>
      </w:pPr>
      <w:r>
        <w:rPr>
          <w:rFonts w:hint="eastAsia"/>
          <w:highlight w:val="none"/>
        </w:rPr>
        <w:t>（7）开启会议结束。</w:t>
      </w:r>
    </w:p>
    <w:p>
      <w:pPr>
        <w:pStyle w:val="5"/>
        <w:ind w:firstLine="482"/>
        <w:rPr>
          <w:highlight w:val="none"/>
        </w:rPr>
      </w:pPr>
      <w:r>
        <w:rPr>
          <w:rFonts w:hint="eastAsia"/>
          <w:highlight w:val="none"/>
        </w:rPr>
        <w:t>5.3</w:t>
      </w:r>
      <w:r>
        <w:rPr>
          <w:highlight w:val="none"/>
        </w:rPr>
        <w:t xml:space="preserve"> </w:t>
      </w:r>
      <w:r>
        <w:rPr>
          <w:rFonts w:hint="eastAsia"/>
          <w:highlight w:val="none"/>
        </w:rPr>
        <w:t>递交</w:t>
      </w:r>
      <w:r>
        <w:rPr>
          <w:rFonts w:hint="eastAsia"/>
          <w:highlight w:val="none"/>
          <w:lang w:eastAsia="zh-CN"/>
        </w:rPr>
        <w:t>投标文件</w:t>
      </w:r>
      <w:r>
        <w:rPr>
          <w:rFonts w:hint="eastAsia"/>
          <w:highlight w:val="none"/>
        </w:rPr>
        <w:t>的</w:t>
      </w:r>
      <w:r>
        <w:rPr>
          <w:rFonts w:hint="eastAsia"/>
          <w:highlight w:val="none"/>
          <w:lang w:eastAsia="zh-CN"/>
        </w:rPr>
        <w:t>投标人</w:t>
      </w:r>
      <w:r>
        <w:rPr>
          <w:rFonts w:hint="eastAsia"/>
          <w:highlight w:val="none"/>
        </w:rPr>
        <w:t>不足的情形</w:t>
      </w:r>
    </w:p>
    <w:p>
      <w:pPr>
        <w:pStyle w:val="4"/>
        <w:ind w:firstLine="480"/>
        <w:jc w:val="left"/>
        <w:rPr>
          <w:b w:val="0"/>
          <w:bCs w:val="0"/>
          <w:highlight w:val="none"/>
        </w:rPr>
      </w:pPr>
      <w:r>
        <w:rPr>
          <w:rFonts w:hint="eastAsia"/>
          <w:b w:val="0"/>
          <w:bCs w:val="0"/>
          <w:highlight w:val="none"/>
        </w:rPr>
        <w:t>递交</w:t>
      </w:r>
      <w:r>
        <w:rPr>
          <w:rFonts w:hint="eastAsia"/>
          <w:b w:val="0"/>
          <w:bCs w:val="0"/>
          <w:highlight w:val="none"/>
          <w:lang w:eastAsia="zh-CN"/>
        </w:rPr>
        <w:t>投标文件</w:t>
      </w:r>
      <w:r>
        <w:rPr>
          <w:rFonts w:hint="eastAsia"/>
          <w:b w:val="0"/>
          <w:bCs w:val="0"/>
          <w:highlight w:val="none"/>
        </w:rPr>
        <w:t>的</w:t>
      </w:r>
      <w:r>
        <w:rPr>
          <w:rFonts w:hint="eastAsia"/>
          <w:b w:val="0"/>
          <w:bCs w:val="0"/>
          <w:highlight w:val="none"/>
          <w:lang w:eastAsia="zh-CN"/>
        </w:rPr>
        <w:t>投标人</w:t>
      </w:r>
      <w:r>
        <w:rPr>
          <w:rFonts w:hint="eastAsia"/>
          <w:b w:val="0"/>
          <w:bCs w:val="0"/>
          <w:highlight w:val="none"/>
        </w:rPr>
        <w:t>数量不足三家的本项目中止。</w:t>
      </w:r>
    </w:p>
    <w:p>
      <w:pPr>
        <w:pStyle w:val="4"/>
        <w:ind w:firstLine="482"/>
        <w:jc w:val="left"/>
        <w:rPr>
          <w:highlight w:val="none"/>
        </w:rPr>
      </w:pPr>
      <w:r>
        <w:rPr>
          <w:rFonts w:hint="eastAsia"/>
          <w:highlight w:val="none"/>
        </w:rPr>
        <w:t>6</w:t>
      </w:r>
      <w:r>
        <w:rPr>
          <w:highlight w:val="none"/>
        </w:rPr>
        <w:t xml:space="preserve"> </w:t>
      </w:r>
      <w:r>
        <w:rPr>
          <w:rFonts w:hint="eastAsia"/>
          <w:highlight w:val="none"/>
        </w:rPr>
        <w:t>评审</w:t>
      </w:r>
    </w:p>
    <w:p>
      <w:pPr>
        <w:pStyle w:val="5"/>
        <w:ind w:firstLine="482"/>
        <w:rPr>
          <w:highlight w:val="none"/>
        </w:rPr>
      </w:pPr>
      <w:r>
        <w:rPr>
          <w:rFonts w:hint="eastAsia"/>
          <w:highlight w:val="none"/>
        </w:rPr>
        <w:t>6.1</w:t>
      </w:r>
      <w:r>
        <w:rPr>
          <w:highlight w:val="none"/>
        </w:rPr>
        <w:t xml:space="preserve"> </w:t>
      </w:r>
      <w:r>
        <w:rPr>
          <w:rFonts w:hint="eastAsia"/>
          <w:highlight w:val="none"/>
        </w:rPr>
        <w:t>评审小组</w:t>
      </w:r>
    </w:p>
    <w:p>
      <w:pPr>
        <w:ind w:firstLine="480"/>
        <w:rPr>
          <w:highlight w:val="none"/>
        </w:rPr>
      </w:pPr>
      <w:r>
        <w:rPr>
          <w:rFonts w:hint="eastAsia"/>
          <w:highlight w:val="none"/>
        </w:rPr>
        <w:t>6.1.1评审由</w:t>
      </w:r>
      <w:r>
        <w:rPr>
          <w:rFonts w:hint="eastAsia"/>
          <w:highlight w:val="none"/>
          <w:lang w:eastAsia="zh-CN"/>
        </w:rPr>
        <w:t>招标人</w:t>
      </w:r>
      <w:r>
        <w:rPr>
          <w:rFonts w:hint="eastAsia"/>
          <w:highlight w:val="none"/>
        </w:rPr>
        <w:t>组建的评审小组负责，评委的人数见</w:t>
      </w:r>
      <w:r>
        <w:rPr>
          <w:rFonts w:hint="eastAsia"/>
          <w:highlight w:val="none"/>
          <w:lang w:eastAsia="zh-CN"/>
        </w:rPr>
        <w:t>投标人</w:t>
      </w:r>
      <w:r>
        <w:rPr>
          <w:rFonts w:hint="eastAsia"/>
          <w:highlight w:val="none"/>
        </w:rPr>
        <w:t>须知前附表。</w:t>
      </w:r>
    </w:p>
    <w:p>
      <w:pPr>
        <w:ind w:firstLine="480"/>
        <w:rPr>
          <w:highlight w:val="none"/>
        </w:rPr>
      </w:pPr>
      <w:r>
        <w:rPr>
          <w:rFonts w:hint="eastAsia"/>
          <w:highlight w:val="none"/>
        </w:rPr>
        <w:t>6.1.2评审小组成员有下列情形之一的，应当回避：</w:t>
      </w:r>
    </w:p>
    <w:p>
      <w:pPr>
        <w:ind w:firstLine="480"/>
        <w:rPr>
          <w:highlight w:val="none"/>
        </w:rPr>
      </w:pPr>
      <w:r>
        <w:rPr>
          <w:rFonts w:hint="eastAsia"/>
          <w:highlight w:val="none"/>
        </w:rPr>
        <w:t>（1）</w:t>
      </w:r>
      <w:r>
        <w:rPr>
          <w:rFonts w:hint="eastAsia"/>
          <w:highlight w:val="none"/>
          <w:lang w:eastAsia="zh-CN"/>
        </w:rPr>
        <w:t>投标人</w:t>
      </w:r>
      <w:r>
        <w:rPr>
          <w:rFonts w:hint="eastAsia"/>
          <w:highlight w:val="none"/>
        </w:rPr>
        <w:t>主要负责人或</w:t>
      </w:r>
      <w:r>
        <w:rPr>
          <w:rFonts w:hint="eastAsia"/>
          <w:highlight w:val="none"/>
          <w:lang w:eastAsia="zh-CN"/>
        </w:rPr>
        <w:t>投标人</w:t>
      </w:r>
      <w:r>
        <w:rPr>
          <w:rFonts w:hint="eastAsia"/>
          <w:highlight w:val="none"/>
        </w:rPr>
        <w:t>主要负责人的近亲属；</w:t>
      </w:r>
    </w:p>
    <w:p>
      <w:pPr>
        <w:ind w:firstLine="480"/>
        <w:rPr>
          <w:highlight w:val="none"/>
        </w:rPr>
      </w:pPr>
      <w:r>
        <w:rPr>
          <w:rFonts w:hint="eastAsia"/>
          <w:highlight w:val="none"/>
        </w:rPr>
        <w:t>（2）与</w:t>
      </w:r>
      <w:r>
        <w:rPr>
          <w:rFonts w:hint="eastAsia"/>
          <w:highlight w:val="none"/>
          <w:lang w:eastAsia="zh-CN"/>
        </w:rPr>
        <w:t>投标人</w:t>
      </w:r>
      <w:r>
        <w:rPr>
          <w:rFonts w:hint="eastAsia"/>
          <w:highlight w:val="none"/>
        </w:rPr>
        <w:t>有经济利益关系或其他利害关系，可能影响公正评审的。</w:t>
      </w:r>
    </w:p>
    <w:p>
      <w:pPr>
        <w:ind w:firstLine="480"/>
        <w:rPr>
          <w:highlight w:val="none"/>
        </w:rPr>
      </w:pPr>
      <w:r>
        <w:rPr>
          <w:rFonts w:hint="eastAsia"/>
          <w:highlight w:val="none"/>
        </w:rPr>
        <w:t>6.1.3 评审小组组建后，评审小组成员共同推选评审小组组长，评审小组组长负责组织评审工作。</w:t>
      </w:r>
    </w:p>
    <w:p>
      <w:pPr>
        <w:ind w:firstLine="480"/>
        <w:rPr>
          <w:highlight w:val="none"/>
        </w:rPr>
      </w:pPr>
      <w:r>
        <w:rPr>
          <w:rFonts w:hint="eastAsia"/>
          <w:highlight w:val="none"/>
        </w:rPr>
        <w:t>6.1.4在评审过程中评审小组成员对需要共同认定的事项存在争议的，将按照少数服从多数的原则作出结论。持不同意见的评审小组成员应当在评审报告上签署不同意见及理由，否则视为同意评审报告。</w:t>
      </w:r>
    </w:p>
    <w:p>
      <w:pPr>
        <w:pStyle w:val="5"/>
        <w:ind w:firstLine="482"/>
        <w:rPr>
          <w:highlight w:val="none"/>
        </w:rPr>
      </w:pPr>
      <w:r>
        <w:rPr>
          <w:rFonts w:hint="eastAsia"/>
          <w:highlight w:val="none"/>
        </w:rPr>
        <w:t>6.2</w:t>
      </w:r>
      <w:r>
        <w:rPr>
          <w:highlight w:val="none"/>
        </w:rPr>
        <w:t xml:space="preserve"> </w:t>
      </w:r>
      <w:r>
        <w:rPr>
          <w:rFonts w:hint="eastAsia"/>
          <w:highlight w:val="none"/>
        </w:rPr>
        <w:t>评审</w:t>
      </w:r>
    </w:p>
    <w:p>
      <w:pPr>
        <w:ind w:firstLine="480"/>
        <w:rPr>
          <w:highlight w:val="none"/>
        </w:rPr>
      </w:pPr>
      <w:r>
        <w:rPr>
          <w:rFonts w:hint="eastAsia"/>
          <w:highlight w:val="none"/>
        </w:rPr>
        <w:t>6.2</w:t>
      </w:r>
      <w:r>
        <w:rPr>
          <w:highlight w:val="none"/>
        </w:rPr>
        <w:t>.</w:t>
      </w:r>
      <w:r>
        <w:rPr>
          <w:rFonts w:hint="eastAsia"/>
          <w:highlight w:val="none"/>
        </w:rPr>
        <w:t>1评审小组按照第三章“评审方法”规定的评审标准和程序对</w:t>
      </w:r>
      <w:r>
        <w:rPr>
          <w:rFonts w:hint="eastAsia"/>
          <w:highlight w:val="none"/>
          <w:lang w:eastAsia="zh-CN"/>
        </w:rPr>
        <w:t>投标文件</w:t>
      </w:r>
      <w:r>
        <w:rPr>
          <w:rFonts w:hint="eastAsia"/>
          <w:highlight w:val="none"/>
        </w:rPr>
        <w:t>进行评审和比较。</w:t>
      </w:r>
    </w:p>
    <w:p>
      <w:pPr>
        <w:ind w:firstLine="480"/>
        <w:rPr>
          <w:highlight w:val="none"/>
        </w:rPr>
      </w:pPr>
      <w:r>
        <w:rPr>
          <w:rFonts w:hint="eastAsia"/>
          <w:highlight w:val="none"/>
        </w:rPr>
        <w:t>6</w:t>
      </w:r>
      <w:r>
        <w:rPr>
          <w:highlight w:val="none"/>
        </w:rPr>
        <w:t>.2.2</w:t>
      </w:r>
      <w:r>
        <w:rPr>
          <w:rFonts w:hint="eastAsia"/>
          <w:highlight w:val="none"/>
        </w:rPr>
        <w:t>评审时发现</w:t>
      </w:r>
      <w:r>
        <w:rPr>
          <w:rFonts w:hint="eastAsia"/>
          <w:highlight w:val="none"/>
          <w:lang w:eastAsia="zh-CN"/>
        </w:rPr>
        <w:t>投标人</w:t>
      </w:r>
      <w:r>
        <w:rPr>
          <w:rFonts w:hint="eastAsia"/>
          <w:highlight w:val="none"/>
        </w:rPr>
        <w:t>有串通报价、弄虚作假等违法行为的，其</w:t>
      </w:r>
      <w:r>
        <w:rPr>
          <w:rFonts w:hint="eastAsia"/>
          <w:highlight w:val="none"/>
          <w:lang w:eastAsia="zh-CN"/>
        </w:rPr>
        <w:t>投标文件</w:t>
      </w:r>
      <w:r>
        <w:rPr>
          <w:rFonts w:hint="eastAsia"/>
          <w:highlight w:val="none"/>
        </w:rPr>
        <w:t>将被视为无效。</w:t>
      </w:r>
    </w:p>
    <w:p>
      <w:pPr>
        <w:ind w:firstLine="480"/>
        <w:rPr>
          <w:highlight w:val="none"/>
        </w:rPr>
      </w:pPr>
      <w:r>
        <w:rPr>
          <w:rFonts w:hint="eastAsia"/>
          <w:highlight w:val="none"/>
        </w:rPr>
        <w:t>6.2.</w:t>
      </w:r>
      <w:r>
        <w:rPr>
          <w:highlight w:val="none"/>
        </w:rPr>
        <w:t>3</w:t>
      </w:r>
      <w:r>
        <w:rPr>
          <w:rFonts w:hint="eastAsia"/>
          <w:highlight w:val="none"/>
        </w:rPr>
        <w:t>评审完成后，评审小组应当向</w:t>
      </w:r>
      <w:r>
        <w:rPr>
          <w:rFonts w:hint="eastAsia"/>
          <w:highlight w:val="none"/>
          <w:lang w:eastAsia="zh-CN"/>
        </w:rPr>
        <w:t>招标人</w:t>
      </w:r>
      <w:r>
        <w:rPr>
          <w:rFonts w:hint="eastAsia"/>
          <w:highlight w:val="none"/>
        </w:rPr>
        <w:t>提交书面评审报告和</w:t>
      </w:r>
      <w:r>
        <w:rPr>
          <w:rFonts w:hint="eastAsia"/>
          <w:highlight w:val="none"/>
          <w:lang w:val="en-US" w:eastAsia="zh-CN"/>
        </w:rPr>
        <w:t>中标候选人</w:t>
      </w:r>
      <w:r>
        <w:rPr>
          <w:rFonts w:hint="eastAsia"/>
          <w:highlight w:val="none"/>
        </w:rPr>
        <w:t>名单。评审小组推荐</w:t>
      </w:r>
      <w:r>
        <w:rPr>
          <w:rFonts w:hint="eastAsia"/>
          <w:highlight w:val="none"/>
          <w:lang w:val="en-US" w:eastAsia="zh-CN"/>
        </w:rPr>
        <w:t>中标候选人</w:t>
      </w:r>
      <w:r>
        <w:rPr>
          <w:rFonts w:hint="eastAsia"/>
          <w:highlight w:val="none"/>
        </w:rPr>
        <w:t>的排序要求及数量见</w:t>
      </w:r>
      <w:r>
        <w:rPr>
          <w:rFonts w:hint="eastAsia"/>
          <w:highlight w:val="none"/>
          <w:lang w:eastAsia="zh-CN"/>
        </w:rPr>
        <w:t>投标人</w:t>
      </w:r>
      <w:r>
        <w:rPr>
          <w:rFonts w:hint="eastAsia"/>
          <w:highlight w:val="none"/>
        </w:rPr>
        <w:t>须知前附表。</w:t>
      </w:r>
    </w:p>
    <w:p>
      <w:pPr>
        <w:pStyle w:val="5"/>
        <w:ind w:firstLine="482"/>
        <w:rPr>
          <w:highlight w:val="none"/>
        </w:rPr>
      </w:pPr>
      <w:r>
        <w:rPr>
          <w:rFonts w:hint="eastAsia"/>
          <w:highlight w:val="none"/>
        </w:rPr>
        <w:t>6.3</w:t>
      </w:r>
      <w:r>
        <w:rPr>
          <w:highlight w:val="none"/>
        </w:rPr>
        <w:t xml:space="preserve"> </w:t>
      </w:r>
      <w:r>
        <w:rPr>
          <w:rFonts w:hint="eastAsia"/>
          <w:highlight w:val="none"/>
        </w:rPr>
        <w:t>定标</w:t>
      </w:r>
    </w:p>
    <w:p>
      <w:pPr>
        <w:ind w:firstLine="482"/>
        <w:rPr>
          <w:highlight w:val="none"/>
        </w:rPr>
      </w:pPr>
      <w:r>
        <w:rPr>
          <w:rFonts w:hint="eastAsia"/>
          <w:b/>
          <w:bCs/>
          <w:highlight w:val="none"/>
        </w:rPr>
        <w:t>按照须知前附表的规定，授权评审小组依法确定</w:t>
      </w:r>
      <w:r>
        <w:rPr>
          <w:rFonts w:hint="eastAsia"/>
          <w:b/>
          <w:bCs/>
          <w:highlight w:val="none"/>
          <w:lang w:val="en-US" w:eastAsia="zh-CN"/>
        </w:rPr>
        <w:t>中标候选人</w:t>
      </w:r>
      <w:r>
        <w:rPr>
          <w:rFonts w:hint="eastAsia"/>
          <w:b/>
          <w:bCs/>
          <w:highlight w:val="none"/>
        </w:rPr>
        <w:t>。</w:t>
      </w:r>
    </w:p>
    <w:p>
      <w:pPr>
        <w:pStyle w:val="4"/>
        <w:ind w:firstLine="482"/>
        <w:jc w:val="left"/>
        <w:rPr>
          <w:highlight w:val="none"/>
        </w:rPr>
      </w:pPr>
      <w:r>
        <w:rPr>
          <w:rFonts w:hint="eastAsia"/>
          <w:highlight w:val="none"/>
        </w:rPr>
        <w:t>7</w:t>
      </w:r>
      <w:r>
        <w:rPr>
          <w:highlight w:val="none"/>
        </w:rPr>
        <w:t xml:space="preserve"> </w:t>
      </w:r>
      <w:r>
        <w:rPr>
          <w:rFonts w:hint="eastAsia"/>
          <w:highlight w:val="none"/>
        </w:rPr>
        <w:t>合同授予</w:t>
      </w:r>
    </w:p>
    <w:p>
      <w:pPr>
        <w:pStyle w:val="5"/>
        <w:ind w:firstLine="482"/>
        <w:rPr>
          <w:rFonts w:hint="eastAsia" w:eastAsia="宋体"/>
          <w:highlight w:val="none"/>
          <w:lang w:val="en-US" w:eastAsia="zh-CN"/>
        </w:rPr>
      </w:pPr>
      <w:r>
        <w:rPr>
          <w:rFonts w:hint="eastAsia"/>
          <w:highlight w:val="none"/>
        </w:rPr>
        <w:t>7.</w:t>
      </w:r>
      <w:r>
        <w:rPr>
          <w:highlight w:val="none"/>
        </w:rPr>
        <w:t>1</w:t>
      </w:r>
      <w:r>
        <w:rPr>
          <w:rFonts w:hint="eastAsia"/>
          <w:highlight w:val="none"/>
        </w:rPr>
        <w:t>确定</w:t>
      </w:r>
      <w:r>
        <w:rPr>
          <w:rFonts w:hint="eastAsia"/>
          <w:highlight w:val="none"/>
          <w:lang w:val="en-US" w:eastAsia="zh-CN"/>
        </w:rPr>
        <w:t>中标人</w:t>
      </w:r>
    </w:p>
    <w:p>
      <w:pPr>
        <w:ind w:firstLine="480"/>
        <w:rPr>
          <w:highlight w:val="none"/>
        </w:rPr>
      </w:pPr>
      <w:r>
        <w:rPr>
          <w:rFonts w:hint="eastAsia"/>
          <w:highlight w:val="none"/>
          <w:lang w:eastAsia="zh-CN"/>
        </w:rPr>
        <w:t>招标人</w:t>
      </w:r>
      <w:r>
        <w:rPr>
          <w:rFonts w:hint="eastAsia"/>
          <w:highlight w:val="none"/>
        </w:rPr>
        <w:t>依据评审小组推荐的</w:t>
      </w:r>
      <w:r>
        <w:rPr>
          <w:rFonts w:hint="eastAsia"/>
          <w:highlight w:val="none"/>
          <w:lang w:val="en-US" w:eastAsia="zh-CN"/>
        </w:rPr>
        <w:t>中标候选人</w:t>
      </w:r>
      <w:r>
        <w:rPr>
          <w:rFonts w:hint="eastAsia"/>
          <w:highlight w:val="none"/>
        </w:rPr>
        <w:t>确定</w:t>
      </w:r>
      <w:r>
        <w:rPr>
          <w:rFonts w:hint="eastAsia"/>
          <w:highlight w:val="none"/>
          <w:lang w:val="en-US" w:eastAsia="zh-CN"/>
        </w:rPr>
        <w:t>中标人</w:t>
      </w:r>
      <w:r>
        <w:rPr>
          <w:rFonts w:hint="eastAsia"/>
          <w:highlight w:val="none"/>
        </w:rPr>
        <w:t>。</w:t>
      </w:r>
    </w:p>
    <w:p>
      <w:pPr>
        <w:pStyle w:val="5"/>
        <w:ind w:firstLine="482"/>
        <w:rPr>
          <w:highlight w:val="none"/>
        </w:rPr>
      </w:pPr>
      <w:r>
        <w:rPr>
          <w:rFonts w:hint="eastAsia"/>
          <w:highlight w:val="none"/>
        </w:rPr>
        <w:t>7.</w:t>
      </w:r>
      <w:r>
        <w:rPr>
          <w:highlight w:val="none"/>
        </w:rPr>
        <w:t>2</w:t>
      </w:r>
      <w:r>
        <w:rPr>
          <w:rFonts w:hint="eastAsia"/>
          <w:highlight w:val="none"/>
          <w:lang w:val="en-US" w:eastAsia="zh-CN"/>
        </w:rPr>
        <w:t>中标候选人</w:t>
      </w:r>
      <w:r>
        <w:rPr>
          <w:rFonts w:hint="eastAsia"/>
          <w:highlight w:val="none"/>
        </w:rPr>
        <w:t>公示</w:t>
      </w:r>
    </w:p>
    <w:p>
      <w:pPr>
        <w:ind w:firstLine="480"/>
        <w:rPr>
          <w:highlight w:val="none"/>
        </w:rPr>
      </w:pPr>
      <w:r>
        <w:rPr>
          <w:rFonts w:hint="eastAsia"/>
          <w:highlight w:val="none"/>
          <w:lang w:eastAsia="zh-CN"/>
        </w:rPr>
        <w:t>中标</w:t>
      </w:r>
      <w:r>
        <w:rPr>
          <w:rFonts w:hint="eastAsia"/>
          <w:highlight w:val="none"/>
          <w:lang w:val="en-US" w:eastAsia="zh-CN"/>
        </w:rPr>
        <w:t>候选人</w:t>
      </w:r>
      <w:r>
        <w:rPr>
          <w:rFonts w:hint="eastAsia"/>
          <w:highlight w:val="none"/>
        </w:rPr>
        <w:t>选定后，</w:t>
      </w:r>
      <w:r>
        <w:rPr>
          <w:rFonts w:hint="eastAsia"/>
          <w:highlight w:val="none"/>
          <w:lang w:eastAsia="zh-CN"/>
        </w:rPr>
        <w:t>招标人</w:t>
      </w:r>
      <w:r>
        <w:rPr>
          <w:rFonts w:hint="eastAsia"/>
          <w:highlight w:val="none"/>
        </w:rPr>
        <w:t>将在“南通轨道交通官方网站（https://www.ntrailway.com/）”发布</w:t>
      </w:r>
      <w:r>
        <w:rPr>
          <w:rFonts w:hint="eastAsia"/>
          <w:highlight w:val="none"/>
          <w:lang w:val="en-US" w:eastAsia="zh-CN"/>
        </w:rPr>
        <w:t>中标候选人</w:t>
      </w:r>
      <w:r>
        <w:rPr>
          <w:rFonts w:hint="eastAsia"/>
          <w:highlight w:val="none"/>
        </w:rPr>
        <w:t>公示。</w:t>
      </w:r>
    </w:p>
    <w:p>
      <w:pPr>
        <w:pStyle w:val="5"/>
        <w:ind w:firstLine="482"/>
        <w:rPr>
          <w:highlight w:val="none"/>
        </w:rPr>
      </w:pPr>
      <w:r>
        <w:rPr>
          <w:rFonts w:hint="eastAsia"/>
          <w:highlight w:val="none"/>
        </w:rPr>
        <w:t>7</w:t>
      </w:r>
      <w:r>
        <w:rPr>
          <w:highlight w:val="none"/>
        </w:rPr>
        <w:t>.3</w:t>
      </w:r>
      <w:r>
        <w:rPr>
          <w:rFonts w:hint="eastAsia"/>
          <w:highlight w:val="none"/>
        </w:rPr>
        <w:t>发出成交通知书</w:t>
      </w:r>
    </w:p>
    <w:p>
      <w:pPr>
        <w:ind w:firstLine="480"/>
        <w:rPr>
          <w:highlight w:val="none"/>
        </w:rPr>
      </w:pPr>
      <w:r>
        <w:rPr>
          <w:rFonts w:hint="eastAsia"/>
          <w:highlight w:val="none"/>
        </w:rPr>
        <w:t>公示期结束后，</w:t>
      </w:r>
      <w:r>
        <w:rPr>
          <w:rFonts w:hint="eastAsia"/>
          <w:highlight w:val="none"/>
          <w:lang w:eastAsia="zh-CN"/>
        </w:rPr>
        <w:t>招标人</w:t>
      </w:r>
      <w:r>
        <w:rPr>
          <w:rFonts w:hint="eastAsia"/>
          <w:highlight w:val="none"/>
        </w:rPr>
        <w:t>以书面形式向</w:t>
      </w:r>
      <w:r>
        <w:rPr>
          <w:rFonts w:hint="eastAsia"/>
          <w:highlight w:val="none"/>
          <w:lang w:eastAsia="zh-CN"/>
        </w:rPr>
        <w:t>中标人</w:t>
      </w:r>
      <w:r>
        <w:rPr>
          <w:rFonts w:hint="eastAsia"/>
          <w:highlight w:val="none"/>
        </w:rPr>
        <w:t>发出成交通知书。</w:t>
      </w:r>
    </w:p>
    <w:p>
      <w:pPr>
        <w:pStyle w:val="5"/>
        <w:ind w:firstLine="482"/>
        <w:rPr>
          <w:highlight w:val="none"/>
        </w:rPr>
      </w:pPr>
      <w:r>
        <w:rPr>
          <w:rFonts w:hint="eastAsia"/>
          <w:highlight w:val="none"/>
        </w:rPr>
        <w:t>7</w:t>
      </w:r>
      <w:r>
        <w:rPr>
          <w:highlight w:val="none"/>
        </w:rPr>
        <w:t>.4</w:t>
      </w:r>
      <w:r>
        <w:rPr>
          <w:rFonts w:hint="eastAsia"/>
          <w:highlight w:val="none"/>
        </w:rPr>
        <w:t>履约保证金</w:t>
      </w:r>
    </w:p>
    <w:p>
      <w:pPr>
        <w:ind w:firstLine="480"/>
        <w:rPr>
          <w:highlight w:val="none"/>
        </w:rPr>
      </w:pPr>
      <w:r>
        <w:rPr>
          <w:rFonts w:hint="eastAsia"/>
          <w:highlight w:val="none"/>
          <w:lang w:eastAsia="zh-CN"/>
        </w:rPr>
        <w:t>中标人</w:t>
      </w:r>
      <w:r>
        <w:rPr>
          <w:rFonts w:hint="eastAsia"/>
          <w:highlight w:val="none"/>
        </w:rPr>
        <w:t>应按</w:t>
      </w:r>
      <w:r>
        <w:rPr>
          <w:rFonts w:hint="eastAsia"/>
          <w:highlight w:val="none"/>
          <w:lang w:eastAsia="zh-CN"/>
        </w:rPr>
        <w:t>投标人</w:t>
      </w:r>
      <w:r>
        <w:rPr>
          <w:rFonts w:hint="eastAsia"/>
          <w:highlight w:val="none"/>
        </w:rPr>
        <w:t>须知前附表规定的形式、有效期限和递交时间向</w:t>
      </w:r>
      <w:r>
        <w:rPr>
          <w:rFonts w:hint="eastAsia"/>
          <w:highlight w:val="none"/>
          <w:lang w:eastAsia="zh-CN"/>
        </w:rPr>
        <w:t>招标人</w:t>
      </w:r>
      <w:r>
        <w:rPr>
          <w:rFonts w:hint="eastAsia"/>
          <w:highlight w:val="none"/>
        </w:rPr>
        <w:t>递交履约保证金。</w:t>
      </w:r>
    </w:p>
    <w:p>
      <w:pPr>
        <w:pStyle w:val="5"/>
        <w:ind w:firstLine="482"/>
        <w:rPr>
          <w:highlight w:val="none"/>
        </w:rPr>
      </w:pPr>
      <w:r>
        <w:rPr>
          <w:rFonts w:hint="eastAsia"/>
          <w:highlight w:val="none"/>
        </w:rPr>
        <w:t>7.</w:t>
      </w:r>
      <w:r>
        <w:rPr>
          <w:highlight w:val="none"/>
        </w:rPr>
        <w:t>5</w:t>
      </w:r>
      <w:r>
        <w:rPr>
          <w:rFonts w:hint="eastAsia"/>
          <w:highlight w:val="none"/>
        </w:rPr>
        <w:t>签订合同</w:t>
      </w:r>
    </w:p>
    <w:p>
      <w:pPr>
        <w:ind w:firstLine="480"/>
        <w:rPr>
          <w:highlight w:val="none"/>
        </w:rPr>
      </w:pPr>
      <w:r>
        <w:rPr>
          <w:rFonts w:hint="eastAsia"/>
          <w:highlight w:val="none"/>
        </w:rPr>
        <w:t>7</w:t>
      </w:r>
      <w:r>
        <w:rPr>
          <w:highlight w:val="none"/>
        </w:rPr>
        <w:t>.5</w:t>
      </w:r>
      <w:r>
        <w:rPr>
          <w:rFonts w:hint="eastAsia"/>
          <w:highlight w:val="none"/>
        </w:rPr>
        <w:t>.1</w:t>
      </w:r>
      <w:r>
        <w:rPr>
          <w:rFonts w:hint="eastAsia"/>
          <w:highlight w:val="none"/>
          <w:lang w:eastAsia="zh-CN"/>
        </w:rPr>
        <w:t>招标人</w:t>
      </w:r>
      <w:r>
        <w:rPr>
          <w:rFonts w:hint="eastAsia"/>
          <w:highlight w:val="none"/>
        </w:rPr>
        <w:t>和</w:t>
      </w:r>
      <w:r>
        <w:rPr>
          <w:rFonts w:hint="eastAsia"/>
          <w:highlight w:val="none"/>
          <w:lang w:eastAsia="zh-CN"/>
        </w:rPr>
        <w:t>中标人</w:t>
      </w:r>
      <w:r>
        <w:rPr>
          <w:rFonts w:hint="eastAsia"/>
          <w:highlight w:val="none"/>
        </w:rPr>
        <w:t>应当在成交通知书规定的期限内，根据</w:t>
      </w:r>
      <w:r>
        <w:rPr>
          <w:rFonts w:hint="eastAsia"/>
          <w:highlight w:val="none"/>
          <w:lang w:eastAsia="zh-CN"/>
        </w:rPr>
        <w:t>招标文件</w:t>
      </w:r>
      <w:r>
        <w:rPr>
          <w:rFonts w:hint="eastAsia"/>
          <w:highlight w:val="none"/>
        </w:rPr>
        <w:t>和</w:t>
      </w:r>
      <w:r>
        <w:rPr>
          <w:rFonts w:hint="eastAsia"/>
          <w:highlight w:val="none"/>
          <w:lang w:eastAsia="zh-CN"/>
        </w:rPr>
        <w:t>中标人</w:t>
      </w:r>
      <w:r>
        <w:rPr>
          <w:rFonts w:hint="eastAsia"/>
          <w:highlight w:val="none"/>
        </w:rPr>
        <w:t>的</w:t>
      </w:r>
      <w:r>
        <w:rPr>
          <w:rFonts w:hint="eastAsia"/>
          <w:highlight w:val="none"/>
          <w:lang w:eastAsia="zh-CN"/>
        </w:rPr>
        <w:t>投标文件</w:t>
      </w:r>
      <w:r>
        <w:rPr>
          <w:rFonts w:hint="eastAsia"/>
          <w:highlight w:val="none"/>
        </w:rPr>
        <w:t>订立书面合同。</w:t>
      </w:r>
    </w:p>
    <w:p>
      <w:pPr>
        <w:ind w:firstLine="480"/>
        <w:rPr>
          <w:highlight w:val="none"/>
        </w:rPr>
      </w:pPr>
      <w:r>
        <w:rPr>
          <w:rFonts w:hint="eastAsia"/>
          <w:highlight w:val="none"/>
        </w:rPr>
        <w:t>7.</w:t>
      </w:r>
      <w:r>
        <w:rPr>
          <w:highlight w:val="none"/>
        </w:rPr>
        <w:t>5</w:t>
      </w:r>
      <w:r>
        <w:rPr>
          <w:rFonts w:hint="eastAsia"/>
          <w:highlight w:val="none"/>
        </w:rPr>
        <w:t>.</w:t>
      </w:r>
      <w:r>
        <w:rPr>
          <w:highlight w:val="none"/>
        </w:rPr>
        <w:t>2</w:t>
      </w:r>
      <w:r>
        <w:rPr>
          <w:rFonts w:hint="eastAsia"/>
          <w:highlight w:val="none"/>
        </w:rPr>
        <w:t>除</w:t>
      </w:r>
      <w:r>
        <w:rPr>
          <w:rFonts w:hint="eastAsia"/>
          <w:highlight w:val="none"/>
          <w:lang w:eastAsia="zh-CN"/>
        </w:rPr>
        <w:t>投标人</w:t>
      </w:r>
      <w:r>
        <w:rPr>
          <w:rFonts w:hint="eastAsia"/>
          <w:highlight w:val="none"/>
        </w:rPr>
        <w:t>须知前附表另有规定外，按照第三章“评审方法”规定对响应报价进行修正后，若修正后的响应报价小于按照第三章“评审方法”规定确定的评审价格，则签订合同时以修正后的响应报价为准。</w:t>
      </w:r>
    </w:p>
    <w:p>
      <w:pPr>
        <w:pStyle w:val="4"/>
        <w:ind w:firstLine="482"/>
        <w:jc w:val="left"/>
        <w:rPr>
          <w:highlight w:val="none"/>
        </w:rPr>
      </w:pPr>
      <w:r>
        <w:rPr>
          <w:rFonts w:hint="eastAsia"/>
          <w:highlight w:val="none"/>
        </w:rPr>
        <w:t>8</w:t>
      </w:r>
      <w:r>
        <w:rPr>
          <w:highlight w:val="none"/>
        </w:rPr>
        <w:t xml:space="preserve"> </w:t>
      </w:r>
      <w:r>
        <w:rPr>
          <w:rFonts w:hint="eastAsia"/>
          <w:highlight w:val="none"/>
        </w:rPr>
        <w:t>监督与异议</w:t>
      </w:r>
    </w:p>
    <w:p>
      <w:pPr>
        <w:ind w:firstLine="480"/>
        <w:rPr>
          <w:highlight w:val="none"/>
        </w:rPr>
      </w:pPr>
      <w:r>
        <w:rPr>
          <w:rFonts w:hint="eastAsia"/>
          <w:highlight w:val="none"/>
        </w:rPr>
        <w:t>8.1监督部门及联系方式见</w:t>
      </w:r>
      <w:r>
        <w:rPr>
          <w:rFonts w:hint="eastAsia"/>
          <w:highlight w:val="none"/>
          <w:lang w:eastAsia="zh-CN"/>
        </w:rPr>
        <w:t>投标人</w:t>
      </w:r>
      <w:r>
        <w:rPr>
          <w:rFonts w:hint="eastAsia"/>
          <w:highlight w:val="none"/>
        </w:rPr>
        <w:t>须知前附表。</w:t>
      </w:r>
    </w:p>
    <w:p>
      <w:pPr>
        <w:ind w:firstLine="480"/>
        <w:rPr>
          <w:highlight w:val="none"/>
        </w:rPr>
      </w:pPr>
      <w:r>
        <w:rPr>
          <w:rFonts w:hint="eastAsia"/>
          <w:highlight w:val="none"/>
        </w:rPr>
        <w:t>8.2</w:t>
      </w:r>
      <w:r>
        <w:rPr>
          <w:rFonts w:hint="eastAsia"/>
          <w:highlight w:val="none"/>
          <w:lang w:eastAsia="zh-CN"/>
        </w:rPr>
        <w:t>投标人</w:t>
      </w:r>
      <w:r>
        <w:rPr>
          <w:rFonts w:hint="eastAsia"/>
          <w:highlight w:val="none"/>
        </w:rPr>
        <w:t>或者其他利害关系人可以对成交结果提出异议。异议应在成交结果公示期间以书面形式向监督部门提出，并递交异议函和必要的证明材料，异议函包括但不限于下列内容：</w:t>
      </w:r>
    </w:p>
    <w:p>
      <w:pPr>
        <w:ind w:firstLine="480"/>
        <w:rPr>
          <w:highlight w:val="none"/>
        </w:rPr>
      </w:pPr>
      <w:r>
        <w:rPr>
          <w:rFonts w:hint="eastAsia"/>
          <w:highlight w:val="none"/>
        </w:rPr>
        <w:t>（1）异议人名称、地址、邮政编码、联系人及联系电话：</w:t>
      </w:r>
    </w:p>
    <w:p>
      <w:pPr>
        <w:ind w:firstLine="480"/>
        <w:rPr>
          <w:highlight w:val="none"/>
        </w:rPr>
      </w:pPr>
      <w:r>
        <w:rPr>
          <w:rFonts w:hint="eastAsia"/>
          <w:highlight w:val="none"/>
        </w:rPr>
        <w:t>（2）具体、明确的异议事项、事实依据及与异议事项相关的请求。</w:t>
      </w:r>
    </w:p>
    <w:p>
      <w:pPr>
        <w:ind w:firstLine="480"/>
        <w:rPr>
          <w:highlight w:val="none"/>
        </w:rPr>
      </w:pPr>
      <w:r>
        <w:rPr>
          <w:rFonts w:hint="eastAsia"/>
          <w:highlight w:val="none"/>
        </w:rPr>
        <w:t>（3）异议函应由异议人的法定代表人（单位负责人）或其授权的代理人签字并加盖印章。</w:t>
      </w:r>
    </w:p>
    <w:p>
      <w:pPr>
        <w:ind w:firstLine="480"/>
        <w:rPr>
          <w:highlight w:val="none"/>
        </w:rPr>
      </w:pPr>
      <w:r>
        <w:rPr>
          <w:rFonts w:hint="eastAsia"/>
          <w:highlight w:val="none"/>
          <w:lang w:eastAsia="zh-CN"/>
        </w:rPr>
        <w:t>投标人</w:t>
      </w:r>
      <w:r>
        <w:rPr>
          <w:rFonts w:hint="eastAsia"/>
          <w:highlight w:val="none"/>
        </w:rPr>
        <w:t>或者其他利害关系人未按照本条要求提出的异议不予受理。</w:t>
      </w:r>
    </w:p>
    <w:p>
      <w:pPr>
        <w:pStyle w:val="4"/>
        <w:ind w:firstLine="482"/>
        <w:jc w:val="left"/>
        <w:rPr>
          <w:highlight w:val="none"/>
        </w:rPr>
      </w:pPr>
      <w:r>
        <w:rPr>
          <w:rFonts w:hint="eastAsia"/>
          <w:highlight w:val="none"/>
        </w:rPr>
        <w:t>9</w:t>
      </w:r>
      <w:r>
        <w:rPr>
          <w:highlight w:val="none"/>
        </w:rPr>
        <w:t xml:space="preserve"> </w:t>
      </w:r>
      <w:r>
        <w:rPr>
          <w:rFonts w:hint="eastAsia"/>
          <w:highlight w:val="none"/>
        </w:rPr>
        <w:t>纪律要求</w:t>
      </w:r>
    </w:p>
    <w:p>
      <w:pPr>
        <w:pStyle w:val="5"/>
        <w:ind w:firstLine="482"/>
        <w:rPr>
          <w:highlight w:val="none"/>
        </w:rPr>
      </w:pPr>
      <w:r>
        <w:rPr>
          <w:rFonts w:hint="eastAsia"/>
          <w:highlight w:val="none"/>
        </w:rPr>
        <w:t>9.1对</w:t>
      </w:r>
      <w:r>
        <w:rPr>
          <w:rFonts w:hint="eastAsia"/>
          <w:highlight w:val="none"/>
          <w:lang w:eastAsia="zh-CN"/>
        </w:rPr>
        <w:t>招标人</w:t>
      </w:r>
      <w:r>
        <w:rPr>
          <w:rFonts w:hint="eastAsia"/>
          <w:highlight w:val="none"/>
        </w:rPr>
        <w:t>的纪律要求</w:t>
      </w:r>
    </w:p>
    <w:p>
      <w:pPr>
        <w:ind w:firstLine="480"/>
        <w:rPr>
          <w:highlight w:val="none"/>
        </w:rPr>
      </w:pPr>
      <w:r>
        <w:rPr>
          <w:rFonts w:hint="eastAsia"/>
          <w:highlight w:val="none"/>
          <w:lang w:eastAsia="zh-CN"/>
        </w:rPr>
        <w:t>招标人</w:t>
      </w:r>
      <w:r>
        <w:rPr>
          <w:rFonts w:hint="eastAsia"/>
          <w:highlight w:val="none"/>
        </w:rPr>
        <w:t>不得泄露采购活动中应当保密的情况和资料，不得与</w:t>
      </w:r>
      <w:r>
        <w:rPr>
          <w:rFonts w:hint="eastAsia"/>
          <w:highlight w:val="none"/>
          <w:lang w:eastAsia="zh-CN"/>
        </w:rPr>
        <w:t>投标人</w:t>
      </w:r>
      <w:r>
        <w:rPr>
          <w:rFonts w:hint="eastAsia"/>
          <w:highlight w:val="none"/>
        </w:rPr>
        <w:t>串通损害国家利益、社会公共利益或者他人合法权益。</w:t>
      </w:r>
    </w:p>
    <w:p>
      <w:pPr>
        <w:pStyle w:val="5"/>
        <w:ind w:firstLine="482"/>
        <w:rPr>
          <w:highlight w:val="none"/>
        </w:rPr>
      </w:pPr>
      <w:r>
        <w:rPr>
          <w:rFonts w:hint="eastAsia"/>
          <w:highlight w:val="none"/>
        </w:rPr>
        <w:t>9.2对</w:t>
      </w:r>
      <w:r>
        <w:rPr>
          <w:rFonts w:hint="eastAsia"/>
          <w:highlight w:val="none"/>
          <w:lang w:eastAsia="zh-CN"/>
        </w:rPr>
        <w:t>投标人</w:t>
      </w:r>
      <w:r>
        <w:rPr>
          <w:rFonts w:hint="eastAsia"/>
          <w:highlight w:val="none"/>
        </w:rPr>
        <w:t>的纪律要求</w:t>
      </w:r>
    </w:p>
    <w:p>
      <w:pPr>
        <w:ind w:firstLine="480"/>
        <w:rPr>
          <w:highlight w:val="none"/>
        </w:rPr>
      </w:pPr>
      <w:r>
        <w:rPr>
          <w:rFonts w:hint="eastAsia"/>
          <w:highlight w:val="none"/>
          <w:lang w:eastAsia="zh-CN"/>
        </w:rPr>
        <w:t>投标人</w:t>
      </w:r>
      <w:r>
        <w:rPr>
          <w:rFonts w:hint="eastAsia"/>
          <w:highlight w:val="none"/>
        </w:rPr>
        <w:t>不得相互串通或者与</w:t>
      </w:r>
      <w:r>
        <w:rPr>
          <w:rFonts w:hint="eastAsia"/>
          <w:highlight w:val="none"/>
          <w:lang w:eastAsia="zh-CN"/>
        </w:rPr>
        <w:t>招标人</w:t>
      </w:r>
      <w:r>
        <w:rPr>
          <w:rFonts w:hint="eastAsia"/>
          <w:highlight w:val="none"/>
        </w:rPr>
        <w:t>串通，不得向</w:t>
      </w:r>
      <w:r>
        <w:rPr>
          <w:rFonts w:hint="eastAsia"/>
          <w:highlight w:val="none"/>
          <w:lang w:eastAsia="zh-CN"/>
        </w:rPr>
        <w:t>招标人</w:t>
      </w:r>
      <w:r>
        <w:rPr>
          <w:rFonts w:hint="eastAsia"/>
          <w:highlight w:val="none"/>
        </w:rPr>
        <w:t>或者评审小组成员行贿谋取成交，不得以他人名义参加采购活动或者以其他方式弄虚作假骗取成交；</w:t>
      </w:r>
      <w:r>
        <w:rPr>
          <w:rFonts w:hint="eastAsia"/>
          <w:highlight w:val="none"/>
          <w:lang w:eastAsia="zh-CN"/>
        </w:rPr>
        <w:t>投标人</w:t>
      </w:r>
      <w:r>
        <w:rPr>
          <w:rFonts w:hint="eastAsia"/>
          <w:highlight w:val="none"/>
        </w:rPr>
        <w:t>不得以任何方式干扰、影响评审工作。</w:t>
      </w:r>
    </w:p>
    <w:p>
      <w:pPr>
        <w:pStyle w:val="5"/>
        <w:ind w:firstLine="482"/>
        <w:rPr>
          <w:highlight w:val="none"/>
        </w:rPr>
      </w:pPr>
      <w:r>
        <w:rPr>
          <w:rFonts w:hint="eastAsia"/>
          <w:highlight w:val="none"/>
        </w:rPr>
        <w:t>9.3对评审小组成员的纪律要求</w:t>
      </w:r>
    </w:p>
    <w:p>
      <w:pPr>
        <w:ind w:firstLine="480"/>
        <w:rPr>
          <w:highlight w:val="none"/>
        </w:rPr>
      </w:pPr>
      <w:r>
        <w:rPr>
          <w:rFonts w:hint="eastAsia"/>
          <w:highlight w:val="none"/>
        </w:rPr>
        <w:t>评审小组成员不得收受他人的财物或者其他好处，不得向他人透露对</w:t>
      </w:r>
      <w:r>
        <w:rPr>
          <w:rFonts w:hint="eastAsia"/>
          <w:highlight w:val="none"/>
          <w:lang w:eastAsia="zh-CN"/>
        </w:rPr>
        <w:t>投标文件</w:t>
      </w:r>
      <w:r>
        <w:rPr>
          <w:rFonts w:hint="eastAsia"/>
          <w:highlight w:val="none"/>
        </w:rPr>
        <w:t>的评审和比较、候选</w:t>
      </w:r>
      <w:r>
        <w:rPr>
          <w:rFonts w:hint="eastAsia"/>
          <w:highlight w:val="none"/>
          <w:lang w:eastAsia="zh-CN"/>
        </w:rPr>
        <w:t>中标人</w:t>
      </w:r>
      <w:r>
        <w:rPr>
          <w:rFonts w:hint="eastAsia"/>
          <w:highlight w:val="none"/>
        </w:rPr>
        <w:t>的推荐情况以及评审有关的其他情况。在评审活动中评审小组成员应当客观、公正地履行职责，遵守职业道德，不得擅离职守，影响评审工作正常进行，不得使用第三章“评审方法”没有规定的评审因素和标准进行评审。</w:t>
      </w:r>
    </w:p>
    <w:p>
      <w:pPr>
        <w:pStyle w:val="5"/>
        <w:ind w:firstLine="482"/>
        <w:rPr>
          <w:highlight w:val="none"/>
        </w:rPr>
      </w:pPr>
      <w:r>
        <w:rPr>
          <w:rFonts w:hint="eastAsia"/>
          <w:highlight w:val="none"/>
        </w:rPr>
        <w:t>9.4对与采购活动有关的工作人员的纪律要求</w:t>
      </w:r>
    </w:p>
    <w:p>
      <w:pPr>
        <w:ind w:firstLine="480"/>
        <w:rPr>
          <w:highlight w:val="none"/>
        </w:rPr>
      </w:pPr>
      <w:r>
        <w:rPr>
          <w:rFonts w:hint="eastAsia"/>
          <w:highlight w:val="none"/>
        </w:rPr>
        <w:t>与采购活动有关的工作人员不得收受他人的财物或者其他好处，不得向他人透露对</w:t>
      </w:r>
      <w:r>
        <w:rPr>
          <w:rFonts w:hint="eastAsia"/>
          <w:highlight w:val="none"/>
          <w:lang w:eastAsia="zh-CN"/>
        </w:rPr>
        <w:t>投标文件</w:t>
      </w:r>
      <w:r>
        <w:rPr>
          <w:rFonts w:hint="eastAsia"/>
          <w:highlight w:val="none"/>
        </w:rPr>
        <w:t>的评审和比较、候选</w:t>
      </w:r>
      <w:r>
        <w:rPr>
          <w:rFonts w:hint="eastAsia"/>
          <w:highlight w:val="none"/>
          <w:lang w:eastAsia="zh-CN"/>
        </w:rPr>
        <w:t>中标人</w:t>
      </w:r>
      <w:r>
        <w:rPr>
          <w:rFonts w:hint="eastAsia"/>
          <w:highlight w:val="none"/>
        </w:rPr>
        <w:t>的推荐情况以及其他有关的情况。在采购活动中，与采购活动有关的工作人员不得擅离职守，影响评审工作正常进行。</w:t>
      </w:r>
    </w:p>
    <w:p>
      <w:pPr>
        <w:pStyle w:val="4"/>
        <w:ind w:firstLine="482"/>
        <w:jc w:val="left"/>
        <w:rPr>
          <w:highlight w:val="none"/>
        </w:rPr>
      </w:pPr>
      <w:r>
        <w:rPr>
          <w:rFonts w:hint="eastAsia"/>
          <w:highlight w:val="none"/>
        </w:rPr>
        <w:t>10 需要补充的内容</w:t>
      </w:r>
    </w:p>
    <w:p>
      <w:pPr>
        <w:ind w:firstLine="480"/>
        <w:rPr>
          <w:highlight w:val="none"/>
        </w:rPr>
      </w:pPr>
      <w:r>
        <w:rPr>
          <w:rFonts w:hint="eastAsia"/>
          <w:highlight w:val="none"/>
        </w:rPr>
        <w:t>见</w:t>
      </w:r>
      <w:r>
        <w:rPr>
          <w:rFonts w:hint="eastAsia"/>
          <w:highlight w:val="none"/>
          <w:lang w:eastAsia="zh-CN"/>
        </w:rPr>
        <w:t>投标人</w:t>
      </w:r>
      <w:r>
        <w:rPr>
          <w:rFonts w:hint="eastAsia"/>
          <w:highlight w:val="none"/>
        </w:rPr>
        <w:t>须知前附表</w:t>
      </w:r>
    </w:p>
    <w:p>
      <w:pPr>
        <w:ind w:firstLine="480"/>
        <w:rPr>
          <w:highlight w:val="none"/>
        </w:rPr>
      </w:pPr>
      <w:r>
        <w:rPr>
          <w:rFonts w:hint="eastAsia"/>
          <w:highlight w:val="none"/>
        </w:rPr>
        <w:br w:type="page"/>
      </w:r>
    </w:p>
    <w:p>
      <w:pPr>
        <w:widowControl/>
        <w:spacing w:line="240" w:lineRule="auto"/>
        <w:ind w:firstLine="0" w:firstLineChars="0"/>
        <w:jc w:val="left"/>
        <w:rPr>
          <w:rFonts w:cstheme="majorBidi"/>
          <w:b/>
          <w:bCs/>
          <w:szCs w:val="32"/>
          <w:highlight w:val="none"/>
        </w:rPr>
      </w:pPr>
    </w:p>
    <w:p>
      <w:pPr>
        <w:ind w:firstLine="480"/>
        <w:rPr>
          <w:highlight w:val="none"/>
        </w:rPr>
      </w:pPr>
    </w:p>
    <w:p>
      <w:pPr>
        <w:ind w:firstLine="480"/>
        <w:rPr>
          <w:highlight w:val="none"/>
        </w:rPr>
      </w:pPr>
    </w:p>
    <w:p>
      <w:pPr>
        <w:ind w:firstLine="480"/>
        <w:rPr>
          <w:highlight w:val="none"/>
        </w:rPr>
      </w:pPr>
    </w:p>
    <w:p>
      <w:pPr>
        <w:ind w:firstLine="480"/>
        <w:rPr>
          <w:highlight w:val="none"/>
        </w:rPr>
      </w:pPr>
    </w:p>
    <w:p>
      <w:pPr>
        <w:ind w:firstLine="480"/>
        <w:rPr>
          <w:highlight w:val="none"/>
        </w:rPr>
      </w:pPr>
    </w:p>
    <w:p>
      <w:pPr>
        <w:ind w:firstLine="480"/>
        <w:rPr>
          <w:highlight w:val="none"/>
        </w:rPr>
      </w:pPr>
    </w:p>
    <w:p>
      <w:pPr>
        <w:ind w:firstLine="480"/>
        <w:rPr>
          <w:highlight w:val="none"/>
        </w:rPr>
      </w:pPr>
    </w:p>
    <w:p>
      <w:pPr>
        <w:ind w:firstLine="480"/>
        <w:rPr>
          <w:highlight w:val="none"/>
        </w:rPr>
      </w:pPr>
    </w:p>
    <w:p>
      <w:pPr>
        <w:ind w:firstLine="480"/>
        <w:rPr>
          <w:highlight w:val="none"/>
        </w:rPr>
      </w:pPr>
    </w:p>
    <w:p>
      <w:pPr>
        <w:ind w:firstLine="480"/>
        <w:rPr>
          <w:highlight w:val="none"/>
        </w:rPr>
      </w:pPr>
    </w:p>
    <w:p>
      <w:pPr>
        <w:ind w:firstLine="480"/>
        <w:rPr>
          <w:highlight w:val="none"/>
        </w:rPr>
      </w:pPr>
    </w:p>
    <w:p>
      <w:pPr>
        <w:keepNext/>
        <w:keepLines/>
        <w:ind w:firstLine="141" w:firstLineChars="32"/>
        <w:jc w:val="center"/>
        <w:outlineLvl w:val="0"/>
        <w:rPr>
          <w:rFonts w:hint="eastAsia" w:eastAsia="黑体"/>
          <w:b/>
          <w:bCs/>
          <w:kern w:val="44"/>
          <w:sz w:val="44"/>
          <w:szCs w:val="44"/>
          <w:highlight w:val="none"/>
        </w:rPr>
      </w:pPr>
      <w:bookmarkStart w:id="9" w:name="_Toc30142"/>
    </w:p>
    <w:p>
      <w:pPr>
        <w:keepNext/>
        <w:keepLines/>
        <w:ind w:firstLine="141" w:firstLineChars="32"/>
        <w:jc w:val="center"/>
        <w:outlineLvl w:val="0"/>
        <w:rPr>
          <w:rFonts w:eastAsia="黑体"/>
          <w:b/>
          <w:bCs/>
          <w:kern w:val="44"/>
          <w:sz w:val="44"/>
          <w:szCs w:val="44"/>
          <w:highlight w:val="none"/>
        </w:rPr>
      </w:pPr>
      <w:r>
        <w:rPr>
          <w:rFonts w:hint="eastAsia" w:eastAsia="黑体"/>
          <w:b/>
          <w:bCs/>
          <w:kern w:val="44"/>
          <w:sz w:val="44"/>
          <w:szCs w:val="44"/>
          <w:highlight w:val="none"/>
        </w:rPr>
        <w:t>第三章 评审方法</w:t>
      </w:r>
      <w:bookmarkEnd w:id="9"/>
    </w:p>
    <w:p>
      <w:pPr>
        <w:widowControl/>
        <w:spacing w:line="240" w:lineRule="auto"/>
        <w:ind w:firstLine="0" w:firstLineChars="0"/>
        <w:jc w:val="left"/>
        <w:rPr>
          <w:rFonts w:eastAsia="黑体"/>
          <w:bCs/>
          <w:kern w:val="44"/>
          <w:sz w:val="44"/>
          <w:szCs w:val="44"/>
          <w:highlight w:val="none"/>
        </w:rPr>
      </w:pPr>
      <w:r>
        <w:rPr>
          <w:highlight w:val="none"/>
        </w:rPr>
        <w:br w:type="page"/>
      </w:r>
    </w:p>
    <w:p>
      <w:pPr>
        <w:widowControl/>
        <w:spacing w:line="240" w:lineRule="auto"/>
        <w:ind w:firstLine="0" w:firstLineChars="0"/>
        <w:jc w:val="center"/>
        <w:rPr>
          <w:rFonts w:ascii="宋体" w:hAnsi="宋体" w:cs="宋体"/>
          <w:b/>
          <w:sz w:val="28"/>
          <w:szCs w:val="28"/>
          <w:highlight w:val="none"/>
        </w:rPr>
      </w:pPr>
      <w:r>
        <w:rPr>
          <w:rFonts w:hint="eastAsia" w:ascii="宋体" w:hAnsi="宋体" w:cs="宋体"/>
          <w:b/>
          <w:kern w:val="44"/>
          <w:sz w:val="28"/>
          <w:szCs w:val="28"/>
          <w:highlight w:val="none"/>
        </w:rPr>
        <w:t>评审方法</w:t>
      </w:r>
    </w:p>
    <w:p>
      <w:pPr>
        <w:pStyle w:val="4"/>
        <w:ind w:firstLine="482"/>
        <w:jc w:val="left"/>
        <w:rPr>
          <w:highlight w:val="none"/>
        </w:rPr>
      </w:pPr>
      <w:r>
        <w:rPr>
          <w:rFonts w:hint="eastAsia"/>
          <w:highlight w:val="none"/>
        </w:rPr>
        <w:t>1</w:t>
      </w:r>
      <w:r>
        <w:rPr>
          <w:highlight w:val="none"/>
        </w:rPr>
        <w:t xml:space="preserve"> </w:t>
      </w:r>
      <w:r>
        <w:rPr>
          <w:rFonts w:hint="eastAsia"/>
          <w:highlight w:val="none"/>
        </w:rPr>
        <w:t>评审方法</w:t>
      </w:r>
    </w:p>
    <w:p>
      <w:pPr>
        <w:ind w:firstLine="480"/>
        <w:rPr>
          <w:highlight w:val="none"/>
        </w:rPr>
      </w:pPr>
      <w:r>
        <w:rPr>
          <w:rFonts w:hint="eastAsia"/>
          <w:highlight w:val="none"/>
        </w:rPr>
        <w:t>本项目采用</w:t>
      </w:r>
      <w:r>
        <w:rPr>
          <w:rFonts w:hint="eastAsia"/>
          <w:highlight w:val="none"/>
          <w:u w:val="single"/>
        </w:rPr>
        <w:t>综合评分法</w:t>
      </w:r>
      <w:r>
        <w:rPr>
          <w:rFonts w:hint="eastAsia"/>
          <w:highlight w:val="none"/>
        </w:rPr>
        <w:t>，评审小组对满足</w:t>
      </w:r>
      <w:r>
        <w:rPr>
          <w:rFonts w:hint="eastAsia"/>
          <w:highlight w:val="none"/>
          <w:lang w:eastAsia="zh-CN"/>
        </w:rPr>
        <w:t>招标文件</w:t>
      </w:r>
      <w:r>
        <w:rPr>
          <w:rFonts w:hint="eastAsia"/>
          <w:highlight w:val="none"/>
        </w:rPr>
        <w:t>实质性要求的</w:t>
      </w:r>
      <w:r>
        <w:rPr>
          <w:rFonts w:hint="eastAsia"/>
          <w:highlight w:val="none"/>
          <w:lang w:eastAsia="zh-CN"/>
        </w:rPr>
        <w:t>投标文件</w:t>
      </w:r>
      <w:r>
        <w:rPr>
          <w:rFonts w:hint="eastAsia"/>
          <w:highlight w:val="none"/>
        </w:rPr>
        <w:t>按照本章规定的方法进行评审，并按照得分由高到低的顺序推荐1名候选</w:t>
      </w:r>
      <w:r>
        <w:rPr>
          <w:rFonts w:hint="eastAsia"/>
          <w:highlight w:val="none"/>
          <w:lang w:eastAsia="zh-CN"/>
        </w:rPr>
        <w:t>中标人</w:t>
      </w:r>
      <w:r>
        <w:rPr>
          <w:rFonts w:hint="eastAsia"/>
          <w:highlight w:val="none"/>
        </w:rPr>
        <w:t>。</w:t>
      </w:r>
    </w:p>
    <w:p>
      <w:pPr>
        <w:pStyle w:val="4"/>
        <w:ind w:firstLine="482"/>
        <w:jc w:val="left"/>
        <w:rPr>
          <w:highlight w:val="none"/>
        </w:rPr>
      </w:pPr>
      <w:r>
        <w:rPr>
          <w:rFonts w:hint="eastAsia"/>
          <w:highlight w:val="none"/>
        </w:rPr>
        <w:t>2</w:t>
      </w:r>
      <w:r>
        <w:rPr>
          <w:highlight w:val="none"/>
        </w:rPr>
        <w:t xml:space="preserve"> </w:t>
      </w:r>
      <w:r>
        <w:rPr>
          <w:rFonts w:hint="eastAsia"/>
          <w:highlight w:val="none"/>
        </w:rPr>
        <w:t>评审程序</w:t>
      </w:r>
    </w:p>
    <w:p>
      <w:pPr>
        <w:pStyle w:val="5"/>
        <w:ind w:firstLine="482"/>
        <w:rPr>
          <w:highlight w:val="none"/>
        </w:rPr>
      </w:pPr>
      <w:r>
        <w:rPr>
          <w:rFonts w:hint="eastAsia"/>
          <w:highlight w:val="none"/>
        </w:rPr>
        <w:t>2</w:t>
      </w:r>
      <w:r>
        <w:rPr>
          <w:highlight w:val="none"/>
        </w:rPr>
        <w:t>.1</w:t>
      </w:r>
      <w:r>
        <w:rPr>
          <w:rFonts w:hint="eastAsia"/>
          <w:highlight w:val="none"/>
        </w:rPr>
        <w:t>初步评审</w:t>
      </w:r>
    </w:p>
    <w:p>
      <w:pPr>
        <w:ind w:firstLine="480"/>
        <w:rPr>
          <w:highlight w:val="none"/>
        </w:rPr>
      </w:pPr>
      <w:r>
        <w:rPr>
          <w:highlight w:val="none"/>
        </w:rPr>
        <w:t>2.1.1</w:t>
      </w:r>
      <w:r>
        <w:rPr>
          <w:rFonts w:hint="eastAsia"/>
          <w:highlight w:val="none"/>
        </w:rPr>
        <w:t>资格审查</w:t>
      </w:r>
    </w:p>
    <w:p>
      <w:pPr>
        <w:ind w:firstLine="480"/>
        <w:rPr>
          <w:highlight w:val="none"/>
        </w:rPr>
      </w:pPr>
      <w:r>
        <w:rPr>
          <w:rFonts w:hint="eastAsia"/>
          <w:highlight w:val="none"/>
          <w:lang w:eastAsia="zh-CN"/>
        </w:rPr>
        <w:t>投标人</w:t>
      </w:r>
      <w:r>
        <w:rPr>
          <w:rFonts w:hint="eastAsia"/>
          <w:highlight w:val="none"/>
        </w:rPr>
        <w:t>未按照附件</w:t>
      </w:r>
      <w:r>
        <w:rPr>
          <w:rFonts w:hint="eastAsia"/>
          <w:highlight w:val="none"/>
          <w:lang w:val="en-US" w:eastAsia="zh-CN"/>
        </w:rPr>
        <w:t>一</w:t>
      </w:r>
      <w:r>
        <w:rPr>
          <w:rFonts w:hint="eastAsia"/>
          <w:highlight w:val="none"/>
        </w:rPr>
        <w:t>“评审标准”中</w:t>
      </w:r>
      <w:r>
        <w:rPr>
          <w:rFonts w:hint="eastAsia"/>
          <w:highlight w:val="none"/>
          <w:lang w:eastAsia="zh-CN"/>
        </w:rPr>
        <w:t>要求</w:t>
      </w:r>
      <w:r>
        <w:rPr>
          <w:rFonts w:hint="eastAsia"/>
          <w:highlight w:val="none"/>
        </w:rPr>
        <w:t>提供证明材料的，其</w:t>
      </w:r>
      <w:r>
        <w:rPr>
          <w:rFonts w:hint="eastAsia"/>
          <w:highlight w:val="none"/>
          <w:lang w:eastAsia="zh-CN"/>
        </w:rPr>
        <w:t>投标文件</w:t>
      </w:r>
      <w:r>
        <w:rPr>
          <w:rFonts w:hint="eastAsia"/>
          <w:highlight w:val="none"/>
        </w:rPr>
        <w:t>视为无效。</w:t>
      </w:r>
    </w:p>
    <w:p>
      <w:pPr>
        <w:ind w:firstLine="480"/>
        <w:rPr>
          <w:highlight w:val="none"/>
        </w:rPr>
      </w:pPr>
      <w:r>
        <w:rPr>
          <w:rFonts w:hint="eastAsia"/>
          <w:highlight w:val="none"/>
        </w:rPr>
        <w:t>2</w:t>
      </w:r>
      <w:r>
        <w:rPr>
          <w:highlight w:val="none"/>
        </w:rPr>
        <w:t>.1.2</w:t>
      </w:r>
      <w:r>
        <w:rPr>
          <w:rFonts w:hint="eastAsia"/>
          <w:highlight w:val="none"/>
        </w:rPr>
        <w:t>符合性审查</w:t>
      </w:r>
    </w:p>
    <w:p>
      <w:pPr>
        <w:ind w:firstLine="480"/>
        <w:rPr>
          <w:highlight w:val="none"/>
        </w:rPr>
      </w:pPr>
      <w:r>
        <w:rPr>
          <w:rFonts w:hint="eastAsia"/>
          <w:highlight w:val="none"/>
        </w:rPr>
        <w:t>有下列情形之一的其</w:t>
      </w:r>
      <w:r>
        <w:rPr>
          <w:rFonts w:hint="eastAsia"/>
          <w:highlight w:val="none"/>
          <w:lang w:eastAsia="zh-CN"/>
        </w:rPr>
        <w:t>投标文件</w:t>
      </w:r>
      <w:r>
        <w:rPr>
          <w:rFonts w:hint="eastAsia"/>
          <w:highlight w:val="none"/>
        </w:rPr>
        <w:t>将被视为无效：</w:t>
      </w:r>
    </w:p>
    <w:p>
      <w:pPr>
        <w:ind w:firstLine="480"/>
        <w:rPr>
          <w:highlight w:val="none"/>
        </w:rPr>
      </w:pPr>
      <w:r>
        <w:rPr>
          <w:rFonts w:hint="eastAsia"/>
          <w:highlight w:val="none"/>
        </w:rPr>
        <w:t>（1）</w:t>
      </w:r>
      <w:r>
        <w:rPr>
          <w:rFonts w:hint="eastAsia"/>
          <w:highlight w:val="none"/>
          <w:lang w:eastAsia="zh-CN"/>
        </w:rPr>
        <w:t>投标文件</w:t>
      </w:r>
      <w:r>
        <w:rPr>
          <w:rFonts w:hint="eastAsia"/>
          <w:highlight w:val="none"/>
        </w:rPr>
        <w:t>未密封或者未按规定密封，或有明显拆封现象的；</w:t>
      </w:r>
    </w:p>
    <w:p>
      <w:pPr>
        <w:ind w:firstLine="480"/>
        <w:rPr>
          <w:highlight w:val="none"/>
        </w:rPr>
      </w:pPr>
      <w:r>
        <w:rPr>
          <w:rFonts w:hint="eastAsia"/>
          <w:highlight w:val="none"/>
        </w:rPr>
        <w:t>（2）不符合</w:t>
      </w:r>
      <w:r>
        <w:rPr>
          <w:rFonts w:hint="eastAsia"/>
          <w:highlight w:val="none"/>
          <w:lang w:eastAsia="zh-CN"/>
        </w:rPr>
        <w:t>投标人</w:t>
      </w:r>
      <w:r>
        <w:rPr>
          <w:rFonts w:hint="eastAsia"/>
          <w:highlight w:val="none"/>
        </w:rPr>
        <w:t>须知前附表中规定的</w:t>
      </w:r>
      <w:r>
        <w:rPr>
          <w:rFonts w:hint="eastAsia"/>
          <w:highlight w:val="none"/>
          <w:lang w:eastAsia="zh-CN"/>
        </w:rPr>
        <w:t>投标文件</w:t>
      </w:r>
      <w:r>
        <w:rPr>
          <w:rFonts w:hint="eastAsia"/>
          <w:highlight w:val="none"/>
        </w:rPr>
        <w:t>装订要求的；</w:t>
      </w:r>
    </w:p>
    <w:p>
      <w:pPr>
        <w:ind w:firstLine="480"/>
        <w:rPr>
          <w:highlight w:val="none"/>
        </w:rPr>
      </w:pPr>
      <w:r>
        <w:rPr>
          <w:rFonts w:hint="eastAsia"/>
          <w:highlight w:val="none"/>
        </w:rPr>
        <w:t>（3）</w:t>
      </w:r>
      <w:r>
        <w:rPr>
          <w:rFonts w:hint="eastAsia"/>
          <w:highlight w:val="none"/>
          <w:lang w:eastAsia="zh-CN"/>
        </w:rPr>
        <w:t>投标文件</w:t>
      </w:r>
      <w:r>
        <w:rPr>
          <w:rFonts w:hint="eastAsia"/>
          <w:highlight w:val="none"/>
        </w:rPr>
        <w:t>未</w:t>
      </w:r>
      <w:r>
        <w:rPr>
          <w:rFonts w:hint="eastAsia"/>
          <w:highlight w:val="none"/>
          <w:lang w:val="en-US" w:eastAsia="zh-CN"/>
        </w:rPr>
        <w:t>按要求</w:t>
      </w:r>
      <w:r>
        <w:rPr>
          <w:rFonts w:hint="eastAsia"/>
          <w:highlight w:val="none"/>
        </w:rPr>
        <w:t>加盖</w:t>
      </w:r>
      <w:r>
        <w:rPr>
          <w:rFonts w:hint="eastAsia"/>
          <w:highlight w:val="none"/>
          <w:lang w:eastAsia="zh-CN"/>
        </w:rPr>
        <w:t>投标人</w:t>
      </w:r>
      <w:r>
        <w:rPr>
          <w:rFonts w:hint="eastAsia"/>
          <w:highlight w:val="none"/>
        </w:rPr>
        <w:t>公章</w:t>
      </w:r>
      <w:r>
        <w:rPr>
          <w:rFonts w:hint="eastAsia"/>
          <w:highlight w:val="none"/>
          <w:lang w:eastAsia="zh-CN"/>
        </w:rPr>
        <w:t>、</w:t>
      </w:r>
      <w:r>
        <w:rPr>
          <w:rFonts w:hint="eastAsia"/>
          <w:highlight w:val="none"/>
        </w:rPr>
        <w:t>未经法定代表人或其授权代理人签署；</w:t>
      </w:r>
    </w:p>
    <w:p>
      <w:pPr>
        <w:ind w:firstLine="480"/>
        <w:rPr>
          <w:highlight w:val="none"/>
        </w:rPr>
      </w:pPr>
      <w:r>
        <w:rPr>
          <w:rFonts w:hint="eastAsia"/>
          <w:highlight w:val="none"/>
        </w:rPr>
        <w:t>（4）如需要授权，未提供合法、有效的授权委托书原件；</w:t>
      </w:r>
    </w:p>
    <w:p>
      <w:pPr>
        <w:ind w:firstLine="480"/>
        <w:rPr>
          <w:highlight w:val="none"/>
        </w:rPr>
      </w:pPr>
      <w:r>
        <w:rPr>
          <w:rFonts w:hint="eastAsia"/>
          <w:highlight w:val="none"/>
        </w:rPr>
        <w:t>（5）未按</w:t>
      </w:r>
      <w:r>
        <w:rPr>
          <w:rFonts w:hint="eastAsia"/>
          <w:highlight w:val="none"/>
          <w:lang w:eastAsia="zh-CN"/>
        </w:rPr>
        <w:t>招标文件</w:t>
      </w:r>
      <w:r>
        <w:rPr>
          <w:rFonts w:hint="eastAsia"/>
          <w:highlight w:val="none"/>
        </w:rPr>
        <w:t>规定的格式、内容和要求编制</w:t>
      </w:r>
      <w:r>
        <w:rPr>
          <w:rFonts w:hint="eastAsia"/>
          <w:highlight w:val="none"/>
          <w:lang w:eastAsia="zh-CN"/>
        </w:rPr>
        <w:t>；</w:t>
      </w:r>
      <w:r>
        <w:rPr>
          <w:rFonts w:hint="eastAsia"/>
          <w:highlight w:val="none"/>
        </w:rPr>
        <w:t>关键内容字迹潦草、模糊，无法辨认的；</w:t>
      </w:r>
    </w:p>
    <w:p>
      <w:pPr>
        <w:ind w:firstLine="480"/>
        <w:rPr>
          <w:highlight w:val="none"/>
        </w:rPr>
      </w:pPr>
      <w:r>
        <w:rPr>
          <w:rFonts w:hint="eastAsia"/>
          <w:highlight w:val="none"/>
        </w:rPr>
        <w:t>（6）</w:t>
      </w:r>
      <w:r>
        <w:rPr>
          <w:rFonts w:hint="eastAsia"/>
          <w:highlight w:val="none"/>
          <w:lang w:eastAsia="zh-CN"/>
        </w:rPr>
        <w:t>投标文件</w:t>
      </w:r>
      <w:r>
        <w:rPr>
          <w:rFonts w:hint="eastAsia"/>
          <w:highlight w:val="none"/>
        </w:rPr>
        <w:t>未对</w:t>
      </w:r>
      <w:r>
        <w:rPr>
          <w:rFonts w:hint="eastAsia"/>
          <w:highlight w:val="none"/>
          <w:lang w:eastAsia="zh-CN"/>
        </w:rPr>
        <w:t>招标文件</w:t>
      </w:r>
      <w:r>
        <w:rPr>
          <w:rFonts w:hint="eastAsia"/>
          <w:highlight w:val="none"/>
        </w:rPr>
        <w:t>中的实质性内容作出响应的或未提供</w:t>
      </w:r>
      <w:r>
        <w:rPr>
          <w:rFonts w:hint="eastAsia"/>
          <w:highlight w:val="none"/>
          <w:lang w:eastAsia="zh-CN"/>
        </w:rPr>
        <w:t>招标文件</w:t>
      </w:r>
      <w:r>
        <w:rPr>
          <w:rFonts w:hint="eastAsia"/>
          <w:highlight w:val="none"/>
        </w:rPr>
        <w:t>关键条款的相关证据或证明材料的；</w:t>
      </w:r>
    </w:p>
    <w:p>
      <w:pPr>
        <w:ind w:firstLine="480"/>
        <w:rPr>
          <w:highlight w:val="none"/>
        </w:rPr>
      </w:pPr>
      <w:r>
        <w:rPr>
          <w:rFonts w:hint="eastAsia"/>
          <w:highlight w:val="none"/>
        </w:rPr>
        <w:t>（</w:t>
      </w:r>
      <w:r>
        <w:rPr>
          <w:rFonts w:hint="eastAsia"/>
          <w:highlight w:val="none"/>
          <w:lang w:val="en-US" w:eastAsia="zh-CN"/>
        </w:rPr>
        <w:t>7</w:t>
      </w:r>
      <w:r>
        <w:rPr>
          <w:rFonts w:hint="eastAsia"/>
          <w:highlight w:val="none"/>
        </w:rPr>
        <w:t>）存在负偏离的。</w:t>
      </w:r>
    </w:p>
    <w:p>
      <w:pPr>
        <w:pStyle w:val="4"/>
        <w:ind w:firstLine="480"/>
        <w:rPr>
          <w:rFonts w:cstheme="minorBidi"/>
          <w:b w:val="0"/>
          <w:bCs w:val="0"/>
          <w:szCs w:val="22"/>
          <w:highlight w:val="none"/>
        </w:rPr>
      </w:pPr>
      <w:r>
        <w:rPr>
          <w:rFonts w:hint="eastAsia" w:cstheme="minorBidi"/>
          <w:b w:val="0"/>
          <w:bCs w:val="0"/>
          <w:szCs w:val="22"/>
          <w:highlight w:val="none"/>
        </w:rPr>
        <w:t>2.1.3如通过初步评审</w:t>
      </w:r>
      <w:r>
        <w:rPr>
          <w:rFonts w:hint="eastAsia" w:cstheme="minorBidi"/>
          <w:b w:val="0"/>
          <w:bCs w:val="0"/>
          <w:szCs w:val="22"/>
          <w:highlight w:val="none"/>
          <w:lang w:eastAsia="zh-CN"/>
        </w:rPr>
        <w:t>投标人</w:t>
      </w:r>
      <w:r>
        <w:rPr>
          <w:rFonts w:hint="eastAsia" w:cstheme="minorBidi"/>
          <w:b w:val="0"/>
          <w:bCs w:val="0"/>
          <w:szCs w:val="22"/>
          <w:highlight w:val="none"/>
        </w:rPr>
        <w:t>不足三家的，评审小组应当终止评审，后续评审不再进行。</w:t>
      </w:r>
    </w:p>
    <w:p>
      <w:pPr>
        <w:pStyle w:val="5"/>
        <w:ind w:firstLine="482"/>
        <w:rPr>
          <w:highlight w:val="none"/>
        </w:rPr>
      </w:pPr>
      <w:r>
        <w:rPr>
          <w:highlight w:val="none"/>
        </w:rPr>
        <w:t>2.2</w:t>
      </w:r>
      <w:r>
        <w:rPr>
          <w:rFonts w:hint="eastAsia"/>
          <w:highlight w:val="none"/>
        </w:rPr>
        <w:t>商务技术评审</w:t>
      </w:r>
    </w:p>
    <w:p>
      <w:pPr>
        <w:ind w:firstLine="480"/>
        <w:rPr>
          <w:highlight w:val="none"/>
        </w:rPr>
      </w:pPr>
      <w:r>
        <w:rPr>
          <w:rFonts w:hint="eastAsia"/>
          <w:highlight w:val="none"/>
        </w:rPr>
        <w:t>通过“商务和技术偏离表”符合性审查的</w:t>
      </w:r>
      <w:r>
        <w:rPr>
          <w:rFonts w:hint="eastAsia"/>
          <w:highlight w:val="none"/>
          <w:lang w:eastAsia="zh-CN"/>
        </w:rPr>
        <w:t>投标文件</w:t>
      </w:r>
      <w:r>
        <w:rPr>
          <w:rFonts w:hint="eastAsia"/>
          <w:highlight w:val="none"/>
        </w:rPr>
        <w:t>进行商务技术评分评审。未通过符合性审查的</w:t>
      </w:r>
      <w:r>
        <w:rPr>
          <w:rFonts w:hint="eastAsia"/>
          <w:highlight w:val="none"/>
          <w:lang w:eastAsia="zh-CN"/>
        </w:rPr>
        <w:t>投标文件</w:t>
      </w:r>
      <w:r>
        <w:rPr>
          <w:rFonts w:hint="eastAsia"/>
          <w:highlight w:val="none"/>
        </w:rPr>
        <w:t>，将被</w:t>
      </w:r>
      <w:r>
        <w:rPr>
          <w:rFonts w:hint="eastAsia"/>
          <w:highlight w:val="none"/>
          <w:lang w:eastAsia="zh-CN"/>
        </w:rPr>
        <w:t>判定</w:t>
      </w:r>
      <w:r>
        <w:rPr>
          <w:rFonts w:hint="eastAsia"/>
          <w:highlight w:val="none"/>
        </w:rPr>
        <w:t>为不满足</w:t>
      </w:r>
      <w:r>
        <w:rPr>
          <w:rFonts w:hint="eastAsia"/>
          <w:highlight w:val="none"/>
          <w:lang w:eastAsia="zh-CN"/>
        </w:rPr>
        <w:t>招标文件</w:t>
      </w:r>
      <w:r>
        <w:rPr>
          <w:rFonts w:hint="eastAsia"/>
          <w:highlight w:val="none"/>
        </w:rPr>
        <w:t>实质性要求。</w:t>
      </w:r>
    </w:p>
    <w:p>
      <w:pPr>
        <w:ind w:firstLine="480"/>
        <w:rPr>
          <w:highlight w:val="none"/>
        </w:rPr>
      </w:pPr>
      <w:r>
        <w:rPr>
          <w:rFonts w:hint="eastAsia"/>
          <w:highlight w:val="none"/>
        </w:rPr>
        <w:t>2</w:t>
      </w:r>
      <w:r>
        <w:rPr>
          <w:highlight w:val="none"/>
        </w:rPr>
        <w:t>.2.1</w:t>
      </w:r>
      <w:r>
        <w:rPr>
          <w:rFonts w:hint="eastAsia"/>
          <w:highlight w:val="none"/>
        </w:rPr>
        <w:t>商务评分标准见附件</w:t>
      </w:r>
      <w:r>
        <w:rPr>
          <w:rFonts w:hint="eastAsia"/>
          <w:highlight w:val="none"/>
          <w:lang w:val="en-US" w:eastAsia="zh-CN"/>
        </w:rPr>
        <w:t>一</w:t>
      </w:r>
      <w:r>
        <w:rPr>
          <w:rFonts w:hint="eastAsia"/>
          <w:highlight w:val="none"/>
        </w:rPr>
        <w:t xml:space="preserve">“评审标准”。 </w:t>
      </w:r>
    </w:p>
    <w:p>
      <w:pPr>
        <w:ind w:firstLine="480"/>
        <w:rPr>
          <w:highlight w:val="none"/>
        </w:rPr>
      </w:pPr>
      <w:r>
        <w:rPr>
          <w:rFonts w:hint="eastAsia"/>
          <w:highlight w:val="none"/>
        </w:rPr>
        <w:t>2.2.2技术评分标准见附件</w:t>
      </w:r>
      <w:r>
        <w:rPr>
          <w:rFonts w:hint="eastAsia"/>
          <w:highlight w:val="none"/>
          <w:lang w:val="en-US" w:eastAsia="zh-CN"/>
        </w:rPr>
        <w:t>一</w:t>
      </w:r>
      <w:r>
        <w:rPr>
          <w:rFonts w:hint="eastAsia"/>
          <w:highlight w:val="none"/>
        </w:rPr>
        <w:t>“评审标准”。</w:t>
      </w:r>
    </w:p>
    <w:p>
      <w:pPr>
        <w:pStyle w:val="5"/>
        <w:ind w:firstLine="482"/>
        <w:rPr>
          <w:highlight w:val="none"/>
        </w:rPr>
      </w:pPr>
      <w:r>
        <w:rPr>
          <w:rFonts w:hint="eastAsia"/>
          <w:highlight w:val="none"/>
        </w:rPr>
        <w:t>2</w:t>
      </w:r>
      <w:r>
        <w:rPr>
          <w:highlight w:val="none"/>
        </w:rPr>
        <w:t>.3</w:t>
      </w:r>
      <w:r>
        <w:rPr>
          <w:rFonts w:hint="eastAsia"/>
          <w:highlight w:val="none"/>
        </w:rPr>
        <w:t>报价评审</w:t>
      </w:r>
    </w:p>
    <w:p>
      <w:pPr>
        <w:ind w:firstLine="480"/>
        <w:rPr>
          <w:highlight w:val="none"/>
        </w:rPr>
      </w:pPr>
      <w:r>
        <w:rPr>
          <w:rFonts w:hint="eastAsia"/>
          <w:highlight w:val="none"/>
        </w:rPr>
        <w:t>2.</w:t>
      </w:r>
      <w:r>
        <w:rPr>
          <w:highlight w:val="none"/>
        </w:rPr>
        <w:t>3.1</w:t>
      </w:r>
      <w:r>
        <w:rPr>
          <w:rFonts w:hint="eastAsia"/>
          <w:highlight w:val="none"/>
        </w:rPr>
        <w:t>评审价格为</w:t>
      </w:r>
      <w:r>
        <w:rPr>
          <w:rFonts w:hint="eastAsia"/>
          <w:highlight w:val="none"/>
          <w:lang w:eastAsia="zh-CN"/>
        </w:rPr>
        <w:t>投标人</w:t>
      </w:r>
      <w:r>
        <w:rPr>
          <w:rFonts w:hint="eastAsia"/>
          <w:highlight w:val="none"/>
        </w:rPr>
        <w:t>在</w:t>
      </w:r>
      <w:r>
        <w:rPr>
          <w:rFonts w:hint="eastAsia"/>
          <w:highlight w:val="none"/>
          <w:lang w:val="en-US" w:eastAsia="zh-CN"/>
        </w:rPr>
        <w:t>响应函</w:t>
      </w:r>
      <w:r>
        <w:rPr>
          <w:rFonts w:hint="eastAsia"/>
          <w:highlight w:val="none"/>
        </w:rPr>
        <w:t>中填写的大写含税价格。</w:t>
      </w:r>
    </w:p>
    <w:p>
      <w:pPr>
        <w:ind w:firstLine="480"/>
        <w:rPr>
          <w:highlight w:val="none"/>
        </w:rPr>
      </w:pPr>
      <w:r>
        <w:rPr>
          <w:highlight w:val="none"/>
        </w:rPr>
        <w:t>2.3.2</w:t>
      </w:r>
      <w:r>
        <w:rPr>
          <w:rFonts w:hint="eastAsia"/>
          <w:highlight w:val="none"/>
        </w:rPr>
        <w:t>报价评分计算方法见附件</w:t>
      </w:r>
      <w:r>
        <w:rPr>
          <w:rFonts w:hint="eastAsia"/>
          <w:highlight w:val="none"/>
          <w:lang w:val="en-US" w:eastAsia="zh-CN"/>
        </w:rPr>
        <w:t>一</w:t>
      </w:r>
      <w:r>
        <w:rPr>
          <w:rFonts w:hint="eastAsia"/>
          <w:highlight w:val="none"/>
        </w:rPr>
        <w:t>“评审标准”。</w:t>
      </w:r>
    </w:p>
    <w:p>
      <w:pPr>
        <w:ind w:firstLine="480"/>
        <w:rPr>
          <w:highlight w:val="none"/>
        </w:rPr>
      </w:pPr>
      <w:r>
        <w:rPr>
          <w:rFonts w:hint="eastAsia"/>
          <w:highlight w:val="none"/>
        </w:rPr>
        <w:t>2</w:t>
      </w:r>
      <w:r>
        <w:rPr>
          <w:highlight w:val="none"/>
        </w:rPr>
        <w:t>.3.</w:t>
      </w:r>
      <w:r>
        <w:rPr>
          <w:rFonts w:hint="eastAsia"/>
          <w:highlight w:val="none"/>
          <w:lang w:val="en-US" w:eastAsia="zh-CN"/>
        </w:rPr>
        <w:t>3</w:t>
      </w:r>
      <w:r>
        <w:rPr>
          <w:rFonts w:hint="eastAsia"/>
          <w:highlight w:val="none"/>
        </w:rPr>
        <w:t>有下列情形之一的其</w:t>
      </w:r>
      <w:r>
        <w:rPr>
          <w:rFonts w:hint="eastAsia"/>
          <w:highlight w:val="none"/>
          <w:lang w:eastAsia="zh-CN"/>
        </w:rPr>
        <w:t>投标文件</w:t>
      </w:r>
      <w:r>
        <w:rPr>
          <w:rFonts w:hint="eastAsia"/>
          <w:highlight w:val="none"/>
        </w:rPr>
        <w:t>将被视为无效：</w:t>
      </w:r>
    </w:p>
    <w:p>
      <w:pPr>
        <w:ind w:firstLine="480"/>
        <w:rPr>
          <w:highlight w:val="none"/>
        </w:rPr>
      </w:pPr>
      <w:r>
        <w:rPr>
          <w:rFonts w:hint="eastAsia"/>
          <w:highlight w:val="none"/>
        </w:rPr>
        <w:t>（1）评审价格超过最高限价</w:t>
      </w:r>
      <w:r>
        <w:rPr>
          <w:rFonts w:hint="eastAsia"/>
          <w:highlight w:val="none"/>
          <w:lang w:val="en-US" w:eastAsia="zh-CN"/>
        </w:rPr>
        <w:t>和单项限价</w:t>
      </w:r>
      <w:r>
        <w:rPr>
          <w:rFonts w:hint="eastAsia"/>
          <w:highlight w:val="none"/>
        </w:rPr>
        <w:t>的；</w:t>
      </w:r>
    </w:p>
    <w:p>
      <w:pPr>
        <w:ind w:firstLine="480"/>
        <w:rPr>
          <w:highlight w:val="none"/>
        </w:rPr>
      </w:pPr>
      <w:r>
        <w:rPr>
          <w:rFonts w:hint="eastAsia"/>
          <w:highlight w:val="none"/>
        </w:rPr>
        <w:t>（2）</w:t>
      </w:r>
      <w:r>
        <w:rPr>
          <w:rFonts w:hint="eastAsia"/>
          <w:highlight w:val="none"/>
          <w:lang w:eastAsia="zh-CN"/>
        </w:rPr>
        <w:t>投标文件</w:t>
      </w:r>
      <w:r>
        <w:rPr>
          <w:rFonts w:hint="eastAsia"/>
          <w:highlight w:val="none"/>
        </w:rPr>
        <w:t>有效期不满足</w:t>
      </w:r>
      <w:r>
        <w:rPr>
          <w:rFonts w:hint="eastAsia"/>
          <w:highlight w:val="none"/>
          <w:lang w:eastAsia="zh-CN"/>
        </w:rPr>
        <w:t>招标文件</w:t>
      </w:r>
      <w:r>
        <w:rPr>
          <w:rFonts w:hint="eastAsia"/>
          <w:highlight w:val="none"/>
        </w:rPr>
        <w:t>要求的；</w:t>
      </w:r>
    </w:p>
    <w:p>
      <w:pPr>
        <w:ind w:firstLine="480"/>
        <w:rPr>
          <w:highlight w:val="none"/>
        </w:rPr>
      </w:pPr>
      <w:r>
        <w:rPr>
          <w:rFonts w:hint="eastAsia"/>
          <w:highlight w:val="none"/>
        </w:rPr>
        <w:t>（3）</w:t>
      </w:r>
      <w:r>
        <w:rPr>
          <w:rFonts w:hint="eastAsia"/>
          <w:highlight w:val="none"/>
          <w:lang w:eastAsia="zh-CN"/>
        </w:rPr>
        <w:t>投标文件</w:t>
      </w:r>
      <w:r>
        <w:rPr>
          <w:rFonts w:hint="eastAsia"/>
          <w:highlight w:val="none"/>
        </w:rPr>
        <w:t>未对采购的全部内容进行报价，只响应其中部分内容或出现选择性报价的。</w:t>
      </w:r>
    </w:p>
    <w:p>
      <w:pPr>
        <w:ind w:firstLine="480"/>
        <w:rPr>
          <w:highlight w:val="none"/>
        </w:rPr>
      </w:pPr>
      <w:r>
        <w:rPr>
          <w:rFonts w:hint="eastAsia"/>
          <w:highlight w:val="none"/>
        </w:rPr>
        <w:t>（4）按照本章要求对报价进行修正，</w:t>
      </w:r>
      <w:r>
        <w:rPr>
          <w:rFonts w:hint="eastAsia"/>
          <w:highlight w:val="none"/>
          <w:lang w:eastAsia="zh-CN"/>
        </w:rPr>
        <w:t>投标人</w:t>
      </w:r>
      <w:r>
        <w:rPr>
          <w:rFonts w:hint="eastAsia"/>
          <w:highlight w:val="none"/>
        </w:rPr>
        <w:t>拒不澄清确认的。</w:t>
      </w:r>
    </w:p>
    <w:p>
      <w:pPr>
        <w:pStyle w:val="4"/>
        <w:ind w:firstLine="482"/>
        <w:rPr>
          <w:highlight w:val="none"/>
        </w:rPr>
      </w:pPr>
      <w:r>
        <w:rPr>
          <w:rFonts w:hint="eastAsia"/>
          <w:highlight w:val="none"/>
        </w:rPr>
        <w:t>3</w:t>
      </w:r>
      <w:r>
        <w:rPr>
          <w:highlight w:val="none"/>
        </w:rPr>
        <w:t xml:space="preserve"> </w:t>
      </w:r>
      <w:r>
        <w:rPr>
          <w:rFonts w:hint="eastAsia"/>
          <w:highlight w:val="none"/>
          <w:lang w:eastAsia="zh-CN"/>
        </w:rPr>
        <w:t>投标文件</w:t>
      </w:r>
      <w:r>
        <w:rPr>
          <w:rFonts w:hint="eastAsia"/>
          <w:highlight w:val="none"/>
        </w:rPr>
        <w:t>的澄清和补正</w:t>
      </w:r>
    </w:p>
    <w:p>
      <w:pPr>
        <w:ind w:firstLine="480"/>
        <w:rPr>
          <w:highlight w:val="none"/>
        </w:rPr>
      </w:pPr>
      <w:r>
        <w:rPr>
          <w:rFonts w:hint="eastAsia"/>
          <w:highlight w:val="none"/>
        </w:rPr>
        <w:t>3</w:t>
      </w:r>
      <w:r>
        <w:rPr>
          <w:highlight w:val="none"/>
        </w:rPr>
        <w:t>.1</w:t>
      </w:r>
      <w:r>
        <w:rPr>
          <w:rFonts w:hint="eastAsia"/>
          <w:highlight w:val="none"/>
          <w:lang w:eastAsia="zh-CN"/>
        </w:rPr>
        <w:t>投标文件</w:t>
      </w:r>
      <w:r>
        <w:rPr>
          <w:rFonts w:hint="eastAsia"/>
          <w:highlight w:val="none"/>
        </w:rPr>
        <w:t>中有含义不明确、同类问题表述不一致或有明显文字和计算错误的内容评审小组可要求</w:t>
      </w:r>
      <w:r>
        <w:rPr>
          <w:rFonts w:hint="eastAsia"/>
          <w:highlight w:val="none"/>
          <w:lang w:eastAsia="zh-CN"/>
        </w:rPr>
        <w:t>投标人</w:t>
      </w:r>
      <w:r>
        <w:rPr>
          <w:rFonts w:hint="eastAsia"/>
          <w:highlight w:val="none"/>
        </w:rPr>
        <w:t>在规定时间内进行澄清、说明和补正。</w:t>
      </w:r>
      <w:r>
        <w:rPr>
          <w:rFonts w:hint="eastAsia"/>
          <w:highlight w:val="none"/>
          <w:lang w:eastAsia="zh-CN"/>
        </w:rPr>
        <w:t>投标人</w:t>
      </w:r>
      <w:r>
        <w:rPr>
          <w:rFonts w:hint="eastAsia"/>
          <w:highlight w:val="none"/>
        </w:rPr>
        <w:t>澄清、说明和补正的内容应由法定代表人（单位负责人）或其授权的代理人签字或加盖单位公章。澄清、说明和补正不得超出</w:t>
      </w:r>
      <w:r>
        <w:rPr>
          <w:rFonts w:hint="eastAsia"/>
          <w:highlight w:val="none"/>
          <w:lang w:eastAsia="zh-CN"/>
        </w:rPr>
        <w:t>投标文件</w:t>
      </w:r>
      <w:r>
        <w:rPr>
          <w:rFonts w:hint="eastAsia"/>
          <w:highlight w:val="none"/>
        </w:rPr>
        <w:t>的范围且不得改变</w:t>
      </w:r>
      <w:r>
        <w:rPr>
          <w:rFonts w:hint="eastAsia"/>
          <w:highlight w:val="none"/>
          <w:lang w:eastAsia="zh-CN"/>
        </w:rPr>
        <w:t>投标文件</w:t>
      </w:r>
      <w:r>
        <w:rPr>
          <w:rFonts w:hint="eastAsia"/>
          <w:highlight w:val="none"/>
        </w:rPr>
        <w:t>的实质性内容，并构成</w:t>
      </w:r>
      <w:r>
        <w:rPr>
          <w:rFonts w:hint="eastAsia"/>
          <w:highlight w:val="none"/>
          <w:lang w:eastAsia="zh-CN"/>
        </w:rPr>
        <w:t>投标文件</w:t>
      </w:r>
      <w:r>
        <w:rPr>
          <w:rFonts w:hint="eastAsia"/>
          <w:highlight w:val="none"/>
        </w:rPr>
        <w:t>的组成部分。评审小组不接受</w:t>
      </w:r>
      <w:r>
        <w:rPr>
          <w:rFonts w:hint="eastAsia"/>
          <w:highlight w:val="none"/>
          <w:lang w:eastAsia="zh-CN"/>
        </w:rPr>
        <w:t>投标人</w:t>
      </w:r>
      <w:r>
        <w:rPr>
          <w:rFonts w:hint="eastAsia"/>
          <w:highlight w:val="none"/>
        </w:rPr>
        <w:t>主动提出的澄清、说明和补正。</w:t>
      </w:r>
    </w:p>
    <w:p>
      <w:pPr>
        <w:ind w:firstLine="480"/>
        <w:rPr>
          <w:highlight w:val="none"/>
        </w:rPr>
      </w:pPr>
      <w:r>
        <w:rPr>
          <w:rFonts w:hint="eastAsia"/>
          <w:highlight w:val="none"/>
        </w:rPr>
        <w:t>3</w:t>
      </w:r>
      <w:r>
        <w:rPr>
          <w:highlight w:val="none"/>
        </w:rPr>
        <w:t>.2</w:t>
      </w:r>
      <w:r>
        <w:rPr>
          <w:rFonts w:hint="eastAsia"/>
          <w:highlight w:val="none"/>
          <w:lang w:eastAsia="zh-CN"/>
        </w:rPr>
        <w:t>投标文件</w:t>
      </w:r>
      <w:r>
        <w:rPr>
          <w:highlight w:val="none"/>
        </w:rPr>
        <w:t>报价出现前后不一致的，除</w:t>
      </w:r>
      <w:r>
        <w:rPr>
          <w:rFonts w:hint="eastAsia"/>
          <w:highlight w:val="none"/>
          <w:lang w:eastAsia="zh-CN"/>
        </w:rPr>
        <w:t>招标文件</w:t>
      </w:r>
      <w:r>
        <w:rPr>
          <w:highlight w:val="none"/>
        </w:rPr>
        <w:t>另有规定外</w:t>
      </w:r>
      <w:r>
        <w:rPr>
          <w:rFonts w:hint="eastAsia"/>
          <w:highlight w:val="none"/>
        </w:rPr>
        <w:t>，</w:t>
      </w:r>
      <w:r>
        <w:rPr>
          <w:highlight w:val="none"/>
        </w:rPr>
        <w:t>按照下列</w:t>
      </w:r>
      <w:r>
        <w:rPr>
          <w:rFonts w:hint="eastAsia"/>
          <w:highlight w:val="none"/>
        </w:rPr>
        <w:t>原则对响应报价进行修正，并要求</w:t>
      </w:r>
      <w:r>
        <w:rPr>
          <w:rFonts w:hint="eastAsia"/>
          <w:highlight w:val="none"/>
          <w:lang w:eastAsia="zh-CN"/>
        </w:rPr>
        <w:t>投标人</w:t>
      </w:r>
      <w:r>
        <w:rPr>
          <w:rFonts w:hint="eastAsia"/>
          <w:highlight w:val="none"/>
        </w:rPr>
        <w:t>书面澄清确认：</w:t>
      </w:r>
    </w:p>
    <w:p>
      <w:pPr>
        <w:ind w:firstLine="480"/>
        <w:rPr>
          <w:highlight w:val="none"/>
        </w:rPr>
      </w:pPr>
      <w:r>
        <w:rPr>
          <w:rFonts w:hint="eastAsia"/>
          <w:highlight w:val="none"/>
        </w:rPr>
        <w:t>（1）报价出现不一致的，以</w:t>
      </w:r>
      <w:r>
        <w:rPr>
          <w:rFonts w:hint="eastAsia"/>
          <w:highlight w:val="none"/>
          <w:lang w:val="en-US" w:eastAsia="zh-CN"/>
        </w:rPr>
        <w:t>响应函</w:t>
      </w:r>
      <w:r>
        <w:rPr>
          <w:rFonts w:hint="eastAsia"/>
          <w:highlight w:val="none"/>
        </w:rPr>
        <w:t>中填写的大写含税价格为准；</w:t>
      </w:r>
    </w:p>
    <w:p>
      <w:pPr>
        <w:ind w:firstLine="480"/>
        <w:rPr>
          <w:highlight w:val="none"/>
        </w:rPr>
      </w:pPr>
      <w:r>
        <w:rPr>
          <w:rFonts w:hint="eastAsia"/>
          <w:highlight w:val="none"/>
        </w:rPr>
        <w:t>（2）大写金额与小写金额不一致的，以大写金额为准；</w:t>
      </w:r>
    </w:p>
    <w:p>
      <w:pPr>
        <w:ind w:firstLine="480"/>
        <w:rPr>
          <w:highlight w:val="none"/>
        </w:rPr>
      </w:pPr>
      <w:r>
        <w:rPr>
          <w:rFonts w:hint="eastAsia"/>
          <w:highlight w:val="none"/>
        </w:rPr>
        <w:t>（3）</w:t>
      </w:r>
      <w:r>
        <w:rPr>
          <w:highlight w:val="none"/>
        </w:rPr>
        <w:t>单价金额小数点或者百分比有明显错位的，以</w:t>
      </w:r>
      <w:r>
        <w:rPr>
          <w:rFonts w:hint="eastAsia"/>
          <w:highlight w:val="none"/>
          <w:lang w:val="en-US" w:eastAsia="zh-CN"/>
        </w:rPr>
        <w:t>响应函</w:t>
      </w:r>
      <w:r>
        <w:rPr>
          <w:rFonts w:hint="eastAsia"/>
          <w:highlight w:val="none"/>
        </w:rPr>
        <w:t>填写的大写含税价格为准</w:t>
      </w:r>
      <w:r>
        <w:rPr>
          <w:highlight w:val="none"/>
        </w:rPr>
        <w:t>，并修改单价；</w:t>
      </w:r>
    </w:p>
    <w:p>
      <w:pPr>
        <w:ind w:firstLine="480"/>
        <w:rPr>
          <w:highlight w:val="none"/>
        </w:rPr>
      </w:pPr>
      <w:r>
        <w:rPr>
          <w:rFonts w:hint="eastAsia"/>
          <w:highlight w:val="none"/>
        </w:rPr>
        <w:t>（4）总价金额与按单价汇总金额不一致的，以单价金额计算结果为准；</w:t>
      </w:r>
    </w:p>
    <w:p>
      <w:pPr>
        <w:ind w:firstLine="480"/>
        <w:rPr>
          <w:highlight w:val="none"/>
        </w:rPr>
      </w:pPr>
      <w:r>
        <w:rPr>
          <w:rFonts w:hint="eastAsia"/>
          <w:highlight w:val="none"/>
        </w:rPr>
        <w:t>同</w:t>
      </w:r>
      <w:r>
        <w:rPr>
          <w:highlight w:val="none"/>
        </w:rPr>
        <w:t>时出现 2 种以上不一致的，按照前款规定的顺序修正。</w:t>
      </w:r>
      <w:r>
        <w:rPr>
          <w:rFonts w:hint="eastAsia"/>
          <w:highlight w:val="none"/>
        </w:rPr>
        <w:t>响应报价的算术错误修正不改变评审价格。当修正后的总报价低于原响应报价时，签订合同时以修正后的报价为准。</w:t>
      </w:r>
    </w:p>
    <w:p>
      <w:pPr>
        <w:pStyle w:val="4"/>
        <w:ind w:firstLine="482"/>
        <w:rPr>
          <w:highlight w:val="none"/>
        </w:rPr>
      </w:pPr>
      <w:r>
        <w:rPr>
          <w:rFonts w:hint="eastAsia"/>
          <w:highlight w:val="none"/>
        </w:rPr>
        <w:t>4评分与汇总</w:t>
      </w:r>
    </w:p>
    <w:p>
      <w:pPr>
        <w:ind w:firstLine="480"/>
        <w:rPr>
          <w:color w:val="000000" w:themeColor="text1"/>
          <w:highlight w:val="none"/>
          <w14:textFill>
            <w14:solidFill>
              <w14:schemeClr w14:val="tx1"/>
            </w14:solidFill>
          </w14:textFill>
        </w:rPr>
      </w:pPr>
      <w:bookmarkStart w:id="10" w:name="OLE_LINK31"/>
      <w:bookmarkStart w:id="11" w:name="OLE_LINK30"/>
      <w:r>
        <w:rPr>
          <w:rFonts w:hint="eastAsia"/>
          <w:color w:val="000000" w:themeColor="text1"/>
          <w:highlight w:val="none"/>
          <w14:textFill>
            <w14:solidFill>
              <w14:schemeClr w14:val="tx1"/>
            </w14:solidFill>
          </w14:textFill>
        </w:rPr>
        <w:t>评审小组成员按照评分标准独立对每个有效的</w:t>
      </w:r>
      <w:r>
        <w:rPr>
          <w:rFonts w:hint="eastAsia"/>
          <w:color w:val="000000" w:themeColor="text1"/>
          <w:highlight w:val="none"/>
          <w:lang w:val="en-US" w:eastAsia="zh-CN"/>
          <w14:textFill>
            <w14:solidFill>
              <w14:schemeClr w14:val="tx1"/>
            </w14:solidFill>
          </w14:textFill>
        </w:rPr>
        <w:t>投标文件</w:t>
      </w:r>
      <w:r>
        <w:rPr>
          <w:rFonts w:hint="eastAsia"/>
          <w:color w:val="000000" w:themeColor="text1"/>
          <w:highlight w:val="none"/>
          <w14:textFill>
            <w14:solidFill>
              <w14:schemeClr w14:val="tx1"/>
            </w14:solidFill>
          </w14:textFill>
        </w:rPr>
        <w:t>进行评价、打分，然后汇总每个</w:t>
      </w:r>
      <w:r>
        <w:rPr>
          <w:rFonts w:hint="eastAsia"/>
          <w:color w:val="000000" w:themeColor="text1"/>
          <w:highlight w:val="none"/>
          <w:lang w:eastAsia="zh-CN"/>
          <w14:textFill>
            <w14:solidFill>
              <w14:schemeClr w14:val="tx1"/>
            </w14:solidFill>
          </w14:textFill>
        </w:rPr>
        <w:t>投标人</w:t>
      </w:r>
      <w:r>
        <w:rPr>
          <w:rFonts w:hint="eastAsia"/>
          <w:color w:val="000000" w:themeColor="text1"/>
          <w:highlight w:val="none"/>
          <w14:textFill>
            <w14:solidFill>
              <w14:schemeClr w14:val="tx1"/>
            </w14:solidFill>
          </w14:textFill>
        </w:rPr>
        <w:t>各项评分因素的得分。各项得分汇总后为该</w:t>
      </w:r>
      <w:r>
        <w:rPr>
          <w:rFonts w:hint="eastAsia"/>
          <w:color w:val="000000" w:themeColor="text1"/>
          <w:highlight w:val="none"/>
          <w:lang w:eastAsia="zh-CN"/>
          <w14:textFill>
            <w14:solidFill>
              <w14:schemeClr w14:val="tx1"/>
            </w14:solidFill>
          </w14:textFill>
        </w:rPr>
        <w:t>投标人</w:t>
      </w:r>
      <w:r>
        <w:rPr>
          <w:rFonts w:hint="eastAsia"/>
          <w:color w:val="000000" w:themeColor="text1"/>
          <w:highlight w:val="none"/>
          <w14:textFill>
            <w14:solidFill>
              <w14:schemeClr w14:val="tx1"/>
            </w14:solidFill>
          </w14:textFill>
        </w:rPr>
        <w:t>的评分总分。</w:t>
      </w:r>
    </w:p>
    <w:bookmarkEnd w:id="10"/>
    <w:bookmarkEnd w:id="11"/>
    <w:p>
      <w:pPr>
        <w:pStyle w:val="4"/>
        <w:ind w:firstLine="482"/>
        <w:rPr>
          <w:highlight w:val="none"/>
        </w:rPr>
      </w:pPr>
      <w:r>
        <w:rPr>
          <w:rFonts w:hint="eastAsia"/>
          <w:highlight w:val="none"/>
        </w:rPr>
        <w:t>5</w:t>
      </w:r>
      <w:r>
        <w:rPr>
          <w:highlight w:val="none"/>
        </w:rPr>
        <w:t xml:space="preserve"> </w:t>
      </w:r>
      <w:r>
        <w:rPr>
          <w:rFonts w:hint="eastAsia"/>
          <w:highlight w:val="none"/>
        </w:rPr>
        <w:t>评审结果</w:t>
      </w:r>
    </w:p>
    <w:p>
      <w:pPr>
        <w:pStyle w:val="5"/>
        <w:ind w:firstLine="482"/>
        <w:rPr>
          <w:highlight w:val="none"/>
        </w:rPr>
      </w:pPr>
      <w:r>
        <w:rPr>
          <w:rFonts w:hint="eastAsia"/>
          <w:highlight w:val="none"/>
        </w:rPr>
        <w:t>5</w:t>
      </w:r>
      <w:r>
        <w:rPr>
          <w:highlight w:val="none"/>
        </w:rPr>
        <w:t>.</w:t>
      </w:r>
      <w:r>
        <w:rPr>
          <w:rFonts w:hint="eastAsia"/>
          <w:highlight w:val="none"/>
        </w:rPr>
        <w:t>1提交书面评审报告</w:t>
      </w:r>
    </w:p>
    <w:p>
      <w:pPr>
        <w:ind w:firstLine="480"/>
        <w:rPr>
          <w:highlight w:val="none"/>
        </w:rPr>
      </w:pPr>
      <w:r>
        <w:rPr>
          <w:rFonts w:hint="eastAsia"/>
          <w:highlight w:val="none"/>
        </w:rPr>
        <w:t>评审小组完成评审后，向</w:t>
      </w:r>
      <w:r>
        <w:rPr>
          <w:rFonts w:hint="eastAsia"/>
          <w:highlight w:val="none"/>
          <w:lang w:eastAsia="zh-CN"/>
        </w:rPr>
        <w:t>招标人</w:t>
      </w:r>
      <w:r>
        <w:rPr>
          <w:rFonts w:hint="eastAsia"/>
          <w:highlight w:val="none"/>
        </w:rPr>
        <w:t>提交书面评审报告。</w:t>
      </w:r>
    </w:p>
    <w:p>
      <w:pPr>
        <w:pStyle w:val="5"/>
        <w:ind w:firstLine="482"/>
        <w:rPr>
          <w:rFonts w:hint="eastAsia" w:eastAsia="宋体"/>
          <w:highlight w:val="none"/>
          <w:lang w:eastAsia="zh-CN"/>
        </w:rPr>
      </w:pPr>
      <w:r>
        <w:rPr>
          <w:highlight w:val="none"/>
        </w:rPr>
        <w:t>5</w:t>
      </w:r>
      <w:r>
        <w:rPr>
          <w:rFonts w:hint="eastAsia"/>
          <w:highlight w:val="none"/>
        </w:rPr>
        <w:t>.2推荐候选</w:t>
      </w:r>
      <w:r>
        <w:rPr>
          <w:rFonts w:hint="eastAsia"/>
          <w:highlight w:val="none"/>
          <w:lang w:eastAsia="zh-CN"/>
        </w:rPr>
        <w:t>中标人</w:t>
      </w:r>
    </w:p>
    <w:p>
      <w:pPr>
        <w:ind w:firstLine="480"/>
        <w:rPr>
          <w:highlight w:val="none"/>
        </w:rPr>
      </w:pPr>
      <w:r>
        <w:rPr>
          <w:rFonts w:hint="eastAsia"/>
          <w:highlight w:val="none"/>
        </w:rPr>
        <w:t>5</w:t>
      </w:r>
      <w:r>
        <w:rPr>
          <w:highlight w:val="none"/>
        </w:rPr>
        <w:t>.2.1</w:t>
      </w:r>
      <w:r>
        <w:rPr>
          <w:rFonts w:hint="eastAsia"/>
          <w:highlight w:val="none"/>
        </w:rPr>
        <w:t>评审小组应在书面评审报告中按照</w:t>
      </w:r>
      <w:r>
        <w:rPr>
          <w:rFonts w:hint="eastAsia"/>
          <w:highlight w:val="none"/>
          <w:lang w:eastAsia="zh-CN"/>
        </w:rPr>
        <w:t>投标人</w:t>
      </w:r>
      <w:r>
        <w:rPr>
          <w:rFonts w:hint="eastAsia"/>
          <w:highlight w:val="none"/>
        </w:rPr>
        <w:t>最终得分由高到低的顺序推荐1名候选</w:t>
      </w:r>
      <w:r>
        <w:rPr>
          <w:rFonts w:hint="eastAsia"/>
          <w:highlight w:val="none"/>
          <w:lang w:eastAsia="zh-CN"/>
        </w:rPr>
        <w:t>中标人</w:t>
      </w:r>
      <w:r>
        <w:rPr>
          <w:rFonts w:hint="eastAsia"/>
          <w:highlight w:val="none"/>
        </w:rPr>
        <w:t>。</w:t>
      </w:r>
    </w:p>
    <w:p>
      <w:pPr>
        <w:ind w:firstLine="480"/>
        <w:rPr>
          <w:highlight w:val="none"/>
        </w:rPr>
        <w:sectPr>
          <w:footerReference r:id="rId12" w:type="default"/>
          <w:pgSz w:w="11906" w:h="16838"/>
          <w:pgMar w:top="1418" w:right="1588" w:bottom="1418" w:left="1588" w:header="851" w:footer="992" w:gutter="0"/>
          <w:pgBorders>
            <w:top w:val="none" w:sz="0" w:space="0"/>
            <w:left w:val="none" w:sz="0" w:space="0"/>
            <w:bottom w:val="none" w:sz="0" w:space="0"/>
            <w:right w:val="none" w:sz="0" w:space="0"/>
          </w:pgBorders>
          <w:pgNumType w:fmt="decimal" w:start="1"/>
          <w:cols w:space="425" w:num="1"/>
          <w:docGrid w:linePitch="312" w:charSpace="0"/>
        </w:sectPr>
      </w:pPr>
      <w:r>
        <w:rPr>
          <w:rFonts w:hint="eastAsia"/>
          <w:highlight w:val="none"/>
        </w:rPr>
        <w:t>5</w:t>
      </w:r>
      <w:r>
        <w:rPr>
          <w:highlight w:val="none"/>
        </w:rPr>
        <w:t>.2.2</w:t>
      </w:r>
      <w:r>
        <w:rPr>
          <w:rFonts w:hint="eastAsia"/>
          <w:highlight w:val="none"/>
        </w:rPr>
        <w:t>如果</w:t>
      </w:r>
      <w:r>
        <w:rPr>
          <w:rFonts w:hint="eastAsia"/>
          <w:highlight w:val="none"/>
          <w:lang w:eastAsia="zh-CN"/>
        </w:rPr>
        <w:t>投标人</w:t>
      </w:r>
      <w:r>
        <w:rPr>
          <w:rFonts w:hint="eastAsia"/>
          <w:highlight w:val="none"/>
        </w:rPr>
        <w:t>最终得分相同，以评审价格低的优先，评审价格也相同的，以技术得分高的优先，如技术得分也相同的，将通过抽签形式确定候选</w:t>
      </w:r>
      <w:r>
        <w:rPr>
          <w:rFonts w:hint="eastAsia"/>
          <w:highlight w:val="none"/>
          <w:lang w:eastAsia="zh-CN"/>
        </w:rPr>
        <w:t>中标人</w:t>
      </w:r>
      <w:r>
        <w:rPr>
          <w:rFonts w:hint="eastAsia"/>
          <w:highlight w:val="none"/>
        </w:rPr>
        <w:t>。</w:t>
      </w:r>
    </w:p>
    <w:p>
      <w:pPr>
        <w:pStyle w:val="4"/>
        <w:ind w:firstLine="482"/>
        <w:rPr>
          <w:highlight w:val="none"/>
        </w:rPr>
      </w:pPr>
      <w:bookmarkStart w:id="12" w:name="_Toc5079"/>
      <w:r>
        <w:rPr>
          <w:rFonts w:hint="eastAsia"/>
          <w:highlight w:val="none"/>
        </w:rPr>
        <w:t>附件</w:t>
      </w:r>
      <w:r>
        <w:rPr>
          <w:rFonts w:hint="eastAsia"/>
          <w:highlight w:val="none"/>
          <w:lang w:val="en-US" w:eastAsia="zh-CN"/>
        </w:rPr>
        <w:t>一</w:t>
      </w:r>
      <w:r>
        <w:rPr>
          <w:rFonts w:hint="eastAsia"/>
          <w:highlight w:val="none"/>
        </w:rPr>
        <w:t xml:space="preserve"> </w:t>
      </w:r>
      <w:bookmarkEnd w:id="12"/>
      <w:r>
        <w:rPr>
          <w:rFonts w:hint="eastAsia"/>
          <w:highlight w:val="none"/>
        </w:rPr>
        <w:t>评审标准</w:t>
      </w:r>
    </w:p>
    <w:p>
      <w:pPr>
        <w:ind w:firstLine="0" w:firstLineChars="0"/>
        <w:jc w:val="center"/>
        <w:rPr>
          <w:b/>
          <w:bCs/>
          <w:highlight w:val="none"/>
        </w:rPr>
      </w:pPr>
      <w:r>
        <w:rPr>
          <w:rFonts w:hint="eastAsia"/>
          <w:b/>
          <w:bCs/>
          <w:highlight w:val="none"/>
        </w:rPr>
        <w:t>资格审查表</w:t>
      </w:r>
    </w:p>
    <w:tbl>
      <w:tblPr>
        <w:tblStyle w:val="2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3"/>
        <w:gridCol w:w="1641"/>
        <w:gridCol w:w="4954"/>
        <w:gridCol w:w="2835"/>
        <w:gridCol w:w="36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4" w:hRule="atLeast"/>
          <w:jc w:val="center"/>
        </w:trPr>
        <w:tc>
          <w:tcPr>
            <w:tcW w:w="293" w:type="pct"/>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b/>
                <w:bCs/>
                <w:sz w:val="24"/>
                <w:szCs w:val="24"/>
                <w:highlight w:val="none"/>
              </w:rPr>
            </w:pPr>
            <w:bookmarkStart w:id="13" w:name="_Hlk135650722"/>
            <w:r>
              <w:rPr>
                <w:rFonts w:hint="eastAsia"/>
                <w:b/>
                <w:bCs/>
                <w:sz w:val="24"/>
                <w:szCs w:val="24"/>
                <w:highlight w:val="none"/>
              </w:rPr>
              <w:t>序号</w:t>
            </w:r>
          </w:p>
        </w:tc>
        <w:tc>
          <w:tcPr>
            <w:tcW w:w="2375" w:type="pct"/>
            <w:gridSpan w:val="2"/>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b/>
                <w:bCs/>
                <w:sz w:val="24"/>
                <w:szCs w:val="24"/>
                <w:highlight w:val="none"/>
              </w:rPr>
            </w:pPr>
            <w:r>
              <w:rPr>
                <w:rFonts w:hint="eastAsia"/>
                <w:b/>
                <w:bCs/>
                <w:sz w:val="24"/>
                <w:szCs w:val="24"/>
                <w:highlight w:val="none"/>
                <w:lang w:eastAsia="zh-CN"/>
              </w:rPr>
              <w:t>投标人</w:t>
            </w:r>
            <w:r>
              <w:rPr>
                <w:rFonts w:hint="eastAsia"/>
                <w:b/>
                <w:bCs/>
                <w:sz w:val="24"/>
                <w:szCs w:val="24"/>
                <w:highlight w:val="none"/>
              </w:rPr>
              <w:t>资格要求</w:t>
            </w:r>
          </w:p>
        </w:tc>
        <w:tc>
          <w:tcPr>
            <w:tcW w:w="1021" w:type="pct"/>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b/>
                <w:bCs/>
                <w:sz w:val="24"/>
                <w:szCs w:val="24"/>
                <w:highlight w:val="none"/>
              </w:rPr>
            </w:pPr>
            <w:r>
              <w:rPr>
                <w:rFonts w:hint="eastAsia"/>
                <w:b/>
                <w:bCs/>
                <w:sz w:val="24"/>
                <w:szCs w:val="24"/>
                <w:highlight w:val="none"/>
                <w:lang w:eastAsia="zh-CN"/>
              </w:rPr>
              <w:t>投标文件</w:t>
            </w:r>
            <w:r>
              <w:rPr>
                <w:rFonts w:hint="eastAsia"/>
                <w:b/>
                <w:bCs/>
                <w:sz w:val="24"/>
                <w:szCs w:val="24"/>
                <w:highlight w:val="none"/>
              </w:rPr>
              <w:t>对应章节</w:t>
            </w:r>
          </w:p>
        </w:tc>
        <w:tc>
          <w:tcPr>
            <w:tcW w:w="1309" w:type="pct"/>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b/>
                <w:bCs/>
                <w:sz w:val="24"/>
                <w:szCs w:val="24"/>
                <w:highlight w:val="none"/>
              </w:rPr>
            </w:pPr>
            <w:r>
              <w:rPr>
                <w:rFonts w:hint="eastAsia"/>
                <w:b/>
                <w:bCs/>
                <w:sz w:val="24"/>
                <w:szCs w:val="24"/>
                <w:highlight w:val="none"/>
              </w:rPr>
              <w:t>证明材料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93" w:hRule="atLeast"/>
          <w:jc w:val="center"/>
        </w:trPr>
        <w:tc>
          <w:tcPr>
            <w:tcW w:w="293" w:type="pct"/>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宋体" w:hAnsi="宋体"/>
                <w:sz w:val="24"/>
                <w:szCs w:val="24"/>
                <w:highlight w:val="none"/>
              </w:rPr>
            </w:pPr>
            <w:r>
              <w:rPr>
                <w:rFonts w:hint="eastAsia" w:ascii="宋体" w:hAnsi="宋体"/>
                <w:sz w:val="24"/>
                <w:szCs w:val="24"/>
                <w:highlight w:val="none"/>
              </w:rPr>
              <w:t>1</w:t>
            </w:r>
          </w:p>
        </w:tc>
        <w:tc>
          <w:tcPr>
            <w:tcW w:w="591" w:type="pct"/>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宋体" w:hAnsi="宋体"/>
                <w:sz w:val="24"/>
                <w:szCs w:val="24"/>
                <w:highlight w:val="none"/>
              </w:rPr>
            </w:pPr>
            <w:r>
              <w:rPr>
                <w:rFonts w:hint="eastAsia" w:ascii="宋体" w:hAnsi="宋体"/>
                <w:sz w:val="24"/>
                <w:szCs w:val="24"/>
                <w:highlight w:val="none"/>
              </w:rPr>
              <w:t>资格要求</w:t>
            </w:r>
          </w:p>
        </w:tc>
        <w:tc>
          <w:tcPr>
            <w:tcW w:w="1784" w:type="pct"/>
            <w:vAlign w:val="center"/>
          </w:tcPr>
          <w:p>
            <w:pPr>
              <w:pStyle w:val="44"/>
              <w:keepNext w:val="0"/>
              <w:keepLines w:val="0"/>
              <w:pageBreakBefore w:val="0"/>
              <w:kinsoku/>
              <w:wordWrap/>
              <w:overflowPunct/>
              <w:topLinePunct w:val="0"/>
              <w:autoSpaceDE/>
              <w:autoSpaceDN/>
              <w:bidi w:val="0"/>
              <w:adjustRightInd/>
              <w:snapToGrid/>
              <w:spacing w:line="240" w:lineRule="auto"/>
              <w:ind w:firstLine="0"/>
              <w:textAlignment w:val="auto"/>
              <w:rPr>
                <w:rFonts w:hint="eastAsia" w:eastAsia="宋体"/>
                <w:sz w:val="24"/>
                <w:szCs w:val="24"/>
                <w:highlight w:val="none"/>
                <w:lang w:eastAsia="zh-CN"/>
              </w:rPr>
            </w:pPr>
            <w:r>
              <w:rPr>
                <w:rFonts w:hint="eastAsia" w:eastAsia="宋体"/>
                <w:sz w:val="24"/>
                <w:szCs w:val="24"/>
                <w:highlight w:val="none"/>
                <w:lang w:eastAsia="zh-CN"/>
              </w:rPr>
              <w:t>投标人在中华人民共和国境内注册，具有独立法人资格，能够提供本次招标服务。</w:t>
            </w:r>
          </w:p>
        </w:tc>
        <w:tc>
          <w:tcPr>
            <w:tcW w:w="1021" w:type="pct"/>
            <w:vAlign w:val="center"/>
          </w:tcPr>
          <w:p>
            <w:pPr>
              <w:pStyle w:val="44"/>
              <w:keepNext w:val="0"/>
              <w:keepLines w:val="0"/>
              <w:pageBreakBefore w:val="0"/>
              <w:kinsoku/>
              <w:wordWrap/>
              <w:overflowPunct/>
              <w:topLinePunct w:val="0"/>
              <w:autoSpaceDE/>
              <w:autoSpaceDN/>
              <w:bidi w:val="0"/>
              <w:adjustRightInd/>
              <w:snapToGrid/>
              <w:spacing w:line="240" w:lineRule="auto"/>
              <w:ind w:firstLine="0"/>
              <w:jc w:val="both"/>
              <w:textAlignment w:val="auto"/>
              <w:rPr>
                <w:sz w:val="24"/>
                <w:szCs w:val="24"/>
                <w:highlight w:val="none"/>
              </w:rPr>
            </w:pPr>
            <w:r>
              <w:rPr>
                <w:rFonts w:hint="eastAsia"/>
                <w:sz w:val="24"/>
                <w:szCs w:val="24"/>
                <w:highlight w:val="none"/>
              </w:rPr>
              <w:t>第一册“资格审查部分企业营业执照或事业单位法人证书”</w:t>
            </w:r>
          </w:p>
        </w:tc>
        <w:tc>
          <w:tcPr>
            <w:tcW w:w="1309" w:type="pct"/>
            <w:vAlign w:val="center"/>
          </w:tcPr>
          <w:p>
            <w:pPr>
              <w:pStyle w:val="44"/>
              <w:keepNext w:val="0"/>
              <w:keepLines w:val="0"/>
              <w:pageBreakBefore w:val="0"/>
              <w:kinsoku/>
              <w:wordWrap/>
              <w:overflowPunct/>
              <w:topLinePunct w:val="0"/>
              <w:autoSpaceDE/>
              <w:autoSpaceDN/>
              <w:bidi w:val="0"/>
              <w:adjustRightInd/>
              <w:snapToGrid/>
              <w:spacing w:line="240" w:lineRule="auto"/>
              <w:ind w:firstLine="0"/>
              <w:textAlignment w:val="auto"/>
              <w:rPr>
                <w:sz w:val="24"/>
                <w:szCs w:val="24"/>
                <w:highlight w:val="none"/>
              </w:rPr>
            </w:pPr>
            <w:r>
              <w:rPr>
                <w:rFonts w:hint="eastAsia"/>
                <w:sz w:val="24"/>
                <w:szCs w:val="24"/>
                <w:highlight w:val="none"/>
              </w:rPr>
              <w:t>提供有效的营业执照原件扫描件（事业单位可以提供事业单位法人证书原件扫描件）。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56" w:hRule="atLeast"/>
          <w:jc w:val="center"/>
        </w:trPr>
        <w:tc>
          <w:tcPr>
            <w:tcW w:w="293" w:type="pct"/>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宋体" w:hAnsi="宋体"/>
                <w:sz w:val="24"/>
                <w:szCs w:val="24"/>
                <w:highlight w:val="none"/>
              </w:rPr>
            </w:pPr>
            <w:r>
              <w:rPr>
                <w:rFonts w:hint="eastAsia" w:ascii="宋体" w:hAnsi="宋体"/>
                <w:sz w:val="24"/>
                <w:szCs w:val="24"/>
                <w:highlight w:val="none"/>
              </w:rPr>
              <w:t>2</w:t>
            </w:r>
          </w:p>
        </w:tc>
        <w:tc>
          <w:tcPr>
            <w:tcW w:w="591" w:type="pct"/>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宋体" w:hAnsi="宋体"/>
                <w:sz w:val="24"/>
                <w:szCs w:val="24"/>
                <w:highlight w:val="none"/>
              </w:rPr>
            </w:pPr>
            <w:r>
              <w:rPr>
                <w:rFonts w:hint="eastAsia" w:ascii="宋体" w:hAnsi="宋体"/>
                <w:sz w:val="24"/>
                <w:szCs w:val="24"/>
                <w:highlight w:val="none"/>
              </w:rPr>
              <w:t>信誉要求</w:t>
            </w:r>
          </w:p>
        </w:tc>
        <w:tc>
          <w:tcPr>
            <w:tcW w:w="1784" w:type="pct"/>
            <w:vAlign w:val="center"/>
          </w:tcPr>
          <w:p>
            <w:pPr>
              <w:pStyle w:val="44"/>
              <w:keepNext w:val="0"/>
              <w:keepLines w:val="0"/>
              <w:pageBreakBefore w:val="0"/>
              <w:kinsoku/>
              <w:wordWrap/>
              <w:overflowPunct/>
              <w:topLinePunct w:val="0"/>
              <w:autoSpaceDE/>
              <w:autoSpaceDN/>
              <w:bidi w:val="0"/>
              <w:adjustRightInd/>
              <w:snapToGrid/>
              <w:spacing w:line="240" w:lineRule="auto"/>
              <w:ind w:firstLine="0"/>
              <w:textAlignment w:val="auto"/>
              <w:rPr>
                <w:rFonts w:hint="eastAsia" w:ascii="Times New Roman" w:hAnsi="Times New Roman" w:eastAsia="宋体" w:cs="Times New Roman"/>
                <w:sz w:val="24"/>
                <w:szCs w:val="24"/>
                <w:highlight w:val="none"/>
              </w:rPr>
            </w:pPr>
            <w:r>
              <w:rPr>
                <w:rFonts w:hint="eastAsia" w:ascii="Times New Roman" w:hAnsi="Times New Roman" w:eastAsia="宋体" w:cs="Times New Roman"/>
                <w:sz w:val="24"/>
                <w:szCs w:val="24"/>
                <w:highlight w:val="none"/>
              </w:rPr>
              <w:t>①</w:t>
            </w:r>
            <w:r>
              <w:rPr>
                <w:rFonts w:hint="eastAsia" w:cs="Times New Roman"/>
                <w:sz w:val="24"/>
                <w:szCs w:val="24"/>
                <w:highlight w:val="none"/>
                <w:lang w:eastAsia="zh-CN"/>
              </w:rPr>
              <w:t>投标人</w:t>
            </w:r>
            <w:r>
              <w:rPr>
                <w:rFonts w:hint="eastAsia" w:ascii="Times New Roman" w:hAnsi="Times New Roman" w:eastAsia="宋体" w:cs="Times New Roman"/>
                <w:sz w:val="24"/>
                <w:szCs w:val="24"/>
                <w:highlight w:val="none"/>
              </w:rPr>
              <w:t>具有良好的信誉，未被“信用中国”、“中国执行信息公开网”及各级信用平台列入失信被执行人、重大税收违法案件当事人等名单；参加采购活动前三年内，在经营活动中无重大违法记录、无不良行为记录（不良行为记录包含</w:t>
            </w:r>
            <w:r>
              <w:rPr>
                <w:rFonts w:hint="eastAsia" w:cs="Times New Roman"/>
                <w:sz w:val="24"/>
                <w:szCs w:val="24"/>
                <w:highlight w:val="none"/>
                <w:lang w:eastAsia="zh-CN"/>
              </w:rPr>
              <w:t>投标人</w:t>
            </w:r>
            <w:r>
              <w:rPr>
                <w:rFonts w:hint="eastAsia" w:ascii="Times New Roman" w:hAnsi="Times New Roman" w:eastAsia="宋体" w:cs="Times New Roman"/>
                <w:sz w:val="24"/>
                <w:szCs w:val="24"/>
                <w:highlight w:val="none"/>
              </w:rPr>
              <w:t>经营过程中存在与主营业务相关行政处罚、司法裁判与执行等记录）。</w:t>
            </w:r>
          </w:p>
          <w:p>
            <w:pPr>
              <w:pStyle w:val="44"/>
              <w:keepNext w:val="0"/>
              <w:keepLines w:val="0"/>
              <w:pageBreakBefore w:val="0"/>
              <w:kinsoku/>
              <w:wordWrap/>
              <w:overflowPunct/>
              <w:topLinePunct w:val="0"/>
              <w:autoSpaceDE/>
              <w:autoSpaceDN/>
              <w:bidi w:val="0"/>
              <w:adjustRightInd/>
              <w:snapToGrid/>
              <w:spacing w:line="240" w:lineRule="auto"/>
              <w:ind w:firstLine="0"/>
              <w:textAlignment w:val="auto"/>
              <w:rPr>
                <w:rFonts w:hint="eastAsia" w:eastAsia="宋体"/>
                <w:b/>
                <w:bCs/>
                <w:sz w:val="24"/>
                <w:szCs w:val="24"/>
                <w:highlight w:val="none"/>
                <w:lang w:eastAsia="zh-CN"/>
              </w:rPr>
            </w:pPr>
            <w:r>
              <w:rPr>
                <w:rFonts w:hint="eastAsia" w:ascii="Times New Roman" w:hAnsi="Times New Roman" w:eastAsia="宋体" w:cs="Times New Roman"/>
                <w:sz w:val="24"/>
                <w:szCs w:val="24"/>
                <w:highlight w:val="none"/>
              </w:rPr>
              <w:t>②与</w:t>
            </w:r>
            <w:r>
              <w:rPr>
                <w:rFonts w:hint="eastAsia" w:cs="Times New Roman"/>
                <w:sz w:val="24"/>
                <w:szCs w:val="24"/>
                <w:highlight w:val="none"/>
                <w:lang w:eastAsia="zh-CN"/>
              </w:rPr>
              <w:t>招标人</w:t>
            </w:r>
            <w:r>
              <w:rPr>
                <w:rFonts w:hint="eastAsia" w:ascii="Times New Roman" w:hAnsi="Times New Roman" w:eastAsia="宋体" w:cs="Times New Roman"/>
                <w:sz w:val="24"/>
                <w:szCs w:val="24"/>
                <w:highlight w:val="none"/>
              </w:rPr>
              <w:t>存在利害关系可能影响采购公正性的法人、其他组织或者个人，不得参加本项目；单位负责人为同一人或者存在控股、管理关系的不同单位，不得参加本项目</w:t>
            </w:r>
            <w:r>
              <w:rPr>
                <w:rFonts w:hint="eastAsia" w:ascii="Times New Roman" w:hAnsi="Times New Roman" w:eastAsia="宋体" w:cs="Times New Roman"/>
                <w:sz w:val="24"/>
                <w:szCs w:val="24"/>
                <w:highlight w:val="none"/>
                <w:lang w:eastAsia="zh-CN"/>
              </w:rPr>
              <w:t>。</w:t>
            </w:r>
          </w:p>
        </w:tc>
        <w:tc>
          <w:tcPr>
            <w:tcW w:w="1021" w:type="pct"/>
            <w:vAlign w:val="center"/>
          </w:tcPr>
          <w:p>
            <w:pPr>
              <w:pStyle w:val="44"/>
              <w:keepNext w:val="0"/>
              <w:keepLines w:val="0"/>
              <w:pageBreakBefore w:val="0"/>
              <w:kinsoku/>
              <w:wordWrap/>
              <w:overflowPunct/>
              <w:topLinePunct w:val="0"/>
              <w:autoSpaceDE/>
              <w:autoSpaceDN/>
              <w:bidi w:val="0"/>
              <w:adjustRightInd/>
              <w:snapToGrid/>
              <w:spacing w:line="240" w:lineRule="auto"/>
              <w:ind w:firstLine="0"/>
              <w:textAlignment w:val="auto"/>
              <w:rPr>
                <w:sz w:val="24"/>
                <w:szCs w:val="24"/>
                <w:highlight w:val="none"/>
              </w:rPr>
            </w:pPr>
            <w:r>
              <w:rPr>
                <w:rFonts w:hint="eastAsia"/>
                <w:sz w:val="24"/>
                <w:szCs w:val="24"/>
                <w:highlight w:val="none"/>
              </w:rPr>
              <w:t>第一册“资格审查部分 承诺函”</w:t>
            </w:r>
          </w:p>
        </w:tc>
        <w:tc>
          <w:tcPr>
            <w:tcW w:w="1309" w:type="pct"/>
            <w:vAlign w:val="center"/>
          </w:tcPr>
          <w:p>
            <w:pPr>
              <w:pStyle w:val="44"/>
              <w:keepNext w:val="0"/>
              <w:keepLines w:val="0"/>
              <w:pageBreakBefore w:val="0"/>
              <w:kinsoku/>
              <w:wordWrap/>
              <w:overflowPunct/>
              <w:topLinePunct w:val="0"/>
              <w:autoSpaceDE/>
              <w:autoSpaceDN/>
              <w:bidi w:val="0"/>
              <w:adjustRightInd/>
              <w:snapToGrid/>
              <w:spacing w:line="240" w:lineRule="auto"/>
              <w:ind w:firstLine="0"/>
              <w:textAlignment w:val="auto"/>
              <w:rPr>
                <w:sz w:val="24"/>
                <w:szCs w:val="24"/>
                <w:highlight w:val="none"/>
              </w:rPr>
            </w:pPr>
            <w:r>
              <w:rPr>
                <w:rFonts w:hint="eastAsia"/>
                <w:sz w:val="24"/>
                <w:szCs w:val="24"/>
                <w:highlight w:val="none"/>
              </w:rPr>
              <w:t>提供承诺函，网站信息以评审小组现场查询结果为准。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56" w:hRule="atLeast"/>
          <w:jc w:val="center"/>
        </w:trPr>
        <w:tc>
          <w:tcPr>
            <w:tcW w:w="293" w:type="pct"/>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sz w:val="24"/>
                <w:szCs w:val="24"/>
                <w:highlight w:val="none"/>
              </w:rPr>
            </w:pPr>
            <w:r>
              <w:rPr>
                <w:rFonts w:hint="eastAsia" w:ascii="宋体" w:hAnsi="宋体"/>
                <w:sz w:val="24"/>
                <w:szCs w:val="24"/>
                <w:highlight w:val="none"/>
                <w:lang w:val="en-US" w:eastAsia="zh-CN"/>
              </w:rPr>
              <w:t>3</w:t>
            </w:r>
          </w:p>
        </w:tc>
        <w:tc>
          <w:tcPr>
            <w:tcW w:w="591" w:type="pct"/>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sz w:val="24"/>
                <w:szCs w:val="24"/>
                <w:highlight w:val="none"/>
              </w:rPr>
            </w:pPr>
            <w:r>
              <w:rPr>
                <w:rFonts w:hint="eastAsia" w:ascii="宋体" w:hAnsi="宋体"/>
                <w:sz w:val="24"/>
                <w:szCs w:val="24"/>
                <w:highlight w:val="none"/>
                <w:lang w:val="en-US" w:eastAsia="zh-CN"/>
              </w:rPr>
              <w:t>资质要求</w:t>
            </w:r>
          </w:p>
        </w:tc>
        <w:tc>
          <w:tcPr>
            <w:tcW w:w="1784" w:type="pct"/>
            <w:vAlign w:val="center"/>
          </w:tcPr>
          <w:p>
            <w:pPr>
              <w:pStyle w:val="44"/>
              <w:keepNext w:val="0"/>
              <w:keepLines w:val="0"/>
              <w:pageBreakBefore w:val="0"/>
              <w:kinsoku/>
              <w:wordWrap/>
              <w:overflowPunct/>
              <w:topLinePunct w:val="0"/>
              <w:autoSpaceDE/>
              <w:autoSpaceDN/>
              <w:bidi w:val="0"/>
              <w:adjustRightInd/>
              <w:snapToGrid/>
              <w:spacing w:line="240" w:lineRule="auto"/>
              <w:ind w:firstLine="0"/>
              <w:textAlignment w:val="auto"/>
              <w:rPr>
                <w:rFonts w:hint="eastAsia" w:cs="Times New Roman"/>
                <w:sz w:val="24"/>
                <w:szCs w:val="24"/>
                <w:highlight w:val="none"/>
                <w:lang w:eastAsia="zh-CN"/>
              </w:rPr>
            </w:pPr>
            <w:r>
              <w:rPr>
                <w:rFonts w:hint="eastAsia" w:cs="Times New Roman"/>
                <w:sz w:val="24"/>
                <w:szCs w:val="24"/>
                <w:highlight w:val="none"/>
                <w:lang w:eastAsia="zh-CN"/>
              </w:rPr>
              <w:t>投标人须具有下列资质之一：</w:t>
            </w:r>
          </w:p>
          <w:p>
            <w:pPr>
              <w:pStyle w:val="44"/>
              <w:keepNext w:val="0"/>
              <w:keepLines w:val="0"/>
              <w:pageBreakBefore w:val="0"/>
              <w:kinsoku/>
              <w:wordWrap/>
              <w:overflowPunct/>
              <w:topLinePunct w:val="0"/>
              <w:autoSpaceDE/>
              <w:autoSpaceDN/>
              <w:bidi w:val="0"/>
              <w:adjustRightInd/>
              <w:snapToGrid/>
              <w:spacing w:line="240" w:lineRule="auto"/>
              <w:ind w:firstLine="0"/>
              <w:textAlignment w:val="auto"/>
              <w:rPr>
                <w:rFonts w:hint="eastAsia" w:cs="Times New Roman"/>
                <w:sz w:val="24"/>
                <w:szCs w:val="24"/>
                <w:highlight w:val="none"/>
                <w:lang w:eastAsia="zh-CN"/>
              </w:rPr>
            </w:pPr>
            <w:r>
              <w:rPr>
                <w:rFonts w:hint="eastAsia" w:cs="Times New Roman"/>
                <w:sz w:val="24"/>
                <w:szCs w:val="24"/>
                <w:highlight w:val="none"/>
                <w:lang w:eastAsia="zh-CN"/>
              </w:rPr>
              <w:t>①建设主管部门颁发的工程勘察工程测量专业甲级资质或工程勘察综合类甲级资质；</w:t>
            </w:r>
          </w:p>
          <w:p>
            <w:pPr>
              <w:pStyle w:val="44"/>
              <w:keepNext w:val="0"/>
              <w:keepLines w:val="0"/>
              <w:pageBreakBefore w:val="0"/>
              <w:kinsoku/>
              <w:wordWrap/>
              <w:overflowPunct/>
              <w:topLinePunct w:val="0"/>
              <w:autoSpaceDE/>
              <w:autoSpaceDN/>
              <w:bidi w:val="0"/>
              <w:adjustRightInd/>
              <w:snapToGrid/>
              <w:spacing w:line="240" w:lineRule="auto"/>
              <w:ind w:firstLine="0"/>
              <w:textAlignment w:val="auto"/>
              <w:rPr>
                <w:rFonts w:hint="eastAsia" w:cs="Times New Roman"/>
                <w:sz w:val="24"/>
                <w:szCs w:val="24"/>
                <w:highlight w:val="none"/>
                <w:lang w:eastAsia="zh-CN"/>
              </w:rPr>
            </w:pPr>
            <w:r>
              <w:rPr>
                <w:rFonts w:hint="eastAsia" w:cs="Times New Roman"/>
                <w:sz w:val="24"/>
                <w:szCs w:val="24"/>
                <w:highlight w:val="none"/>
                <w:lang w:eastAsia="zh-CN"/>
              </w:rPr>
              <w:t xml:space="preserve"> ②自然资源部（或原国家测绘地理信息局）颁发的甲级测绘资质；</w:t>
            </w:r>
          </w:p>
        </w:tc>
        <w:tc>
          <w:tcPr>
            <w:tcW w:w="1021" w:type="pct"/>
            <w:vAlign w:val="center"/>
          </w:tcPr>
          <w:p>
            <w:pPr>
              <w:pStyle w:val="44"/>
              <w:keepNext w:val="0"/>
              <w:keepLines w:val="0"/>
              <w:pageBreakBefore w:val="0"/>
              <w:kinsoku/>
              <w:wordWrap/>
              <w:overflowPunct/>
              <w:topLinePunct w:val="0"/>
              <w:autoSpaceDE/>
              <w:autoSpaceDN/>
              <w:bidi w:val="0"/>
              <w:adjustRightInd/>
              <w:snapToGrid/>
              <w:spacing w:line="240" w:lineRule="auto"/>
              <w:ind w:firstLine="0"/>
              <w:textAlignment w:val="auto"/>
              <w:rPr>
                <w:rFonts w:hint="eastAsia"/>
                <w:sz w:val="24"/>
                <w:szCs w:val="24"/>
                <w:highlight w:val="none"/>
              </w:rPr>
            </w:pPr>
            <w:r>
              <w:rPr>
                <w:rFonts w:hint="eastAsia"/>
                <w:sz w:val="24"/>
                <w:szCs w:val="24"/>
                <w:highlight w:val="none"/>
              </w:rPr>
              <w:t xml:space="preserve">第一册“资格审查部分 </w:t>
            </w:r>
            <w:r>
              <w:rPr>
                <w:rFonts w:hint="eastAsia" w:ascii="宋体" w:hAnsi="宋体"/>
                <w:sz w:val="24"/>
                <w:szCs w:val="24"/>
                <w:highlight w:val="none"/>
                <w:lang w:val="en-US" w:eastAsia="zh-CN"/>
              </w:rPr>
              <w:t>资质要求</w:t>
            </w:r>
            <w:r>
              <w:rPr>
                <w:rFonts w:hint="eastAsia"/>
                <w:sz w:val="24"/>
                <w:szCs w:val="24"/>
                <w:highlight w:val="none"/>
              </w:rPr>
              <w:t>”</w:t>
            </w:r>
          </w:p>
        </w:tc>
        <w:tc>
          <w:tcPr>
            <w:tcW w:w="1309" w:type="pct"/>
            <w:shd w:val="clear" w:color="auto" w:fill="auto"/>
            <w:vAlign w:val="center"/>
          </w:tcPr>
          <w:p>
            <w:pPr>
              <w:pStyle w:val="44"/>
              <w:keepNext w:val="0"/>
              <w:keepLines w:val="0"/>
              <w:pageBreakBefore w:val="0"/>
              <w:kinsoku/>
              <w:wordWrap/>
              <w:overflowPunct/>
              <w:topLinePunct w:val="0"/>
              <w:autoSpaceDE/>
              <w:autoSpaceDN/>
              <w:bidi w:val="0"/>
              <w:adjustRightInd/>
              <w:snapToGrid/>
              <w:spacing w:line="240" w:lineRule="auto"/>
              <w:ind w:firstLine="0"/>
              <w:textAlignment w:val="auto"/>
              <w:rPr>
                <w:rFonts w:hint="eastAsia" w:ascii="仿宋" w:hAnsi="仿宋" w:eastAsia="仿宋" w:cs="仿宋"/>
                <w:kern w:val="2"/>
                <w:sz w:val="24"/>
                <w:szCs w:val="24"/>
                <w:highlight w:val="none"/>
                <w:lang w:val="en-US" w:eastAsia="zh-CN" w:bidi="ar-SA"/>
              </w:rPr>
            </w:pPr>
            <w:r>
              <w:rPr>
                <w:rFonts w:hint="eastAsia" w:ascii="Times New Roman" w:hAnsi="Times New Roman" w:eastAsia="宋体" w:cs="Times New Roman"/>
                <w:sz w:val="24"/>
                <w:szCs w:val="24"/>
                <w:highlight w:val="none"/>
                <w:lang w:val="en-US" w:eastAsia="zh-CN"/>
              </w:rPr>
              <w:t>提供有效的资质证书原件扫描件。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49" w:hRule="atLeast"/>
          <w:jc w:val="center"/>
        </w:trPr>
        <w:tc>
          <w:tcPr>
            <w:tcW w:w="293" w:type="pct"/>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sz w:val="24"/>
                <w:szCs w:val="24"/>
                <w:highlight w:val="none"/>
                <w:lang w:val="en-US" w:eastAsia="zh-CN"/>
              </w:rPr>
            </w:pPr>
            <w:r>
              <w:rPr>
                <w:rFonts w:hint="eastAsia" w:ascii="宋体" w:hAnsi="宋体"/>
                <w:sz w:val="24"/>
                <w:szCs w:val="24"/>
                <w:highlight w:val="none"/>
                <w:lang w:val="en-US" w:eastAsia="zh-CN"/>
              </w:rPr>
              <w:t>4</w:t>
            </w:r>
          </w:p>
        </w:tc>
        <w:tc>
          <w:tcPr>
            <w:tcW w:w="591" w:type="pct"/>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sz w:val="24"/>
                <w:szCs w:val="24"/>
                <w:highlight w:val="none"/>
              </w:rPr>
            </w:pPr>
            <w:r>
              <w:rPr>
                <w:rFonts w:hint="eastAsia" w:ascii="宋体" w:hAnsi="宋体"/>
                <w:sz w:val="24"/>
                <w:szCs w:val="24"/>
                <w:highlight w:val="none"/>
                <w:lang w:val="en-US" w:eastAsia="zh-CN"/>
              </w:rPr>
              <w:t>项目负责人要求</w:t>
            </w:r>
          </w:p>
        </w:tc>
        <w:tc>
          <w:tcPr>
            <w:tcW w:w="1784" w:type="pct"/>
            <w:vAlign w:val="center"/>
          </w:tcPr>
          <w:p>
            <w:pPr>
              <w:pStyle w:val="44"/>
              <w:keepNext w:val="0"/>
              <w:keepLines w:val="0"/>
              <w:pageBreakBefore w:val="0"/>
              <w:kinsoku/>
              <w:wordWrap/>
              <w:overflowPunct/>
              <w:topLinePunct w:val="0"/>
              <w:autoSpaceDE/>
              <w:autoSpaceDN/>
              <w:bidi w:val="0"/>
              <w:adjustRightInd/>
              <w:snapToGrid/>
              <w:spacing w:line="240" w:lineRule="auto"/>
              <w:ind w:firstLine="0"/>
              <w:textAlignment w:val="auto"/>
              <w:rPr>
                <w:rFonts w:hint="eastAsia" w:cs="Times New Roman"/>
                <w:sz w:val="24"/>
                <w:szCs w:val="24"/>
                <w:highlight w:val="none"/>
                <w:lang w:eastAsia="zh-CN"/>
              </w:rPr>
            </w:pPr>
            <w:r>
              <w:rPr>
                <w:rFonts w:hint="eastAsia" w:cs="Times New Roman"/>
                <w:sz w:val="24"/>
                <w:szCs w:val="24"/>
                <w:highlight w:val="none"/>
                <w:lang w:eastAsia="zh-CN"/>
              </w:rPr>
              <w:t>须同时满足以下要求：</w:t>
            </w:r>
          </w:p>
          <w:p>
            <w:pPr>
              <w:pStyle w:val="44"/>
              <w:keepNext w:val="0"/>
              <w:keepLines w:val="0"/>
              <w:pageBreakBefore w:val="0"/>
              <w:kinsoku/>
              <w:wordWrap/>
              <w:overflowPunct/>
              <w:topLinePunct w:val="0"/>
              <w:autoSpaceDE/>
              <w:autoSpaceDN/>
              <w:bidi w:val="0"/>
              <w:adjustRightInd/>
              <w:snapToGrid/>
              <w:spacing w:line="240" w:lineRule="auto"/>
              <w:ind w:firstLine="0"/>
              <w:textAlignment w:val="auto"/>
              <w:rPr>
                <w:rFonts w:hint="eastAsia" w:cs="Times New Roman"/>
                <w:sz w:val="24"/>
                <w:szCs w:val="24"/>
                <w:highlight w:val="none"/>
                <w:lang w:eastAsia="zh-CN"/>
              </w:rPr>
            </w:pPr>
            <w:r>
              <w:rPr>
                <w:rFonts w:hint="eastAsia" w:cs="Times New Roman"/>
                <w:sz w:val="24"/>
                <w:szCs w:val="24"/>
                <w:highlight w:val="none"/>
                <w:lang w:eastAsia="zh-CN"/>
              </w:rPr>
              <w:t>（1）须为投标人正式员工；</w:t>
            </w:r>
          </w:p>
          <w:p>
            <w:pPr>
              <w:pStyle w:val="44"/>
              <w:keepNext w:val="0"/>
              <w:keepLines w:val="0"/>
              <w:pageBreakBefore w:val="0"/>
              <w:kinsoku/>
              <w:wordWrap/>
              <w:overflowPunct/>
              <w:topLinePunct w:val="0"/>
              <w:autoSpaceDE/>
              <w:autoSpaceDN/>
              <w:bidi w:val="0"/>
              <w:adjustRightInd/>
              <w:snapToGrid/>
              <w:spacing w:line="240" w:lineRule="auto"/>
              <w:ind w:firstLine="0"/>
              <w:textAlignment w:val="auto"/>
              <w:rPr>
                <w:rFonts w:hint="eastAsia" w:cs="Times New Roman"/>
                <w:sz w:val="24"/>
                <w:szCs w:val="24"/>
                <w:highlight w:val="none"/>
                <w:lang w:eastAsia="zh-CN"/>
              </w:rPr>
            </w:pPr>
            <w:r>
              <w:rPr>
                <w:rFonts w:hint="eastAsia" w:cs="Times New Roman"/>
                <w:sz w:val="24"/>
                <w:szCs w:val="24"/>
                <w:highlight w:val="none"/>
                <w:lang w:eastAsia="zh-CN"/>
              </w:rPr>
              <w:t>（2）具有工程师及以上的职称；</w:t>
            </w:r>
          </w:p>
          <w:p>
            <w:pPr>
              <w:pStyle w:val="44"/>
              <w:keepNext w:val="0"/>
              <w:keepLines w:val="0"/>
              <w:pageBreakBefore w:val="0"/>
              <w:kinsoku/>
              <w:wordWrap/>
              <w:overflowPunct/>
              <w:topLinePunct w:val="0"/>
              <w:autoSpaceDE/>
              <w:autoSpaceDN/>
              <w:bidi w:val="0"/>
              <w:adjustRightInd/>
              <w:snapToGrid/>
              <w:spacing w:line="240" w:lineRule="auto"/>
              <w:ind w:firstLine="0"/>
              <w:textAlignment w:val="auto"/>
              <w:rPr>
                <w:rFonts w:hint="eastAsia" w:cs="Times New Roman"/>
                <w:sz w:val="24"/>
                <w:szCs w:val="24"/>
                <w:highlight w:val="none"/>
                <w:lang w:eastAsia="zh-CN"/>
              </w:rPr>
            </w:pPr>
            <w:r>
              <w:rPr>
                <w:rFonts w:hint="eastAsia" w:cs="Times New Roman"/>
                <w:sz w:val="24"/>
                <w:szCs w:val="24"/>
                <w:highlight w:val="none"/>
                <w:lang w:eastAsia="zh-CN"/>
              </w:rPr>
              <w:t>（3）具有5年及以上相关工作经验。</w:t>
            </w:r>
          </w:p>
        </w:tc>
        <w:tc>
          <w:tcPr>
            <w:tcW w:w="1021" w:type="pct"/>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textAlignment w:val="auto"/>
              <w:rPr>
                <w:rFonts w:hint="eastAsia"/>
                <w:sz w:val="24"/>
                <w:szCs w:val="24"/>
                <w:highlight w:val="none"/>
              </w:rPr>
            </w:pPr>
            <w:r>
              <w:rPr>
                <w:rFonts w:hint="eastAsia"/>
                <w:sz w:val="24"/>
                <w:szCs w:val="24"/>
                <w:highlight w:val="none"/>
              </w:rPr>
              <w:t xml:space="preserve">第一册“资格审查部分 </w:t>
            </w:r>
            <w:r>
              <w:rPr>
                <w:rFonts w:hint="eastAsia" w:ascii="宋体" w:hAnsi="宋体" w:eastAsia="宋体"/>
                <w:sz w:val="24"/>
                <w:szCs w:val="24"/>
                <w:highlight w:val="none"/>
                <w:lang w:val="en-US" w:eastAsia="zh-CN"/>
              </w:rPr>
              <w:t>项目负责人要求</w:t>
            </w:r>
            <w:r>
              <w:rPr>
                <w:rFonts w:hint="eastAsia"/>
                <w:sz w:val="24"/>
                <w:szCs w:val="24"/>
                <w:highlight w:val="none"/>
              </w:rPr>
              <w:t>”</w:t>
            </w:r>
          </w:p>
        </w:tc>
        <w:tc>
          <w:tcPr>
            <w:tcW w:w="1309" w:type="pct"/>
            <w:shd w:val="clear" w:color="auto" w:fill="auto"/>
            <w:vAlign w:val="center"/>
          </w:tcPr>
          <w:p>
            <w:pPr>
              <w:pStyle w:val="44"/>
              <w:keepNext w:val="0"/>
              <w:keepLines w:val="0"/>
              <w:pageBreakBefore w:val="0"/>
              <w:kinsoku/>
              <w:wordWrap/>
              <w:overflowPunct/>
              <w:topLinePunct w:val="0"/>
              <w:autoSpaceDE/>
              <w:autoSpaceDN/>
              <w:bidi w:val="0"/>
              <w:adjustRightInd/>
              <w:snapToGrid/>
              <w:spacing w:line="240" w:lineRule="auto"/>
              <w:ind w:firstLine="0"/>
              <w:textAlignment w:val="auto"/>
              <w:rPr>
                <w:rFonts w:hint="eastAsia" w:ascii="Times New Roman" w:hAnsi="Times New Roman" w:eastAsia="宋体" w:cs="Times New Roman"/>
                <w:sz w:val="24"/>
                <w:szCs w:val="24"/>
                <w:highlight w:val="none"/>
                <w:lang w:val="en-US" w:eastAsia="zh-CN"/>
              </w:rPr>
            </w:pPr>
            <w:r>
              <w:rPr>
                <w:rFonts w:hint="eastAsia" w:ascii="Times New Roman" w:hAnsi="Times New Roman" w:eastAsia="宋体" w:cs="Times New Roman"/>
                <w:sz w:val="24"/>
                <w:szCs w:val="24"/>
                <w:highlight w:val="none"/>
                <w:lang w:val="en-US" w:eastAsia="zh-CN"/>
              </w:rPr>
              <w:t>须同时提供：</w:t>
            </w:r>
          </w:p>
          <w:p>
            <w:pPr>
              <w:pStyle w:val="44"/>
              <w:keepNext w:val="0"/>
              <w:keepLines w:val="0"/>
              <w:pageBreakBefore w:val="0"/>
              <w:kinsoku/>
              <w:wordWrap/>
              <w:overflowPunct/>
              <w:topLinePunct w:val="0"/>
              <w:autoSpaceDE/>
              <w:autoSpaceDN/>
              <w:bidi w:val="0"/>
              <w:adjustRightInd/>
              <w:snapToGrid/>
              <w:spacing w:line="240" w:lineRule="auto"/>
              <w:ind w:firstLine="0"/>
              <w:textAlignment w:val="auto"/>
              <w:rPr>
                <w:rFonts w:hint="eastAsia" w:ascii="Times New Roman" w:hAnsi="Times New Roman" w:eastAsia="宋体" w:cs="Times New Roman"/>
                <w:sz w:val="24"/>
                <w:szCs w:val="24"/>
                <w:highlight w:val="none"/>
                <w:lang w:val="en-US" w:eastAsia="zh-CN"/>
              </w:rPr>
            </w:pPr>
            <w:r>
              <w:rPr>
                <w:rFonts w:hint="eastAsia" w:ascii="Times New Roman" w:hAnsi="Times New Roman" w:eastAsia="宋体" w:cs="Times New Roman"/>
                <w:sz w:val="24"/>
                <w:szCs w:val="24"/>
                <w:highlight w:val="none"/>
                <w:lang w:val="en-US" w:eastAsia="zh-CN"/>
              </w:rPr>
              <w:t>（1）与投标人签订的有效劳动合同；</w:t>
            </w:r>
          </w:p>
          <w:p>
            <w:pPr>
              <w:pStyle w:val="44"/>
              <w:keepNext w:val="0"/>
              <w:keepLines w:val="0"/>
              <w:pageBreakBefore w:val="0"/>
              <w:kinsoku/>
              <w:wordWrap/>
              <w:overflowPunct/>
              <w:topLinePunct w:val="0"/>
              <w:autoSpaceDE/>
              <w:autoSpaceDN/>
              <w:bidi w:val="0"/>
              <w:adjustRightInd/>
              <w:snapToGrid/>
              <w:spacing w:line="240" w:lineRule="auto"/>
              <w:ind w:firstLine="0"/>
              <w:textAlignment w:val="auto"/>
              <w:rPr>
                <w:rFonts w:hint="eastAsia" w:ascii="Times New Roman" w:hAnsi="Times New Roman" w:eastAsia="宋体" w:cs="Times New Roman"/>
                <w:sz w:val="24"/>
                <w:szCs w:val="24"/>
                <w:highlight w:val="none"/>
                <w:lang w:val="en-US" w:eastAsia="zh-CN"/>
              </w:rPr>
            </w:pPr>
            <w:r>
              <w:rPr>
                <w:rFonts w:hint="eastAsia" w:ascii="Times New Roman" w:hAnsi="Times New Roman" w:eastAsia="宋体" w:cs="Times New Roman"/>
                <w:sz w:val="24"/>
                <w:szCs w:val="24"/>
                <w:highlight w:val="none"/>
                <w:lang w:val="en-US" w:eastAsia="zh-CN"/>
              </w:rPr>
              <w:t>（2）有效的职称证书；</w:t>
            </w:r>
          </w:p>
          <w:p>
            <w:pPr>
              <w:pStyle w:val="44"/>
              <w:keepNext w:val="0"/>
              <w:keepLines w:val="0"/>
              <w:pageBreakBefore w:val="0"/>
              <w:kinsoku/>
              <w:wordWrap/>
              <w:overflowPunct/>
              <w:topLinePunct w:val="0"/>
              <w:autoSpaceDE/>
              <w:autoSpaceDN/>
              <w:bidi w:val="0"/>
              <w:adjustRightInd/>
              <w:snapToGrid/>
              <w:spacing w:line="240" w:lineRule="auto"/>
              <w:ind w:firstLine="0"/>
              <w:textAlignment w:val="auto"/>
              <w:rPr>
                <w:rFonts w:hint="default" w:ascii="Calibri" w:hAnsi="Calibri" w:cs="Calibri"/>
                <w:sz w:val="24"/>
                <w:szCs w:val="24"/>
                <w:highlight w:val="none"/>
                <w:lang w:val="en-US" w:eastAsia="zh-CN"/>
              </w:rPr>
            </w:pPr>
            <w:r>
              <w:rPr>
                <w:rFonts w:hint="eastAsia" w:ascii="Times New Roman" w:hAnsi="Times New Roman" w:eastAsia="宋体" w:cs="Times New Roman"/>
                <w:sz w:val="24"/>
                <w:szCs w:val="24"/>
                <w:highlight w:val="none"/>
                <w:lang w:val="en-US" w:eastAsia="zh-CN"/>
              </w:rPr>
              <w:t>（3）项目负责人简历表（须体</w:t>
            </w:r>
            <w:r>
              <w:rPr>
                <w:rFonts w:hint="eastAsia" w:cs="Times New Roman"/>
                <w:sz w:val="24"/>
                <w:szCs w:val="24"/>
                <w:highlight w:val="none"/>
                <w:lang w:val="en-US" w:eastAsia="zh-CN"/>
              </w:rPr>
              <w:t>现</w:t>
            </w:r>
            <w:r>
              <w:rPr>
                <w:rFonts w:hint="eastAsia" w:ascii="Times New Roman" w:hAnsi="Times New Roman" w:eastAsia="宋体" w:cs="Times New Roman"/>
                <w:sz w:val="24"/>
                <w:szCs w:val="24"/>
                <w:highlight w:val="none"/>
                <w:lang w:val="en-US" w:eastAsia="zh-CN"/>
              </w:rPr>
              <w:t>项目负责人工作年限，格式详见第</w:t>
            </w:r>
            <w:r>
              <w:rPr>
                <w:rFonts w:hint="eastAsia" w:cs="Times New Roman"/>
                <w:sz w:val="24"/>
                <w:szCs w:val="24"/>
                <w:highlight w:val="none"/>
                <w:lang w:val="en-US" w:eastAsia="zh-CN"/>
              </w:rPr>
              <w:t>六</w:t>
            </w:r>
            <w:r>
              <w:rPr>
                <w:rFonts w:hint="eastAsia" w:ascii="Times New Roman" w:hAnsi="Times New Roman" w:eastAsia="宋体" w:cs="Times New Roman"/>
                <w:sz w:val="24"/>
                <w:szCs w:val="24"/>
                <w:highlight w:val="none"/>
                <w:lang w:val="en-US" w:eastAsia="zh-CN"/>
              </w:rPr>
              <w:t>章“项目负责人简历表”）。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28" w:hRule="atLeast"/>
          <w:jc w:val="center"/>
        </w:trPr>
        <w:tc>
          <w:tcPr>
            <w:tcW w:w="293" w:type="pct"/>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sz w:val="24"/>
                <w:szCs w:val="24"/>
                <w:highlight w:val="none"/>
                <w:lang w:val="en-US" w:eastAsia="zh-CN"/>
              </w:rPr>
            </w:pPr>
          </w:p>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sz w:val="24"/>
                <w:szCs w:val="24"/>
                <w:highlight w:val="none"/>
                <w:lang w:val="en-US" w:eastAsia="zh-CN"/>
              </w:rPr>
            </w:pPr>
          </w:p>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sz w:val="24"/>
                <w:szCs w:val="24"/>
                <w:highlight w:val="none"/>
                <w:lang w:val="en-US" w:eastAsia="zh-CN"/>
              </w:rPr>
            </w:pPr>
          </w:p>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sz w:val="24"/>
                <w:szCs w:val="24"/>
                <w:highlight w:val="none"/>
                <w:lang w:val="en-US" w:eastAsia="zh-CN"/>
              </w:rPr>
            </w:pPr>
            <w:r>
              <w:rPr>
                <w:rFonts w:hint="eastAsia" w:ascii="宋体" w:hAnsi="宋体"/>
                <w:sz w:val="24"/>
                <w:szCs w:val="24"/>
                <w:highlight w:val="none"/>
                <w:lang w:val="en-US" w:eastAsia="zh-CN"/>
              </w:rPr>
              <w:t>5</w:t>
            </w:r>
          </w:p>
        </w:tc>
        <w:tc>
          <w:tcPr>
            <w:tcW w:w="591" w:type="pct"/>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sz w:val="24"/>
                <w:szCs w:val="24"/>
                <w:highlight w:val="none"/>
                <w:lang w:val="en-US" w:eastAsia="zh-CN"/>
              </w:rPr>
            </w:pPr>
          </w:p>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sz w:val="24"/>
                <w:szCs w:val="24"/>
                <w:highlight w:val="none"/>
                <w:lang w:val="en-US" w:eastAsia="zh-CN"/>
              </w:rPr>
            </w:pPr>
          </w:p>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sz w:val="24"/>
                <w:szCs w:val="24"/>
                <w:highlight w:val="none"/>
                <w:lang w:val="en-US" w:eastAsia="zh-CN"/>
              </w:rPr>
            </w:pPr>
          </w:p>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sz w:val="24"/>
                <w:szCs w:val="24"/>
                <w:highlight w:val="none"/>
              </w:rPr>
            </w:pPr>
            <w:r>
              <w:rPr>
                <w:rFonts w:hint="eastAsia" w:ascii="宋体" w:hAnsi="宋体"/>
                <w:sz w:val="24"/>
                <w:szCs w:val="24"/>
                <w:highlight w:val="none"/>
                <w:lang w:val="en-US" w:eastAsia="zh-CN"/>
              </w:rPr>
              <w:t>业绩要求</w:t>
            </w:r>
          </w:p>
        </w:tc>
        <w:tc>
          <w:tcPr>
            <w:tcW w:w="1784" w:type="pct"/>
            <w:vAlign w:val="center"/>
          </w:tcPr>
          <w:p>
            <w:pPr>
              <w:pStyle w:val="44"/>
              <w:keepNext w:val="0"/>
              <w:keepLines w:val="0"/>
              <w:pageBreakBefore w:val="0"/>
              <w:kinsoku/>
              <w:wordWrap/>
              <w:overflowPunct/>
              <w:topLinePunct w:val="0"/>
              <w:autoSpaceDE/>
              <w:autoSpaceDN/>
              <w:bidi w:val="0"/>
              <w:adjustRightInd/>
              <w:snapToGrid/>
              <w:spacing w:line="240" w:lineRule="auto"/>
              <w:ind w:firstLine="0"/>
              <w:textAlignment w:val="auto"/>
              <w:rPr>
                <w:rFonts w:hint="eastAsia" w:cs="Times New Roman"/>
                <w:sz w:val="24"/>
                <w:szCs w:val="24"/>
                <w:highlight w:val="none"/>
                <w:lang w:eastAsia="zh-CN"/>
              </w:rPr>
            </w:pPr>
            <w:r>
              <w:rPr>
                <w:rFonts w:hint="eastAsia" w:cs="Times New Roman"/>
                <w:sz w:val="24"/>
                <w:szCs w:val="24"/>
                <w:highlight w:val="none"/>
                <w:lang w:eastAsia="zh-CN"/>
              </w:rPr>
              <w:t>投标人自2021年1月1日以来至投标截止日期至少具有一项不低于80万元的国内城市轨道交通运营期结构监测或建设期第三方监测业绩（以合同签订时间为准）。</w:t>
            </w:r>
          </w:p>
          <w:p>
            <w:pPr>
              <w:pStyle w:val="44"/>
              <w:keepNext w:val="0"/>
              <w:keepLines w:val="0"/>
              <w:pageBreakBefore w:val="0"/>
              <w:kinsoku/>
              <w:wordWrap/>
              <w:overflowPunct/>
              <w:topLinePunct w:val="0"/>
              <w:autoSpaceDE/>
              <w:autoSpaceDN/>
              <w:bidi w:val="0"/>
              <w:adjustRightInd/>
              <w:snapToGrid/>
              <w:spacing w:line="240" w:lineRule="auto"/>
              <w:ind w:firstLine="0"/>
              <w:textAlignment w:val="auto"/>
              <w:rPr>
                <w:rFonts w:hint="eastAsia" w:cs="Times New Roman"/>
                <w:sz w:val="24"/>
                <w:szCs w:val="24"/>
                <w:highlight w:val="none"/>
                <w:lang w:eastAsia="zh-CN"/>
              </w:rPr>
            </w:pPr>
            <w:r>
              <w:rPr>
                <w:rFonts w:hint="eastAsia" w:cs="Times New Roman"/>
                <w:sz w:val="24"/>
                <w:szCs w:val="24"/>
                <w:highlight w:val="none"/>
                <w:lang w:eastAsia="zh-CN"/>
              </w:rPr>
              <w:t>注：其中运营期结构监测业绩指运营期全线结构变形监测、运营期线路控制保护区建设活动影响监测及其他特殊区段的</w:t>
            </w:r>
            <w:r>
              <w:rPr>
                <w:rFonts w:hint="eastAsia" w:cs="Times New Roman"/>
                <w:sz w:val="24"/>
                <w:szCs w:val="24"/>
                <w:highlight w:val="none"/>
                <w:lang w:val="en-US" w:eastAsia="zh-CN"/>
              </w:rPr>
              <w:t>结</w:t>
            </w:r>
            <w:r>
              <w:rPr>
                <w:rFonts w:hint="eastAsia" w:cs="Times New Roman"/>
                <w:sz w:val="24"/>
                <w:szCs w:val="24"/>
                <w:highlight w:val="none"/>
                <w:lang w:eastAsia="zh-CN"/>
              </w:rPr>
              <w:t>构变形监测。建设期第三方监测业绩指在轨道交通工程建设期，建设单位委托第三方监测单位进行独立监测的业绩。不包括建设期施工监测业绩，也不包括建设期地铁保护区安全监测业绩。</w:t>
            </w:r>
          </w:p>
        </w:tc>
        <w:tc>
          <w:tcPr>
            <w:tcW w:w="1021" w:type="pct"/>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textAlignment w:val="auto"/>
              <w:rPr>
                <w:rFonts w:hint="eastAsia"/>
                <w:sz w:val="24"/>
                <w:szCs w:val="24"/>
                <w:highlight w:val="none"/>
              </w:rPr>
            </w:pPr>
            <w:r>
              <w:rPr>
                <w:rFonts w:hint="eastAsia"/>
                <w:sz w:val="24"/>
                <w:szCs w:val="24"/>
                <w:highlight w:val="none"/>
              </w:rPr>
              <w:t xml:space="preserve">第一册“资格审查部分 </w:t>
            </w:r>
            <w:r>
              <w:rPr>
                <w:rFonts w:hint="eastAsia" w:ascii="宋体" w:hAnsi="宋体" w:eastAsia="宋体"/>
                <w:sz w:val="24"/>
                <w:szCs w:val="24"/>
                <w:highlight w:val="none"/>
                <w:lang w:val="en-US" w:eastAsia="zh-CN"/>
              </w:rPr>
              <w:t>业绩要求</w:t>
            </w:r>
            <w:r>
              <w:rPr>
                <w:rFonts w:hint="eastAsia"/>
                <w:sz w:val="24"/>
                <w:szCs w:val="24"/>
                <w:highlight w:val="none"/>
              </w:rPr>
              <w:t>”</w:t>
            </w:r>
          </w:p>
        </w:tc>
        <w:tc>
          <w:tcPr>
            <w:tcW w:w="1309" w:type="pct"/>
            <w:shd w:val="clear" w:color="auto" w:fill="auto"/>
            <w:vAlign w:val="center"/>
          </w:tcPr>
          <w:p>
            <w:pPr>
              <w:pStyle w:val="44"/>
              <w:keepNext w:val="0"/>
              <w:keepLines w:val="0"/>
              <w:pageBreakBefore w:val="0"/>
              <w:kinsoku/>
              <w:wordWrap/>
              <w:overflowPunct/>
              <w:topLinePunct w:val="0"/>
              <w:autoSpaceDE/>
              <w:autoSpaceDN/>
              <w:bidi w:val="0"/>
              <w:adjustRightInd/>
              <w:snapToGrid/>
              <w:spacing w:line="240" w:lineRule="auto"/>
              <w:ind w:firstLine="0"/>
              <w:textAlignment w:val="auto"/>
              <w:rPr>
                <w:rFonts w:hint="eastAsia" w:ascii="Times New Roman" w:hAnsi="Times New Roman" w:eastAsia="宋体" w:cs="Times New Roman"/>
                <w:sz w:val="24"/>
                <w:szCs w:val="24"/>
                <w:highlight w:val="none"/>
                <w:lang w:val="en-US" w:eastAsia="zh-CN"/>
              </w:rPr>
            </w:pPr>
            <w:r>
              <w:rPr>
                <w:rFonts w:hint="eastAsia" w:ascii="Times New Roman" w:hAnsi="Times New Roman" w:eastAsia="宋体" w:cs="Times New Roman"/>
                <w:sz w:val="24"/>
                <w:szCs w:val="24"/>
                <w:highlight w:val="none"/>
                <w:lang w:val="en-US" w:eastAsia="zh-CN"/>
              </w:rPr>
              <w:t>须同时提供：</w:t>
            </w:r>
          </w:p>
          <w:p>
            <w:pPr>
              <w:pStyle w:val="44"/>
              <w:keepNext w:val="0"/>
              <w:keepLines w:val="0"/>
              <w:pageBreakBefore w:val="0"/>
              <w:kinsoku/>
              <w:wordWrap/>
              <w:overflowPunct/>
              <w:topLinePunct w:val="0"/>
              <w:autoSpaceDE/>
              <w:autoSpaceDN/>
              <w:bidi w:val="0"/>
              <w:adjustRightInd/>
              <w:snapToGrid/>
              <w:spacing w:line="240" w:lineRule="auto"/>
              <w:ind w:firstLine="0"/>
              <w:textAlignment w:val="auto"/>
              <w:rPr>
                <w:rFonts w:hint="eastAsia" w:ascii="Times New Roman" w:hAnsi="Times New Roman" w:eastAsia="宋体" w:cs="Times New Roman"/>
                <w:sz w:val="24"/>
                <w:szCs w:val="24"/>
                <w:highlight w:val="none"/>
                <w:lang w:val="en-US" w:eastAsia="zh-CN"/>
              </w:rPr>
            </w:pPr>
            <w:r>
              <w:rPr>
                <w:rFonts w:hint="eastAsia" w:ascii="Times New Roman" w:hAnsi="Times New Roman" w:eastAsia="宋体" w:cs="Times New Roman"/>
                <w:sz w:val="24"/>
                <w:szCs w:val="24"/>
                <w:highlight w:val="none"/>
                <w:lang w:val="en-US" w:eastAsia="zh-CN"/>
              </w:rPr>
              <w:t>（1）合同协议书；</w:t>
            </w:r>
          </w:p>
          <w:p>
            <w:pPr>
              <w:pStyle w:val="44"/>
              <w:keepNext w:val="0"/>
              <w:keepLines w:val="0"/>
              <w:pageBreakBefore w:val="0"/>
              <w:kinsoku/>
              <w:wordWrap/>
              <w:overflowPunct/>
              <w:topLinePunct w:val="0"/>
              <w:autoSpaceDE/>
              <w:autoSpaceDN/>
              <w:bidi w:val="0"/>
              <w:adjustRightInd/>
              <w:snapToGrid/>
              <w:spacing w:line="240" w:lineRule="auto"/>
              <w:ind w:firstLine="0"/>
              <w:textAlignment w:val="auto"/>
              <w:rPr>
                <w:rFonts w:hint="eastAsia" w:ascii="Times New Roman" w:hAnsi="Times New Roman" w:eastAsia="宋体" w:cs="Times New Roman"/>
                <w:sz w:val="24"/>
                <w:szCs w:val="24"/>
                <w:highlight w:val="none"/>
                <w:lang w:val="en-US" w:eastAsia="zh-CN"/>
              </w:rPr>
            </w:pPr>
            <w:r>
              <w:rPr>
                <w:rFonts w:hint="eastAsia" w:ascii="Times New Roman" w:hAnsi="Times New Roman" w:eastAsia="宋体" w:cs="Times New Roman"/>
                <w:sz w:val="24"/>
                <w:szCs w:val="24"/>
                <w:highlight w:val="none"/>
                <w:lang w:val="en-US" w:eastAsia="zh-CN"/>
              </w:rPr>
              <w:t>（2）验收证明或业主证明。</w:t>
            </w:r>
          </w:p>
          <w:p>
            <w:pPr>
              <w:pStyle w:val="44"/>
              <w:keepNext w:val="0"/>
              <w:keepLines w:val="0"/>
              <w:pageBreakBefore w:val="0"/>
              <w:kinsoku/>
              <w:wordWrap/>
              <w:overflowPunct/>
              <w:topLinePunct w:val="0"/>
              <w:autoSpaceDE/>
              <w:autoSpaceDN/>
              <w:bidi w:val="0"/>
              <w:adjustRightInd/>
              <w:snapToGrid/>
              <w:spacing w:line="240" w:lineRule="auto"/>
              <w:ind w:firstLine="0"/>
              <w:textAlignment w:val="auto"/>
              <w:rPr>
                <w:rFonts w:hint="eastAsia" w:ascii="Times New Roman" w:hAnsi="Times New Roman" w:eastAsia="宋体" w:cs="Times New Roman"/>
                <w:sz w:val="24"/>
                <w:szCs w:val="24"/>
                <w:highlight w:val="none"/>
                <w:lang w:val="en-US" w:eastAsia="zh-CN"/>
              </w:rPr>
            </w:pPr>
            <w:r>
              <w:rPr>
                <w:rFonts w:hint="eastAsia" w:ascii="Times New Roman" w:hAnsi="Times New Roman" w:eastAsia="宋体" w:cs="Times New Roman"/>
                <w:sz w:val="24"/>
                <w:szCs w:val="24"/>
                <w:highlight w:val="none"/>
                <w:lang w:val="en-US" w:eastAsia="zh-CN"/>
              </w:rPr>
              <w:t>注：业绩时间以合同签订时间为准；如合同协议书中未能体现相应评审要素，则验收证明或业主证明中必须体现；业主证明</w:t>
            </w:r>
          </w:p>
          <w:p>
            <w:pPr>
              <w:pStyle w:val="44"/>
              <w:keepNext w:val="0"/>
              <w:keepLines w:val="0"/>
              <w:pageBreakBefore w:val="0"/>
              <w:kinsoku/>
              <w:wordWrap/>
              <w:overflowPunct/>
              <w:topLinePunct w:val="0"/>
              <w:autoSpaceDE/>
              <w:autoSpaceDN/>
              <w:bidi w:val="0"/>
              <w:adjustRightInd/>
              <w:snapToGrid/>
              <w:spacing w:line="240" w:lineRule="auto"/>
              <w:ind w:firstLine="0"/>
              <w:textAlignment w:val="auto"/>
              <w:rPr>
                <w:rFonts w:hint="eastAsia" w:ascii="Times New Roman" w:hAnsi="Times New Roman" w:eastAsia="宋体" w:cs="Times New Roman"/>
                <w:sz w:val="24"/>
                <w:szCs w:val="24"/>
                <w:highlight w:val="none"/>
                <w:lang w:val="en-US" w:eastAsia="zh-CN"/>
              </w:rPr>
            </w:pPr>
            <w:r>
              <w:rPr>
                <w:rFonts w:hint="eastAsia" w:ascii="Times New Roman" w:hAnsi="Times New Roman" w:eastAsia="宋体" w:cs="Times New Roman"/>
                <w:sz w:val="24"/>
                <w:szCs w:val="24"/>
                <w:highlight w:val="none"/>
                <w:lang w:val="en-US" w:eastAsia="zh-CN"/>
              </w:rPr>
              <w:t>须加盖业主单位公章。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3" w:hRule="atLeast"/>
          <w:jc w:val="center"/>
        </w:trPr>
        <w:tc>
          <w:tcPr>
            <w:tcW w:w="293" w:type="pct"/>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sz w:val="24"/>
                <w:szCs w:val="24"/>
                <w:highlight w:val="none"/>
                <w:lang w:eastAsia="zh-CN"/>
              </w:rPr>
            </w:pPr>
            <w:r>
              <w:rPr>
                <w:rFonts w:hint="eastAsia" w:ascii="宋体" w:hAnsi="宋体"/>
                <w:sz w:val="24"/>
                <w:szCs w:val="24"/>
                <w:highlight w:val="none"/>
                <w:lang w:val="en-US" w:eastAsia="zh-CN"/>
              </w:rPr>
              <w:t>6</w:t>
            </w:r>
          </w:p>
        </w:tc>
        <w:tc>
          <w:tcPr>
            <w:tcW w:w="591" w:type="pct"/>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sz w:val="24"/>
                <w:szCs w:val="24"/>
                <w:highlight w:val="none"/>
              </w:rPr>
            </w:pPr>
            <w:r>
              <w:rPr>
                <w:rFonts w:hint="eastAsia" w:ascii="宋体" w:hAnsi="宋体"/>
                <w:sz w:val="24"/>
                <w:szCs w:val="24"/>
                <w:highlight w:val="none"/>
                <w:lang w:val="en-US" w:eastAsia="zh-CN"/>
              </w:rPr>
              <w:t>联合体要求</w:t>
            </w:r>
          </w:p>
        </w:tc>
        <w:tc>
          <w:tcPr>
            <w:tcW w:w="1784" w:type="pct"/>
            <w:vAlign w:val="center"/>
          </w:tcPr>
          <w:p>
            <w:pPr>
              <w:pStyle w:val="44"/>
              <w:keepNext w:val="0"/>
              <w:keepLines w:val="0"/>
              <w:pageBreakBefore w:val="0"/>
              <w:kinsoku/>
              <w:wordWrap/>
              <w:overflowPunct/>
              <w:topLinePunct w:val="0"/>
              <w:autoSpaceDE/>
              <w:autoSpaceDN/>
              <w:bidi w:val="0"/>
              <w:adjustRightInd/>
              <w:snapToGrid/>
              <w:spacing w:line="240" w:lineRule="auto"/>
              <w:ind w:firstLine="0"/>
              <w:jc w:val="left"/>
              <w:textAlignment w:val="auto"/>
              <w:rPr>
                <w:rFonts w:hint="eastAsia" w:cs="Times New Roman"/>
                <w:sz w:val="24"/>
                <w:szCs w:val="24"/>
                <w:highlight w:val="none"/>
                <w:lang w:eastAsia="zh-CN"/>
              </w:rPr>
            </w:pPr>
            <w:r>
              <w:rPr>
                <w:rFonts w:hint="eastAsia" w:cs="Times New Roman"/>
                <w:sz w:val="24"/>
                <w:szCs w:val="24"/>
                <w:highlight w:val="none"/>
                <w:lang w:val="en-US" w:eastAsia="zh-CN"/>
              </w:rPr>
              <w:t>不接受联合体</w:t>
            </w:r>
          </w:p>
        </w:tc>
        <w:tc>
          <w:tcPr>
            <w:tcW w:w="1021" w:type="pct"/>
            <w:vAlign w:val="center"/>
          </w:tcPr>
          <w:p>
            <w:pPr>
              <w:pStyle w:val="44"/>
              <w:keepNext w:val="0"/>
              <w:keepLines w:val="0"/>
              <w:pageBreakBefore w:val="0"/>
              <w:kinsoku/>
              <w:wordWrap/>
              <w:overflowPunct/>
              <w:topLinePunct w:val="0"/>
              <w:autoSpaceDE/>
              <w:autoSpaceDN/>
              <w:bidi w:val="0"/>
              <w:adjustRightInd/>
              <w:snapToGrid/>
              <w:spacing w:line="240" w:lineRule="auto"/>
              <w:ind w:firstLine="0"/>
              <w:textAlignment w:val="auto"/>
              <w:rPr>
                <w:rFonts w:ascii="宋体" w:hAnsi="宋体" w:cs="宋体"/>
                <w:sz w:val="24"/>
                <w:szCs w:val="24"/>
                <w:highlight w:val="none"/>
              </w:rPr>
            </w:pPr>
            <w:r>
              <w:rPr>
                <w:rFonts w:hint="eastAsia" w:ascii="宋体" w:hAnsi="宋体" w:cs="宋体"/>
                <w:sz w:val="24"/>
                <w:szCs w:val="24"/>
                <w:highlight w:val="none"/>
              </w:rPr>
              <w:t>/</w:t>
            </w:r>
          </w:p>
        </w:tc>
        <w:tc>
          <w:tcPr>
            <w:tcW w:w="1309" w:type="pct"/>
            <w:vAlign w:val="center"/>
          </w:tcPr>
          <w:p>
            <w:pPr>
              <w:pStyle w:val="44"/>
              <w:keepNext w:val="0"/>
              <w:keepLines w:val="0"/>
              <w:pageBreakBefore w:val="0"/>
              <w:kinsoku/>
              <w:wordWrap/>
              <w:overflowPunct/>
              <w:topLinePunct w:val="0"/>
              <w:autoSpaceDE/>
              <w:autoSpaceDN/>
              <w:bidi w:val="0"/>
              <w:adjustRightInd/>
              <w:snapToGrid/>
              <w:spacing w:line="240" w:lineRule="auto"/>
              <w:ind w:firstLine="0"/>
              <w:textAlignment w:val="auto"/>
              <w:rPr>
                <w:rFonts w:ascii="宋体" w:hAnsi="宋体" w:cs="宋体"/>
                <w:sz w:val="24"/>
                <w:szCs w:val="24"/>
                <w:highlight w:val="none"/>
              </w:rPr>
            </w:pPr>
            <w:r>
              <w:rPr>
                <w:rFonts w:hint="eastAsia" w:ascii="宋体" w:hAnsi="宋体" w:cs="宋体"/>
                <w:sz w:val="24"/>
                <w:szCs w:val="24"/>
                <w:highlight w:val="none"/>
              </w:rPr>
              <w:t>/</w:t>
            </w:r>
          </w:p>
        </w:tc>
      </w:tr>
    </w:tbl>
    <w:p>
      <w:pPr>
        <w:ind w:firstLine="482"/>
        <w:rPr>
          <w:b/>
          <w:bCs/>
          <w:highlight w:val="none"/>
        </w:rPr>
        <w:sectPr>
          <w:pgSz w:w="16838" w:h="11906" w:orient="landscape"/>
          <w:pgMar w:top="1418" w:right="1588" w:bottom="1418" w:left="1588" w:header="851" w:footer="992" w:gutter="0"/>
          <w:pgBorders>
            <w:top w:val="none" w:sz="0" w:space="0"/>
            <w:left w:val="none" w:sz="0" w:space="0"/>
            <w:bottom w:val="none" w:sz="0" w:space="0"/>
            <w:right w:val="none" w:sz="0" w:space="0"/>
          </w:pgBorders>
          <w:pgNumType w:fmt="decimal"/>
          <w:cols w:space="425" w:num="1"/>
          <w:docGrid w:linePitch="326" w:charSpace="0"/>
        </w:sectPr>
      </w:pPr>
    </w:p>
    <w:p>
      <w:pPr>
        <w:ind w:firstLine="0" w:firstLineChars="0"/>
        <w:jc w:val="center"/>
        <w:rPr>
          <w:b/>
          <w:bCs/>
          <w:highlight w:val="none"/>
        </w:rPr>
      </w:pPr>
      <w:r>
        <w:rPr>
          <w:rFonts w:hint="eastAsia"/>
          <w:b/>
          <w:bCs/>
          <w:highlight w:val="none"/>
        </w:rPr>
        <w:t>商务部分评分表（</w:t>
      </w:r>
      <w:r>
        <w:rPr>
          <w:rFonts w:hint="eastAsia"/>
          <w:b/>
          <w:bCs/>
          <w:highlight w:val="none"/>
          <w:lang w:val="en-US" w:eastAsia="zh-CN"/>
        </w:rPr>
        <w:t>12</w:t>
      </w:r>
      <w:r>
        <w:rPr>
          <w:rFonts w:hint="eastAsia"/>
          <w:b/>
          <w:bCs/>
          <w:highlight w:val="none"/>
        </w:rPr>
        <w:t>分）</w:t>
      </w:r>
    </w:p>
    <w:tbl>
      <w:tblPr>
        <w:tblStyle w:val="2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94"/>
        <w:gridCol w:w="1429"/>
        <w:gridCol w:w="5391"/>
        <w:gridCol w:w="8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2" w:type="pct"/>
            <w:vAlign w:val="center"/>
          </w:tcPr>
          <w:p>
            <w:pPr>
              <w:ind w:firstLine="0" w:firstLineChars="0"/>
              <w:jc w:val="center"/>
              <w:rPr>
                <w:b/>
                <w:bCs/>
                <w:szCs w:val="24"/>
                <w:highlight w:val="none"/>
              </w:rPr>
            </w:pPr>
            <w:r>
              <w:rPr>
                <w:rFonts w:hint="eastAsia"/>
                <w:b/>
                <w:bCs/>
                <w:szCs w:val="24"/>
                <w:highlight w:val="none"/>
              </w:rPr>
              <w:t>序号</w:t>
            </w:r>
          </w:p>
        </w:tc>
        <w:tc>
          <w:tcPr>
            <w:tcW w:w="804" w:type="pct"/>
            <w:vAlign w:val="center"/>
          </w:tcPr>
          <w:p>
            <w:pPr>
              <w:ind w:firstLine="0" w:firstLineChars="0"/>
              <w:jc w:val="center"/>
              <w:rPr>
                <w:b/>
                <w:bCs/>
                <w:szCs w:val="24"/>
                <w:highlight w:val="none"/>
              </w:rPr>
            </w:pPr>
            <w:r>
              <w:rPr>
                <w:rFonts w:hint="eastAsia"/>
                <w:b/>
                <w:bCs/>
                <w:szCs w:val="24"/>
                <w:highlight w:val="none"/>
              </w:rPr>
              <w:t>评审因素</w:t>
            </w:r>
          </w:p>
        </w:tc>
        <w:tc>
          <w:tcPr>
            <w:tcW w:w="3034" w:type="pct"/>
            <w:vAlign w:val="center"/>
          </w:tcPr>
          <w:p>
            <w:pPr>
              <w:ind w:firstLine="0" w:firstLineChars="0"/>
              <w:jc w:val="center"/>
              <w:rPr>
                <w:b/>
                <w:bCs/>
                <w:szCs w:val="24"/>
                <w:highlight w:val="none"/>
              </w:rPr>
            </w:pPr>
            <w:r>
              <w:rPr>
                <w:rFonts w:hint="eastAsia"/>
                <w:b/>
                <w:bCs/>
                <w:szCs w:val="24"/>
                <w:highlight w:val="none"/>
              </w:rPr>
              <w:t>评分标准</w:t>
            </w:r>
          </w:p>
        </w:tc>
        <w:tc>
          <w:tcPr>
            <w:tcW w:w="489" w:type="pct"/>
            <w:vAlign w:val="center"/>
          </w:tcPr>
          <w:p>
            <w:pPr>
              <w:ind w:firstLine="0" w:firstLineChars="0"/>
              <w:jc w:val="center"/>
              <w:rPr>
                <w:b/>
                <w:bCs/>
                <w:szCs w:val="24"/>
                <w:highlight w:val="none"/>
              </w:rPr>
            </w:pPr>
            <w:r>
              <w:rPr>
                <w:rFonts w:hint="eastAsia"/>
                <w:b/>
                <w:bCs/>
                <w:szCs w:val="24"/>
                <w:highlight w:val="none"/>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3" w:hRule="atLeast"/>
          <w:jc w:val="center"/>
        </w:trPr>
        <w:tc>
          <w:tcPr>
            <w:tcW w:w="1145" w:type="dxa"/>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w:t>
            </w:r>
          </w:p>
        </w:tc>
        <w:tc>
          <w:tcPr>
            <w:tcW w:w="1438" w:type="dxa"/>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企业业绩</w:t>
            </w:r>
          </w:p>
        </w:tc>
        <w:tc>
          <w:tcPr>
            <w:tcW w:w="5427" w:type="dxa"/>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firstLine="0" w:firstLineChars="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投标人自2021年1月1日以来每具有一项不低于80万元的国内城市轨道交通运营期结构监测或建设期第三方监测业绩得2分，满分6分。</w:t>
            </w:r>
          </w:p>
          <w:p>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firstLine="0" w:firstLineChars="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注：（1）须同时提供①合同协议书、②验收证明或业主证明。业绩时间以合同签订时间为准；（2）若同一个项目按不同年度签订的合同只计算一次得分，业绩时间按照最新签订的合同时间为准；（3）如该业绩是联合体业绩，则投标人必须是联合体牵头方；（4）如合同协议书中未能体现相应评审要素，则验收证明或业主证明中必须体现；业主证明须加盖业主单位公章。</w:t>
            </w:r>
          </w:p>
        </w:tc>
        <w:tc>
          <w:tcPr>
            <w:tcW w:w="875" w:type="dxa"/>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3" w:hRule="atLeast"/>
          <w:jc w:val="center"/>
        </w:trPr>
        <w:tc>
          <w:tcPr>
            <w:tcW w:w="1145" w:type="dxa"/>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w:t>
            </w:r>
          </w:p>
        </w:tc>
        <w:tc>
          <w:tcPr>
            <w:tcW w:w="1438" w:type="dxa"/>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项目负责人业绩</w:t>
            </w:r>
          </w:p>
        </w:tc>
        <w:tc>
          <w:tcPr>
            <w:tcW w:w="5427" w:type="dxa"/>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firstLine="0" w:firstLineChars="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投标人拟派项目负责人自2021年1月1日以来至投标截止日期，作为项目负责人每具有一个国内城市轨道交通运营期结构监测或建设期第三方监测业绩得1.5分，满分3分。</w:t>
            </w:r>
          </w:p>
          <w:p>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firstLine="0" w:firstLineChars="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注：（1）须同时提供①业绩合同、②验收证明或业主证明；（2）若同一个项目按不同年度签订的合同只计算一次得分，业绩时间按照最新签订的合同时间为准；（3）如该业绩是联合体业绩，则投标人必须是联合体牵头方；（4）如业绩合同中无法体现项目负责人姓名，则证明文件中必须体现；（5）如合同协议书中未能体现相应评审要素，则验收证明或业主证明中必须体现；业主证明须加盖业主单位公章。（6）如上述材料中项目负责人姓名不一致的，以②为准，并须提供项目负责人变更证明材料。</w:t>
            </w:r>
          </w:p>
        </w:tc>
        <w:tc>
          <w:tcPr>
            <w:tcW w:w="875" w:type="dxa"/>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3" w:hRule="atLeast"/>
          <w:jc w:val="center"/>
        </w:trPr>
        <w:tc>
          <w:tcPr>
            <w:tcW w:w="1145" w:type="dxa"/>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w:t>
            </w:r>
          </w:p>
        </w:tc>
        <w:tc>
          <w:tcPr>
            <w:tcW w:w="1438" w:type="dxa"/>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项目人员配备</w:t>
            </w:r>
          </w:p>
        </w:tc>
        <w:tc>
          <w:tcPr>
            <w:tcW w:w="5427" w:type="dxa"/>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firstLine="0" w:firstLineChars="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项目主要管理人员配备（测量工程师、结构分析工程师）满足招标文件要求得 2 分，不满足要求不得分。</w:t>
            </w:r>
          </w:p>
          <w:p>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firstLine="0" w:firstLineChars="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注：须明确项目人员配备明细，根据招标文件及用户需求书要求提供相关人员以及相应的证明材料。</w:t>
            </w:r>
          </w:p>
        </w:tc>
        <w:tc>
          <w:tcPr>
            <w:tcW w:w="875" w:type="dxa"/>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3" w:hRule="atLeast"/>
          <w:jc w:val="center"/>
        </w:trPr>
        <w:tc>
          <w:tcPr>
            <w:tcW w:w="1145" w:type="dxa"/>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4</w:t>
            </w:r>
          </w:p>
        </w:tc>
        <w:tc>
          <w:tcPr>
            <w:tcW w:w="1438" w:type="dxa"/>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合同条款响应性</w:t>
            </w:r>
          </w:p>
        </w:tc>
        <w:tc>
          <w:tcPr>
            <w:tcW w:w="5427" w:type="dxa"/>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firstLine="0" w:firstLineChars="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完全满足招标文件商务条款并响应得 1 分，存在细微偏差的，每处扣 0.25 分，扣完为止。</w:t>
            </w:r>
          </w:p>
        </w:tc>
        <w:tc>
          <w:tcPr>
            <w:tcW w:w="875" w:type="dxa"/>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w:t>
            </w:r>
          </w:p>
        </w:tc>
      </w:tr>
    </w:tbl>
    <w:p>
      <w:pPr>
        <w:ind w:firstLine="480"/>
        <w:rPr>
          <w:rFonts w:hint="eastAsia" w:ascii="宋体" w:hAnsi="宋体" w:eastAsia="宋体" w:cs="宋体"/>
          <w:b/>
          <w:bCs/>
          <w:highlight w:val="none"/>
        </w:rPr>
      </w:pPr>
      <w:r>
        <w:rPr>
          <w:rFonts w:hint="eastAsia" w:ascii="宋体" w:hAnsi="宋体" w:eastAsia="宋体" w:cs="宋体"/>
          <w:b/>
          <w:bCs/>
          <w:highlight w:val="none"/>
        </w:rPr>
        <w:t>注：</w:t>
      </w:r>
      <w:r>
        <w:rPr>
          <w:rFonts w:hint="eastAsia" w:ascii="宋体" w:hAnsi="宋体" w:cs="宋体"/>
          <w:b/>
          <w:bCs/>
          <w:highlight w:val="none"/>
          <w:lang w:val="en-US" w:eastAsia="zh-CN"/>
        </w:rPr>
        <w:t>商务部分</w:t>
      </w:r>
      <w:r>
        <w:rPr>
          <w:rFonts w:hint="eastAsia" w:ascii="宋体" w:hAnsi="宋体" w:eastAsia="宋体" w:cs="宋体"/>
          <w:b/>
          <w:bCs/>
          <w:highlight w:val="none"/>
        </w:rPr>
        <w:t>企业业绩</w:t>
      </w:r>
      <w:r>
        <w:rPr>
          <w:rFonts w:hint="eastAsia" w:ascii="宋体" w:hAnsi="宋体" w:cs="宋体"/>
          <w:b/>
          <w:bCs/>
          <w:highlight w:val="none"/>
          <w:lang w:val="en-US" w:eastAsia="zh-CN"/>
        </w:rPr>
        <w:t>和</w:t>
      </w:r>
      <w:r>
        <w:rPr>
          <w:rFonts w:hint="eastAsia" w:ascii="宋体" w:hAnsi="宋体" w:eastAsia="宋体" w:cs="宋体"/>
          <w:b/>
          <w:bCs/>
          <w:highlight w:val="none"/>
        </w:rPr>
        <w:t>项目负责人业绩</w:t>
      </w:r>
      <w:r>
        <w:rPr>
          <w:rFonts w:hint="eastAsia" w:ascii="宋体" w:hAnsi="宋体" w:cs="宋体"/>
          <w:b/>
          <w:bCs/>
          <w:highlight w:val="none"/>
          <w:lang w:val="en-US" w:eastAsia="zh-CN"/>
        </w:rPr>
        <w:t>可为同一业绩；商务部分</w:t>
      </w:r>
      <w:r>
        <w:rPr>
          <w:rFonts w:hint="eastAsia" w:ascii="宋体" w:hAnsi="宋体" w:eastAsia="宋体" w:cs="宋体"/>
          <w:b/>
          <w:bCs/>
          <w:highlight w:val="none"/>
        </w:rPr>
        <w:t>企业业绩</w:t>
      </w:r>
      <w:r>
        <w:rPr>
          <w:rFonts w:hint="eastAsia" w:ascii="宋体" w:hAnsi="宋体" w:cs="宋体"/>
          <w:b/>
          <w:bCs/>
          <w:highlight w:val="none"/>
          <w:lang w:val="en-US" w:eastAsia="zh-CN"/>
        </w:rPr>
        <w:t>和</w:t>
      </w:r>
      <w:r>
        <w:rPr>
          <w:rFonts w:hint="eastAsia" w:ascii="宋体" w:hAnsi="宋体" w:eastAsia="宋体" w:cs="宋体"/>
          <w:b/>
          <w:bCs/>
          <w:highlight w:val="none"/>
          <w:lang w:val="en-US" w:eastAsia="zh-CN"/>
        </w:rPr>
        <w:t>资格审查</w:t>
      </w:r>
      <w:r>
        <w:rPr>
          <w:rFonts w:hint="eastAsia" w:ascii="宋体" w:hAnsi="宋体" w:cs="宋体"/>
          <w:b/>
          <w:bCs/>
          <w:highlight w:val="none"/>
          <w:lang w:val="en-US" w:eastAsia="zh-CN"/>
        </w:rPr>
        <w:t>企业</w:t>
      </w:r>
      <w:r>
        <w:rPr>
          <w:rFonts w:hint="eastAsia" w:ascii="宋体" w:hAnsi="宋体" w:eastAsia="宋体" w:cs="宋体"/>
          <w:b/>
          <w:bCs/>
          <w:highlight w:val="none"/>
          <w:lang w:val="en-US" w:eastAsia="zh-CN"/>
        </w:rPr>
        <w:t>业绩</w:t>
      </w:r>
      <w:r>
        <w:rPr>
          <w:rFonts w:hint="eastAsia" w:ascii="宋体" w:hAnsi="宋体" w:eastAsia="宋体" w:cs="宋体"/>
          <w:b/>
          <w:bCs/>
          <w:highlight w:val="none"/>
        </w:rPr>
        <w:t>可为同一业绩</w:t>
      </w:r>
    </w:p>
    <w:p>
      <w:pPr>
        <w:ind w:firstLine="0" w:firstLineChars="0"/>
        <w:jc w:val="center"/>
        <w:rPr>
          <w:rFonts w:hint="eastAsia" w:ascii="宋体" w:hAnsi="宋体" w:eastAsia="宋体" w:cs="宋体"/>
          <w:highlight w:val="none"/>
        </w:rPr>
      </w:pPr>
    </w:p>
    <w:p>
      <w:pPr>
        <w:rPr>
          <w:rFonts w:hint="eastAsia" w:ascii="宋体" w:hAnsi="宋体" w:eastAsia="宋体" w:cs="宋体"/>
          <w:b/>
          <w:bCs/>
          <w:highlight w:val="none"/>
        </w:rPr>
      </w:pPr>
      <w:r>
        <w:rPr>
          <w:rFonts w:hint="eastAsia" w:ascii="宋体" w:hAnsi="宋体" w:eastAsia="宋体" w:cs="宋体"/>
          <w:b/>
          <w:bCs/>
          <w:highlight w:val="none"/>
        </w:rPr>
        <w:br w:type="page"/>
      </w:r>
    </w:p>
    <w:p>
      <w:pPr>
        <w:ind w:firstLine="0" w:firstLineChars="0"/>
        <w:jc w:val="center"/>
        <w:rPr>
          <w:rFonts w:hint="eastAsia" w:ascii="宋体" w:hAnsi="宋体" w:eastAsia="宋体" w:cs="宋体"/>
          <w:b/>
          <w:bCs/>
          <w:highlight w:val="none"/>
        </w:rPr>
      </w:pPr>
      <w:r>
        <w:rPr>
          <w:rFonts w:hint="eastAsia" w:ascii="宋体" w:hAnsi="宋体" w:eastAsia="宋体" w:cs="宋体"/>
          <w:b/>
          <w:bCs/>
          <w:highlight w:val="none"/>
        </w:rPr>
        <w:t>技术部分评分表（</w:t>
      </w:r>
      <w:r>
        <w:rPr>
          <w:rFonts w:hint="eastAsia" w:ascii="宋体" w:hAnsi="宋体" w:eastAsia="宋体" w:cs="宋体"/>
          <w:b/>
          <w:bCs/>
          <w:highlight w:val="none"/>
          <w:lang w:val="en-US" w:eastAsia="zh-CN"/>
        </w:rPr>
        <w:t>48</w:t>
      </w:r>
      <w:r>
        <w:rPr>
          <w:rFonts w:hint="eastAsia" w:ascii="宋体" w:hAnsi="宋体" w:eastAsia="宋体" w:cs="宋体"/>
          <w:b/>
          <w:bCs/>
          <w:highlight w:val="none"/>
        </w:rPr>
        <w:t>分）</w:t>
      </w:r>
    </w:p>
    <w:tbl>
      <w:tblPr>
        <w:tblStyle w:val="25"/>
        <w:tblW w:w="9290" w:type="dxa"/>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19"/>
        <w:gridCol w:w="1341"/>
        <w:gridCol w:w="6517"/>
        <w:gridCol w:w="7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6" w:hRule="atLeast"/>
        </w:trPr>
        <w:tc>
          <w:tcPr>
            <w:tcW w:w="719" w:type="dxa"/>
            <w:shd w:val="clear" w:color="auto" w:fill="auto"/>
            <w:tcMar>
              <w:top w:w="15"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序号</w:t>
            </w:r>
          </w:p>
        </w:tc>
        <w:tc>
          <w:tcPr>
            <w:tcW w:w="1341" w:type="dxa"/>
            <w:shd w:val="clear" w:color="auto" w:fill="auto"/>
            <w:tcMar>
              <w:top w:w="15"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评审因素</w:t>
            </w:r>
          </w:p>
        </w:tc>
        <w:tc>
          <w:tcPr>
            <w:tcW w:w="6517" w:type="dxa"/>
            <w:shd w:val="clear" w:color="auto" w:fill="auto"/>
            <w:tcMar>
              <w:top w:w="15"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评分标准</w:t>
            </w:r>
          </w:p>
        </w:tc>
        <w:tc>
          <w:tcPr>
            <w:tcW w:w="713" w:type="dxa"/>
            <w:shd w:val="clear" w:color="auto" w:fill="auto"/>
            <w:tcMar>
              <w:top w:w="15"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1" w:hRule="atLeast"/>
        </w:trPr>
        <w:tc>
          <w:tcPr>
            <w:tcW w:w="719" w:type="dxa"/>
            <w:shd w:val="clear" w:color="auto" w:fill="auto"/>
            <w:tcMar>
              <w:top w:w="15"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w:t>
            </w:r>
          </w:p>
        </w:tc>
        <w:tc>
          <w:tcPr>
            <w:tcW w:w="1341" w:type="dxa"/>
            <w:shd w:val="clear" w:color="auto" w:fill="auto"/>
            <w:tcMar>
              <w:top w:w="15"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总体方案</w:t>
            </w:r>
          </w:p>
        </w:tc>
        <w:tc>
          <w:tcPr>
            <w:tcW w:w="6517" w:type="dxa"/>
            <w:shd w:val="clear" w:color="auto" w:fill="auto"/>
            <w:tcMar>
              <w:top w:w="15"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firstLine="0" w:firstLineChars="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根据投标人对本项目的理解和总体实施思路制定的总体方案进行打分，科学可行，针对性强在[2.1,3]区间内评分，缺少相应内容的评审要点不得分。</w:t>
            </w:r>
          </w:p>
        </w:tc>
        <w:tc>
          <w:tcPr>
            <w:tcW w:w="713" w:type="dxa"/>
            <w:shd w:val="clear" w:color="auto" w:fill="auto"/>
            <w:tcMar>
              <w:top w:w="15"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1" w:hRule="atLeast"/>
        </w:trPr>
        <w:tc>
          <w:tcPr>
            <w:tcW w:w="719" w:type="dxa"/>
            <w:shd w:val="clear" w:color="auto" w:fill="auto"/>
            <w:tcMar>
              <w:top w:w="15"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w:t>
            </w:r>
          </w:p>
        </w:tc>
        <w:tc>
          <w:tcPr>
            <w:tcW w:w="1341" w:type="dxa"/>
            <w:shd w:val="clear" w:color="auto" w:fill="auto"/>
            <w:tcMar>
              <w:top w:w="15"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结构监测方案</w:t>
            </w:r>
          </w:p>
        </w:tc>
        <w:tc>
          <w:tcPr>
            <w:tcW w:w="6517" w:type="dxa"/>
            <w:shd w:val="clear" w:color="auto" w:fill="auto"/>
            <w:tcMar>
              <w:top w:w="15"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firstLine="0" w:firstLineChars="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根据投标人针对本项目特点编制的结构监测实施方案（包含但不限于测点交接、监测点</w:t>
            </w:r>
            <w:r>
              <w:rPr>
                <w:rFonts w:hint="eastAsia" w:ascii="宋体" w:hAnsi="宋体" w:cs="宋体"/>
                <w:sz w:val="24"/>
                <w:szCs w:val="24"/>
                <w:highlight w:val="none"/>
                <w:lang w:val="en-US" w:eastAsia="zh-CN"/>
              </w:rPr>
              <w:t>的</w:t>
            </w:r>
            <w:r>
              <w:rPr>
                <w:rFonts w:hint="eastAsia" w:ascii="宋体" w:hAnsi="宋体" w:eastAsia="宋体" w:cs="宋体"/>
                <w:sz w:val="24"/>
                <w:szCs w:val="24"/>
                <w:highlight w:val="none"/>
                <w:lang w:val="en-US" w:eastAsia="zh-CN"/>
              </w:rPr>
              <w:t>修缮补充改正、加密监测、隧道结构技术状况评价等）进行打分，技术方案详细可行有针对性，操作性强在[5.6,8]区间内评分，缺少相应内容的评审要点不得分。</w:t>
            </w:r>
          </w:p>
        </w:tc>
        <w:tc>
          <w:tcPr>
            <w:tcW w:w="713" w:type="dxa"/>
            <w:shd w:val="clear" w:color="auto" w:fill="auto"/>
            <w:tcMar>
              <w:top w:w="15"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1" w:hRule="atLeast"/>
        </w:trPr>
        <w:tc>
          <w:tcPr>
            <w:tcW w:w="719" w:type="dxa"/>
            <w:shd w:val="clear" w:color="auto" w:fill="auto"/>
            <w:tcMar>
              <w:top w:w="15"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w:t>
            </w:r>
          </w:p>
        </w:tc>
        <w:tc>
          <w:tcPr>
            <w:tcW w:w="1341" w:type="dxa"/>
            <w:shd w:val="clear" w:color="auto" w:fill="auto"/>
            <w:tcMar>
              <w:top w:w="15"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监测数据分析及结构状态评估</w:t>
            </w:r>
          </w:p>
        </w:tc>
        <w:tc>
          <w:tcPr>
            <w:tcW w:w="6517" w:type="dxa"/>
            <w:shd w:val="clear" w:color="auto" w:fill="auto"/>
            <w:tcMar>
              <w:top w:w="15"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firstLine="0" w:firstLineChars="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根据各投标人监测数据分析、结构状态评估报告进行打分，内容包括检测点位及成果交接顺畅准确；监测成果反馈流畅快捷；结构状态评估报告的形式设计可读性，支持材料能充分，能形象、全面地反应结构状态及安全可靠度的在[4.2,6]区间内评分，缺少相应内容的评审要点不得分。</w:t>
            </w:r>
          </w:p>
        </w:tc>
        <w:tc>
          <w:tcPr>
            <w:tcW w:w="713" w:type="dxa"/>
            <w:shd w:val="clear" w:color="auto" w:fill="auto"/>
            <w:tcMar>
              <w:top w:w="15"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1" w:hRule="atLeast"/>
        </w:trPr>
        <w:tc>
          <w:tcPr>
            <w:tcW w:w="719" w:type="dxa"/>
            <w:shd w:val="clear" w:color="auto" w:fill="auto"/>
            <w:tcMar>
              <w:top w:w="15"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4</w:t>
            </w:r>
          </w:p>
        </w:tc>
        <w:tc>
          <w:tcPr>
            <w:tcW w:w="1341" w:type="dxa"/>
            <w:shd w:val="clear" w:color="auto" w:fill="auto"/>
            <w:tcMar>
              <w:top w:w="15"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拟投入的维保资源</w:t>
            </w:r>
          </w:p>
        </w:tc>
        <w:tc>
          <w:tcPr>
            <w:tcW w:w="6517" w:type="dxa"/>
            <w:shd w:val="clear" w:color="auto" w:fill="auto"/>
            <w:tcMar>
              <w:top w:w="15"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firstLine="0" w:firstLineChars="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投标人拟投入的仪器设备及人员配备满足用户需求书和日常工作要求在[2.8,4]区间内评分，缺少相应内容的评审要点不得分。</w:t>
            </w:r>
          </w:p>
        </w:tc>
        <w:tc>
          <w:tcPr>
            <w:tcW w:w="713" w:type="dxa"/>
            <w:shd w:val="clear" w:color="auto" w:fill="auto"/>
            <w:tcMar>
              <w:top w:w="15"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1" w:hRule="atLeast"/>
        </w:trPr>
        <w:tc>
          <w:tcPr>
            <w:tcW w:w="719" w:type="dxa"/>
            <w:shd w:val="clear" w:color="auto" w:fill="auto"/>
            <w:tcMar>
              <w:top w:w="15"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5</w:t>
            </w:r>
          </w:p>
        </w:tc>
        <w:tc>
          <w:tcPr>
            <w:tcW w:w="1341" w:type="dxa"/>
            <w:shd w:val="clear" w:color="auto" w:fill="auto"/>
            <w:tcMar>
              <w:top w:w="15"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本项目重难点分析</w:t>
            </w:r>
          </w:p>
        </w:tc>
        <w:tc>
          <w:tcPr>
            <w:tcW w:w="6517" w:type="dxa"/>
            <w:shd w:val="clear" w:color="auto" w:fill="auto"/>
            <w:tcMar>
              <w:top w:w="15"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firstLine="0" w:firstLineChars="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重点和难点分析透彻，拟采取的措施针对性强并具有实际操作性在[3.5,5]区间内评分，缺少相应内容的评审要点不得分。</w:t>
            </w:r>
          </w:p>
        </w:tc>
        <w:tc>
          <w:tcPr>
            <w:tcW w:w="713" w:type="dxa"/>
            <w:shd w:val="clear" w:color="auto" w:fill="auto"/>
            <w:tcMar>
              <w:top w:w="15"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1" w:hRule="atLeast"/>
        </w:trPr>
        <w:tc>
          <w:tcPr>
            <w:tcW w:w="719" w:type="dxa"/>
            <w:shd w:val="clear" w:color="auto" w:fill="auto"/>
            <w:tcMar>
              <w:top w:w="15"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6</w:t>
            </w:r>
          </w:p>
        </w:tc>
        <w:tc>
          <w:tcPr>
            <w:tcW w:w="1341" w:type="dxa"/>
            <w:shd w:val="clear" w:color="auto" w:fill="auto"/>
            <w:tcMar>
              <w:top w:w="15"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项目安全保证措施</w:t>
            </w:r>
          </w:p>
        </w:tc>
        <w:tc>
          <w:tcPr>
            <w:tcW w:w="6517" w:type="dxa"/>
            <w:shd w:val="clear" w:color="auto" w:fill="auto"/>
            <w:tcMar>
              <w:top w:w="15"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firstLine="0" w:firstLineChars="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根据投标人针对本项目编制的项目安全保证方案进行评分，安全管理制度健全，安全保证方案科学完善、针对性强在[4.9,7]区间内评分，缺少相应内容的评审要点不得分。</w:t>
            </w:r>
          </w:p>
        </w:tc>
        <w:tc>
          <w:tcPr>
            <w:tcW w:w="713" w:type="dxa"/>
            <w:shd w:val="clear" w:color="auto" w:fill="auto"/>
            <w:tcMar>
              <w:top w:w="15"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1" w:hRule="atLeast"/>
        </w:trPr>
        <w:tc>
          <w:tcPr>
            <w:tcW w:w="719" w:type="dxa"/>
            <w:shd w:val="clear" w:color="auto" w:fill="auto"/>
            <w:tcMar>
              <w:top w:w="15"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7</w:t>
            </w:r>
          </w:p>
        </w:tc>
        <w:tc>
          <w:tcPr>
            <w:tcW w:w="1341" w:type="dxa"/>
            <w:shd w:val="clear" w:color="auto" w:fill="auto"/>
            <w:tcMar>
              <w:top w:w="15"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服务质量保证体系和措施</w:t>
            </w:r>
          </w:p>
        </w:tc>
        <w:tc>
          <w:tcPr>
            <w:tcW w:w="6517" w:type="dxa"/>
            <w:shd w:val="clear" w:color="auto" w:fill="auto"/>
            <w:tcMar>
              <w:top w:w="15"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firstLine="0" w:firstLineChars="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根据投标人针对本项目特点制定的服务质量保障体系和措施进行打分，描述准确详尽，措施可靠具体，能切实保障优质服务在[4.2,6]区间内评分，缺少相应内容的评审要点不得分。</w:t>
            </w:r>
          </w:p>
        </w:tc>
        <w:tc>
          <w:tcPr>
            <w:tcW w:w="713" w:type="dxa"/>
            <w:shd w:val="clear" w:color="auto" w:fill="auto"/>
            <w:tcMar>
              <w:top w:w="15"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5" w:hRule="atLeast"/>
        </w:trPr>
        <w:tc>
          <w:tcPr>
            <w:tcW w:w="719" w:type="dxa"/>
            <w:shd w:val="clear" w:color="auto" w:fill="auto"/>
            <w:tcMar>
              <w:top w:w="15"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8</w:t>
            </w:r>
          </w:p>
        </w:tc>
        <w:tc>
          <w:tcPr>
            <w:tcW w:w="1341" w:type="dxa"/>
            <w:shd w:val="clear" w:color="auto" w:fill="auto"/>
            <w:tcMar>
              <w:top w:w="15"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相关承诺</w:t>
            </w:r>
          </w:p>
        </w:tc>
        <w:tc>
          <w:tcPr>
            <w:tcW w:w="6517" w:type="dxa"/>
            <w:shd w:val="clear" w:color="auto" w:fill="auto"/>
            <w:tcMar>
              <w:top w:w="15"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firstLine="0" w:firstLineChars="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投标人承诺本项目开始前与上一家单位做好既有点位及成果的交接，在到期结算后与该项目下一合同期成交单位做好技术交底及相应的衔接工作，经营过程中发生劳资纠纷、食物中毒等情况下投标人承担全部经济责任和法律责任得3分，不承诺不得分。</w:t>
            </w:r>
          </w:p>
        </w:tc>
        <w:tc>
          <w:tcPr>
            <w:tcW w:w="713" w:type="dxa"/>
            <w:shd w:val="clear" w:color="auto" w:fill="auto"/>
            <w:tcMar>
              <w:top w:w="15"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1" w:hRule="atLeast"/>
        </w:trPr>
        <w:tc>
          <w:tcPr>
            <w:tcW w:w="719" w:type="dxa"/>
            <w:shd w:val="clear" w:color="auto" w:fill="auto"/>
            <w:tcMar>
              <w:top w:w="15"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9</w:t>
            </w:r>
          </w:p>
        </w:tc>
        <w:tc>
          <w:tcPr>
            <w:tcW w:w="1341" w:type="dxa"/>
            <w:shd w:val="clear" w:color="auto" w:fill="auto"/>
            <w:tcMar>
              <w:top w:w="15"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增值服务</w:t>
            </w:r>
          </w:p>
        </w:tc>
        <w:tc>
          <w:tcPr>
            <w:tcW w:w="6517" w:type="dxa"/>
            <w:shd w:val="clear" w:color="auto" w:fill="auto"/>
            <w:tcMar>
              <w:top w:w="15"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firstLine="0" w:firstLineChars="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评标委员会根据投标人在满足招标文件基本要求基础上，主动承诺提供的超出需求书要求的增值服务方案进行评审。增值服务范围包括但不限于：监测成果信息化管理及创新创优、专项加密监测、临时数据分析、监测技术升级、监测设备投入升级、数据服务优化等，在[4.2,6]区间内评分，缺少相应内容的评审要点不得分。</w:t>
            </w:r>
          </w:p>
        </w:tc>
        <w:tc>
          <w:tcPr>
            <w:tcW w:w="713" w:type="dxa"/>
            <w:shd w:val="clear" w:color="auto" w:fill="auto"/>
            <w:tcMar>
              <w:top w:w="15"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6</w:t>
            </w:r>
          </w:p>
        </w:tc>
      </w:tr>
    </w:tbl>
    <w:p>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仿宋" w:hAnsi="仿宋" w:eastAsia="仿宋" w:cs="仿宋"/>
          <w:sz w:val="24"/>
          <w:szCs w:val="24"/>
          <w:highlight w:val="none"/>
          <w:lang w:val="en-US" w:eastAsia="zh-CN"/>
        </w:rPr>
      </w:pPr>
      <w:r>
        <w:rPr>
          <w:rFonts w:hint="eastAsia" w:ascii="宋体" w:hAnsi="宋体" w:eastAsia="宋体" w:cs="宋体"/>
          <w:sz w:val="24"/>
          <w:szCs w:val="24"/>
          <w:highlight w:val="none"/>
          <w:lang w:val="en-US" w:eastAsia="zh-CN"/>
        </w:rPr>
        <w:t>注：评审小组成员根据以上内容进行综合评审后打分，然后汇总每个</w:t>
      </w:r>
      <w:r>
        <w:rPr>
          <w:rFonts w:hint="eastAsia" w:ascii="宋体" w:hAnsi="宋体" w:cs="宋体"/>
          <w:sz w:val="24"/>
          <w:szCs w:val="24"/>
          <w:highlight w:val="none"/>
          <w:lang w:val="en-US" w:eastAsia="zh-CN"/>
        </w:rPr>
        <w:t>投标人</w:t>
      </w:r>
      <w:r>
        <w:rPr>
          <w:rFonts w:hint="eastAsia" w:ascii="宋体" w:hAnsi="宋体" w:eastAsia="宋体" w:cs="宋体"/>
          <w:sz w:val="24"/>
          <w:szCs w:val="24"/>
          <w:highlight w:val="none"/>
          <w:lang w:val="en-US" w:eastAsia="zh-CN"/>
        </w:rPr>
        <w:t>各项评分因素的得分，取各评审小组成员汇总后得分的算术平均值为该投标人技术部分得分(分值小数点后保留两位小数，第三位四舍五入)</w:t>
      </w:r>
    </w:p>
    <w:p>
      <w:pPr>
        <w:ind w:firstLine="0" w:firstLineChars="0"/>
        <w:jc w:val="center"/>
        <w:rPr>
          <w:rFonts w:cs="宋体"/>
          <w:kern w:val="0"/>
          <w:sz w:val="21"/>
          <w:szCs w:val="21"/>
          <w:highlight w:val="none"/>
        </w:rPr>
      </w:pPr>
      <w:r>
        <w:rPr>
          <w:highlight w:val="none"/>
        </w:rPr>
        <w:br w:type="page"/>
      </w:r>
      <w:r>
        <w:rPr>
          <w:rFonts w:hint="eastAsia" w:ascii="Times New Roman" w:hAnsi="Times New Roman" w:eastAsia="宋体"/>
          <w:b/>
          <w:bCs/>
          <w:highlight w:val="none"/>
        </w:rPr>
        <w:t>报价部分评分表（</w:t>
      </w:r>
      <w:r>
        <w:rPr>
          <w:rFonts w:hint="eastAsia"/>
          <w:b/>
          <w:bCs/>
          <w:highlight w:val="none"/>
          <w:lang w:val="en-US" w:eastAsia="zh-CN"/>
        </w:rPr>
        <w:t>40</w:t>
      </w:r>
      <w:r>
        <w:rPr>
          <w:rFonts w:hint="eastAsia" w:ascii="Times New Roman" w:hAnsi="Times New Roman" w:eastAsia="宋体"/>
          <w:b/>
          <w:bCs/>
          <w:highlight w:val="none"/>
        </w:rPr>
        <w:t>分）</w:t>
      </w:r>
    </w:p>
    <w:tbl>
      <w:tblPr>
        <w:tblStyle w:val="25"/>
        <w:tblW w:w="4999" w:type="pct"/>
        <w:tblInd w:w="0" w:type="dxa"/>
        <w:tblLayout w:type="autofit"/>
        <w:tblCellMar>
          <w:top w:w="0" w:type="dxa"/>
          <w:left w:w="0" w:type="dxa"/>
          <w:bottom w:w="0" w:type="dxa"/>
          <w:right w:w="0" w:type="dxa"/>
        </w:tblCellMar>
      </w:tblPr>
      <w:tblGrid>
        <w:gridCol w:w="1272"/>
        <w:gridCol w:w="1177"/>
        <w:gridCol w:w="6436"/>
      </w:tblGrid>
      <w:tr>
        <w:tblPrEx>
          <w:tblCellMar>
            <w:top w:w="0" w:type="dxa"/>
            <w:left w:w="0" w:type="dxa"/>
            <w:bottom w:w="0" w:type="dxa"/>
            <w:right w:w="0" w:type="dxa"/>
          </w:tblCellMar>
        </w:tblPrEx>
        <w:trPr>
          <w:trHeight w:val="590" w:hRule="atLeast"/>
        </w:trPr>
        <w:tc>
          <w:tcPr>
            <w:tcW w:w="1378" w:type="pct"/>
            <w:gridSpan w:val="2"/>
            <w:tcBorders>
              <w:top w:val="single" w:color="000000" w:sz="8" w:space="0"/>
              <w:left w:val="single" w:color="000000" w:sz="8" w:space="0"/>
              <w:bottom w:val="single" w:color="000000" w:sz="8" w:space="0"/>
              <w:right w:val="single" w:color="000000" w:sz="8" w:space="0"/>
            </w:tcBorders>
            <w:shd w:val="clear" w:color="auto" w:fill="auto"/>
            <w:tcMar>
              <w:top w:w="15"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left"/>
              <w:textAlignment w:val="auto"/>
              <w:rPr>
                <w:rFonts w:hint="eastAsia" w:ascii="宋体" w:hAnsi="宋体" w:eastAsia="宋体" w:cs="宋体"/>
                <w:sz w:val="24"/>
                <w:szCs w:val="24"/>
                <w:highlight w:val="none"/>
              </w:rPr>
            </w:pPr>
            <w:r>
              <w:rPr>
                <w:rFonts w:hint="eastAsia" w:ascii="宋体" w:hAnsi="宋体" w:eastAsia="宋体" w:cs="宋体"/>
                <w:b/>
                <w:bCs/>
                <w:sz w:val="24"/>
                <w:szCs w:val="24"/>
                <w:highlight w:val="none"/>
              </w:rPr>
              <w:t>项目</w:t>
            </w:r>
          </w:p>
        </w:tc>
        <w:tc>
          <w:tcPr>
            <w:tcW w:w="3621" w:type="pct"/>
            <w:tcBorders>
              <w:top w:val="single" w:color="000000" w:sz="8" w:space="0"/>
              <w:left w:val="single" w:color="000000" w:sz="8" w:space="0"/>
              <w:bottom w:val="single" w:color="000000" w:sz="8" w:space="0"/>
              <w:right w:val="single" w:color="000000" w:sz="8" w:space="0"/>
            </w:tcBorders>
            <w:shd w:val="clear" w:color="auto" w:fill="auto"/>
            <w:tcMar>
              <w:top w:w="15"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sz w:val="24"/>
                <w:szCs w:val="24"/>
                <w:highlight w:val="none"/>
              </w:rPr>
            </w:pPr>
            <w:r>
              <w:rPr>
                <w:rFonts w:hint="eastAsia" w:ascii="宋体" w:hAnsi="宋体" w:eastAsia="宋体" w:cs="宋体"/>
                <w:b/>
                <w:bCs/>
                <w:sz w:val="24"/>
                <w:szCs w:val="24"/>
                <w:highlight w:val="none"/>
              </w:rPr>
              <w:t>评审方法</w:t>
            </w:r>
          </w:p>
        </w:tc>
      </w:tr>
      <w:tr>
        <w:tblPrEx>
          <w:tblCellMar>
            <w:top w:w="0" w:type="dxa"/>
            <w:left w:w="0" w:type="dxa"/>
            <w:bottom w:w="0" w:type="dxa"/>
            <w:right w:w="0" w:type="dxa"/>
          </w:tblCellMar>
        </w:tblPrEx>
        <w:trPr>
          <w:trHeight w:val="1950" w:hRule="atLeast"/>
        </w:trPr>
        <w:tc>
          <w:tcPr>
            <w:tcW w:w="716" w:type="pct"/>
            <w:vMerge w:val="restart"/>
            <w:tcBorders>
              <w:top w:val="single" w:color="000000" w:sz="8" w:space="0"/>
              <w:left w:val="single" w:color="000000" w:sz="8" w:space="0"/>
              <w:bottom w:val="single" w:color="000000" w:sz="8" w:space="0"/>
              <w:right w:val="single" w:color="000000" w:sz="8" w:space="0"/>
            </w:tcBorders>
            <w:shd w:val="clear" w:color="auto" w:fill="auto"/>
            <w:tcMar>
              <w:top w:w="15"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报价（</w:t>
            </w:r>
            <w:r>
              <w:rPr>
                <w:rFonts w:hint="eastAsia" w:ascii="宋体" w:hAnsi="宋体" w:cs="宋体"/>
                <w:sz w:val="24"/>
                <w:szCs w:val="24"/>
                <w:highlight w:val="none"/>
                <w:lang w:val="en-US" w:eastAsia="zh-CN"/>
              </w:rPr>
              <w:t>40</w:t>
            </w:r>
            <w:r>
              <w:rPr>
                <w:rFonts w:hint="eastAsia" w:ascii="宋体" w:hAnsi="宋体" w:eastAsia="宋体" w:cs="宋体"/>
                <w:sz w:val="24"/>
                <w:szCs w:val="24"/>
                <w:highlight w:val="none"/>
                <w:lang w:val="en-US" w:eastAsia="zh-CN"/>
              </w:rPr>
              <w:t>分）</w:t>
            </w:r>
          </w:p>
        </w:tc>
        <w:tc>
          <w:tcPr>
            <w:tcW w:w="1184" w:type="dxa"/>
            <w:tcBorders>
              <w:top w:val="single" w:color="000000" w:sz="8" w:space="0"/>
              <w:left w:val="single" w:color="000000" w:sz="8" w:space="0"/>
              <w:bottom w:val="single" w:color="000000" w:sz="8" w:space="0"/>
              <w:right w:val="single" w:color="000000" w:sz="8" w:space="0"/>
            </w:tcBorders>
            <w:shd w:val="clear" w:color="auto" w:fill="auto"/>
            <w:tcMar>
              <w:top w:w="15"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宋体" w:hAnsi="宋体" w:eastAsia="宋体" w:cs="宋体"/>
                <w:sz w:val="24"/>
                <w:szCs w:val="24"/>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评标基准价计算方法</w:t>
            </w:r>
          </w:p>
          <w:p>
            <w:pPr>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宋体" w:hAnsi="宋体" w:eastAsia="宋体" w:cs="宋体"/>
                <w:sz w:val="24"/>
                <w:szCs w:val="24"/>
                <w:highlight w:val="none"/>
                <w:lang w:val="en-US" w:eastAsia="zh-CN"/>
              </w:rPr>
            </w:pPr>
          </w:p>
        </w:tc>
        <w:tc>
          <w:tcPr>
            <w:tcW w:w="6479" w:type="dxa"/>
            <w:tcBorders>
              <w:top w:val="single" w:color="000000" w:sz="8" w:space="0"/>
              <w:left w:val="single" w:color="000000" w:sz="8" w:space="0"/>
              <w:bottom w:val="single" w:color="000000" w:sz="8" w:space="0"/>
              <w:right w:val="single" w:color="000000" w:sz="8" w:space="0"/>
            </w:tcBorders>
            <w:shd w:val="clear" w:color="auto" w:fill="auto"/>
            <w:tcMar>
              <w:top w:w="15"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 xml:space="preserve">以有效投标文件的有效评标价算术平均值为A， 计算算术平均值A时，所有有效评标价数量＜5家时，取所有有效评标价的算术平均值；若5家≤所有有效评标价数量＜9家时，去掉其中的1个最高价和1个最低价后取算术平均值；若所有有效评标价数量≥9家时，去掉2个最高和2个最低的报价后取算术平均值。 </w:t>
            </w:r>
          </w:p>
          <w:p>
            <w:pPr>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除确认存在计算错误外，评标基准价不因参选当事人质疑、投诉、复议以及其它任何情形而改变。</w:t>
            </w:r>
          </w:p>
        </w:tc>
      </w:tr>
      <w:tr>
        <w:tblPrEx>
          <w:tblCellMar>
            <w:top w:w="0" w:type="dxa"/>
            <w:left w:w="0" w:type="dxa"/>
            <w:bottom w:w="0" w:type="dxa"/>
            <w:right w:w="0" w:type="dxa"/>
          </w:tblCellMar>
        </w:tblPrEx>
        <w:trPr>
          <w:trHeight w:val="391" w:hRule="atLeast"/>
        </w:trPr>
        <w:tc>
          <w:tcPr>
            <w:tcW w:w="716" w:type="pct"/>
            <w:vMerge w:val="continue"/>
            <w:tcBorders>
              <w:top w:val="single" w:color="000000" w:sz="8" w:space="0"/>
              <w:left w:val="single" w:color="000000" w:sz="8" w:space="0"/>
              <w:bottom w:val="single" w:color="000000" w:sz="8" w:space="0"/>
              <w:right w:val="single" w:color="000000" w:sz="8"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ind w:left="555" w:firstLine="0" w:firstLineChars="0"/>
              <w:jc w:val="left"/>
              <w:textAlignment w:val="auto"/>
              <w:rPr>
                <w:rFonts w:hint="eastAsia" w:ascii="宋体" w:hAnsi="宋体" w:eastAsia="宋体" w:cs="宋体"/>
                <w:sz w:val="24"/>
                <w:szCs w:val="24"/>
                <w:highlight w:val="none"/>
              </w:rPr>
            </w:pPr>
          </w:p>
        </w:tc>
        <w:tc>
          <w:tcPr>
            <w:tcW w:w="1184" w:type="dxa"/>
            <w:tcBorders>
              <w:top w:val="single" w:color="000000" w:sz="8" w:space="0"/>
              <w:left w:val="single" w:color="000000" w:sz="8" w:space="0"/>
              <w:bottom w:val="single" w:color="000000" w:sz="8" w:space="0"/>
              <w:right w:val="single" w:color="000000" w:sz="8" w:space="0"/>
            </w:tcBorders>
            <w:shd w:val="clear" w:color="auto" w:fill="auto"/>
            <w:tcMar>
              <w:top w:w="15"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报价得分计算方法</w:t>
            </w:r>
          </w:p>
        </w:tc>
        <w:tc>
          <w:tcPr>
            <w:tcW w:w="6479" w:type="dxa"/>
            <w:tcBorders>
              <w:top w:val="single" w:color="000000" w:sz="8" w:space="0"/>
              <w:left w:val="single" w:color="000000" w:sz="8" w:space="0"/>
              <w:bottom w:val="single" w:color="000000" w:sz="8" w:space="0"/>
              <w:right w:val="single" w:color="000000" w:sz="8" w:space="0"/>
            </w:tcBorders>
            <w:shd w:val="clear" w:color="auto" w:fill="auto"/>
            <w:tcMar>
              <w:top w:w="15"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偏差率=100%×（参选人报价－评标基准价）/评标基准价</w:t>
            </w:r>
          </w:p>
          <w:p>
            <w:pPr>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报价得分计算公式示例：</w:t>
            </w:r>
          </w:p>
          <w:p>
            <w:pPr>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 xml:space="preserve">（1）如果参选人的报价＞评标基准价，则报价得分=40-偏差率×100×E1；      </w:t>
            </w:r>
          </w:p>
          <w:p>
            <w:pPr>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 xml:space="preserve">（2）如果参选人的报价≤评标基准价，则报价得分=40+偏差率×100×E2；   </w:t>
            </w:r>
          </w:p>
          <w:p>
            <w:pPr>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其中：E1是评标价每高于评标基准价一个百分点的扣分值；E2是评标价每低于评标基准价一个百分点的扣分值。E1=0.9，E2=0.6，扣完为止。报价得分四舍五入后保留两位小数。</w:t>
            </w:r>
          </w:p>
        </w:tc>
      </w:tr>
    </w:tbl>
    <w:p>
      <w:pPr>
        <w:ind w:firstLine="480"/>
        <w:rPr>
          <w:highlight w:val="none"/>
        </w:rPr>
      </w:pPr>
    </w:p>
    <w:p>
      <w:pPr>
        <w:ind w:firstLine="480"/>
        <w:rPr>
          <w:highlight w:val="none"/>
        </w:rPr>
      </w:pPr>
      <w:r>
        <w:rPr>
          <w:highlight w:val="none"/>
        </w:rPr>
        <w:br w:type="page"/>
      </w:r>
    </w:p>
    <w:p>
      <w:pPr>
        <w:ind w:firstLine="480"/>
        <w:rPr>
          <w:highlight w:val="none"/>
        </w:rPr>
      </w:pPr>
    </w:p>
    <w:p>
      <w:pPr>
        <w:ind w:firstLine="480"/>
        <w:rPr>
          <w:highlight w:val="none"/>
        </w:rPr>
      </w:pPr>
    </w:p>
    <w:p>
      <w:pPr>
        <w:ind w:firstLine="480"/>
        <w:rPr>
          <w:highlight w:val="none"/>
        </w:rPr>
      </w:pPr>
    </w:p>
    <w:p>
      <w:pPr>
        <w:ind w:firstLine="480"/>
        <w:rPr>
          <w:highlight w:val="none"/>
        </w:rPr>
      </w:pPr>
    </w:p>
    <w:p>
      <w:pPr>
        <w:ind w:firstLine="480"/>
        <w:rPr>
          <w:highlight w:val="none"/>
        </w:rPr>
      </w:pPr>
    </w:p>
    <w:p>
      <w:pPr>
        <w:ind w:firstLine="480"/>
        <w:rPr>
          <w:highlight w:val="none"/>
        </w:rPr>
      </w:pPr>
    </w:p>
    <w:p>
      <w:pPr>
        <w:ind w:firstLine="480"/>
        <w:rPr>
          <w:highlight w:val="none"/>
        </w:rPr>
      </w:pPr>
    </w:p>
    <w:p>
      <w:pPr>
        <w:ind w:firstLine="480"/>
        <w:rPr>
          <w:highlight w:val="none"/>
        </w:rPr>
      </w:pPr>
    </w:p>
    <w:p>
      <w:pPr>
        <w:ind w:firstLine="480"/>
        <w:rPr>
          <w:highlight w:val="none"/>
        </w:rPr>
      </w:pPr>
    </w:p>
    <w:p>
      <w:pPr>
        <w:ind w:firstLine="480"/>
        <w:rPr>
          <w:highlight w:val="none"/>
        </w:rPr>
      </w:pPr>
    </w:p>
    <w:p>
      <w:pPr>
        <w:ind w:firstLine="480"/>
        <w:rPr>
          <w:highlight w:val="none"/>
        </w:rPr>
      </w:pPr>
    </w:p>
    <w:p>
      <w:pPr>
        <w:keepNext/>
        <w:keepLines/>
        <w:ind w:firstLine="140" w:firstLineChars="32"/>
        <w:jc w:val="center"/>
        <w:outlineLvl w:val="0"/>
        <w:rPr>
          <w:rFonts w:hint="eastAsia" w:eastAsia="黑体"/>
          <w:bCs/>
          <w:kern w:val="44"/>
          <w:sz w:val="44"/>
          <w:szCs w:val="44"/>
          <w:highlight w:val="none"/>
        </w:rPr>
      </w:pPr>
      <w:bookmarkStart w:id="14" w:name="_Toc27013"/>
    </w:p>
    <w:p>
      <w:pPr>
        <w:keepNext/>
        <w:keepLines/>
        <w:ind w:firstLine="140" w:firstLineChars="32"/>
        <w:jc w:val="center"/>
        <w:outlineLvl w:val="0"/>
        <w:rPr>
          <w:rFonts w:hint="eastAsia" w:eastAsia="黑体"/>
          <w:bCs/>
          <w:kern w:val="44"/>
          <w:sz w:val="44"/>
          <w:szCs w:val="44"/>
          <w:highlight w:val="none"/>
        </w:rPr>
      </w:pPr>
    </w:p>
    <w:p>
      <w:pPr>
        <w:keepNext/>
        <w:keepLines/>
        <w:ind w:firstLine="140" w:firstLineChars="32"/>
        <w:jc w:val="center"/>
        <w:outlineLvl w:val="0"/>
        <w:rPr>
          <w:rFonts w:eastAsia="黑体"/>
          <w:bCs/>
          <w:kern w:val="44"/>
          <w:sz w:val="44"/>
          <w:szCs w:val="44"/>
          <w:highlight w:val="none"/>
        </w:rPr>
      </w:pPr>
      <w:r>
        <w:rPr>
          <w:rFonts w:hint="eastAsia" w:eastAsia="黑体"/>
          <w:bCs/>
          <w:kern w:val="44"/>
          <w:sz w:val="44"/>
          <w:szCs w:val="44"/>
          <w:highlight w:val="none"/>
        </w:rPr>
        <w:t>第四章 合同主要条款及格式</w:t>
      </w:r>
      <w:bookmarkEnd w:id="13"/>
      <w:bookmarkEnd w:id="14"/>
    </w:p>
    <w:p>
      <w:pPr>
        <w:ind w:firstLine="880"/>
        <w:rPr>
          <w:rFonts w:eastAsia="黑体"/>
          <w:bCs/>
          <w:kern w:val="44"/>
          <w:sz w:val="44"/>
          <w:szCs w:val="44"/>
          <w:highlight w:val="none"/>
        </w:rPr>
      </w:pPr>
      <w:r>
        <w:rPr>
          <w:rFonts w:hint="eastAsia" w:eastAsia="黑体"/>
          <w:bCs/>
          <w:kern w:val="44"/>
          <w:sz w:val="44"/>
          <w:szCs w:val="44"/>
          <w:highlight w:val="none"/>
        </w:rPr>
        <w:br w:type="page"/>
      </w:r>
    </w:p>
    <w:p>
      <w:pPr>
        <w:keepNext w:val="0"/>
        <w:keepLines w:val="0"/>
        <w:pageBreakBefore w:val="0"/>
        <w:widowControl/>
        <w:kinsoku/>
        <w:wordWrap/>
        <w:overflowPunct/>
        <w:topLinePunct w:val="0"/>
        <w:autoSpaceDE/>
        <w:autoSpaceDN/>
        <w:bidi w:val="0"/>
        <w:adjustRightInd/>
        <w:snapToGrid/>
        <w:spacing w:line="360" w:lineRule="auto"/>
        <w:ind w:left="0" w:leftChars="0" w:firstLine="0" w:firstLineChars="0"/>
        <w:jc w:val="center"/>
        <w:textAlignment w:val="auto"/>
        <w:rPr>
          <w:rFonts w:hint="eastAsia" w:ascii="黑体" w:hAnsi="黑体" w:eastAsia="黑体" w:cs="黑体"/>
          <w:color w:val="auto"/>
          <w:sz w:val="44"/>
          <w:szCs w:val="44"/>
          <w:highlight w:val="none"/>
          <w:lang w:eastAsia="zh-CN"/>
        </w:rPr>
      </w:pPr>
    </w:p>
    <w:p>
      <w:pPr>
        <w:keepNext w:val="0"/>
        <w:keepLines w:val="0"/>
        <w:pageBreakBefore w:val="0"/>
        <w:widowControl/>
        <w:kinsoku/>
        <w:wordWrap/>
        <w:overflowPunct/>
        <w:topLinePunct w:val="0"/>
        <w:autoSpaceDE/>
        <w:autoSpaceDN/>
        <w:bidi w:val="0"/>
        <w:adjustRightInd/>
        <w:snapToGrid/>
        <w:spacing w:line="360" w:lineRule="auto"/>
        <w:ind w:left="0" w:leftChars="0" w:firstLine="0" w:firstLineChars="0"/>
        <w:jc w:val="center"/>
        <w:textAlignment w:val="auto"/>
        <w:rPr>
          <w:rFonts w:hint="eastAsia" w:ascii="黑体" w:hAnsi="黑体" w:eastAsia="黑体" w:cs="黑体"/>
          <w:color w:val="auto"/>
          <w:sz w:val="44"/>
          <w:szCs w:val="44"/>
          <w:highlight w:val="none"/>
          <w:lang w:eastAsia="zh-CN"/>
        </w:rPr>
      </w:pPr>
    </w:p>
    <w:p>
      <w:pPr>
        <w:keepNext w:val="0"/>
        <w:keepLines w:val="0"/>
        <w:pageBreakBefore w:val="0"/>
        <w:widowControl/>
        <w:kinsoku/>
        <w:wordWrap/>
        <w:overflowPunct/>
        <w:topLinePunct w:val="0"/>
        <w:autoSpaceDE/>
        <w:autoSpaceDN/>
        <w:bidi w:val="0"/>
        <w:adjustRightInd/>
        <w:snapToGrid/>
        <w:spacing w:line="360" w:lineRule="auto"/>
        <w:ind w:left="0" w:leftChars="0" w:firstLine="0" w:firstLineChars="0"/>
        <w:jc w:val="center"/>
        <w:textAlignment w:val="auto"/>
        <w:rPr>
          <w:rFonts w:hint="eastAsia" w:ascii="黑体" w:hAnsi="黑体" w:eastAsia="黑体" w:cs="黑体"/>
          <w:color w:val="auto"/>
          <w:sz w:val="44"/>
          <w:szCs w:val="44"/>
          <w:highlight w:val="none"/>
        </w:rPr>
      </w:pPr>
      <w:r>
        <w:rPr>
          <w:rFonts w:hint="eastAsia" w:ascii="黑体" w:hAnsi="黑体" w:eastAsia="黑体" w:cs="黑体"/>
          <w:color w:val="auto"/>
          <w:sz w:val="44"/>
          <w:szCs w:val="44"/>
          <w:highlight w:val="none"/>
          <w:lang w:eastAsia="zh-CN"/>
        </w:rPr>
        <w:t>南通轨道交通集团有限公司运营分公司2026-2029年2号线结构监测委外维保项目</w:t>
      </w:r>
      <w:r>
        <w:rPr>
          <w:rFonts w:hint="eastAsia" w:ascii="黑体" w:hAnsi="黑体" w:eastAsia="黑体" w:cs="黑体"/>
          <w:color w:val="auto"/>
          <w:sz w:val="44"/>
          <w:szCs w:val="44"/>
          <w:highlight w:val="none"/>
        </w:rPr>
        <w:t>合同</w:t>
      </w:r>
    </w:p>
    <w:p>
      <w:pPr>
        <w:autoSpaceDE w:val="0"/>
        <w:autoSpaceDN w:val="0"/>
        <w:adjustRightInd w:val="0"/>
        <w:spacing w:line="360" w:lineRule="auto"/>
        <w:ind w:right="-1075" w:rightChars="-448"/>
        <w:jc w:val="center"/>
        <w:rPr>
          <w:rFonts w:hint="eastAsia" w:ascii="宋体" w:hAnsi="宋体" w:eastAsia="宋体" w:cs="宋体"/>
          <w:kern w:val="0"/>
          <w:sz w:val="48"/>
          <w:szCs w:val="48"/>
          <w:highlight w:val="none"/>
        </w:rPr>
      </w:pPr>
    </w:p>
    <w:p>
      <w:pPr>
        <w:autoSpaceDE w:val="0"/>
        <w:autoSpaceDN w:val="0"/>
        <w:adjustRightInd w:val="0"/>
        <w:spacing w:line="360" w:lineRule="auto"/>
        <w:ind w:right="-1075" w:rightChars="-448"/>
        <w:jc w:val="center"/>
        <w:rPr>
          <w:rFonts w:hint="eastAsia" w:ascii="宋体" w:hAnsi="宋体" w:eastAsia="宋体" w:cs="宋体"/>
          <w:kern w:val="0"/>
          <w:sz w:val="48"/>
          <w:szCs w:val="48"/>
          <w:highlight w:val="none"/>
        </w:rPr>
      </w:pPr>
    </w:p>
    <w:p>
      <w:pPr>
        <w:autoSpaceDE w:val="0"/>
        <w:autoSpaceDN w:val="0"/>
        <w:adjustRightInd w:val="0"/>
        <w:spacing w:line="360" w:lineRule="auto"/>
        <w:ind w:right="-1075" w:rightChars="-448"/>
        <w:jc w:val="center"/>
        <w:rPr>
          <w:rFonts w:hint="eastAsia" w:ascii="宋体" w:hAnsi="宋体" w:eastAsia="宋体" w:cs="宋体"/>
          <w:kern w:val="0"/>
          <w:sz w:val="48"/>
          <w:szCs w:val="48"/>
          <w:highlight w:val="none"/>
        </w:rPr>
      </w:pPr>
    </w:p>
    <w:p>
      <w:pPr>
        <w:bidi w:val="0"/>
        <w:spacing w:line="360" w:lineRule="auto"/>
        <w:ind w:right="-1075" w:rightChars="-448" w:firstLine="3840" w:firstLineChars="160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合同编号：</w:t>
      </w:r>
    </w:p>
    <w:p>
      <w:pPr>
        <w:autoSpaceDE w:val="0"/>
        <w:autoSpaceDN w:val="0"/>
        <w:adjustRightInd w:val="0"/>
        <w:spacing w:line="200" w:lineRule="exact"/>
        <w:ind w:right="-1075" w:rightChars="-448"/>
        <w:rPr>
          <w:rFonts w:ascii="宋体" w:hAnsi="宋体" w:eastAsia="宋体" w:cs="宋体"/>
          <w:kern w:val="0"/>
          <w:sz w:val="24"/>
          <w:szCs w:val="24"/>
          <w:highlight w:val="none"/>
        </w:rPr>
      </w:pPr>
    </w:p>
    <w:p>
      <w:pPr>
        <w:autoSpaceDE w:val="0"/>
        <w:autoSpaceDN w:val="0"/>
        <w:adjustRightInd w:val="0"/>
        <w:spacing w:line="200" w:lineRule="exact"/>
        <w:ind w:right="-1075" w:rightChars="-448"/>
        <w:rPr>
          <w:rFonts w:ascii="宋体" w:hAnsi="宋体" w:eastAsia="宋体" w:cs="宋体"/>
          <w:kern w:val="0"/>
          <w:sz w:val="24"/>
          <w:szCs w:val="24"/>
          <w:highlight w:val="none"/>
        </w:rPr>
      </w:pPr>
    </w:p>
    <w:p>
      <w:pPr>
        <w:autoSpaceDE w:val="0"/>
        <w:autoSpaceDN w:val="0"/>
        <w:adjustRightInd w:val="0"/>
        <w:spacing w:line="200" w:lineRule="exact"/>
        <w:ind w:left="0" w:leftChars="0" w:right="-1075" w:rightChars="-448" w:firstLine="0" w:firstLineChars="0"/>
        <w:rPr>
          <w:rFonts w:ascii="宋体" w:hAnsi="宋体" w:eastAsia="宋体" w:cs="宋体"/>
          <w:kern w:val="0"/>
          <w:sz w:val="24"/>
          <w:szCs w:val="24"/>
          <w:highlight w:val="none"/>
        </w:rPr>
      </w:pPr>
    </w:p>
    <w:p>
      <w:pPr>
        <w:autoSpaceDE w:val="0"/>
        <w:autoSpaceDN w:val="0"/>
        <w:adjustRightInd w:val="0"/>
        <w:spacing w:line="200" w:lineRule="exact"/>
        <w:ind w:right="-1075" w:rightChars="-448"/>
        <w:rPr>
          <w:rFonts w:ascii="宋体" w:hAnsi="宋体" w:eastAsia="宋体" w:cs="宋体"/>
          <w:kern w:val="0"/>
          <w:sz w:val="24"/>
          <w:szCs w:val="24"/>
          <w:highlight w:val="none"/>
        </w:rPr>
      </w:pPr>
    </w:p>
    <w:p>
      <w:pPr>
        <w:autoSpaceDE w:val="0"/>
        <w:autoSpaceDN w:val="0"/>
        <w:adjustRightInd w:val="0"/>
        <w:spacing w:line="200" w:lineRule="exact"/>
        <w:ind w:right="-1075" w:rightChars="-448"/>
        <w:rPr>
          <w:rFonts w:ascii="宋体" w:hAnsi="宋体" w:eastAsia="宋体" w:cs="宋体"/>
          <w:kern w:val="0"/>
          <w:sz w:val="24"/>
          <w:szCs w:val="24"/>
          <w:highlight w:val="none"/>
        </w:rPr>
      </w:pPr>
    </w:p>
    <w:p>
      <w:pPr>
        <w:autoSpaceDE w:val="0"/>
        <w:autoSpaceDN w:val="0"/>
        <w:adjustRightInd w:val="0"/>
        <w:spacing w:line="200" w:lineRule="exact"/>
        <w:ind w:right="-1075" w:rightChars="-448"/>
        <w:rPr>
          <w:rFonts w:ascii="宋体" w:hAnsi="宋体" w:eastAsia="宋体" w:cs="宋体"/>
          <w:kern w:val="0"/>
          <w:sz w:val="24"/>
          <w:szCs w:val="24"/>
          <w:highlight w:val="none"/>
        </w:rPr>
      </w:pPr>
    </w:p>
    <w:p>
      <w:pPr>
        <w:autoSpaceDE w:val="0"/>
        <w:autoSpaceDN w:val="0"/>
        <w:adjustRightInd w:val="0"/>
        <w:spacing w:line="200" w:lineRule="exact"/>
        <w:ind w:right="-1075" w:rightChars="-448"/>
        <w:rPr>
          <w:rFonts w:ascii="宋体" w:hAnsi="宋体" w:eastAsia="宋体" w:cs="宋体"/>
          <w:kern w:val="0"/>
          <w:sz w:val="24"/>
          <w:szCs w:val="24"/>
          <w:highlight w:val="none"/>
        </w:rPr>
      </w:pPr>
    </w:p>
    <w:p>
      <w:pPr>
        <w:autoSpaceDE w:val="0"/>
        <w:autoSpaceDN w:val="0"/>
        <w:adjustRightInd w:val="0"/>
        <w:spacing w:line="200" w:lineRule="exact"/>
        <w:ind w:right="-1075" w:rightChars="-448"/>
        <w:rPr>
          <w:rFonts w:ascii="宋体" w:hAnsi="宋体" w:eastAsia="宋体" w:cs="宋体"/>
          <w:kern w:val="0"/>
          <w:sz w:val="24"/>
          <w:szCs w:val="24"/>
          <w:highlight w:val="none"/>
        </w:rPr>
      </w:pPr>
    </w:p>
    <w:p>
      <w:pPr>
        <w:autoSpaceDE w:val="0"/>
        <w:autoSpaceDN w:val="0"/>
        <w:adjustRightInd w:val="0"/>
        <w:spacing w:line="200" w:lineRule="exact"/>
        <w:ind w:right="-1075" w:rightChars="-448"/>
        <w:rPr>
          <w:rFonts w:ascii="宋体" w:hAnsi="宋体" w:eastAsia="宋体" w:cs="宋体"/>
          <w:kern w:val="0"/>
          <w:sz w:val="24"/>
          <w:szCs w:val="24"/>
          <w:highlight w:val="none"/>
        </w:rPr>
      </w:pPr>
    </w:p>
    <w:p>
      <w:pPr>
        <w:autoSpaceDE w:val="0"/>
        <w:autoSpaceDN w:val="0"/>
        <w:adjustRightInd w:val="0"/>
        <w:spacing w:line="200" w:lineRule="exact"/>
        <w:ind w:right="-1075" w:rightChars="-448"/>
        <w:rPr>
          <w:rFonts w:ascii="宋体" w:hAnsi="宋体" w:eastAsia="宋体" w:cs="宋体"/>
          <w:kern w:val="0"/>
          <w:sz w:val="24"/>
          <w:szCs w:val="24"/>
          <w:highlight w:val="none"/>
        </w:rPr>
      </w:pPr>
    </w:p>
    <w:p>
      <w:pPr>
        <w:autoSpaceDE w:val="0"/>
        <w:autoSpaceDN w:val="0"/>
        <w:adjustRightInd w:val="0"/>
        <w:spacing w:line="200" w:lineRule="exact"/>
        <w:ind w:right="-1075" w:rightChars="-448"/>
        <w:rPr>
          <w:rFonts w:ascii="宋体" w:hAnsi="宋体" w:eastAsia="宋体" w:cs="宋体"/>
          <w:kern w:val="0"/>
          <w:sz w:val="24"/>
          <w:szCs w:val="24"/>
          <w:highlight w:val="none"/>
        </w:rPr>
      </w:pPr>
    </w:p>
    <w:p>
      <w:pPr>
        <w:autoSpaceDE w:val="0"/>
        <w:autoSpaceDN w:val="0"/>
        <w:adjustRightInd w:val="0"/>
        <w:spacing w:line="200" w:lineRule="exact"/>
        <w:ind w:right="-1075" w:rightChars="-448"/>
        <w:rPr>
          <w:rFonts w:ascii="宋体" w:hAnsi="宋体" w:eastAsia="宋体" w:cs="宋体"/>
          <w:kern w:val="0"/>
          <w:sz w:val="24"/>
          <w:szCs w:val="24"/>
          <w:highlight w:val="none"/>
        </w:rPr>
      </w:pPr>
    </w:p>
    <w:p>
      <w:pPr>
        <w:autoSpaceDE w:val="0"/>
        <w:autoSpaceDN w:val="0"/>
        <w:adjustRightInd w:val="0"/>
        <w:spacing w:line="200" w:lineRule="exact"/>
        <w:ind w:right="-1075" w:rightChars="-448"/>
        <w:rPr>
          <w:rFonts w:ascii="宋体" w:hAnsi="宋体" w:eastAsia="宋体" w:cs="宋体"/>
          <w:kern w:val="0"/>
          <w:sz w:val="24"/>
          <w:szCs w:val="24"/>
          <w:highlight w:val="none"/>
        </w:rPr>
      </w:pPr>
    </w:p>
    <w:p>
      <w:pPr>
        <w:autoSpaceDE w:val="0"/>
        <w:autoSpaceDN w:val="0"/>
        <w:adjustRightInd w:val="0"/>
        <w:spacing w:line="200" w:lineRule="exact"/>
        <w:ind w:right="-1075" w:rightChars="-448"/>
        <w:rPr>
          <w:rFonts w:ascii="宋体" w:hAnsi="宋体" w:eastAsia="宋体" w:cs="宋体"/>
          <w:kern w:val="0"/>
          <w:sz w:val="24"/>
          <w:szCs w:val="24"/>
          <w:highlight w:val="none"/>
        </w:rPr>
      </w:pPr>
    </w:p>
    <w:p>
      <w:pPr>
        <w:autoSpaceDE w:val="0"/>
        <w:autoSpaceDN w:val="0"/>
        <w:adjustRightInd w:val="0"/>
        <w:spacing w:line="200" w:lineRule="exact"/>
        <w:ind w:right="-1075" w:rightChars="-448"/>
        <w:rPr>
          <w:rFonts w:ascii="宋体" w:hAnsi="宋体" w:eastAsia="宋体" w:cs="宋体"/>
          <w:kern w:val="0"/>
          <w:sz w:val="24"/>
          <w:szCs w:val="24"/>
          <w:highlight w:val="none"/>
        </w:rPr>
      </w:pPr>
    </w:p>
    <w:p>
      <w:pPr>
        <w:autoSpaceDE w:val="0"/>
        <w:autoSpaceDN w:val="0"/>
        <w:adjustRightInd w:val="0"/>
        <w:spacing w:line="200" w:lineRule="exact"/>
        <w:ind w:right="-1075" w:rightChars="-448"/>
        <w:rPr>
          <w:rFonts w:ascii="宋体" w:hAnsi="宋体" w:eastAsia="宋体" w:cs="宋体"/>
          <w:kern w:val="0"/>
          <w:sz w:val="24"/>
          <w:szCs w:val="24"/>
          <w:highlight w:val="none"/>
        </w:rPr>
      </w:pPr>
    </w:p>
    <w:p>
      <w:pPr>
        <w:autoSpaceDE w:val="0"/>
        <w:autoSpaceDN w:val="0"/>
        <w:adjustRightInd w:val="0"/>
        <w:spacing w:line="200" w:lineRule="exact"/>
        <w:ind w:right="-1075" w:rightChars="-448"/>
        <w:rPr>
          <w:rFonts w:ascii="宋体" w:hAnsi="宋体" w:eastAsia="宋体" w:cs="宋体"/>
          <w:kern w:val="0"/>
          <w:sz w:val="24"/>
          <w:szCs w:val="24"/>
          <w:highlight w:val="none"/>
        </w:rPr>
      </w:pPr>
    </w:p>
    <w:p>
      <w:pPr>
        <w:autoSpaceDE w:val="0"/>
        <w:autoSpaceDN w:val="0"/>
        <w:adjustRightInd w:val="0"/>
        <w:spacing w:line="200" w:lineRule="exact"/>
        <w:ind w:right="-1075" w:rightChars="-448"/>
        <w:rPr>
          <w:rFonts w:ascii="宋体" w:hAnsi="宋体" w:eastAsia="宋体" w:cs="宋体"/>
          <w:kern w:val="0"/>
          <w:sz w:val="24"/>
          <w:szCs w:val="24"/>
          <w:highlight w:val="none"/>
        </w:rPr>
      </w:pPr>
    </w:p>
    <w:p>
      <w:pPr>
        <w:autoSpaceDE w:val="0"/>
        <w:autoSpaceDN w:val="0"/>
        <w:adjustRightInd w:val="0"/>
        <w:spacing w:line="200" w:lineRule="exact"/>
        <w:ind w:right="-1075" w:rightChars="-448"/>
        <w:rPr>
          <w:rFonts w:ascii="宋体" w:hAnsi="宋体" w:eastAsia="宋体" w:cs="宋体"/>
          <w:kern w:val="0"/>
          <w:sz w:val="24"/>
          <w:szCs w:val="24"/>
          <w:highlight w:val="none"/>
        </w:rPr>
      </w:pPr>
    </w:p>
    <w:p>
      <w:pPr>
        <w:autoSpaceDE w:val="0"/>
        <w:autoSpaceDN w:val="0"/>
        <w:adjustRightInd w:val="0"/>
        <w:spacing w:line="200" w:lineRule="exact"/>
        <w:ind w:right="-1075" w:rightChars="-448"/>
        <w:rPr>
          <w:rFonts w:ascii="宋体" w:hAnsi="宋体" w:eastAsia="宋体" w:cs="宋体"/>
          <w:kern w:val="0"/>
          <w:sz w:val="24"/>
          <w:szCs w:val="24"/>
          <w:highlight w:val="none"/>
        </w:rPr>
      </w:pPr>
    </w:p>
    <w:p>
      <w:pPr>
        <w:autoSpaceDE w:val="0"/>
        <w:autoSpaceDN w:val="0"/>
        <w:adjustRightInd w:val="0"/>
        <w:spacing w:line="200" w:lineRule="exact"/>
        <w:ind w:right="-1075" w:rightChars="-448"/>
        <w:rPr>
          <w:rFonts w:ascii="宋体" w:hAnsi="宋体" w:eastAsia="宋体" w:cs="宋体"/>
          <w:kern w:val="0"/>
          <w:sz w:val="24"/>
          <w:szCs w:val="24"/>
          <w:highlight w:val="none"/>
        </w:rPr>
      </w:pPr>
    </w:p>
    <w:p>
      <w:pPr>
        <w:autoSpaceDE w:val="0"/>
        <w:autoSpaceDN w:val="0"/>
        <w:adjustRightInd w:val="0"/>
        <w:spacing w:line="236" w:lineRule="exact"/>
        <w:ind w:right="-1075" w:rightChars="-448"/>
        <w:rPr>
          <w:rFonts w:ascii="宋体" w:hAnsi="宋体" w:eastAsia="宋体" w:cs="宋体"/>
          <w:kern w:val="0"/>
          <w:sz w:val="24"/>
          <w:szCs w:val="24"/>
          <w:highlight w:val="none"/>
        </w:rPr>
      </w:pPr>
    </w:p>
    <w:p>
      <w:pPr>
        <w:bidi w:val="0"/>
        <w:ind w:left="0" w:leftChars="0" w:right="-1075" w:rightChars="-448" w:firstLine="1263" w:firstLineChars="393"/>
        <w:rPr>
          <w:rFonts w:ascii="宋体" w:hAnsi="宋体" w:eastAsia="宋体" w:cs="宋体"/>
          <w:kern w:val="0"/>
          <w:sz w:val="24"/>
          <w:szCs w:val="24"/>
          <w:highlight w:val="none"/>
        </w:rPr>
      </w:pPr>
      <w:r>
        <w:rPr>
          <w:rFonts w:hint="eastAsia" w:ascii="宋体" w:hAnsi="宋体" w:eastAsia="宋体" w:cs="宋体"/>
          <w:b/>
          <w:bCs/>
          <w:kern w:val="0"/>
          <w:sz w:val="32"/>
          <w:szCs w:val="32"/>
          <w:highlight w:val="none"/>
        </w:rPr>
        <w:t>甲方：</w:t>
      </w:r>
      <w:r>
        <w:rPr>
          <w:rFonts w:hint="eastAsia" w:ascii="宋体" w:hAnsi="宋体" w:eastAsia="宋体" w:cs="宋体"/>
          <w:b/>
          <w:bCs/>
          <w:kern w:val="0"/>
          <w:sz w:val="32"/>
          <w:szCs w:val="32"/>
          <w:highlight w:val="none"/>
          <w:u w:val="single" w:color="000000"/>
          <w:lang w:eastAsia="zh-CN"/>
        </w:rPr>
        <w:t>南通轨道交通集团有限公司运营分公司</w:t>
      </w:r>
      <w:r>
        <w:rPr>
          <w:rFonts w:hint="eastAsia" w:ascii="宋体" w:hAnsi="宋体" w:eastAsia="宋体" w:cs="宋体"/>
          <w:b/>
          <w:bCs/>
          <w:kern w:val="0"/>
          <w:sz w:val="32"/>
          <w:szCs w:val="32"/>
          <w:highlight w:val="none"/>
          <w:u w:val="single" w:color="000000"/>
        </w:rPr>
        <w:t xml:space="preserve">  </w:t>
      </w:r>
    </w:p>
    <w:p>
      <w:pPr>
        <w:bidi w:val="0"/>
        <w:ind w:left="0" w:leftChars="0" w:right="-1075" w:rightChars="-448" w:firstLine="1263" w:firstLineChars="393"/>
        <w:rPr>
          <w:rFonts w:ascii="宋体" w:hAnsi="宋体" w:eastAsia="宋体" w:cs="宋体"/>
          <w:b/>
          <w:bCs/>
          <w:kern w:val="0"/>
          <w:sz w:val="32"/>
          <w:szCs w:val="32"/>
          <w:highlight w:val="none"/>
        </w:rPr>
      </w:pPr>
      <w:r>
        <w:rPr>
          <w:rFonts w:hint="eastAsia" w:ascii="宋体" w:hAnsi="宋体" w:eastAsia="宋体" w:cs="宋体"/>
          <w:b/>
          <w:bCs/>
          <w:kern w:val="0"/>
          <w:sz w:val="32"/>
          <w:szCs w:val="32"/>
          <w:highlight w:val="none"/>
        </w:rPr>
        <w:t>乙方：</w:t>
      </w:r>
      <w:r>
        <w:rPr>
          <w:rFonts w:hint="eastAsia" w:ascii="宋体" w:hAnsi="宋体" w:eastAsia="宋体" w:cs="宋体"/>
          <w:b/>
          <w:bCs/>
          <w:kern w:val="0"/>
          <w:sz w:val="32"/>
          <w:szCs w:val="32"/>
          <w:highlight w:val="none"/>
          <w:u w:val="single" w:color="000000"/>
        </w:rPr>
        <w:t xml:space="preserve">                             </w:t>
      </w:r>
      <w:r>
        <w:rPr>
          <w:rFonts w:hint="eastAsia" w:ascii="宋体" w:hAnsi="宋体" w:eastAsia="宋体" w:cs="宋体"/>
          <w:b/>
          <w:bCs/>
          <w:kern w:val="0"/>
          <w:sz w:val="32"/>
          <w:szCs w:val="32"/>
          <w:highlight w:val="none"/>
          <w:u w:val="single"/>
        </w:rPr>
        <w:t xml:space="preserve">  </w:t>
      </w:r>
      <w:r>
        <w:rPr>
          <w:rFonts w:hint="eastAsia" w:ascii="宋体" w:hAnsi="宋体" w:eastAsia="宋体" w:cs="宋体"/>
          <w:b/>
          <w:bCs/>
          <w:kern w:val="0"/>
          <w:sz w:val="32"/>
          <w:szCs w:val="32"/>
          <w:highlight w:val="none"/>
        </w:rPr>
        <w:t xml:space="preserve"> </w:t>
      </w:r>
    </w:p>
    <w:p>
      <w:pPr>
        <w:autoSpaceDE w:val="0"/>
        <w:autoSpaceDN w:val="0"/>
        <w:adjustRightInd w:val="0"/>
        <w:spacing w:line="283" w:lineRule="exact"/>
        <w:ind w:right="-1075" w:rightChars="-448"/>
        <w:rPr>
          <w:rFonts w:ascii="宋体" w:hAnsi="宋体" w:eastAsia="宋体" w:cs="宋体"/>
          <w:kern w:val="0"/>
          <w:sz w:val="24"/>
          <w:szCs w:val="24"/>
          <w:highlight w:val="none"/>
        </w:rPr>
      </w:pPr>
    </w:p>
    <w:p>
      <w:pPr>
        <w:bidi w:val="0"/>
        <w:ind w:left="0" w:leftChars="0" w:right="-1075" w:rightChars="-448" w:firstLine="3640" w:firstLineChars="1300"/>
        <w:jc w:val="both"/>
        <w:rPr>
          <w:rFonts w:ascii="Times New Roman" w:hAnsi="Times New Roman" w:eastAsia="宋体" w:cs="Times New Roman"/>
          <w:sz w:val="28"/>
          <w:szCs w:val="28"/>
          <w:highlight w:val="none"/>
        </w:rPr>
      </w:pPr>
      <w:r>
        <w:rPr>
          <w:rFonts w:hint="eastAsia" w:ascii="Times New Roman" w:hAnsi="Times New Roman" w:eastAsia="宋体" w:cs="Times New Roman"/>
          <w:sz w:val="28"/>
          <w:szCs w:val="28"/>
          <w:highlight w:val="none"/>
        </w:rPr>
        <w:t>二〇二</w:t>
      </w:r>
      <w:r>
        <w:rPr>
          <w:rFonts w:hint="eastAsia" w:cs="Times New Roman"/>
          <w:sz w:val="28"/>
          <w:szCs w:val="28"/>
          <w:highlight w:val="none"/>
          <w:lang w:val="en-US" w:eastAsia="zh-CN"/>
        </w:rPr>
        <w:t>六</w:t>
      </w:r>
      <w:r>
        <w:rPr>
          <w:rFonts w:hint="eastAsia" w:ascii="Times New Roman" w:hAnsi="Times New Roman" w:eastAsia="宋体" w:cs="Times New Roman"/>
          <w:sz w:val="28"/>
          <w:szCs w:val="28"/>
          <w:highlight w:val="none"/>
        </w:rPr>
        <w:t>年  月</w:t>
      </w:r>
    </w:p>
    <w:p>
      <w:pPr>
        <w:spacing w:before="66" w:line="228" w:lineRule="auto"/>
        <w:ind w:left="1466"/>
        <w:rPr>
          <w:rFonts w:hint="eastAsia" w:ascii="宋体" w:hAnsi="宋体" w:eastAsia="宋体" w:cs="宋体"/>
          <w:sz w:val="31"/>
          <w:szCs w:val="31"/>
          <w:highlight w:val="none"/>
        </w:rPr>
      </w:pPr>
      <w:r>
        <w:rPr>
          <w:rFonts w:hint="eastAsia" w:ascii="宋体" w:hAnsi="宋体" w:eastAsia="宋体" w:cs="宋体"/>
          <w:sz w:val="31"/>
          <w:szCs w:val="31"/>
          <w:highlight w:val="none"/>
        </w:rPr>
        <w:br w:type="page"/>
      </w:r>
    </w:p>
    <w:p>
      <w:pPr>
        <w:spacing w:line="360" w:lineRule="auto"/>
        <w:ind w:left="-480" w:leftChars="-200" w:right="-838" w:rightChars="-349" w:firstLine="421" w:firstLineChars="131"/>
        <w:jc w:val="center"/>
        <w:outlineLvl w:val="0"/>
        <w:rPr>
          <w:rFonts w:ascii="宋体" w:hAnsi="宋体" w:cs="宋体"/>
          <w:b/>
          <w:bCs/>
          <w:kern w:val="44"/>
          <w:sz w:val="32"/>
          <w:szCs w:val="32"/>
          <w:highlight w:val="none"/>
        </w:rPr>
      </w:pPr>
      <w:bookmarkStart w:id="15" w:name="_Toc4510432"/>
      <w:bookmarkStart w:id="16" w:name="_Toc4418336"/>
      <w:bookmarkStart w:id="17" w:name="_Toc17381"/>
      <w:bookmarkStart w:id="18" w:name="_Toc15914320"/>
      <w:bookmarkStart w:id="19" w:name="_Toc15914892"/>
      <w:bookmarkStart w:id="20" w:name="_Toc27086"/>
      <w:bookmarkStart w:id="21" w:name="_Toc9236823"/>
      <w:bookmarkStart w:id="22" w:name="_Toc28298"/>
      <w:bookmarkStart w:id="23" w:name="_Toc22826"/>
      <w:bookmarkStart w:id="24" w:name="_Toc437444975"/>
      <w:r>
        <w:rPr>
          <w:rFonts w:hint="eastAsia" w:ascii="宋体" w:hAnsi="宋体" w:cs="宋体"/>
          <w:b/>
          <w:bCs/>
          <w:kern w:val="44"/>
          <w:sz w:val="32"/>
          <w:szCs w:val="32"/>
          <w:highlight w:val="none"/>
          <w:lang w:val="en-US" w:eastAsia="zh-CN"/>
        </w:rPr>
        <w:t xml:space="preserve">第一节 </w:t>
      </w:r>
      <w:r>
        <w:rPr>
          <w:rFonts w:hint="eastAsia" w:ascii="宋体" w:hAnsi="宋体" w:cs="宋体"/>
          <w:b/>
          <w:bCs/>
          <w:kern w:val="44"/>
          <w:sz w:val="32"/>
          <w:szCs w:val="32"/>
          <w:highlight w:val="none"/>
        </w:rPr>
        <w:t>合同协议书</w:t>
      </w:r>
      <w:bookmarkEnd w:id="15"/>
      <w:bookmarkEnd w:id="16"/>
      <w:bookmarkEnd w:id="17"/>
      <w:bookmarkEnd w:id="18"/>
      <w:bookmarkEnd w:id="19"/>
      <w:bookmarkEnd w:id="20"/>
      <w:bookmarkEnd w:id="21"/>
    </w:p>
    <w:p>
      <w:pPr>
        <w:ind w:left="-480" w:leftChars="-200" w:right="-838" w:rightChars="-349" w:firstLine="420" w:firstLineChars="200"/>
        <w:rPr>
          <w:rFonts w:hint="eastAsia" w:ascii="宋体" w:hAnsi="宋体" w:eastAsia="宋体" w:cs="宋体"/>
          <w:sz w:val="21"/>
          <w:szCs w:val="21"/>
          <w:highlight w:val="none"/>
          <w:u w:val="single"/>
          <w:lang w:eastAsia="zh-CN"/>
        </w:rPr>
      </w:pPr>
      <w:r>
        <w:rPr>
          <w:rFonts w:hint="eastAsia" w:ascii="宋体" w:hAnsi="宋体" w:cs="宋体"/>
          <w:sz w:val="21"/>
          <w:szCs w:val="21"/>
          <w:highlight w:val="none"/>
        </w:rPr>
        <w:t>甲方：</w:t>
      </w:r>
      <w:r>
        <w:rPr>
          <w:rFonts w:hint="eastAsia" w:ascii="宋体" w:hAnsi="宋体" w:cs="宋体"/>
          <w:sz w:val="21"/>
          <w:szCs w:val="21"/>
          <w:highlight w:val="none"/>
          <w:u w:val="single"/>
          <w:lang w:eastAsia="zh-CN"/>
        </w:rPr>
        <w:t>南通轨道交通集团有限公司运营分公司</w:t>
      </w:r>
    </w:p>
    <w:p>
      <w:pPr>
        <w:ind w:left="-480" w:leftChars="-200" w:right="-838" w:rightChars="-349" w:firstLine="420" w:firstLineChars="200"/>
        <w:rPr>
          <w:rFonts w:ascii="宋体" w:hAnsi="宋体" w:cs="宋体"/>
          <w:sz w:val="21"/>
          <w:szCs w:val="21"/>
          <w:highlight w:val="none"/>
        </w:rPr>
      </w:pPr>
      <w:r>
        <w:rPr>
          <w:rFonts w:hint="eastAsia" w:ascii="宋体" w:hAnsi="宋体" w:cs="宋体"/>
          <w:sz w:val="21"/>
          <w:szCs w:val="21"/>
          <w:highlight w:val="none"/>
        </w:rPr>
        <w:t>乙方：</w:t>
      </w:r>
      <w:r>
        <w:rPr>
          <w:rFonts w:hint="eastAsia" w:ascii="宋体" w:hAnsi="宋体" w:cs="宋体"/>
          <w:sz w:val="21"/>
          <w:szCs w:val="21"/>
          <w:highlight w:val="none"/>
          <w:u w:val="single"/>
        </w:rPr>
        <w:t xml:space="preserve">                       </w:t>
      </w:r>
    </w:p>
    <w:p>
      <w:pPr>
        <w:ind w:left="-480" w:leftChars="-200" w:right="-838" w:rightChars="-349" w:firstLine="420" w:firstLineChars="200"/>
        <w:rPr>
          <w:rFonts w:ascii="宋体" w:hAnsi="宋体" w:cs="宋体"/>
          <w:sz w:val="21"/>
          <w:szCs w:val="21"/>
          <w:highlight w:val="none"/>
        </w:rPr>
      </w:pPr>
      <w:r>
        <w:rPr>
          <w:rFonts w:hint="eastAsia" w:ascii="宋体" w:hAnsi="宋体" w:cs="宋体"/>
          <w:sz w:val="21"/>
          <w:szCs w:val="21"/>
          <w:highlight w:val="none"/>
        </w:rPr>
        <w:t>依照《中华人民共和国民法典》、《中华人民共和国招标投标法》及有关法律规定，遵循平等、自愿、公平和诚实信用的原则，双方就</w:t>
      </w:r>
      <w:r>
        <w:rPr>
          <w:rFonts w:hint="eastAsia" w:ascii="宋体" w:hAnsi="宋体" w:cs="宋体"/>
          <w:kern w:val="0"/>
          <w:sz w:val="21"/>
          <w:szCs w:val="21"/>
          <w:highlight w:val="none"/>
          <w:u w:val="single"/>
          <w:lang w:eastAsia="zh-CN"/>
        </w:rPr>
        <w:t>南通轨道交通集团有限公司运营分公司2026-2029年2号线结构监测委外维保项目</w:t>
      </w:r>
      <w:r>
        <w:rPr>
          <w:rFonts w:hint="eastAsia" w:ascii="宋体" w:hAnsi="宋体" w:cs="宋体"/>
          <w:sz w:val="21"/>
          <w:szCs w:val="21"/>
          <w:highlight w:val="none"/>
        </w:rPr>
        <w:t>及有关事项协商一致，共同达成如下协议：</w:t>
      </w:r>
    </w:p>
    <w:p>
      <w:pPr>
        <w:ind w:left="-480" w:leftChars="-200" w:right="-838" w:rightChars="-349" w:firstLine="420" w:firstLineChars="200"/>
        <w:rPr>
          <w:rFonts w:ascii="宋体" w:hAnsi="宋体" w:cs="宋体"/>
          <w:sz w:val="21"/>
          <w:szCs w:val="21"/>
          <w:highlight w:val="none"/>
        </w:rPr>
      </w:pPr>
      <w:r>
        <w:rPr>
          <w:rFonts w:hint="eastAsia" w:ascii="宋体" w:hAnsi="宋体" w:cs="宋体"/>
          <w:sz w:val="21"/>
          <w:szCs w:val="21"/>
          <w:highlight w:val="none"/>
        </w:rPr>
        <w:t xml:space="preserve">一、项目概况 </w:t>
      </w:r>
    </w:p>
    <w:p>
      <w:pPr>
        <w:ind w:left="-480" w:leftChars="-200" w:right="-838" w:rightChars="-349" w:firstLine="420" w:firstLineChars="200"/>
        <w:rPr>
          <w:rFonts w:ascii="宋体" w:hAnsi="宋体" w:cs="宋体"/>
          <w:sz w:val="21"/>
          <w:szCs w:val="21"/>
          <w:highlight w:val="none"/>
          <w:u w:val="single"/>
        </w:rPr>
      </w:pPr>
      <w:r>
        <w:rPr>
          <w:rFonts w:hint="eastAsia" w:ascii="宋体" w:hAnsi="宋体" w:cs="宋体"/>
          <w:sz w:val="21"/>
          <w:szCs w:val="21"/>
          <w:highlight w:val="none"/>
        </w:rPr>
        <w:t>项目名称：</w:t>
      </w:r>
      <w:r>
        <w:rPr>
          <w:rFonts w:hint="eastAsia" w:ascii="宋体" w:hAnsi="宋体" w:cs="宋体"/>
          <w:kern w:val="0"/>
          <w:sz w:val="21"/>
          <w:szCs w:val="21"/>
          <w:highlight w:val="none"/>
          <w:u w:val="single"/>
          <w:lang w:eastAsia="zh-CN"/>
        </w:rPr>
        <w:t>南通轨道交通集团有限公司运营分公司2026-2029年2号线结构监测委外维保项目</w:t>
      </w:r>
      <w:r>
        <w:rPr>
          <w:rFonts w:hint="eastAsia" w:ascii="宋体" w:hAnsi="宋体" w:cs="宋体"/>
          <w:sz w:val="21"/>
          <w:szCs w:val="21"/>
          <w:highlight w:val="none"/>
          <w:u w:val="single"/>
        </w:rPr>
        <w:t>；</w:t>
      </w:r>
    </w:p>
    <w:p>
      <w:pPr>
        <w:ind w:left="-480" w:leftChars="-200" w:right="-838" w:rightChars="-349" w:firstLine="420" w:firstLineChars="200"/>
        <w:rPr>
          <w:rFonts w:ascii="宋体" w:hAnsi="宋体" w:cs="宋体"/>
          <w:sz w:val="21"/>
          <w:szCs w:val="21"/>
          <w:highlight w:val="none"/>
          <w:u w:val="single"/>
        </w:rPr>
      </w:pPr>
      <w:r>
        <w:rPr>
          <w:rFonts w:hint="eastAsia" w:ascii="宋体" w:hAnsi="宋体" w:cs="宋体"/>
          <w:sz w:val="21"/>
          <w:szCs w:val="21"/>
          <w:highlight w:val="none"/>
        </w:rPr>
        <w:t>项目地址：</w:t>
      </w:r>
      <w:r>
        <w:rPr>
          <w:rFonts w:hint="eastAsia" w:ascii="宋体" w:hAnsi="宋体" w:cs="宋体"/>
          <w:bCs/>
          <w:sz w:val="21"/>
          <w:szCs w:val="21"/>
          <w:highlight w:val="none"/>
          <w:u w:val="single"/>
        </w:rPr>
        <w:t>江苏省南通市。</w:t>
      </w:r>
    </w:p>
    <w:p>
      <w:pPr>
        <w:ind w:left="-480" w:leftChars="-200" w:right="-838" w:rightChars="-349" w:firstLine="420" w:firstLineChars="200"/>
        <w:rPr>
          <w:rFonts w:ascii="宋体" w:hAnsi="宋体" w:cs="宋体"/>
          <w:sz w:val="21"/>
          <w:szCs w:val="21"/>
          <w:highlight w:val="none"/>
        </w:rPr>
      </w:pPr>
      <w:r>
        <w:rPr>
          <w:rFonts w:hint="eastAsia" w:ascii="宋体" w:hAnsi="宋体" w:cs="宋体"/>
          <w:sz w:val="21"/>
          <w:szCs w:val="21"/>
          <w:highlight w:val="none"/>
        </w:rPr>
        <w:t xml:space="preserve">二、项目承揽范围 </w:t>
      </w:r>
    </w:p>
    <w:p>
      <w:pPr>
        <w:ind w:left="-480" w:leftChars="-200" w:right="-838" w:rightChars="-349" w:firstLine="420" w:firstLineChars="200"/>
        <w:rPr>
          <w:rFonts w:hint="eastAsia" w:ascii="宋体" w:hAnsi="宋体" w:cs="宋体"/>
          <w:sz w:val="21"/>
          <w:szCs w:val="21"/>
          <w:highlight w:val="none"/>
          <w:u w:val="single"/>
        </w:rPr>
      </w:pPr>
      <w:r>
        <w:rPr>
          <w:rFonts w:hint="eastAsia" w:ascii="宋体" w:hAnsi="宋体" w:cs="宋体"/>
          <w:sz w:val="21"/>
          <w:szCs w:val="21"/>
          <w:highlight w:val="none"/>
          <w:u w:val="single"/>
          <w:lang w:eastAsia="zh-CN"/>
        </w:rPr>
        <w:t>（</w:t>
      </w:r>
      <w:r>
        <w:rPr>
          <w:rFonts w:hint="eastAsia" w:ascii="宋体" w:hAnsi="宋体" w:cs="宋体"/>
          <w:sz w:val="21"/>
          <w:szCs w:val="21"/>
          <w:highlight w:val="none"/>
          <w:u w:val="single"/>
          <w:lang w:val="en-US" w:eastAsia="zh-CN"/>
        </w:rPr>
        <w:t>1</w:t>
      </w:r>
      <w:r>
        <w:rPr>
          <w:rFonts w:hint="eastAsia" w:ascii="宋体" w:hAnsi="宋体" w:cs="宋体"/>
          <w:sz w:val="21"/>
          <w:szCs w:val="21"/>
          <w:highlight w:val="none"/>
          <w:u w:val="single"/>
          <w:lang w:eastAsia="zh-CN"/>
        </w:rPr>
        <w:t>）</w:t>
      </w:r>
      <w:r>
        <w:rPr>
          <w:rFonts w:hint="eastAsia" w:ascii="宋体" w:hAnsi="宋体" w:cs="宋体"/>
          <w:sz w:val="21"/>
          <w:szCs w:val="21"/>
          <w:highlight w:val="none"/>
          <w:u w:val="single"/>
        </w:rPr>
        <w:t>南通轨道交通2号线盾构隧道、明挖隧道、出入段线矩形隧道、U型槽结构等；</w:t>
      </w:r>
    </w:p>
    <w:p>
      <w:pPr>
        <w:ind w:left="-480" w:leftChars="-200" w:right="-838" w:rightChars="-349" w:firstLine="420" w:firstLineChars="200"/>
        <w:rPr>
          <w:rFonts w:hint="eastAsia" w:ascii="宋体" w:hAnsi="宋体" w:cs="宋体"/>
          <w:sz w:val="21"/>
          <w:szCs w:val="21"/>
          <w:highlight w:val="none"/>
          <w:u w:val="single"/>
        </w:rPr>
      </w:pPr>
      <w:r>
        <w:rPr>
          <w:rFonts w:hint="eastAsia" w:ascii="宋体" w:hAnsi="宋体" w:cs="宋体"/>
          <w:sz w:val="21"/>
          <w:szCs w:val="21"/>
          <w:highlight w:val="none"/>
          <w:u w:val="single"/>
          <w:lang w:eastAsia="zh-CN"/>
        </w:rPr>
        <w:t>（</w:t>
      </w:r>
      <w:r>
        <w:rPr>
          <w:rFonts w:hint="eastAsia" w:ascii="宋体" w:hAnsi="宋体" w:cs="宋体"/>
          <w:sz w:val="21"/>
          <w:szCs w:val="21"/>
          <w:highlight w:val="none"/>
          <w:u w:val="single"/>
          <w:lang w:val="en-US" w:eastAsia="zh-CN"/>
        </w:rPr>
        <w:t>2</w:t>
      </w:r>
      <w:r>
        <w:rPr>
          <w:rFonts w:hint="eastAsia" w:ascii="宋体" w:hAnsi="宋体" w:cs="宋体"/>
          <w:sz w:val="21"/>
          <w:szCs w:val="21"/>
          <w:highlight w:val="none"/>
          <w:u w:val="single"/>
          <w:lang w:eastAsia="zh-CN"/>
        </w:rPr>
        <w:t>）</w:t>
      </w:r>
      <w:r>
        <w:rPr>
          <w:rFonts w:hint="eastAsia" w:ascii="宋体" w:hAnsi="宋体" w:cs="宋体"/>
          <w:sz w:val="21"/>
          <w:szCs w:val="21"/>
          <w:highlight w:val="none"/>
          <w:u w:val="single"/>
        </w:rPr>
        <w:t>南通轨道交通2号线17座车站主体结构；</w:t>
      </w:r>
    </w:p>
    <w:p>
      <w:pPr>
        <w:ind w:left="-480" w:leftChars="-200" w:right="-838" w:rightChars="-349" w:firstLine="420" w:firstLineChars="200"/>
        <w:rPr>
          <w:rFonts w:hint="eastAsia" w:ascii="宋体" w:hAnsi="宋体" w:eastAsia="宋体" w:cs="宋体"/>
          <w:sz w:val="21"/>
          <w:szCs w:val="21"/>
          <w:highlight w:val="none"/>
          <w:u w:val="single"/>
          <w:lang w:eastAsia="zh-CN"/>
        </w:rPr>
      </w:pPr>
      <w:r>
        <w:rPr>
          <w:rFonts w:hint="eastAsia" w:ascii="宋体" w:hAnsi="宋体" w:cs="宋体"/>
          <w:sz w:val="21"/>
          <w:szCs w:val="21"/>
          <w:highlight w:val="none"/>
          <w:u w:val="single"/>
          <w:lang w:eastAsia="zh-CN"/>
        </w:rPr>
        <w:t>（</w:t>
      </w:r>
      <w:r>
        <w:rPr>
          <w:rFonts w:hint="eastAsia" w:ascii="宋体" w:hAnsi="宋体" w:cs="宋体"/>
          <w:sz w:val="21"/>
          <w:szCs w:val="21"/>
          <w:highlight w:val="none"/>
          <w:u w:val="single"/>
          <w:lang w:val="en-US" w:eastAsia="zh-CN"/>
        </w:rPr>
        <w:t>3</w:t>
      </w:r>
      <w:r>
        <w:rPr>
          <w:rFonts w:hint="eastAsia" w:ascii="宋体" w:hAnsi="宋体" w:cs="宋体"/>
          <w:sz w:val="21"/>
          <w:szCs w:val="21"/>
          <w:highlight w:val="none"/>
          <w:u w:val="single"/>
          <w:lang w:eastAsia="zh-CN"/>
        </w:rPr>
        <w:t>）</w:t>
      </w:r>
      <w:r>
        <w:rPr>
          <w:rFonts w:hint="eastAsia" w:ascii="宋体" w:hAnsi="宋体" w:cs="宋体"/>
          <w:sz w:val="21"/>
          <w:szCs w:val="21"/>
          <w:highlight w:val="none"/>
          <w:u w:val="single"/>
        </w:rPr>
        <w:t>南通轨道交通2号线幸福车辆段单体建筑物：综合楼、司机公寓、物资总库、特种物品库、出入口门卫、人行出入口门卫、次出入口门卫、联合车库、运用库、工程车库及材料棚、洗车库、镟轮库、牵引降压混合变电所、动调实验间、轮对及受电弓在线检测棚、洗车房</w:t>
      </w:r>
      <w:r>
        <w:rPr>
          <w:rFonts w:hint="eastAsia" w:ascii="宋体" w:hAnsi="宋体" w:cs="宋体"/>
          <w:sz w:val="21"/>
          <w:szCs w:val="21"/>
          <w:highlight w:val="none"/>
          <w:u w:val="single"/>
          <w:lang w:eastAsia="zh-CN"/>
        </w:rPr>
        <w:t>。</w:t>
      </w:r>
    </w:p>
    <w:p>
      <w:pPr>
        <w:ind w:left="-480" w:leftChars="-200" w:right="-838" w:rightChars="-349" w:firstLine="420" w:firstLineChars="200"/>
        <w:rPr>
          <w:rFonts w:ascii="宋体" w:hAnsi="宋体" w:cs="宋体"/>
          <w:sz w:val="21"/>
          <w:szCs w:val="21"/>
          <w:highlight w:val="none"/>
        </w:rPr>
      </w:pPr>
      <w:r>
        <w:rPr>
          <w:rFonts w:hint="eastAsia" w:ascii="宋体" w:hAnsi="宋体" w:cs="宋体"/>
          <w:sz w:val="21"/>
          <w:szCs w:val="21"/>
          <w:highlight w:val="none"/>
        </w:rPr>
        <w:t>三、服务期限</w:t>
      </w:r>
    </w:p>
    <w:p>
      <w:pPr>
        <w:ind w:left="-480" w:leftChars="-200" w:right="-838" w:rightChars="-349" w:firstLine="420" w:firstLineChars="200"/>
        <w:rPr>
          <w:rFonts w:ascii="宋体" w:hAnsi="宋体" w:cs="宋体"/>
          <w:sz w:val="21"/>
          <w:szCs w:val="21"/>
          <w:highlight w:val="none"/>
        </w:rPr>
      </w:pPr>
      <w:r>
        <w:rPr>
          <w:rFonts w:hint="eastAsia" w:ascii="宋体" w:hAnsi="宋体" w:cs="宋体"/>
          <w:sz w:val="21"/>
          <w:szCs w:val="21"/>
          <w:highlight w:val="none"/>
        </w:rPr>
        <w:t>服务期限：本项目服务期为三年（暂定服务时间为2026年</w:t>
      </w:r>
      <w:r>
        <w:rPr>
          <w:rFonts w:hint="eastAsia" w:ascii="宋体" w:hAnsi="宋体" w:cs="宋体"/>
          <w:sz w:val="21"/>
          <w:szCs w:val="21"/>
          <w:highlight w:val="none"/>
          <w:lang w:val="en-US" w:eastAsia="zh-CN"/>
        </w:rPr>
        <w:t xml:space="preserve"> </w:t>
      </w:r>
      <w:r>
        <w:rPr>
          <w:rFonts w:hint="eastAsia" w:ascii="宋体" w:hAnsi="宋体" w:cs="宋体"/>
          <w:sz w:val="21"/>
          <w:szCs w:val="21"/>
          <w:highlight w:val="none"/>
        </w:rPr>
        <w:t>月</w:t>
      </w:r>
      <w:r>
        <w:rPr>
          <w:rFonts w:hint="eastAsia" w:ascii="宋体" w:hAnsi="宋体" w:cs="宋体"/>
          <w:sz w:val="21"/>
          <w:szCs w:val="21"/>
          <w:highlight w:val="none"/>
          <w:lang w:val="en-US" w:eastAsia="zh-CN"/>
        </w:rPr>
        <w:t xml:space="preserve"> </w:t>
      </w:r>
      <w:r>
        <w:rPr>
          <w:rFonts w:hint="eastAsia" w:ascii="宋体" w:hAnsi="宋体" w:cs="宋体"/>
          <w:sz w:val="21"/>
          <w:szCs w:val="21"/>
          <w:highlight w:val="none"/>
        </w:rPr>
        <w:t>日至2029年</w:t>
      </w:r>
      <w:r>
        <w:rPr>
          <w:rFonts w:hint="eastAsia" w:ascii="宋体" w:hAnsi="宋体" w:cs="宋体"/>
          <w:sz w:val="21"/>
          <w:szCs w:val="21"/>
          <w:highlight w:val="none"/>
          <w:lang w:val="en-US" w:eastAsia="zh-CN"/>
        </w:rPr>
        <w:t xml:space="preserve"> </w:t>
      </w:r>
      <w:r>
        <w:rPr>
          <w:rFonts w:hint="eastAsia" w:ascii="宋体" w:hAnsi="宋体" w:cs="宋体"/>
          <w:sz w:val="21"/>
          <w:szCs w:val="21"/>
          <w:highlight w:val="none"/>
        </w:rPr>
        <w:t>月</w:t>
      </w:r>
      <w:r>
        <w:rPr>
          <w:rFonts w:hint="eastAsia" w:ascii="宋体" w:hAnsi="宋体" w:cs="宋体"/>
          <w:sz w:val="21"/>
          <w:szCs w:val="21"/>
          <w:highlight w:val="none"/>
          <w:lang w:val="en-US" w:eastAsia="zh-CN"/>
        </w:rPr>
        <w:t xml:space="preserve"> </w:t>
      </w:r>
      <w:r>
        <w:rPr>
          <w:rFonts w:hint="eastAsia" w:ascii="宋体" w:hAnsi="宋体" w:cs="宋体"/>
          <w:sz w:val="21"/>
          <w:szCs w:val="21"/>
          <w:highlight w:val="none"/>
        </w:rPr>
        <w:t>日（</w:t>
      </w:r>
      <w:r>
        <w:rPr>
          <w:rFonts w:hint="eastAsia" w:ascii="宋体" w:hAnsi="宋体" w:eastAsia="宋体" w:cs="宋体"/>
          <w:color w:val="auto"/>
          <w:sz w:val="21"/>
          <w:szCs w:val="21"/>
          <w:highlight w:val="none"/>
          <w:lang w:val="en-US" w:eastAsia="zh-CN"/>
        </w:rPr>
        <w:t>具体进场时间以</w:t>
      </w:r>
      <w:r>
        <w:rPr>
          <w:rFonts w:hint="eastAsia" w:ascii="宋体" w:hAnsi="宋体" w:cs="宋体"/>
          <w:color w:val="auto"/>
          <w:sz w:val="21"/>
          <w:szCs w:val="21"/>
          <w:highlight w:val="none"/>
          <w:lang w:val="en-US" w:eastAsia="zh-CN"/>
        </w:rPr>
        <w:t>发包人</w:t>
      </w:r>
      <w:r>
        <w:rPr>
          <w:rFonts w:hint="eastAsia" w:ascii="宋体" w:hAnsi="宋体" w:eastAsia="宋体" w:cs="宋体"/>
          <w:color w:val="auto"/>
          <w:sz w:val="21"/>
          <w:szCs w:val="21"/>
          <w:highlight w:val="none"/>
          <w:lang w:val="en-US" w:eastAsia="zh-CN"/>
        </w:rPr>
        <w:t>书面通知为准</w:t>
      </w:r>
      <w:r>
        <w:rPr>
          <w:rFonts w:hint="eastAsia" w:ascii="宋体" w:hAnsi="宋体" w:cs="宋体"/>
          <w:color w:val="auto"/>
          <w:sz w:val="21"/>
          <w:szCs w:val="21"/>
          <w:highlight w:val="none"/>
          <w:lang w:val="en-US" w:eastAsia="zh-CN"/>
        </w:rPr>
        <w:t>）</w:t>
      </w:r>
      <w:r>
        <w:rPr>
          <w:rFonts w:hint="eastAsia" w:ascii="宋体" w:hAnsi="宋体" w:cs="宋体"/>
          <w:sz w:val="21"/>
          <w:szCs w:val="21"/>
          <w:highlight w:val="none"/>
        </w:rPr>
        <w:t>。</w:t>
      </w:r>
    </w:p>
    <w:p>
      <w:pPr>
        <w:ind w:left="-480" w:leftChars="-200" w:right="-838" w:rightChars="-349" w:firstLine="420" w:firstLineChars="200"/>
        <w:rPr>
          <w:rFonts w:ascii="宋体" w:hAnsi="宋体" w:cs="宋体"/>
          <w:sz w:val="21"/>
          <w:szCs w:val="21"/>
          <w:highlight w:val="none"/>
        </w:rPr>
      </w:pPr>
      <w:r>
        <w:rPr>
          <w:rFonts w:hint="eastAsia" w:ascii="宋体" w:hAnsi="宋体" w:cs="宋体"/>
          <w:sz w:val="21"/>
          <w:szCs w:val="21"/>
          <w:highlight w:val="none"/>
        </w:rPr>
        <w:t>四、合同价格</w:t>
      </w:r>
    </w:p>
    <w:p>
      <w:pPr>
        <w:ind w:left="-480" w:leftChars="-200" w:right="-838" w:rightChars="-349" w:firstLine="420" w:firstLineChars="200"/>
        <w:rPr>
          <w:rFonts w:ascii="宋体" w:hAnsi="宋体" w:cs="宋体"/>
          <w:sz w:val="21"/>
          <w:szCs w:val="21"/>
          <w:highlight w:val="none"/>
          <w:u w:val="single"/>
        </w:rPr>
      </w:pPr>
      <w:r>
        <w:rPr>
          <w:rFonts w:hint="eastAsia" w:ascii="宋体" w:hAnsi="宋体" w:cs="宋体"/>
          <w:sz w:val="21"/>
          <w:szCs w:val="21"/>
          <w:highlight w:val="none"/>
        </w:rPr>
        <w:t>合同价格方式：</w:t>
      </w:r>
      <w:r>
        <w:rPr>
          <w:rFonts w:hint="eastAsia" w:ascii="宋体" w:hAnsi="宋体" w:cs="宋体"/>
          <w:sz w:val="21"/>
          <w:szCs w:val="21"/>
          <w:highlight w:val="none"/>
          <w:u w:val="single"/>
        </w:rPr>
        <w:t>　</w:t>
      </w:r>
      <w:r>
        <w:rPr>
          <w:rFonts w:hint="eastAsia" w:ascii="宋体" w:hAnsi="宋体" w:cs="宋体"/>
          <w:sz w:val="21"/>
          <w:szCs w:val="21"/>
          <w:highlight w:val="none"/>
          <w:u w:val="single"/>
          <w:lang w:val="en-US" w:eastAsia="zh-CN"/>
        </w:rPr>
        <w:t>固定总价与固定单价相结合的模式</w:t>
      </w:r>
      <w:r>
        <w:rPr>
          <w:rFonts w:hint="eastAsia" w:ascii="宋体" w:hAnsi="宋体" w:cs="宋体"/>
          <w:sz w:val="21"/>
          <w:szCs w:val="21"/>
          <w:highlight w:val="none"/>
          <w:u w:val="single"/>
        </w:rPr>
        <w:t xml:space="preserve"> ；</w:t>
      </w:r>
    </w:p>
    <w:p>
      <w:pPr>
        <w:ind w:left="-480" w:leftChars="-200" w:right="-838" w:rightChars="-349" w:firstLine="420" w:firstLineChars="200"/>
        <w:rPr>
          <w:rFonts w:ascii="宋体" w:hAnsi="宋体" w:cs="宋体"/>
          <w:sz w:val="21"/>
          <w:szCs w:val="21"/>
          <w:highlight w:val="none"/>
        </w:rPr>
      </w:pPr>
      <w:r>
        <w:rPr>
          <w:rFonts w:hint="eastAsia" w:ascii="宋体" w:hAnsi="宋体" w:cs="宋体"/>
          <w:sz w:val="21"/>
          <w:szCs w:val="21"/>
          <w:highlight w:val="none"/>
        </w:rPr>
        <w:t>合同价格：</w:t>
      </w:r>
    </w:p>
    <w:p>
      <w:pPr>
        <w:overflowPunct w:val="0"/>
        <w:autoSpaceDE w:val="0"/>
        <w:autoSpaceDN w:val="0"/>
        <w:ind w:left="-480" w:leftChars="-200" w:right="-838" w:rightChars="-349" w:firstLine="420" w:firstLineChars="200"/>
        <w:rPr>
          <w:rFonts w:ascii="宋体" w:hAnsi="宋体" w:cs="宋体"/>
          <w:sz w:val="21"/>
          <w:szCs w:val="21"/>
          <w:highlight w:val="none"/>
          <w:u w:val="single"/>
        </w:rPr>
      </w:pPr>
      <w:r>
        <w:rPr>
          <w:rFonts w:hint="eastAsia" w:ascii="宋体" w:hAnsi="宋体" w:cs="宋体"/>
          <w:sz w:val="21"/>
          <w:szCs w:val="21"/>
          <w:highlight w:val="none"/>
        </w:rPr>
        <w:t>（1）合同含税价格：（大写）</w:t>
      </w:r>
      <w:r>
        <w:rPr>
          <w:rFonts w:hint="eastAsia" w:ascii="宋体" w:hAnsi="宋体" w:cs="宋体"/>
          <w:sz w:val="21"/>
          <w:szCs w:val="21"/>
          <w:highlight w:val="none"/>
          <w:u w:val="single"/>
        </w:rPr>
        <w:t xml:space="preserve">   元，</w:t>
      </w:r>
      <w:r>
        <w:rPr>
          <w:rFonts w:hint="eastAsia" w:ascii="宋体" w:hAnsi="宋体" w:cs="宋体"/>
          <w:sz w:val="21"/>
          <w:szCs w:val="21"/>
          <w:highlight w:val="none"/>
        </w:rPr>
        <w:t>（小写）</w:t>
      </w:r>
      <w:r>
        <w:rPr>
          <w:rFonts w:hint="eastAsia" w:ascii="宋体" w:hAnsi="宋体" w:cs="宋体"/>
          <w:sz w:val="21"/>
          <w:szCs w:val="21"/>
          <w:highlight w:val="none"/>
          <w:u w:val="single"/>
        </w:rPr>
        <w:t xml:space="preserve">  元；</w:t>
      </w:r>
    </w:p>
    <w:p>
      <w:pPr>
        <w:overflowPunct w:val="0"/>
        <w:autoSpaceDE w:val="0"/>
        <w:autoSpaceDN w:val="0"/>
        <w:ind w:left="-480" w:leftChars="-200" w:right="-838" w:rightChars="-349" w:firstLine="420" w:firstLineChars="200"/>
        <w:rPr>
          <w:rFonts w:ascii="宋体" w:hAnsi="宋体" w:cs="宋体"/>
          <w:sz w:val="21"/>
          <w:szCs w:val="21"/>
          <w:highlight w:val="none"/>
          <w:u w:val="single"/>
        </w:rPr>
      </w:pPr>
      <w:r>
        <w:rPr>
          <w:rFonts w:hint="eastAsia" w:ascii="宋体" w:hAnsi="宋体" w:cs="宋体"/>
          <w:sz w:val="21"/>
          <w:szCs w:val="21"/>
          <w:highlight w:val="none"/>
        </w:rPr>
        <w:t>（2）增值税率：</w:t>
      </w:r>
      <w:r>
        <w:rPr>
          <w:rFonts w:hint="eastAsia" w:ascii="宋体" w:hAnsi="宋体" w:cs="宋体"/>
          <w:sz w:val="21"/>
          <w:szCs w:val="21"/>
          <w:highlight w:val="none"/>
          <w:u w:val="single"/>
        </w:rPr>
        <w:t xml:space="preserve">  %，</w:t>
      </w:r>
      <w:r>
        <w:rPr>
          <w:rFonts w:hint="eastAsia" w:ascii="宋体" w:hAnsi="宋体" w:cs="宋体"/>
          <w:sz w:val="21"/>
          <w:szCs w:val="21"/>
          <w:highlight w:val="none"/>
        </w:rPr>
        <w:t>税金：</w:t>
      </w:r>
      <w:r>
        <w:rPr>
          <w:rFonts w:hint="eastAsia" w:ascii="宋体" w:hAnsi="宋体" w:cs="宋体"/>
          <w:sz w:val="21"/>
          <w:szCs w:val="21"/>
          <w:highlight w:val="none"/>
          <w:u w:val="single"/>
        </w:rPr>
        <w:t xml:space="preserve">   元</w:t>
      </w:r>
      <w:r>
        <w:rPr>
          <w:rFonts w:hint="eastAsia" w:ascii="宋体" w:hAnsi="宋体" w:cs="宋体"/>
          <w:sz w:val="21"/>
          <w:szCs w:val="21"/>
          <w:highlight w:val="none"/>
        </w:rPr>
        <w:t>。</w:t>
      </w:r>
    </w:p>
    <w:p>
      <w:pPr>
        <w:ind w:left="-480" w:leftChars="-200" w:right="-838" w:rightChars="-349" w:firstLine="420" w:firstLineChars="200"/>
        <w:rPr>
          <w:rFonts w:ascii="宋体" w:hAnsi="宋体" w:cs="宋体"/>
          <w:sz w:val="21"/>
          <w:szCs w:val="21"/>
          <w:highlight w:val="none"/>
        </w:rPr>
      </w:pPr>
      <w:r>
        <w:rPr>
          <w:rFonts w:hint="eastAsia" w:ascii="宋体" w:hAnsi="宋体" w:cs="宋体"/>
          <w:sz w:val="21"/>
          <w:szCs w:val="21"/>
          <w:highlight w:val="none"/>
        </w:rPr>
        <w:t>五、服务标准</w:t>
      </w:r>
    </w:p>
    <w:p>
      <w:pPr>
        <w:ind w:left="-480" w:leftChars="-200" w:right="-838" w:rightChars="-349" w:firstLine="420" w:firstLineChars="200"/>
        <w:rPr>
          <w:rFonts w:ascii="宋体" w:hAnsi="宋体" w:cs="宋体"/>
          <w:sz w:val="21"/>
          <w:szCs w:val="21"/>
          <w:highlight w:val="none"/>
        </w:rPr>
      </w:pPr>
      <w:r>
        <w:rPr>
          <w:rFonts w:hint="eastAsia" w:ascii="宋体" w:hAnsi="宋体" w:cs="宋体"/>
          <w:sz w:val="21"/>
          <w:szCs w:val="21"/>
          <w:highlight w:val="none"/>
        </w:rPr>
        <w:t>服务标准：</w:t>
      </w:r>
      <w:r>
        <w:rPr>
          <w:rFonts w:hint="eastAsia" w:ascii="宋体" w:hAnsi="宋体" w:cs="宋体"/>
          <w:sz w:val="21"/>
          <w:szCs w:val="21"/>
          <w:highlight w:val="none"/>
          <w:u w:val="single"/>
        </w:rPr>
        <w:t>满足甲方要求，详见用户需求书</w:t>
      </w:r>
      <w:r>
        <w:rPr>
          <w:rFonts w:hint="eastAsia" w:ascii="宋体" w:hAnsi="宋体" w:cs="宋体"/>
          <w:sz w:val="21"/>
          <w:szCs w:val="21"/>
          <w:highlight w:val="none"/>
        </w:rPr>
        <w:t>。</w:t>
      </w:r>
    </w:p>
    <w:p>
      <w:pPr>
        <w:ind w:left="-480" w:leftChars="-200" w:right="-838" w:rightChars="-349" w:firstLine="420" w:firstLineChars="200"/>
        <w:rPr>
          <w:rFonts w:ascii="宋体" w:hAnsi="宋体" w:cs="宋体"/>
          <w:sz w:val="21"/>
          <w:szCs w:val="21"/>
          <w:highlight w:val="none"/>
        </w:rPr>
      </w:pPr>
      <w:r>
        <w:rPr>
          <w:rFonts w:hint="eastAsia" w:ascii="宋体" w:hAnsi="宋体" w:cs="宋体"/>
          <w:sz w:val="21"/>
          <w:szCs w:val="21"/>
          <w:highlight w:val="none"/>
        </w:rPr>
        <w:t xml:space="preserve">六、组成合同的文件 </w:t>
      </w:r>
    </w:p>
    <w:p>
      <w:pPr>
        <w:ind w:left="-480" w:leftChars="-200" w:right="-838" w:rightChars="-349" w:firstLine="420" w:firstLineChars="200"/>
        <w:rPr>
          <w:rFonts w:ascii="宋体" w:hAnsi="宋体" w:cs="宋体"/>
          <w:sz w:val="21"/>
          <w:szCs w:val="21"/>
          <w:highlight w:val="none"/>
        </w:rPr>
      </w:pPr>
      <w:r>
        <w:rPr>
          <w:rFonts w:hint="eastAsia" w:ascii="宋体" w:hAnsi="宋体" w:cs="宋体"/>
          <w:sz w:val="21"/>
          <w:szCs w:val="21"/>
          <w:highlight w:val="none"/>
        </w:rPr>
        <w:t>组成本合同的文件包括：</w:t>
      </w:r>
    </w:p>
    <w:p>
      <w:pPr>
        <w:ind w:left="-480" w:leftChars="-200" w:right="-838" w:rightChars="-349" w:firstLine="420" w:firstLineChars="200"/>
        <w:rPr>
          <w:rFonts w:ascii="宋体" w:hAnsi="宋体" w:cs="宋体"/>
          <w:sz w:val="21"/>
          <w:szCs w:val="21"/>
          <w:highlight w:val="none"/>
        </w:rPr>
      </w:pPr>
      <w:r>
        <w:rPr>
          <w:rFonts w:hint="eastAsia" w:ascii="宋体" w:hAnsi="宋体" w:cs="宋体"/>
          <w:sz w:val="21"/>
          <w:szCs w:val="21"/>
          <w:highlight w:val="none"/>
        </w:rPr>
        <w:t>（1）合同协议书；</w:t>
      </w:r>
    </w:p>
    <w:p>
      <w:pPr>
        <w:ind w:left="-480" w:leftChars="-200" w:right="-838" w:rightChars="-349" w:firstLine="420" w:firstLineChars="200"/>
        <w:rPr>
          <w:rFonts w:ascii="宋体" w:hAnsi="宋体" w:cs="宋体"/>
          <w:sz w:val="21"/>
          <w:szCs w:val="21"/>
          <w:highlight w:val="none"/>
        </w:rPr>
      </w:pPr>
      <w:r>
        <w:rPr>
          <w:rFonts w:hint="eastAsia" w:ascii="宋体" w:hAnsi="宋体" w:cs="宋体"/>
          <w:sz w:val="21"/>
          <w:szCs w:val="21"/>
          <w:highlight w:val="none"/>
        </w:rPr>
        <w:t>（2）中标通知书；</w:t>
      </w:r>
    </w:p>
    <w:p>
      <w:pPr>
        <w:ind w:left="-480" w:leftChars="-200" w:right="-838" w:rightChars="-349" w:firstLine="420" w:firstLineChars="200"/>
        <w:rPr>
          <w:rFonts w:ascii="宋体" w:hAnsi="宋体" w:cs="宋体"/>
          <w:sz w:val="21"/>
          <w:szCs w:val="21"/>
          <w:highlight w:val="none"/>
        </w:rPr>
      </w:pPr>
      <w:r>
        <w:rPr>
          <w:rFonts w:hint="eastAsia" w:ascii="宋体" w:hAnsi="宋体" w:cs="宋体"/>
          <w:sz w:val="21"/>
          <w:szCs w:val="21"/>
          <w:highlight w:val="none"/>
        </w:rPr>
        <w:t>（3）合同条款；</w:t>
      </w:r>
    </w:p>
    <w:p>
      <w:pPr>
        <w:ind w:left="-480" w:leftChars="-200" w:right="-838" w:rightChars="-349" w:firstLine="420" w:firstLineChars="200"/>
        <w:rPr>
          <w:rFonts w:ascii="宋体" w:hAnsi="宋体" w:cs="宋体"/>
          <w:sz w:val="21"/>
          <w:szCs w:val="21"/>
          <w:highlight w:val="none"/>
        </w:rPr>
      </w:pPr>
      <w:r>
        <w:rPr>
          <w:rFonts w:hint="eastAsia" w:ascii="宋体" w:hAnsi="宋体" w:cs="宋体"/>
          <w:sz w:val="21"/>
          <w:szCs w:val="21"/>
          <w:highlight w:val="none"/>
        </w:rPr>
        <w:t>（4）招标文件及其修改、补充文件；</w:t>
      </w:r>
    </w:p>
    <w:p>
      <w:pPr>
        <w:ind w:left="-480" w:leftChars="-200" w:right="-838" w:rightChars="-349" w:firstLine="420" w:firstLineChars="200"/>
        <w:rPr>
          <w:rFonts w:ascii="宋体" w:hAnsi="宋体" w:cs="宋体"/>
          <w:sz w:val="21"/>
          <w:szCs w:val="21"/>
          <w:highlight w:val="none"/>
        </w:rPr>
      </w:pPr>
      <w:r>
        <w:rPr>
          <w:rFonts w:hint="eastAsia" w:ascii="宋体" w:hAnsi="宋体" w:cs="宋体"/>
          <w:sz w:val="21"/>
          <w:szCs w:val="21"/>
          <w:highlight w:val="none"/>
        </w:rPr>
        <w:t>（5）合同附件；</w:t>
      </w:r>
    </w:p>
    <w:p>
      <w:pPr>
        <w:ind w:left="-480" w:leftChars="-200" w:right="-838" w:rightChars="-349" w:firstLine="420" w:firstLineChars="200"/>
        <w:rPr>
          <w:rFonts w:ascii="宋体" w:hAnsi="宋体" w:cs="宋体"/>
          <w:sz w:val="21"/>
          <w:szCs w:val="21"/>
          <w:highlight w:val="none"/>
        </w:rPr>
      </w:pPr>
      <w:r>
        <w:rPr>
          <w:rFonts w:hint="eastAsia" w:ascii="宋体" w:hAnsi="宋体" w:cs="宋体"/>
          <w:sz w:val="21"/>
          <w:szCs w:val="21"/>
          <w:highlight w:val="none"/>
        </w:rPr>
        <w:t>（6）授标前质疑澄清文件及其回复文件；</w:t>
      </w:r>
    </w:p>
    <w:p>
      <w:pPr>
        <w:ind w:left="-480" w:leftChars="-200" w:right="-838" w:rightChars="-349" w:firstLine="420" w:firstLineChars="200"/>
        <w:rPr>
          <w:rFonts w:ascii="宋体" w:hAnsi="宋体" w:cs="宋体"/>
          <w:sz w:val="21"/>
          <w:szCs w:val="21"/>
          <w:highlight w:val="none"/>
        </w:rPr>
      </w:pPr>
      <w:r>
        <w:rPr>
          <w:rFonts w:hint="eastAsia" w:ascii="宋体" w:hAnsi="宋体" w:cs="宋体"/>
          <w:sz w:val="21"/>
          <w:szCs w:val="21"/>
          <w:highlight w:val="none"/>
        </w:rPr>
        <w:t>（7）投标文件及其修改、补充文件；</w:t>
      </w:r>
    </w:p>
    <w:p>
      <w:pPr>
        <w:ind w:left="-480" w:leftChars="-200" w:right="-838" w:rightChars="-349" w:firstLine="420" w:firstLineChars="200"/>
        <w:rPr>
          <w:rFonts w:ascii="宋体" w:hAnsi="宋体" w:cs="宋体"/>
          <w:sz w:val="21"/>
          <w:szCs w:val="21"/>
          <w:highlight w:val="none"/>
        </w:rPr>
      </w:pPr>
      <w:r>
        <w:rPr>
          <w:rFonts w:hint="eastAsia" w:ascii="宋体" w:hAnsi="宋体" w:cs="宋体"/>
          <w:sz w:val="21"/>
          <w:szCs w:val="21"/>
          <w:highlight w:val="none"/>
        </w:rPr>
        <w:t>（8）其他合同文件；</w:t>
      </w:r>
    </w:p>
    <w:p>
      <w:pPr>
        <w:ind w:left="-480" w:leftChars="-200" w:right="-838" w:rightChars="-349" w:firstLine="420" w:firstLineChars="200"/>
        <w:rPr>
          <w:rFonts w:ascii="宋体" w:hAnsi="宋体" w:cs="宋体"/>
          <w:sz w:val="21"/>
          <w:szCs w:val="21"/>
          <w:highlight w:val="none"/>
        </w:rPr>
      </w:pPr>
      <w:r>
        <w:rPr>
          <w:rFonts w:hint="eastAsia" w:ascii="宋体" w:hAnsi="宋体" w:cs="宋体"/>
          <w:sz w:val="21"/>
          <w:szCs w:val="21"/>
          <w:highlight w:val="none"/>
        </w:rPr>
        <w:t>上述文件相互补充和解释，如有不明确或不一致之处，以上述次序在先者为准。双方关于项目变更通知、会议纪要等书面文本视为本合同的组成部分。合同签订后，双方签订的补充协议也是本合同文件的组成部分，如补充协议与其他文件发生矛盾或歧义时，属于同一类内容的文件，应以最新签署的为准。</w:t>
      </w:r>
    </w:p>
    <w:p>
      <w:pPr>
        <w:ind w:left="-480" w:leftChars="-200" w:right="-838" w:rightChars="-349" w:firstLine="420" w:firstLineChars="200"/>
        <w:rPr>
          <w:rFonts w:ascii="宋体" w:hAnsi="宋体" w:cs="宋体"/>
          <w:sz w:val="21"/>
          <w:szCs w:val="21"/>
          <w:highlight w:val="none"/>
        </w:rPr>
      </w:pPr>
      <w:r>
        <w:rPr>
          <w:rFonts w:hint="eastAsia" w:ascii="宋体" w:hAnsi="宋体" w:cs="宋体"/>
          <w:sz w:val="21"/>
          <w:szCs w:val="21"/>
          <w:highlight w:val="none"/>
        </w:rPr>
        <w:t>七、本协议书有关词语含义与《合同条件》中分别赋予它们的定义相同。</w:t>
      </w:r>
    </w:p>
    <w:p>
      <w:pPr>
        <w:ind w:left="-480" w:leftChars="-200" w:right="-838" w:rightChars="-349" w:firstLine="420" w:firstLineChars="200"/>
        <w:rPr>
          <w:rFonts w:ascii="宋体" w:hAnsi="宋体" w:cs="宋体"/>
          <w:sz w:val="21"/>
          <w:szCs w:val="21"/>
          <w:highlight w:val="none"/>
        </w:rPr>
      </w:pPr>
      <w:r>
        <w:rPr>
          <w:rFonts w:hint="eastAsia" w:ascii="宋体" w:hAnsi="宋体" w:cs="宋体"/>
          <w:sz w:val="21"/>
          <w:szCs w:val="21"/>
          <w:highlight w:val="none"/>
        </w:rPr>
        <w:t>八、甲方向乙方承诺按照合同约定的期限和方式支付合同价款及其他应当支付的款项。</w:t>
      </w:r>
    </w:p>
    <w:p>
      <w:pPr>
        <w:autoSpaceDE w:val="0"/>
        <w:autoSpaceDN w:val="0"/>
        <w:ind w:left="-480" w:leftChars="-200" w:right="-838" w:rightChars="-349" w:firstLine="420" w:firstLineChars="200"/>
        <w:rPr>
          <w:rFonts w:ascii="宋体" w:hAnsi="宋体" w:cs="宋体"/>
          <w:sz w:val="21"/>
          <w:szCs w:val="21"/>
          <w:highlight w:val="none"/>
        </w:rPr>
      </w:pPr>
      <w:r>
        <w:rPr>
          <w:rFonts w:hint="eastAsia" w:ascii="宋体" w:hAnsi="宋体" w:cs="宋体"/>
          <w:sz w:val="21"/>
          <w:szCs w:val="21"/>
          <w:highlight w:val="none"/>
        </w:rPr>
        <w:t>九、合同文件份数：本合同正本</w:t>
      </w:r>
      <w:r>
        <w:rPr>
          <w:rFonts w:hint="eastAsia" w:ascii="宋体" w:hAnsi="宋体" w:cs="宋体"/>
          <w:sz w:val="21"/>
          <w:szCs w:val="21"/>
          <w:highlight w:val="none"/>
          <w:u w:val="single"/>
        </w:rPr>
        <w:t>贰</w:t>
      </w:r>
      <w:r>
        <w:rPr>
          <w:rFonts w:hint="eastAsia" w:ascii="宋体" w:hAnsi="宋体" w:cs="宋体"/>
          <w:sz w:val="21"/>
          <w:szCs w:val="21"/>
          <w:highlight w:val="none"/>
        </w:rPr>
        <w:t>份，合同双方各执</w:t>
      </w:r>
      <w:r>
        <w:rPr>
          <w:rFonts w:hint="eastAsia" w:ascii="宋体" w:hAnsi="宋体" w:cs="宋体"/>
          <w:sz w:val="21"/>
          <w:szCs w:val="21"/>
          <w:highlight w:val="none"/>
          <w:u w:val="single"/>
        </w:rPr>
        <w:t>壹</w:t>
      </w:r>
      <w:r>
        <w:rPr>
          <w:rFonts w:hint="eastAsia" w:ascii="宋体" w:hAnsi="宋体" w:cs="宋体"/>
          <w:sz w:val="21"/>
          <w:szCs w:val="21"/>
          <w:highlight w:val="none"/>
        </w:rPr>
        <w:t>份；副本</w:t>
      </w:r>
      <w:r>
        <w:rPr>
          <w:rFonts w:hint="eastAsia" w:ascii="宋体" w:hAnsi="宋体" w:cs="宋体"/>
          <w:sz w:val="21"/>
          <w:szCs w:val="21"/>
          <w:highlight w:val="none"/>
          <w:u w:val="single"/>
          <w:lang w:val="en-US" w:eastAsia="zh-CN"/>
        </w:rPr>
        <w:t>捌</w:t>
      </w:r>
      <w:r>
        <w:rPr>
          <w:rFonts w:hint="eastAsia" w:ascii="宋体" w:hAnsi="宋体" w:cs="宋体"/>
          <w:sz w:val="21"/>
          <w:szCs w:val="21"/>
          <w:highlight w:val="none"/>
        </w:rPr>
        <w:t>份，甲方执</w:t>
      </w:r>
      <w:r>
        <w:rPr>
          <w:rFonts w:hint="eastAsia" w:ascii="宋体" w:hAnsi="宋体" w:cs="宋体"/>
          <w:sz w:val="21"/>
          <w:szCs w:val="21"/>
          <w:highlight w:val="none"/>
          <w:u w:val="single"/>
          <w:lang w:val="en-US" w:eastAsia="zh-CN"/>
        </w:rPr>
        <w:t>肆</w:t>
      </w:r>
      <w:r>
        <w:rPr>
          <w:rFonts w:hint="eastAsia" w:ascii="宋体" w:hAnsi="宋体" w:cs="宋体"/>
          <w:sz w:val="21"/>
          <w:szCs w:val="21"/>
          <w:highlight w:val="none"/>
        </w:rPr>
        <w:t>份，乙方执</w:t>
      </w:r>
      <w:r>
        <w:rPr>
          <w:rFonts w:hint="eastAsia" w:ascii="宋体" w:hAnsi="宋体" w:cs="宋体"/>
          <w:sz w:val="21"/>
          <w:szCs w:val="21"/>
          <w:highlight w:val="none"/>
          <w:u w:val="single"/>
          <w:lang w:val="en-US" w:eastAsia="zh-CN"/>
        </w:rPr>
        <w:t>肆</w:t>
      </w:r>
      <w:r>
        <w:rPr>
          <w:rFonts w:hint="eastAsia" w:ascii="宋体" w:hAnsi="宋体" w:cs="宋体"/>
          <w:sz w:val="21"/>
          <w:szCs w:val="21"/>
          <w:highlight w:val="none"/>
        </w:rPr>
        <w:t>份。</w:t>
      </w:r>
    </w:p>
    <w:p>
      <w:pPr>
        <w:ind w:left="-480" w:leftChars="-200" w:right="-838" w:rightChars="-349" w:firstLine="420" w:firstLineChars="200"/>
        <w:rPr>
          <w:rFonts w:ascii="宋体" w:hAnsi="宋体" w:cs="宋体"/>
          <w:sz w:val="21"/>
          <w:szCs w:val="21"/>
          <w:highlight w:val="none"/>
        </w:rPr>
      </w:pPr>
      <w:r>
        <w:rPr>
          <w:rFonts w:hint="eastAsia" w:ascii="宋体" w:hAnsi="宋体" w:cs="宋体"/>
          <w:sz w:val="21"/>
          <w:szCs w:val="21"/>
          <w:highlight w:val="none"/>
        </w:rPr>
        <w:t xml:space="preserve">十、合同生效 </w:t>
      </w:r>
    </w:p>
    <w:p>
      <w:pPr>
        <w:ind w:left="-480" w:leftChars="-200" w:right="-838" w:rightChars="-349"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本协议经双方代表签字、加盖单位公章且乙方提交合格的履约担保后生效。</w:t>
      </w:r>
    </w:p>
    <w:p>
      <w:pPr>
        <w:pStyle w:val="7"/>
        <w:spacing w:line="360" w:lineRule="auto"/>
        <w:rPr>
          <w:rFonts w:ascii="宋体" w:hAnsi="宋体" w:cs="宋体"/>
          <w:highlight w:val="none"/>
        </w:rPr>
      </w:pPr>
    </w:p>
    <w:p>
      <w:pPr>
        <w:pStyle w:val="7"/>
        <w:spacing w:line="360" w:lineRule="auto"/>
        <w:rPr>
          <w:rFonts w:ascii="宋体" w:hAnsi="宋体" w:cs="宋体"/>
          <w:highlight w:val="none"/>
        </w:rPr>
      </w:pPr>
    </w:p>
    <w:tbl>
      <w:tblPr>
        <w:tblStyle w:val="25"/>
        <w:tblW w:w="9781" w:type="dxa"/>
        <w:tblInd w:w="-459" w:type="dxa"/>
        <w:tblLayout w:type="fixed"/>
        <w:tblCellMar>
          <w:top w:w="0" w:type="dxa"/>
          <w:left w:w="108" w:type="dxa"/>
          <w:bottom w:w="0" w:type="dxa"/>
          <w:right w:w="108" w:type="dxa"/>
        </w:tblCellMar>
      </w:tblPr>
      <w:tblGrid>
        <w:gridCol w:w="4536"/>
        <w:gridCol w:w="5245"/>
      </w:tblGrid>
      <w:tr>
        <w:tblPrEx>
          <w:tblCellMar>
            <w:top w:w="0" w:type="dxa"/>
            <w:left w:w="108" w:type="dxa"/>
            <w:bottom w:w="0" w:type="dxa"/>
            <w:right w:w="108" w:type="dxa"/>
          </w:tblCellMar>
        </w:tblPrEx>
        <w:tc>
          <w:tcPr>
            <w:tcW w:w="4536" w:type="dxa"/>
          </w:tcPr>
          <w:p>
            <w:pPr>
              <w:spacing w:before="159" w:beforeLines="50" w:line="360" w:lineRule="auto"/>
              <w:rPr>
                <w:rFonts w:ascii="宋体" w:hAnsi="宋体" w:cs="宋体"/>
                <w:sz w:val="22"/>
                <w:szCs w:val="22"/>
                <w:highlight w:val="none"/>
              </w:rPr>
            </w:pPr>
            <w:r>
              <w:rPr>
                <w:rFonts w:hint="eastAsia" w:ascii="宋体" w:hAnsi="宋体" w:cs="宋体"/>
                <w:sz w:val="22"/>
                <w:szCs w:val="22"/>
                <w:highlight w:val="none"/>
              </w:rPr>
              <w:t>甲方（盖章）：</w:t>
            </w:r>
            <w:r>
              <w:rPr>
                <w:rFonts w:hint="eastAsia" w:ascii="宋体" w:hAnsi="宋体" w:cs="宋体"/>
                <w:sz w:val="22"/>
                <w:szCs w:val="22"/>
                <w:highlight w:val="none"/>
                <w:u w:val="single"/>
              </w:rPr>
              <w:t xml:space="preserve">                         </w:t>
            </w:r>
          </w:p>
          <w:p>
            <w:pPr>
              <w:spacing w:before="159" w:beforeLines="50" w:line="360" w:lineRule="auto"/>
              <w:rPr>
                <w:rFonts w:ascii="宋体" w:hAnsi="宋体" w:cs="宋体"/>
                <w:sz w:val="22"/>
                <w:szCs w:val="22"/>
                <w:highlight w:val="none"/>
              </w:rPr>
            </w:pPr>
          </w:p>
          <w:p>
            <w:pPr>
              <w:spacing w:before="159" w:beforeLines="50" w:line="360" w:lineRule="auto"/>
              <w:rPr>
                <w:rFonts w:ascii="宋体" w:hAnsi="宋体" w:cs="宋体"/>
                <w:sz w:val="22"/>
                <w:szCs w:val="22"/>
                <w:highlight w:val="none"/>
              </w:rPr>
            </w:pPr>
            <w:r>
              <w:rPr>
                <w:rFonts w:hint="eastAsia" w:ascii="宋体" w:hAnsi="宋体" w:cs="宋体"/>
                <w:sz w:val="22"/>
                <w:szCs w:val="22"/>
                <w:highlight w:val="none"/>
              </w:rPr>
              <w:t>法定代表人或</w:t>
            </w:r>
          </w:p>
          <w:p>
            <w:pPr>
              <w:spacing w:before="159" w:beforeLines="50" w:line="360" w:lineRule="auto"/>
              <w:rPr>
                <w:rFonts w:ascii="宋体" w:hAnsi="宋体" w:cs="宋体"/>
                <w:sz w:val="22"/>
                <w:szCs w:val="22"/>
                <w:highlight w:val="none"/>
                <w:u w:val="single"/>
              </w:rPr>
            </w:pPr>
            <w:r>
              <w:rPr>
                <w:rFonts w:hint="eastAsia" w:ascii="宋体" w:hAnsi="宋体" w:cs="宋体"/>
                <w:sz w:val="22"/>
                <w:szCs w:val="22"/>
                <w:highlight w:val="none"/>
              </w:rPr>
              <w:t>其授权委托人（签字或盖章）</w:t>
            </w:r>
            <w:r>
              <w:rPr>
                <w:rFonts w:hint="eastAsia" w:ascii="宋体" w:hAnsi="宋体" w:cs="宋体"/>
                <w:sz w:val="22"/>
                <w:szCs w:val="22"/>
                <w:highlight w:val="none"/>
                <w:u w:val="single"/>
              </w:rPr>
              <w:t xml:space="preserve">             </w:t>
            </w:r>
          </w:p>
          <w:p>
            <w:pPr>
              <w:spacing w:before="159" w:beforeLines="50" w:line="360" w:lineRule="auto"/>
              <w:rPr>
                <w:rFonts w:ascii="宋体" w:hAnsi="宋体" w:cs="宋体"/>
                <w:sz w:val="22"/>
                <w:szCs w:val="22"/>
                <w:highlight w:val="none"/>
              </w:rPr>
            </w:pPr>
            <w:r>
              <w:rPr>
                <w:rFonts w:hint="eastAsia" w:ascii="宋体" w:hAnsi="宋体" w:cs="宋体"/>
                <w:sz w:val="22"/>
                <w:szCs w:val="22"/>
                <w:highlight w:val="none"/>
              </w:rPr>
              <w:t>日期：</w:t>
            </w:r>
            <w:r>
              <w:rPr>
                <w:rFonts w:hint="eastAsia" w:ascii="宋体" w:hAnsi="宋体" w:cs="宋体"/>
                <w:sz w:val="22"/>
                <w:szCs w:val="22"/>
                <w:highlight w:val="none"/>
                <w:u w:val="single"/>
              </w:rPr>
              <w:t>20</w:t>
            </w:r>
            <w:r>
              <w:rPr>
                <w:rFonts w:hint="eastAsia" w:ascii="宋体" w:hAnsi="宋体" w:cs="宋体"/>
                <w:sz w:val="22"/>
                <w:szCs w:val="22"/>
                <w:highlight w:val="none"/>
                <w:u w:val="single"/>
                <w:lang w:val="en-US" w:eastAsia="zh-CN"/>
              </w:rPr>
              <w:t>26</w:t>
            </w:r>
            <w:r>
              <w:rPr>
                <w:rFonts w:hint="eastAsia" w:ascii="宋体" w:hAnsi="宋体" w:cs="宋体"/>
                <w:sz w:val="22"/>
                <w:szCs w:val="22"/>
                <w:highlight w:val="none"/>
              </w:rPr>
              <w:t>年</w:t>
            </w:r>
            <w:r>
              <w:rPr>
                <w:rFonts w:hint="eastAsia" w:ascii="宋体" w:hAnsi="宋体" w:cs="宋体"/>
                <w:sz w:val="22"/>
                <w:szCs w:val="22"/>
                <w:highlight w:val="none"/>
                <w:u w:val="single"/>
              </w:rPr>
              <w:t xml:space="preserve">  </w:t>
            </w:r>
            <w:r>
              <w:rPr>
                <w:rFonts w:hint="eastAsia" w:ascii="宋体" w:hAnsi="宋体" w:cs="宋体"/>
                <w:sz w:val="22"/>
                <w:szCs w:val="22"/>
                <w:highlight w:val="none"/>
              </w:rPr>
              <w:t>月</w:t>
            </w:r>
            <w:r>
              <w:rPr>
                <w:rFonts w:hint="eastAsia" w:ascii="宋体" w:hAnsi="宋体" w:cs="宋体"/>
                <w:sz w:val="22"/>
                <w:szCs w:val="22"/>
                <w:highlight w:val="none"/>
                <w:u w:val="single"/>
              </w:rPr>
              <w:t xml:space="preserve">  </w:t>
            </w:r>
            <w:r>
              <w:rPr>
                <w:rFonts w:hint="eastAsia" w:ascii="宋体" w:hAnsi="宋体" w:cs="宋体"/>
                <w:sz w:val="22"/>
                <w:szCs w:val="22"/>
                <w:highlight w:val="none"/>
              </w:rPr>
              <w:t>日</w:t>
            </w:r>
          </w:p>
          <w:p>
            <w:pPr>
              <w:spacing w:before="159" w:beforeLines="50" w:line="360" w:lineRule="auto"/>
              <w:rPr>
                <w:rFonts w:ascii="宋体" w:hAnsi="宋体" w:cs="宋体"/>
                <w:sz w:val="22"/>
                <w:szCs w:val="22"/>
                <w:highlight w:val="none"/>
              </w:rPr>
            </w:pPr>
            <w:r>
              <w:rPr>
                <w:rFonts w:hint="eastAsia" w:ascii="宋体" w:hAnsi="宋体" w:cs="宋体"/>
                <w:sz w:val="22"/>
                <w:szCs w:val="22"/>
                <w:highlight w:val="none"/>
              </w:rPr>
              <w:t>地址：</w:t>
            </w:r>
            <w:r>
              <w:rPr>
                <w:rFonts w:hint="eastAsia" w:ascii="宋体" w:hAnsi="宋体" w:cs="宋体"/>
                <w:sz w:val="22"/>
                <w:szCs w:val="22"/>
                <w:highlight w:val="none"/>
                <w:u w:val="single"/>
              </w:rPr>
              <w:t xml:space="preserve">                                 </w:t>
            </w:r>
            <w:r>
              <w:rPr>
                <w:rFonts w:hint="eastAsia" w:ascii="宋体" w:hAnsi="宋体" w:cs="宋体"/>
                <w:sz w:val="22"/>
                <w:szCs w:val="22"/>
                <w:highlight w:val="none"/>
              </w:rPr>
              <w:t xml:space="preserve"> </w:t>
            </w:r>
          </w:p>
          <w:p>
            <w:pPr>
              <w:spacing w:before="159" w:beforeLines="50" w:line="360" w:lineRule="auto"/>
              <w:rPr>
                <w:rFonts w:ascii="宋体" w:hAnsi="宋体" w:cs="宋体"/>
                <w:sz w:val="22"/>
                <w:szCs w:val="22"/>
                <w:highlight w:val="none"/>
                <w:u w:val="single"/>
              </w:rPr>
            </w:pPr>
            <w:r>
              <w:rPr>
                <w:rFonts w:hint="eastAsia" w:ascii="宋体" w:hAnsi="宋体" w:cs="宋体"/>
                <w:sz w:val="22"/>
                <w:szCs w:val="22"/>
                <w:highlight w:val="none"/>
              </w:rPr>
              <w:t>电话：</w:t>
            </w:r>
            <w:r>
              <w:rPr>
                <w:rFonts w:hint="eastAsia" w:ascii="宋体" w:hAnsi="宋体" w:cs="宋体"/>
                <w:sz w:val="22"/>
                <w:szCs w:val="22"/>
                <w:highlight w:val="none"/>
                <w:u w:val="single"/>
              </w:rPr>
              <w:t xml:space="preserve">                                 </w:t>
            </w:r>
          </w:p>
          <w:p>
            <w:pPr>
              <w:spacing w:before="159" w:beforeLines="50" w:line="360" w:lineRule="auto"/>
              <w:rPr>
                <w:rFonts w:ascii="宋体" w:hAnsi="宋体" w:cs="宋体"/>
                <w:sz w:val="22"/>
                <w:szCs w:val="22"/>
                <w:highlight w:val="none"/>
              </w:rPr>
            </w:pPr>
            <w:r>
              <w:rPr>
                <w:rFonts w:hint="eastAsia" w:ascii="宋体" w:hAnsi="宋体" w:cs="宋体"/>
                <w:sz w:val="22"/>
                <w:szCs w:val="22"/>
                <w:highlight w:val="none"/>
              </w:rPr>
              <w:t>传真：</w:t>
            </w:r>
            <w:r>
              <w:rPr>
                <w:rFonts w:hint="eastAsia" w:ascii="宋体" w:hAnsi="宋体" w:cs="宋体"/>
                <w:sz w:val="22"/>
                <w:szCs w:val="22"/>
                <w:highlight w:val="none"/>
                <w:u w:val="single"/>
              </w:rPr>
              <w:t xml:space="preserve">                                </w:t>
            </w:r>
          </w:p>
        </w:tc>
        <w:tc>
          <w:tcPr>
            <w:tcW w:w="5245" w:type="dxa"/>
          </w:tcPr>
          <w:p>
            <w:pPr>
              <w:spacing w:before="159" w:beforeLines="50" w:line="360" w:lineRule="auto"/>
              <w:rPr>
                <w:rFonts w:ascii="宋体" w:hAnsi="宋体" w:cs="宋体"/>
                <w:sz w:val="22"/>
                <w:szCs w:val="22"/>
                <w:highlight w:val="none"/>
              </w:rPr>
            </w:pPr>
            <w:r>
              <w:rPr>
                <w:rFonts w:hint="eastAsia" w:ascii="宋体" w:hAnsi="宋体" w:cs="宋体"/>
                <w:sz w:val="22"/>
                <w:szCs w:val="22"/>
                <w:highlight w:val="none"/>
              </w:rPr>
              <w:t xml:space="preserve">乙方（盖章）： </w:t>
            </w:r>
            <w:r>
              <w:rPr>
                <w:rFonts w:hint="eastAsia" w:ascii="宋体" w:hAnsi="宋体" w:cs="宋体"/>
                <w:sz w:val="22"/>
                <w:szCs w:val="22"/>
                <w:highlight w:val="none"/>
                <w:u w:val="single"/>
              </w:rPr>
              <w:t xml:space="preserve">                       </w:t>
            </w:r>
          </w:p>
          <w:p>
            <w:pPr>
              <w:spacing w:before="159" w:beforeLines="50" w:line="360" w:lineRule="auto"/>
              <w:rPr>
                <w:rFonts w:ascii="宋体" w:hAnsi="宋体" w:cs="宋体"/>
                <w:sz w:val="22"/>
                <w:szCs w:val="22"/>
                <w:highlight w:val="none"/>
                <w:u w:val="single"/>
              </w:rPr>
            </w:pPr>
          </w:p>
          <w:p>
            <w:pPr>
              <w:spacing w:before="159" w:beforeLines="50" w:line="360" w:lineRule="auto"/>
              <w:rPr>
                <w:rFonts w:ascii="宋体" w:hAnsi="宋体" w:cs="宋体"/>
                <w:sz w:val="22"/>
                <w:szCs w:val="22"/>
                <w:highlight w:val="none"/>
              </w:rPr>
            </w:pPr>
            <w:r>
              <w:rPr>
                <w:rFonts w:hint="eastAsia" w:ascii="宋体" w:hAnsi="宋体" w:cs="宋体"/>
                <w:sz w:val="22"/>
                <w:szCs w:val="22"/>
                <w:highlight w:val="none"/>
              </w:rPr>
              <w:t>法定代表人或</w:t>
            </w:r>
          </w:p>
          <w:p>
            <w:pPr>
              <w:spacing w:before="159" w:beforeLines="50" w:line="360" w:lineRule="auto"/>
              <w:rPr>
                <w:rFonts w:ascii="宋体" w:hAnsi="宋体" w:cs="宋体"/>
                <w:sz w:val="22"/>
                <w:szCs w:val="22"/>
                <w:highlight w:val="none"/>
              </w:rPr>
            </w:pPr>
            <w:r>
              <w:rPr>
                <w:rFonts w:hint="eastAsia" w:ascii="宋体" w:hAnsi="宋体" w:cs="宋体"/>
                <w:sz w:val="22"/>
                <w:szCs w:val="22"/>
                <w:highlight w:val="none"/>
              </w:rPr>
              <w:t>其授权委托人（签字或盖章）：</w:t>
            </w:r>
            <w:r>
              <w:rPr>
                <w:rFonts w:hint="eastAsia" w:ascii="宋体" w:hAnsi="宋体" w:cs="宋体"/>
                <w:sz w:val="22"/>
                <w:szCs w:val="22"/>
                <w:highlight w:val="none"/>
                <w:u w:val="single"/>
              </w:rPr>
              <w:t xml:space="preserve">          </w:t>
            </w:r>
          </w:p>
          <w:p>
            <w:pPr>
              <w:spacing w:before="159" w:beforeLines="50" w:line="360" w:lineRule="auto"/>
              <w:rPr>
                <w:rFonts w:ascii="宋体" w:hAnsi="宋体" w:cs="宋体"/>
                <w:sz w:val="22"/>
                <w:szCs w:val="22"/>
                <w:highlight w:val="none"/>
              </w:rPr>
            </w:pPr>
            <w:r>
              <w:rPr>
                <w:rFonts w:hint="eastAsia" w:ascii="宋体" w:hAnsi="宋体" w:cs="宋体"/>
                <w:sz w:val="22"/>
                <w:szCs w:val="22"/>
                <w:highlight w:val="none"/>
              </w:rPr>
              <w:t>日期：</w:t>
            </w:r>
            <w:r>
              <w:rPr>
                <w:rFonts w:hint="eastAsia" w:ascii="宋体" w:hAnsi="宋体" w:cs="宋体"/>
                <w:sz w:val="22"/>
                <w:szCs w:val="22"/>
                <w:highlight w:val="none"/>
                <w:u w:val="single"/>
              </w:rPr>
              <w:t>202</w:t>
            </w:r>
            <w:r>
              <w:rPr>
                <w:rFonts w:hint="eastAsia" w:ascii="宋体" w:hAnsi="宋体" w:cs="宋体"/>
                <w:sz w:val="22"/>
                <w:szCs w:val="22"/>
                <w:highlight w:val="none"/>
                <w:u w:val="single"/>
                <w:lang w:val="en-US" w:eastAsia="zh-CN"/>
              </w:rPr>
              <w:t>6</w:t>
            </w:r>
            <w:r>
              <w:rPr>
                <w:rFonts w:hint="eastAsia" w:ascii="宋体" w:hAnsi="宋体" w:cs="宋体"/>
                <w:sz w:val="22"/>
                <w:szCs w:val="22"/>
                <w:highlight w:val="none"/>
              </w:rPr>
              <w:t>年</w:t>
            </w:r>
            <w:r>
              <w:rPr>
                <w:rFonts w:hint="eastAsia" w:ascii="宋体" w:hAnsi="宋体" w:cs="宋体"/>
                <w:sz w:val="22"/>
                <w:szCs w:val="22"/>
                <w:highlight w:val="none"/>
                <w:u w:val="single"/>
              </w:rPr>
              <w:t xml:space="preserve">  </w:t>
            </w:r>
            <w:r>
              <w:rPr>
                <w:rFonts w:hint="eastAsia" w:ascii="宋体" w:hAnsi="宋体" w:cs="宋体"/>
                <w:sz w:val="22"/>
                <w:szCs w:val="22"/>
                <w:highlight w:val="none"/>
              </w:rPr>
              <w:t>月</w:t>
            </w:r>
            <w:r>
              <w:rPr>
                <w:rFonts w:hint="eastAsia" w:ascii="宋体" w:hAnsi="宋体" w:cs="宋体"/>
                <w:sz w:val="22"/>
                <w:szCs w:val="22"/>
                <w:highlight w:val="none"/>
                <w:u w:val="single"/>
              </w:rPr>
              <w:t xml:space="preserve">   </w:t>
            </w:r>
            <w:r>
              <w:rPr>
                <w:rFonts w:hint="eastAsia" w:ascii="宋体" w:hAnsi="宋体" w:cs="宋体"/>
                <w:sz w:val="22"/>
                <w:szCs w:val="22"/>
                <w:highlight w:val="none"/>
              </w:rPr>
              <w:t>日</w:t>
            </w:r>
          </w:p>
          <w:p>
            <w:pPr>
              <w:widowControl/>
              <w:spacing w:before="159" w:beforeLines="50" w:line="360" w:lineRule="auto"/>
              <w:rPr>
                <w:rFonts w:ascii="宋体" w:hAnsi="宋体" w:cs="宋体"/>
                <w:kern w:val="0"/>
                <w:sz w:val="22"/>
                <w:szCs w:val="22"/>
                <w:highlight w:val="none"/>
                <w:u w:val="single"/>
              </w:rPr>
            </w:pPr>
            <w:r>
              <w:rPr>
                <w:rFonts w:hint="eastAsia" w:ascii="宋体" w:hAnsi="宋体" w:cs="宋体"/>
                <w:kern w:val="0"/>
                <w:sz w:val="22"/>
                <w:szCs w:val="22"/>
                <w:highlight w:val="none"/>
              </w:rPr>
              <w:t>地址：</w:t>
            </w:r>
            <w:r>
              <w:rPr>
                <w:rFonts w:hint="eastAsia" w:ascii="宋体" w:hAnsi="宋体" w:cs="宋体"/>
                <w:kern w:val="0"/>
                <w:sz w:val="22"/>
                <w:szCs w:val="22"/>
                <w:highlight w:val="none"/>
                <w:u w:val="single"/>
              </w:rPr>
              <w:t xml:space="preserve">                             </w:t>
            </w:r>
          </w:p>
          <w:p>
            <w:pPr>
              <w:widowControl/>
              <w:spacing w:before="159" w:beforeLines="50" w:line="360" w:lineRule="auto"/>
              <w:rPr>
                <w:rFonts w:ascii="宋体" w:hAnsi="宋体" w:cs="宋体"/>
                <w:kern w:val="0"/>
                <w:sz w:val="22"/>
                <w:szCs w:val="22"/>
                <w:highlight w:val="none"/>
                <w:u w:val="single"/>
              </w:rPr>
            </w:pPr>
            <w:r>
              <w:rPr>
                <w:rFonts w:hint="eastAsia" w:ascii="宋体" w:hAnsi="宋体" w:cs="宋体"/>
                <w:kern w:val="0"/>
                <w:sz w:val="22"/>
                <w:szCs w:val="22"/>
                <w:highlight w:val="none"/>
              </w:rPr>
              <w:t>电话：</w:t>
            </w:r>
            <w:r>
              <w:rPr>
                <w:rFonts w:hint="eastAsia" w:ascii="宋体" w:hAnsi="宋体" w:cs="宋体"/>
                <w:kern w:val="0"/>
                <w:sz w:val="22"/>
                <w:szCs w:val="22"/>
                <w:highlight w:val="none"/>
                <w:u w:val="single"/>
              </w:rPr>
              <w:t xml:space="preserve">                             </w:t>
            </w:r>
          </w:p>
          <w:p>
            <w:pPr>
              <w:spacing w:before="159" w:beforeLines="50" w:line="360" w:lineRule="auto"/>
              <w:rPr>
                <w:rFonts w:ascii="宋体" w:hAnsi="宋体" w:cs="宋体"/>
                <w:sz w:val="22"/>
                <w:szCs w:val="22"/>
                <w:highlight w:val="none"/>
                <w:u w:val="single"/>
              </w:rPr>
            </w:pPr>
            <w:r>
              <w:rPr>
                <w:rFonts w:hint="eastAsia" w:ascii="宋体" w:hAnsi="宋体" w:cs="宋体"/>
                <w:kern w:val="0"/>
                <w:sz w:val="22"/>
                <w:szCs w:val="22"/>
                <w:highlight w:val="none"/>
              </w:rPr>
              <w:t>传真：</w:t>
            </w:r>
            <w:r>
              <w:rPr>
                <w:rFonts w:hint="eastAsia" w:ascii="宋体" w:hAnsi="宋体" w:cs="宋体"/>
                <w:kern w:val="0"/>
                <w:sz w:val="22"/>
                <w:szCs w:val="22"/>
                <w:highlight w:val="none"/>
                <w:u w:val="single"/>
              </w:rPr>
              <w:t xml:space="preserve">                              </w:t>
            </w:r>
          </w:p>
        </w:tc>
      </w:tr>
    </w:tbl>
    <w:p>
      <w:pPr>
        <w:ind w:left="0" w:leftChars="0" w:firstLine="0" w:firstLineChars="0"/>
        <w:rPr>
          <w:rFonts w:hint="eastAsia" w:ascii="宋体" w:hAnsi="宋体" w:cs="宋体"/>
          <w:b/>
          <w:kern w:val="44"/>
          <w:sz w:val="24"/>
          <w:highlight w:val="none"/>
        </w:rPr>
      </w:pPr>
      <w:r>
        <w:rPr>
          <w:rFonts w:hint="eastAsia" w:ascii="宋体" w:hAnsi="宋体" w:cs="宋体"/>
          <w:b/>
          <w:kern w:val="44"/>
          <w:sz w:val="24"/>
          <w:highlight w:val="none"/>
        </w:rPr>
        <w:br w:type="page"/>
      </w:r>
    </w:p>
    <w:p>
      <w:pPr>
        <w:keepNext w:val="0"/>
        <w:keepLines w:val="0"/>
        <w:pageBreakBefore w:val="0"/>
        <w:kinsoku/>
        <w:wordWrap/>
        <w:overflowPunct/>
        <w:topLinePunct w:val="0"/>
        <w:bidi w:val="0"/>
        <w:snapToGrid/>
        <w:spacing w:line="360" w:lineRule="auto"/>
        <w:ind w:left="0" w:leftChars="0" w:right="0" w:rightChars="0" w:firstLine="0" w:firstLineChars="0"/>
        <w:jc w:val="center"/>
        <w:outlineLvl w:val="0"/>
        <w:rPr>
          <w:rFonts w:hint="eastAsia" w:ascii="宋体" w:hAnsi="宋体" w:eastAsia="宋体" w:cs="宋体"/>
          <w:b/>
          <w:bCs/>
          <w:kern w:val="44"/>
          <w:sz w:val="32"/>
          <w:szCs w:val="32"/>
          <w:highlight w:val="none"/>
          <w:lang w:eastAsia="zh-CN"/>
        </w:rPr>
      </w:pPr>
      <w:r>
        <w:rPr>
          <w:rFonts w:hint="eastAsia" w:ascii="宋体" w:hAnsi="宋体" w:cs="宋体"/>
          <w:b/>
          <w:bCs/>
          <w:kern w:val="44"/>
          <w:sz w:val="32"/>
          <w:szCs w:val="32"/>
          <w:highlight w:val="none"/>
          <w:lang w:val="en-US" w:eastAsia="zh-CN"/>
        </w:rPr>
        <w:t xml:space="preserve">第二节 </w:t>
      </w:r>
      <w:r>
        <w:rPr>
          <w:rFonts w:hint="eastAsia" w:ascii="宋体" w:hAnsi="宋体" w:cs="宋体"/>
          <w:b/>
          <w:bCs/>
          <w:kern w:val="44"/>
          <w:sz w:val="32"/>
          <w:szCs w:val="32"/>
          <w:highlight w:val="none"/>
        </w:rPr>
        <w:t>合同</w:t>
      </w:r>
      <w:r>
        <w:rPr>
          <w:rFonts w:hint="eastAsia" w:ascii="宋体" w:hAnsi="宋体" w:cs="宋体"/>
          <w:b/>
          <w:bCs/>
          <w:kern w:val="44"/>
          <w:sz w:val="32"/>
          <w:szCs w:val="32"/>
          <w:highlight w:val="none"/>
          <w:lang w:val="en-US" w:eastAsia="zh-CN"/>
        </w:rPr>
        <w:t>条款</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outlineLvl w:val="1"/>
        <w:rPr>
          <w:rFonts w:ascii="宋体" w:hAnsi="宋体" w:cs="宋体"/>
          <w:b/>
          <w:kern w:val="44"/>
          <w:highlight w:val="none"/>
        </w:rPr>
      </w:pPr>
      <w:r>
        <w:rPr>
          <w:rFonts w:hint="eastAsia" w:ascii="宋体" w:hAnsi="宋体" w:cs="宋体"/>
          <w:b/>
          <w:kern w:val="44"/>
          <w:sz w:val="24"/>
          <w:highlight w:val="none"/>
        </w:rPr>
        <w:t>1.一般规定</w:t>
      </w:r>
      <w:bookmarkEnd w:id="22"/>
      <w:bookmarkEnd w:id="23"/>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1.1 词语定义</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b/>
          <w:kern w:val="0"/>
          <w:sz w:val="22"/>
          <w:szCs w:val="22"/>
          <w:highlight w:val="none"/>
        </w:rPr>
      </w:pPr>
      <w:r>
        <w:rPr>
          <w:rFonts w:hint="eastAsia" w:ascii="宋体" w:hAnsi="宋体" w:cs="宋体"/>
          <w:kern w:val="0"/>
          <w:sz w:val="22"/>
          <w:szCs w:val="22"/>
          <w:highlight w:val="none"/>
        </w:rPr>
        <w:t>1.1.1 甲方：</w:t>
      </w:r>
      <w:r>
        <w:rPr>
          <w:rFonts w:hint="eastAsia" w:ascii="宋体" w:hAnsi="宋体" w:cs="宋体"/>
          <w:sz w:val="21"/>
          <w:szCs w:val="21"/>
          <w:highlight w:val="none"/>
          <w:u w:val="single"/>
          <w:lang w:eastAsia="zh-CN"/>
        </w:rPr>
        <w:t>南通轨道交通集团有限公司运营分公司</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hint="default" w:ascii="宋体" w:hAnsi="宋体" w:eastAsia="宋体" w:cs="宋体"/>
          <w:kern w:val="0"/>
          <w:sz w:val="22"/>
          <w:szCs w:val="22"/>
          <w:highlight w:val="none"/>
          <w:u w:val="single"/>
          <w:lang w:val="en-US" w:eastAsia="zh-CN"/>
        </w:rPr>
      </w:pPr>
      <w:r>
        <w:rPr>
          <w:rFonts w:hint="eastAsia" w:ascii="宋体" w:hAnsi="宋体" w:cs="宋体"/>
          <w:kern w:val="0"/>
          <w:sz w:val="22"/>
          <w:szCs w:val="22"/>
          <w:highlight w:val="none"/>
        </w:rPr>
        <w:t>1.1.2 乙方：</w:t>
      </w:r>
      <w:r>
        <w:rPr>
          <w:rFonts w:hint="eastAsia" w:ascii="宋体" w:hAnsi="宋体" w:cs="宋体"/>
          <w:kern w:val="0"/>
          <w:sz w:val="22"/>
          <w:szCs w:val="22"/>
          <w:highlight w:val="none"/>
          <w:u w:val="single"/>
          <w:lang w:val="en-US" w:eastAsia="zh-CN"/>
        </w:rPr>
        <w:t xml:space="preserve">                                </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1.1.3 维保负责人（项目负责人）：由乙方委托负责维保项目管理和合同履行的代表。</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1.1.4 项目：指甲方和乙方约定的维保承包范围内的项目。</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1.1.5 维保场所：指由甲方提供和指定的用于维保项目作业的场所。</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1.1.6 书面形式：指合同文件、信件和数据电文(包括电传、传真、电子数据交换和电子邮件)等可以有形地表现所载内容的形式。</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1.2 合同履行中，甲方和乙方有关项目的洽商、变更等书面协议或文件视为本合同的合同协议书的组成部分。</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1.3 语言文字和适用法律、标准及规范</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1.3.1 本合同文件使用汉语语言文字书写、解释和说明。</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1.3.2 本合同文件适用中华人民共和国的法律、法规和规范性文件。</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1.3.3 适用标准、规范（详见用户需求书中有关要求）</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除非另有规定，本维保项目应按国家技术规范和标准设计、维保。如遇遗漏所需项目实施的规范，乙方应征甲方同意，补充规范以满足合同要求。原则上没有国家标准、规范的，适用行业标准、规范；没有国家和行业标准、规范的，适用项目所在地的地方标准、规范；国内没有相应标准、规范的，由甲方向乙方提出维保技术要求，乙方提出实施（维保）工艺，经甲方批准后执行。</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1.3.4适用技术规程（详见用户需求书中有关要求）</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1.3.5 如遇规范、标准、技术规程对同一问题的处理出现相互矛盾的情况时，乙方应通知甲方，提出解决办法并征得甲方的同意。维保所用的规范及标准应采用最新版本。</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1.4 图纸</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1.4.1 甲方按约定的内容、日期和套数，向乙方提供图纸。乙方需要增加图纸套数的，甲方可代为复制，复制费用由乙方承担。</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1.4.2  乙方应在维保项目现场至少保留一套完整图纸，供有关人员进行检查时使用。</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1.4.3 甲方有权随时向乙方发出为使项目合理及正确实施、完工以及修补缺陷所需的补充图纸和指示，乙方应执行这些补充文件和指示，并受其约束。</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outlineLvl w:val="1"/>
        <w:rPr>
          <w:rFonts w:ascii="宋体" w:hAnsi="宋体" w:cs="宋体"/>
          <w:b/>
          <w:kern w:val="44"/>
          <w:sz w:val="24"/>
          <w:highlight w:val="none"/>
        </w:rPr>
      </w:pPr>
      <w:bookmarkStart w:id="25" w:name="_Toc9041"/>
      <w:bookmarkStart w:id="26" w:name="_Toc30672"/>
      <w:bookmarkStart w:id="27" w:name="_Toc533841620"/>
      <w:bookmarkStart w:id="28" w:name="_Toc25010"/>
      <w:bookmarkStart w:id="29" w:name="_Toc15222"/>
      <w:r>
        <w:rPr>
          <w:rFonts w:hint="eastAsia" w:ascii="宋体" w:hAnsi="宋体" w:cs="宋体"/>
          <w:b/>
          <w:kern w:val="44"/>
          <w:sz w:val="24"/>
          <w:highlight w:val="none"/>
        </w:rPr>
        <w:t>2.双方权利义务</w:t>
      </w:r>
      <w:bookmarkEnd w:id="25"/>
      <w:bookmarkEnd w:id="26"/>
      <w:bookmarkEnd w:id="27"/>
      <w:bookmarkEnd w:id="28"/>
      <w:bookmarkEnd w:id="29"/>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b/>
          <w:kern w:val="0"/>
          <w:sz w:val="22"/>
          <w:szCs w:val="22"/>
          <w:highlight w:val="none"/>
        </w:rPr>
      </w:pPr>
      <w:r>
        <w:rPr>
          <w:rFonts w:hint="eastAsia" w:ascii="宋体" w:hAnsi="宋体" w:cs="宋体"/>
          <w:b/>
          <w:kern w:val="0"/>
          <w:sz w:val="22"/>
          <w:szCs w:val="22"/>
          <w:highlight w:val="none"/>
        </w:rPr>
        <w:t>2.1 甲方的权利和义务</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2.1.1 甲方的权利</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2.1.1.1 甲方有权根据需要制定、修订各项维保工作管理制度和考核制度。</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2.1.1.2 甲方有权按照本企业有关制度及规定，对乙方的维保工作实施跟踪管理、监督、检查、验收，给予工作质量、安全、工期、服务、文明卫生等评定，实施考核。</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2.1.1.3 甲方有权对乙方的人员素质进行审核,对不符合要求的乙方人员，有权要求调换。</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2.1.1.4 甲方有权对乙方人员的工作进行考核，对不能胜任合同要求或有严重渎职行为的乙方人员，甲方有权指令乙方更换。</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2.1.1.5 甲方有权对乙方的工具设备及其他设施的到位及备用状态进行检查。</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2.1.1.6 若乙方不能完成承包范围中的工作或完成的工作不符合质量、时间要求，经收到甲方通知后3天内仍未开始整改的，甲方有权指定有相关资质的第三方完成该工作，相关费用由乙方承担。</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2.1.1.7 甲方有权对乙方人员在工作中的违章违纪行为进行制止，当其行为危及人身或设备安全时，有权立即终止其工作。</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2.1.1.8 当乙方或乙方人员发生责任事故时，甲方有权追究乙方的安全责任。</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2.1.1.9根据甲方生产工作的实际进展情况，甲方有权派遣相关人员全程参与、跟踪、管理本次维保工作。</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2.1.2 甲方的义务</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2.1.2.1 负责提供乙方合格人员的进场条件，提供乙方人员进场前的安全教育。</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2.1.2.2 负责协调甲方管辖范围内的维保项目作业许可手续，使作业场地具备作业条件，在完工后负责办理维保项目作业销令手续（或培训乙方人员，使之具备上述工作的资格，具体要求以用户需求书为准）。</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2.1.2.3 负责指定在地铁范围内作业所需水、电的接入地点，保证作业期间的需要。</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2.1.2.4 负责向乙方提供维保工作必需的图纸和资料。</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2.1.2.5负责审批乙方提供的检修计划。</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2.1.2.6 负责对重大、复杂事故处理和维保项目的方案审批。</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2.1.2.7 负责维保工作的完工验收。</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b/>
          <w:kern w:val="0"/>
          <w:sz w:val="22"/>
          <w:szCs w:val="22"/>
          <w:highlight w:val="none"/>
        </w:rPr>
      </w:pPr>
      <w:r>
        <w:rPr>
          <w:rFonts w:hint="eastAsia" w:ascii="宋体" w:hAnsi="宋体" w:cs="宋体"/>
          <w:kern w:val="0"/>
          <w:sz w:val="22"/>
          <w:szCs w:val="22"/>
          <w:highlight w:val="none"/>
        </w:rPr>
        <w:t>2.1.2.8 负责办理委外监测项目结算。</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b/>
          <w:kern w:val="0"/>
          <w:sz w:val="22"/>
          <w:szCs w:val="22"/>
          <w:highlight w:val="none"/>
        </w:rPr>
      </w:pPr>
      <w:r>
        <w:rPr>
          <w:rFonts w:hint="eastAsia" w:ascii="宋体" w:hAnsi="宋体" w:cs="宋体"/>
          <w:b/>
          <w:kern w:val="0"/>
          <w:sz w:val="22"/>
          <w:szCs w:val="22"/>
          <w:highlight w:val="none"/>
        </w:rPr>
        <w:t>2.2 乙方的权利和义务</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2.2.1 乙方的权利</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2.2.1.1 乙方有权按合同有关条款规定获得所完成的合格维保工作的报酬。</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2.2.1.2 乙方有权按合同规定获得为完成维保任务所必需的甲方资源。</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2.2.1.3 为了更好、更安全地完成维保工作，乙方有权获得甲方的工作协调、方案计划的审批，有权向甲方提出合理化建议。</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2.2.2 乙方的义务</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2.2.2.1 必须确保维保范围内所有设备设施等的完备性，且保证运行良好，不能影响轨道线网运营的顺利进行。</w:t>
      </w:r>
    </w:p>
    <w:p>
      <w:pPr>
        <w:keepNext w:val="0"/>
        <w:keepLines w:val="0"/>
        <w:pageBreakBefore w:val="0"/>
        <w:kinsoku/>
        <w:wordWrap/>
        <w:overflowPunct/>
        <w:topLinePunct w:val="0"/>
        <w:autoSpaceDE w:val="0"/>
        <w:autoSpaceDN w:val="0"/>
        <w:bidi w:val="0"/>
        <w:adjustRightInd w:val="0"/>
        <w:snapToGrid/>
        <w:spacing w:line="360" w:lineRule="auto"/>
        <w:ind w:left="0" w:leftChars="0" w:right="0" w:rightChars="0" w:firstLine="0" w:firstLineChars="0"/>
        <w:rPr>
          <w:rFonts w:ascii="宋体" w:hAnsi="宋体" w:cs="宋体"/>
          <w:kern w:val="0"/>
          <w:sz w:val="22"/>
          <w:szCs w:val="22"/>
          <w:highlight w:val="none"/>
        </w:rPr>
      </w:pPr>
      <w:r>
        <w:rPr>
          <w:rFonts w:hint="eastAsia" w:ascii="宋体" w:hAnsi="宋体" w:cs="宋体"/>
          <w:kern w:val="0"/>
          <w:sz w:val="22"/>
          <w:szCs w:val="22"/>
          <w:highlight w:val="none"/>
        </w:rPr>
        <w:t>2.2.2.2 服从和遵守甲方制定各项安全制度、维保工作管理制度、考核制度及其他现行的规章制度。乙方的维保人员应积极主动学习甲方的有关规章制度和管理规定，主动学习有关的安全规定、安全标准、维保规程和标准，学习必要的、最新的与维保工作有关的资料、文件和手册，严格按照甲方规定的工作规范、标准、程序和权限开展工作，乙方的常驻维保人员必须服从甲方统一的日常监督管理，甲方在监督、检查乙方的维保工作时，如发现安全隐患等问题，可以现场提出并制止。对于维保质量问题、工作任务安排、临修应急等工作，甲方与乙方对接后由乙方安排实施或整改。</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2.2.2.3 按规定委派项目负责人，代表乙方全权管理乙方承担的项目和乙方提供的人员。乙方依据合同发出的通知，以书面形式由维保负责人签字后送交甲方，甲方在回执上签署姓名和收到时间后生效。</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bCs/>
          <w:kern w:val="0"/>
          <w:sz w:val="22"/>
          <w:szCs w:val="22"/>
          <w:highlight w:val="none"/>
        </w:rPr>
      </w:pPr>
      <w:r>
        <w:rPr>
          <w:rFonts w:hint="eastAsia" w:ascii="宋体" w:hAnsi="宋体" w:cs="宋体"/>
          <w:kern w:val="0"/>
          <w:sz w:val="22"/>
          <w:szCs w:val="22"/>
          <w:highlight w:val="none"/>
        </w:rPr>
        <w:t xml:space="preserve">2.2.2.4 </w:t>
      </w:r>
      <w:r>
        <w:rPr>
          <w:rFonts w:hint="eastAsia" w:ascii="宋体" w:hAnsi="宋体" w:cs="宋体"/>
          <w:bCs/>
          <w:kern w:val="0"/>
          <w:sz w:val="22"/>
          <w:szCs w:val="22"/>
          <w:highlight w:val="none"/>
        </w:rPr>
        <w:t>乙方应向甲方提供测量工程师、监测员和安全员名单和相关证件，并须严格按照所提供名单执行，如有变动需经甲方批准。</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2.2.2.5 为保证监测</w:t>
      </w:r>
      <w:r>
        <w:rPr>
          <w:rFonts w:hint="eastAsia" w:ascii="宋体" w:hAnsi="宋体" w:cs="宋体"/>
          <w:kern w:val="0"/>
          <w:sz w:val="22"/>
          <w:szCs w:val="22"/>
          <w:highlight w:val="none"/>
          <w:lang w:val="en-US" w:eastAsia="zh-CN"/>
        </w:rPr>
        <w:t>工</w:t>
      </w:r>
      <w:r>
        <w:rPr>
          <w:rFonts w:hint="eastAsia" w:ascii="宋体" w:hAnsi="宋体" w:cs="宋体"/>
          <w:kern w:val="0"/>
          <w:sz w:val="22"/>
          <w:szCs w:val="22"/>
          <w:highlight w:val="none"/>
        </w:rPr>
        <w:t>作顺利进行，乙方必须严格执行甲方的安全计划、质量计划、维保计划等，并接受甲方对监测工作的跟踪管理、监督、检查、验收及甲方对工作质量、安全、工期、服务、文明卫生等评定、考核，使维保管理工作满足甲方要求。</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2.2.2.6 根据项目工作需要，提供维保使用的动力、照明、围栏设施，并负责安全工作，维保用电力传输线和配电设施符合关于电力安装、使用及维保的有关规定。</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2.2.2.7 在对设备进行维保工作时，乙方按甲方提供的维保项目作业计划(方案)和发出的指令办理相关手续，组织维保，乙方人员应积极配合并服从甲方技术人员的指导。</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2.2.2.8 乙方已完工工作未交付甲方之前，应负责现场保护工作，保护期间发生设施损坏，乙方自费予以修复。</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2.2.2.9负责</w:t>
      </w:r>
      <w:r>
        <w:rPr>
          <w:rFonts w:hint="eastAsia" w:ascii="宋体" w:hAnsi="宋体" w:cs="宋体"/>
          <w:bCs/>
          <w:kern w:val="0"/>
          <w:sz w:val="22"/>
          <w:szCs w:val="22"/>
          <w:highlight w:val="none"/>
        </w:rPr>
        <w:t>乙方人员的工资、奖金、办公用品、食宿、劳保、保险、福利、医疗费用、差旅费、通讯费等，甲方不支付合同外的任何费用。</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bCs/>
          <w:kern w:val="0"/>
          <w:sz w:val="22"/>
          <w:szCs w:val="22"/>
          <w:highlight w:val="none"/>
        </w:rPr>
      </w:pPr>
      <w:r>
        <w:rPr>
          <w:rFonts w:hint="eastAsia" w:ascii="宋体" w:hAnsi="宋体" w:cs="宋体"/>
          <w:kern w:val="0"/>
          <w:sz w:val="22"/>
          <w:szCs w:val="22"/>
          <w:highlight w:val="none"/>
        </w:rPr>
        <w:t>2.2.2.10重</w:t>
      </w:r>
      <w:r>
        <w:rPr>
          <w:rFonts w:hint="eastAsia" w:ascii="宋体" w:hAnsi="宋体" w:cs="宋体"/>
          <w:bCs/>
          <w:kern w:val="0"/>
          <w:sz w:val="22"/>
          <w:szCs w:val="22"/>
          <w:highlight w:val="none"/>
        </w:rPr>
        <w:t>大事故发生后乙方应协助甲方进行事故调查。</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2.2.2.11 特殊天气时（如：大风、大雨、大雪、雷电、大雾等）乙方应自觉按照甲方制定的规程要求加强设备的巡视检查工作，并无条件服从甲方针对特殊情况做出的安排。</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2.2.2.12 对于可预见的外来影响设备运行及维保的因素，乙方应采取积极有效的防护措施，确保设备及维保安全，否则乙方承担相应损失。</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2.2.2.13 乙方对因操作失误或因渎职而引发的事故负全部责任，并承担因此给甲方造成的全部经济损失（甲方具备所有权的设备因质量问题造成的事故除外）。</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2.2.2.14 由于乙方原因的责任事故造成人身伤亡或第三方财产损失引起争议、产生诉讼的，乙方应独立应诉，并承担一切诉讼后果，如因上述原因导致甲方受到追诉而遭受损失，乙方应予全部赔偿，具体定则参照甲方的责任事故事件处理办法。</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2.2.2.15 爱护地铁的设施设备，确保地铁运营安全及设备、人身安全，保持甲方提供的工器具的完好。</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2.2.2.16 遵守南通地方的法规，服从行业主管部门的管理，凡涉及到乙方的项目委外维保许可证、车辆准运证等有关证、照，均由乙方自行办理，甲方给予配合，发生的费用全部由乙方承担。</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2.2.2.17 遵守政府有关主管部门对维保场地交通、维保噪音以及环境保护和安全生产等的管理规定，按规定办理有关手续，承担相关费用，并对由此造成的有关损失负责。</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2.2.2.18 做好维保场地的管线和邻近建筑物、构筑物(包括文物保护建筑)及园林绿化的保护工作。保证维保场地符合环境卫生管理的有关规定，交工前清理现场达到甲方的要求并使甲方满意，乙方应承担因自身原因违反有关规定造成的损失和扣款。</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outlineLvl w:val="1"/>
        <w:rPr>
          <w:rFonts w:ascii="宋体" w:hAnsi="宋体" w:cs="宋体"/>
          <w:b/>
          <w:kern w:val="44"/>
          <w:sz w:val="24"/>
          <w:highlight w:val="none"/>
        </w:rPr>
      </w:pPr>
      <w:bookmarkStart w:id="30" w:name="_Toc25840"/>
      <w:bookmarkStart w:id="31" w:name="_Toc2080"/>
      <w:bookmarkStart w:id="32" w:name="_Toc27111"/>
      <w:bookmarkStart w:id="33" w:name="_Toc533841621"/>
      <w:bookmarkStart w:id="34" w:name="_Toc25625"/>
      <w:r>
        <w:rPr>
          <w:rFonts w:hint="eastAsia" w:ascii="宋体" w:hAnsi="宋体" w:cs="宋体"/>
          <w:b/>
          <w:kern w:val="44"/>
          <w:sz w:val="24"/>
          <w:highlight w:val="none"/>
        </w:rPr>
        <w:t>3.合同价款</w:t>
      </w:r>
      <w:bookmarkEnd w:id="30"/>
      <w:bookmarkEnd w:id="31"/>
      <w:bookmarkEnd w:id="32"/>
      <w:bookmarkEnd w:id="33"/>
      <w:bookmarkEnd w:id="34"/>
      <w:r>
        <w:rPr>
          <w:rFonts w:hint="eastAsia" w:ascii="宋体" w:hAnsi="宋体" w:cs="宋体"/>
          <w:b/>
          <w:kern w:val="44"/>
          <w:sz w:val="24"/>
          <w:highlight w:val="none"/>
        </w:rPr>
        <w:t xml:space="preserve"> </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3.1 本维保项目的合同总价为：人民币</w:t>
      </w:r>
      <w:r>
        <w:rPr>
          <w:rFonts w:hint="eastAsia" w:ascii="宋体" w:hAnsi="宋体" w:cs="宋体"/>
          <w:kern w:val="0"/>
          <w:sz w:val="22"/>
          <w:szCs w:val="22"/>
          <w:highlight w:val="none"/>
          <w:u w:val="single"/>
        </w:rPr>
        <w:t xml:space="preserve">   元整 </w:t>
      </w:r>
      <w:r>
        <w:rPr>
          <w:rFonts w:hint="eastAsia" w:ascii="宋体" w:hAnsi="宋体" w:cs="宋体"/>
          <w:kern w:val="0"/>
          <w:sz w:val="22"/>
          <w:szCs w:val="22"/>
          <w:highlight w:val="none"/>
        </w:rPr>
        <w:t>（  元）。（以大写及数字分别表示）</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ab/>
      </w:r>
      <w:r>
        <w:rPr>
          <w:rFonts w:hint="eastAsia" w:ascii="宋体" w:hAnsi="宋体" w:cs="宋体"/>
          <w:kern w:val="0"/>
          <w:sz w:val="22"/>
          <w:szCs w:val="22"/>
          <w:highlight w:val="none"/>
        </w:rPr>
        <w:t>本维保项目不含税合同价为：人民币</w:t>
      </w:r>
      <w:r>
        <w:rPr>
          <w:rFonts w:hint="eastAsia" w:ascii="宋体" w:hAnsi="宋体" w:cs="宋体"/>
          <w:kern w:val="0"/>
          <w:sz w:val="22"/>
          <w:szCs w:val="22"/>
          <w:highlight w:val="none"/>
          <w:u w:val="single"/>
        </w:rPr>
        <w:t xml:space="preserve">  元整  </w:t>
      </w:r>
      <w:r>
        <w:rPr>
          <w:rFonts w:hint="eastAsia" w:ascii="宋体" w:hAnsi="宋体" w:cs="宋体"/>
          <w:kern w:val="0"/>
          <w:sz w:val="22"/>
          <w:szCs w:val="22"/>
          <w:highlight w:val="none"/>
        </w:rPr>
        <w:t>（  元）。（以大写及数字分别表示）</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hint="eastAsia" w:ascii="宋体" w:hAnsi="宋体" w:cs="宋体"/>
          <w:kern w:val="0"/>
          <w:sz w:val="22"/>
          <w:szCs w:val="22"/>
          <w:highlight w:val="none"/>
        </w:rPr>
      </w:pPr>
      <w:r>
        <w:rPr>
          <w:rFonts w:hint="eastAsia" w:ascii="宋体" w:hAnsi="宋体" w:cs="宋体"/>
          <w:kern w:val="0"/>
          <w:sz w:val="22"/>
          <w:szCs w:val="22"/>
          <w:highlight w:val="none"/>
        </w:rPr>
        <w:t>3.2 本合同采用固定总价与固定单价相结合的模式，在合同履行期间除税率调整外不因</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hint="eastAsia" w:ascii="宋体" w:hAnsi="宋体" w:cs="宋体"/>
          <w:kern w:val="0"/>
          <w:sz w:val="22"/>
          <w:szCs w:val="22"/>
          <w:highlight w:val="none"/>
        </w:rPr>
      </w:pPr>
      <w:r>
        <w:rPr>
          <w:rFonts w:hint="eastAsia" w:ascii="宋体" w:hAnsi="宋体" w:cs="宋体"/>
          <w:kern w:val="0"/>
          <w:sz w:val="22"/>
          <w:szCs w:val="22"/>
          <w:highlight w:val="none"/>
        </w:rPr>
        <w:t>监测的频次变化、监测点数量、难易程度变化、市场物价波动、车站规模、车站个数、区间长度、施工工法的变化等任何因素而进行调整。其中结构监测费用、隧道结构技术状况评价费及项目管理费用为固定总价部分，保护区运营施工配合费用为固定单价部分。</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hint="eastAsia" w:ascii="宋体" w:hAnsi="宋体" w:cs="宋体"/>
          <w:kern w:val="0"/>
          <w:sz w:val="22"/>
          <w:szCs w:val="22"/>
          <w:highlight w:val="none"/>
        </w:rPr>
      </w:pPr>
      <w:r>
        <w:rPr>
          <w:rFonts w:hint="eastAsia" w:ascii="宋体" w:hAnsi="宋体" w:cs="宋体"/>
          <w:kern w:val="0"/>
          <w:sz w:val="22"/>
          <w:szCs w:val="22"/>
          <w:highlight w:val="none"/>
        </w:rPr>
        <w:t>本合同的合同总价是完成合同范围的全部工作内容所发生的全部费用：包括但不限于监</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hint="eastAsia" w:ascii="宋体" w:hAnsi="宋体" w:cs="宋体"/>
          <w:kern w:val="0"/>
          <w:sz w:val="22"/>
          <w:szCs w:val="22"/>
          <w:highlight w:val="none"/>
        </w:rPr>
      </w:pPr>
      <w:r>
        <w:rPr>
          <w:rFonts w:hint="eastAsia" w:ascii="宋体" w:hAnsi="宋体" w:cs="宋体"/>
          <w:kern w:val="0"/>
          <w:sz w:val="22"/>
          <w:szCs w:val="22"/>
          <w:highlight w:val="none"/>
        </w:rPr>
        <w:t>测方案编制，监测点的交接、修缮、补充、改正，监测资料的编制等内容；并综合考虑了成本、规费、税金、利润、保险、专利、风险，以及市场竞争、企业自身能力、监测管理难易程度等所有因素。如果在履约过程中发现任何报价遗漏或风险考虑不足，乙方将自行承担报价遗漏或风险考虑不足造成的所有费用。</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3.3除用户需求书另有规定，甲方供应材料之外的其他材料由乙方自行采购。</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3.4 合同价包括所有费用，乙方应被认为对合同价的正确性和完备性是满意的，除了合同中另有规定的以外，合同价包括了合同规定的全部责任（包括提供有关材料、维保设备或服务以及需完成的其他工作），以及为维保项目工程的正确施工、试验、维保、保养、完工和修补缺陷所需的全部有关事项和物品。</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3.5 合同价款在协议书内约定后，除非发生可变更条款和合同中约定可以改变的情况，任何一方不得擅自改变。</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outlineLvl w:val="1"/>
        <w:rPr>
          <w:rFonts w:ascii="宋体" w:hAnsi="宋体" w:cs="宋体"/>
          <w:b/>
          <w:kern w:val="44"/>
          <w:sz w:val="24"/>
          <w:highlight w:val="none"/>
        </w:rPr>
      </w:pPr>
      <w:bookmarkStart w:id="35" w:name="_Toc29796"/>
      <w:bookmarkStart w:id="36" w:name="_Toc4535"/>
      <w:bookmarkStart w:id="37" w:name="_Toc3299"/>
      <w:bookmarkStart w:id="38" w:name="_Toc533841622"/>
      <w:bookmarkStart w:id="39" w:name="_Toc25761"/>
      <w:r>
        <w:rPr>
          <w:rFonts w:hint="eastAsia" w:ascii="宋体" w:hAnsi="宋体" w:cs="宋体"/>
          <w:b/>
          <w:kern w:val="44"/>
          <w:sz w:val="24"/>
          <w:highlight w:val="none"/>
        </w:rPr>
        <w:t>4.支付条款</w:t>
      </w:r>
      <w:bookmarkEnd w:id="35"/>
      <w:bookmarkEnd w:id="36"/>
      <w:bookmarkEnd w:id="37"/>
      <w:bookmarkEnd w:id="38"/>
      <w:bookmarkEnd w:id="39"/>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4.1支付条款</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4.1.1本合同项下所有款项均由甲方直接支付给乙方，并用人民币以电汇方式通过甲方银行与乙方银行之间进行。乙方应直接向甲方提出本合同项下的支付请求。乙方向甲方提出支付申请并附相关证明材料，甲方在审核批准后30天内以电汇的形式向乙方进行支付。</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4.1.2 根据双方友好协商, 按</w:t>
      </w:r>
      <w:r>
        <w:rPr>
          <w:rFonts w:hint="eastAsia" w:ascii="宋体" w:hAnsi="宋体" w:cs="宋体"/>
          <w:kern w:val="0"/>
          <w:sz w:val="22"/>
          <w:szCs w:val="22"/>
          <w:highlight w:val="none"/>
          <w:lang w:val="en-US" w:eastAsia="zh-CN"/>
        </w:rPr>
        <w:t>季度</w:t>
      </w:r>
      <w:r>
        <w:rPr>
          <w:rFonts w:hint="eastAsia" w:ascii="宋体" w:hAnsi="宋体" w:cs="宋体"/>
          <w:kern w:val="0"/>
          <w:sz w:val="22"/>
          <w:szCs w:val="22"/>
          <w:highlight w:val="none"/>
        </w:rPr>
        <w:t>平均支付，不满</w:t>
      </w:r>
      <w:r>
        <w:rPr>
          <w:rFonts w:hint="eastAsia" w:ascii="宋体" w:hAnsi="宋体" w:cs="宋体"/>
          <w:kern w:val="0"/>
          <w:sz w:val="22"/>
          <w:szCs w:val="22"/>
          <w:highlight w:val="none"/>
          <w:lang w:val="en-US" w:eastAsia="zh-CN"/>
        </w:rPr>
        <w:t>季度</w:t>
      </w:r>
      <w:r>
        <w:rPr>
          <w:rFonts w:hint="eastAsia" w:ascii="宋体" w:hAnsi="宋体" w:cs="宋体"/>
          <w:kern w:val="0"/>
          <w:sz w:val="22"/>
          <w:szCs w:val="22"/>
          <w:highlight w:val="none"/>
        </w:rPr>
        <w:t>则按实际发生费用计。</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hint="eastAsia" w:ascii="宋体" w:hAnsi="宋体" w:cs="宋体"/>
          <w:kern w:val="0"/>
          <w:sz w:val="22"/>
          <w:szCs w:val="22"/>
          <w:highlight w:val="none"/>
        </w:rPr>
      </w:pPr>
      <w:r>
        <w:rPr>
          <w:rFonts w:hint="eastAsia" w:ascii="宋体" w:hAnsi="宋体" w:cs="宋体"/>
          <w:kern w:val="0"/>
          <w:sz w:val="22"/>
          <w:szCs w:val="22"/>
          <w:highlight w:val="none"/>
        </w:rPr>
        <w:t>4.1.3每</w:t>
      </w:r>
      <w:r>
        <w:rPr>
          <w:rFonts w:hint="eastAsia" w:ascii="宋体" w:hAnsi="宋体" w:cs="宋体"/>
          <w:kern w:val="0"/>
          <w:sz w:val="22"/>
          <w:szCs w:val="22"/>
          <w:highlight w:val="none"/>
          <w:lang w:val="en-US" w:eastAsia="zh-CN"/>
        </w:rPr>
        <w:t>季度</w:t>
      </w:r>
      <w:r>
        <w:rPr>
          <w:rFonts w:hint="eastAsia" w:ascii="宋体" w:hAnsi="宋体" w:cs="宋体"/>
          <w:kern w:val="0"/>
          <w:sz w:val="22"/>
          <w:szCs w:val="22"/>
          <w:highlight w:val="none"/>
        </w:rPr>
        <w:t>第一个月乙方提交上</w:t>
      </w:r>
      <w:r>
        <w:rPr>
          <w:rFonts w:hint="eastAsia" w:ascii="宋体" w:hAnsi="宋体" w:cs="宋体"/>
          <w:kern w:val="0"/>
          <w:sz w:val="22"/>
          <w:szCs w:val="22"/>
          <w:highlight w:val="none"/>
          <w:lang w:val="en-US" w:eastAsia="zh-CN"/>
        </w:rPr>
        <w:t>季度</w:t>
      </w:r>
      <w:r>
        <w:rPr>
          <w:rFonts w:hint="eastAsia" w:ascii="宋体" w:hAnsi="宋体" w:cs="宋体"/>
          <w:kern w:val="0"/>
          <w:sz w:val="22"/>
          <w:szCs w:val="22"/>
          <w:highlight w:val="none"/>
        </w:rPr>
        <w:t>付款申请及工作量清单、全额发票，甲方确认无误、审核批准后，在30天内支付给乙方。</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hint="eastAsia" w:ascii="宋体" w:hAnsi="宋体" w:cs="宋体"/>
          <w:kern w:val="0"/>
          <w:sz w:val="22"/>
          <w:szCs w:val="22"/>
          <w:highlight w:val="none"/>
        </w:rPr>
      </w:pPr>
      <w:r>
        <w:rPr>
          <w:rFonts w:hint="eastAsia" w:ascii="宋体" w:hAnsi="宋体" w:cs="宋体"/>
          <w:kern w:val="0"/>
          <w:sz w:val="22"/>
          <w:szCs w:val="22"/>
          <w:highlight w:val="none"/>
        </w:rPr>
        <w:t>甲方每月对乙方进行一次月度考核，月度考核分数与月度费用支付比例直接相关，以</w:t>
      </w:r>
      <w:r>
        <w:rPr>
          <w:rFonts w:hint="eastAsia" w:ascii="宋体" w:hAnsi="宋体" w:cs="宋体"/>
          <w:kern w:val="0"/>
          <w:sz w:val="22"/>
          <w:szCs w:val="22"/>
          <w:highlight w:val="none"/>
          <w:lang w:val="en-US" w:eastAsia="zh-CN"/>
        </w:rPr>
        <w:t>季度</w:t>
      </w:r>
      <w:r>
        <w:rPr>
          <w:rFonts w:hint="eastAsia" w:ascii="宋体" w:hAnsi="宋体" w:cs="宋体"/>
          <w:kern w:val="0"/>
          <w:sz w:val="22"/>
          <w:szCs w:val="22"/>
          <w:highlight w:val="none"/>
        </w:rPr>
        <w:t>为付款周期向乙方付款，具体如下：</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hint="eastAsia" w:ascii="宋体" w:hAnsi="宋体" w:cs="宋体"/>
          <w:kern w:val="0"/>
          <w:sz w:val="22"/>
          <w:szCs w:val="22"/>
          <w:highlight w:val="none"/>
        </w:rPr>
      </w:pPr>
      <w:r>
        <w:rPr>
          <w:rFonts w:hint="eastAsia" w:ascii="宋体" w:hAnsi="宋体" w:cs="宋体"/>
          <w:kern w:val="0"/>
          <w:sz w:val="22"/>
          <w:szCs w:val="22"/>
          <w:highlight w:val="none"/>
          <w:lang w:eastAsia="zh-CN"/>
        </w:rPr>
        <w:t>季度</w:t>
      </w:r>
      <w:r>
        <w:rPr>
          <w:rFonts w:hint="eastAsia" w:ascii="宋体" w:hAnsi="宋体" w:cs="宋体"/>
          <w:kern w:val="0"/>
          <w:sz w:val="22"/>
          <w:szCs w:val="22"/>
          <w:highlight w:val="none"/>
        </w:rPr>
        <w:t>实际支付服务费=合价包干总费用/</w:t>
      </w:r>
      <w:r>
        <w:rPr>
          <w:rFonts w:hint="eastAsia" w:ascii="宋体" w:hAnsi="宋体" w:cs="宋体"/>
          <w:kern w:val="0"/>
          <w:sz w:val="22"/>
          <w:szCs w:val="22"/>
          <w:highlight w:val="none"/>
          <w:lang w:val="en-US" w:eastAsia="zh-CN"/>
        </w:rPr>
        <w:t>12</w:t>
      </w:r>
      <w:r>
        <w:rPr>
          <w:rFonts w:hint="eastAsia" w:ascii="宋体" w:hAnsi="宋体" w:cs="宋体"/>
          <w:kern w:val="0"/>
          <w:sz w:val="22"/>
          <w:szCs w:val="22"/>
          <w:highlight w:val="none"/>
        </w:rPr>
        <w:t>*支付系数+该</w:t>
      </w:r>
      <w:r>
        <w:rPr>
          <w:rFonts w:hint="eastAsia" w:ascii="宋体" w:hAnsi="宋体" w:cs="宋体"/>
          <w:kern w:val="0"/>
          <w:sz w:val="22"/>
          <w:szCs w:val="22"/>
          <w:highlight w:val="none"/>
          <w:lang w:eastAsia="zh-CN"/>
        </w:rPr>
        <w:t>季度</w:t>
      </w:r>
      <w:r>
        <w:rPr>
          <w:rFonts w:hint="eastAsia" w:ascii="宋体" w:hAnsi="宋体" w:cs="宋体"/>
          <w:kern w:val="0"/>
          <w:sz w:val="22"/>
          <w:szCs w:val="22"/>
          <w:highlight w:val="none"/>
        </w:rPr>
        <w:t>保护区运营施工配合费用-应扣除的款项。</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支付系数：按月度甲方对乙方履行合同情况进行检查考核，考核汇总后得出乙方</w:t>
      </w:r>
      <w:r>
        <w:rPr>
          <w:rFonts w:hint="eastAsia" w:ascii="宋体" w:hAnsi="宋体" w:cs="宋体"/>
          <w:kern w:val="0"/>
          <w:sz w:val="22"/>
          <w:szCs w:val="22"/>
          <w:highlight w:val="none"/>
          <w:lang w:val="en-US" w:eastAsia="zh-CN"/>
        </w:rPr>
        <w:t>季度</w:t>
      </w:r>
      <w:r>
        <w:rPr>
          <w:rFonts w:hint="eastAsia" w:ascii="宋体" w:hAnsi="宋体" w:cs="宋体"/>
          <w:kern w:val="0"/>
          <w:sz w:val="22"/>
          <w:szCs w:val="22"/>
          <w:highlight w:val="none"/>
        </w:rPr>
        <w:t>得分，根据下表所列支付系数，按</w:t>
      </w:r>
      <w:r>
        <w:rPr>
          <w:rFonts w:hint="eastAsia" w:ascii="宋体" w:hAnsi="宋体" w:cs="宋体"/>
          <w:kern w:val="0"/>
          <w:sz w:val="22"/>
          <w:szCs w:val="22"/>
          <w:highlight w:val="none"/>
          <w:lang w:val="en-US" w:eastAsia="zh-CN"/>
        </w:rPr>
        <w:t>季度</w:t>
      </w:r>
      <w:r>
        <w:rPr>
          <w:rFonts w:hint="eastAsia" w:ascii="宋体" w:hAnsi="宋体" w:cs="宋体"/>
          <w:kern w:val="0"/>
          <w:sz w:val="22"/>
          <w:szCs w:val="22"/>
          <w:highlight w:val="none"/>
        </w:rPr>
        <w:t>支付服务费：</w:t>
      </w:r>
    </w:p>
    <w:tbl>
      <w:tblPr>
        <w:tblStyle w:val="25"/>
        <w:tblW w:w="4998"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2068"/>
        <w:gridCol w:w="1769"/>
        <w:gridCol w:w="1617"/>
        <w:gridCol w:w="1783"/>
        <w:gridCol w:w="164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1164" w:type="pct"/>
            <w:tcBorders>
              <w:top w:val="single" w:color="auto" w:sz="12" w:space="0"/>
              <w:left w:val="single" w:color="auto" w:sz="12" w:space="0"/>
              <w:bottom w:val="single" w:color="auto" w:sz="4" w:space="0"/>
              <w:right w:val="single" w:color="auto" w:sz="4" w:space="0"/>
            </w:tcBorders>
            <w:vAlign w:val="center"/>
          </w:tcPr>
          <w:p>
            <w:pPr>
              <w:pStyle w:val="23"/>
              <w:keepNext w:val="0"/>
              <w:keepLines w:val="0"/>
              <w:pageBreakBefore w:val="0"/>
              <w:widowControl/>
              <w:suppressLineNumbers w:val="0"/>
              <w:kinsoku/>
              <w:wordWrap/>
              <w:overflowPunct/>
              <w:topLinePunct w:val="0"/>
              <w:bidi w:val="0"/>
              <w:snapToGrid/>
              <w:spacing w:line="360" w:lineRule="auto"/>
              <w:ind w:left="0" w:leftChars="0" w:right="0" w:rightChars="0" w:firstLine="0" w:firstLineChars="0"/>
              <w:jc w:val="both"/>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月度考核分数</w:t>
            </w:r>
          </w:p>
        </w:tc>
        <w:tc>
          <w:tcPr>
            <w:tcW w:w="995" w:type="pct"/>
            <w:tcBorders>
              <w:top w:val="single" w:color="auto" w:sz="12"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bidi w:val="0"/>
              <w:adjustRightInd w:val="0"/>
              <w:snapToGrid/>
              <w:spacing w:beforeAutospacing="0" w:afterAutospacing="0" w:line="360" w:lineRule="auto"/>
              <w:ind w:left="0" w:leftChars="0" w:right="0" w:rightChars="0" w:firstLine="0" w:firstLineChars="0"/>
              <w:jc w:val="center"/>
              <w:textAlignment w:val="baseline"/>
              <w:rPr>
                <w:rFonts w:hint="eastAsia" w:ascii="宋体" w:hAnsi="宋体" w:eastAsia="宋体" w:cs="宋体"/>
                <w:kern w:val="2"/>
                <w:sz w:val="21"/>
                <w:szCs w:val="21"/>
                <w:highlight w:val="none"/>
                <w:lang w:val="en-US" w:eastAsia="zh-CN" w:bidi="ar-SA"/>
              </w:rPr>
            </w:pPr>
            <w:r>
              <w:rPr>
                <w:rFonts w:hint="eastAsia" w:ascii="宋体" w:hAnsi="宋体" w:cs="宋体"/>
                <w:b/>
                <w:bCs/>
                <w:color w:val="auto"/>
                <w:kern w:val="0"/>
                <w:sz w:val="21"/>
                <w:szCs w:val="21"/>
                <w:highlight w:val="none"/>
              </w:rPr>
              <w:t>100-9</w:t>
            </w:r>
            <w:r>
              <w:rPr>
                <w:rFonts w:hint="eastAsia" w:ascii="宋体" w:hAnsi="宋体" w:cs="宋体"/>
                <w:b/>
                <w:bCs/>
                <w:color w:val="auto"/>
                <w:kern w:val="0"/>
                <w:sz w:val="21"/>
                <w:szCs w:val="21"/>
                <w:highlight w:val="none"/>
                <w:lang w:val="en-US" w:eastAsia="zh-CN"/>
              </w:rPr>
              <w:t>5</w:t>
            </w:r>
            <w:r>
              <w:rPr>
                <w:rFonts w:hint="eastAsia" w:ascii="宋体" w:hAnsi="宋体" w:cs="宋体"/>
                <w:b/>
                <w:bCs/>
                <w:color w:val="auto"/>
                <w:kern w:val="0"/>
                <w:sz w:val="21"/>
                <w:szCs w:val="21"/>
                <w:highlight w:val="none"/>
              </w:rPr>
              <w:t>（含）</w:t>
            </w:r>
          </w:p>
        </w:tc>
        <w:tc>
          <w:tcPr>
            <w:tcW w:w="910" w:type="pct"/>
            <w:tcBorders>
              <w:top w:val="single" w:color="auto" w:sz="12"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bidi w:val="0"/>
              <w:adjustRightInd w:val="0"/>
              <w:snapToGrid/>
              <w:spacing w:beforeAutospacing="0" w:afterAutospacing="0" w:line="360" w:lineRule="auto"/>
              <w:ind w:left="0" w:leftChars="0" w:right="0" w:rightChars="0" w:firstLine="0" w:firstLineChars="0"/>
              <w:jc w:val="center"/>
              <w:textAlignment w:val="baseline"/>
              <w:rPr>
                <w:rFonts w:hint="eastAsia" w:ascii="宋体" w:hAnsi="宋体" w:eastAsia="宋体" w:cs="宋体"/>
                <w:kern w:val="2"/>
                <w:sz w:val="21"/>
                <w:szCs w:val="21"/>
                <w:highlight w:val="none"/>
                <w:lang w:val="en-US" w:eastAsia="zh-CN" w:bidi="ar-SA"/>
              </w:rPr>
            </w:pPr>
            <w:r>
              <w:rPr>
                <w:rFonts w:hint="eastAsia" w:ascii="宋体" w:hAnsi="宋体" w:cs="宋体"/>
                <w:b/>
                <w:bCs/>
                <w:color w:val="auto"/>
                <w:kern w:val="0"/>
                <w:sz w:val="21"/>
                <w:szCs w:val="21"/>
                <w:highlight w:val="none"/>
              </w:rPr>
              <w:t>9</w:t>
            </w:r>
            <w:r>
              <w:rPr>
                <w:rFonts w:hint="eastAsia" w:ascii="宋体" w:hAnsi="宋体" w:cs="宋体"/>
                <w:b/>
                <w:bCs/>
                <w:color w:val="auto"/>
                <w:kern w:val="0"/>
                <w:sz w:val="21"/>
                <w:szCs w:val="21"/>
                <w:highlight w:val="none"/>
                <w:lang w:val="en-US" w:eastAsia="zh-CN"/>
              </w:rPr>
              <w:t>5</w:t>
            </w:r>
            <w:r>
              <w:rPr>
                <w:rFonts w:hint="eastAsia" w:ascii="宋体" w:hAnsi="宋体" w:cs="宋体"/>
                <w:b/>
                <w:bCs/>
                <w:color w:val="auto"/>
                <w:kern w:val="0"/>
                <w:sz w:val="21"/>
                <w:szCs w:val="21"/>
                <w:highlight w:val="none"/>
              </w:rPr>
              <w:t>-</w:t>
            </w:r>
            <w:r>
              <w:rPr>
                <w:rFonts w:hint="eastAsia" w:ascii="宋体" w:hAnsi="宋体" w:cs="宋体"/>
                <w:b/>
                <w:bCs/>
                <w:color w:val="auto"/>
                <w:kern w:val="0"/>
                <w:sz w:val="21"/>
                <w:szCs w:val="21"/>
                <w:highlight w:val="none"/>
                <w:lang w:val="en-US" w:eastAsia="zh-CN"/>
              </w:rPr>
              <w:t>90</w:t>
            </w:r>
            <w:r>
              <w:rPr>
                <w:rFonts w:hint="eastAsia" w:ascii="宋体" w:hAnsi="宋体" w:cs="宋体"/>
                <w:b/>
                <w:bCs/>
                <w:color w:val="auto"/>
                <w:kern w:val="0"/>
                <w:sz w:val="21"/>
                <w:szCs w:val="21"/>
                <w:highlight w:val="none"/>
              </w:rPr>
              <w:t>（含）</w:t>
            </w:r>
          </w:p>
        </w:tc>
        <w:tc>
          <w:tcPr>
            <w:tcW w:w="1003" w:type="pct"/>
            <w:tcBorders>
              <w:top w:val="single" w:color="auto" w:sz="12" w:space="0"/>
              <w:left w:val="single" w:color="auto" w:sz="4" w:space="0"/>
              <w:bottom w:val="single" w:color="auto" w:sz="4" w:space="0"/>
              <w:right w:val="single" w:color="auto" w:sz="12" w:space="0"/>
            </w:tcBorders>
            <w:vAlign w:val="center"/>
          </w:tcPr>
          <w:p>
            <w:pPr>
              <w:keepNext w:val="0"/>
              <w:keepLines w:val="0"/>
              <w:pageBreakBefore w:val="0"/>
              <w:suppressLineNumbers w:val="0"/>
              <w:kinsoku/>
              <w:wordWrap/>
              <w:overflowPunct/>
              <w:topLinePunct w:val="0"/>
              <w:bidi w:val="0"/>
              <w:adjustRightInd w:val="0"/>
              <w:snapToGrid/>
              <w:spacing w:beforeAutospacing="0" w:afterAutospacing="0" w:line="360" w:lineRule="auto"/>
              <w:ind w:left="0" w:leftChars="0" w:right="0" w:rightChars="0" w:firstLine="0" w:firstLineChars="0"/>
              <w:jc w:val="center"/>
              <w:textAlignment w:val="baseline"/>
              <w:rPr>
                <w:rFonts w:hint="eastAsia" w:ascii="宋体" w:hAnsi="宋体" w:eastAsia="宋体" w:cs="宋体"/>
                <w:kern w:val="2"/>
                <w:sz w:val="21"/>
                <w:szCs w:val="21"/>
                <w:highlight w:val="none"/>
                <w:lang w:val="en-US" w:eastAsia="zh-CN" w:bidi="ar-SA"/>
              </w:rPr>
            </w:pPr>
            <w:r>
              <w:rPr>
                <w:rFonts w:hint="eastAsia" w:ascii="宋体" w:hAnsi="宋体" w:cs="宋体"/>
                <w:b/>
                <w:bCs/>
                <w:color w:val="auto"/>
                <w:kern w:val="0"/>
                <w:sz w:val="21"/>
                <w:szCs w:val="21"/>
                <w:highlight w:val="none"/>
                <w:lang w:val="en-US" w:eastAsia="zh-CN"/>
              </w:rPr>
              <w:t>90</w:t>
            </w:r>
            <w:r>
              <w:rPr>
                <w:rFonts w:hint="eastAsia" w:ascii="宋体" w:hAnsi="宋体" w:cs="宋体"/>
                <w:b/>
                <w:bCs/>
                <w:color w:val="auto"/>
                <w:kern w:val="0"/>
                <w:sz w:val="21"/>
                <w:szCs w:val="21"/>
                <w:highlight w:val="none"/>
              </w:rPr>
              <w:t>-80（含）</w:t>
            </w:r>
          </w:p>
        </w:tc>
        <w:tc>
          <w:tcPr>
            <w:tcW w:w="926" w:type="pct"/>
            <w:tcBorders>
              <w:top w:val="single" w:color="auto" w:sz="12" w:space="0"/>
              <w:left w:val="single" w:color="auto" w:sz="4" w:space="0"/>
              <w:bottom w:val="single" w:color="auto" w:sz="4" w:space="0"/>
              <w:right w:val="single" w:color="auto" w:sz="12" w:space="0"/>
            </w:tcBorders>
            <w:vAlign w:val="center"/>
          </w:tcPr>
          <w:p>
            <w:pPr>
              <w:keepNext w:val="0"/>
              <w:keepLines w:val="0"/>
              <w:pageBreakBefore w:val="0"/>
              <w:suppressLineNumbers w:val="0"/>
              <w:kinsoku/>
              <w:wordWrap/>
              <w:overflowPunct/>
              <w:topLinePunct w:val="0"/>
              <w:bidi w:val="0"/>
              <w:adjustRightInd w:val="0"/>
              <w:snapToGrid/>
              <w:spacing w:beforeAutospacing="0" w:afterAutospacing="0" w:line="360" w:lineRule="auto"/>
              <w:ind w:left="0" w:leftChars="0" w:right="0" w:rightChars="0" w:firstLine="0" w:firstLineChars="0"/>
              <w:jc w:val="center"/>
              <w:textAlignment w:val="baseline"/>
              <w:rPr>
                <w:rFonts w:hint="eastAsia" w:ascii="宋体" w:hAnsi="宋体" w:eastAsia="宋体" w:cs="宋体"/>
                <w:kern w:val="2"/>
                <w:sz w:val="21"/>
                <w:szCs w:val="21"/>
                <w:highlight w:val="none"/>
                <w:lang w:val="en-US" w:eastAsia="zh-CN" w:bidi="ar-SA"/>
              </w:rPr>
            </w:pPr>
            <w:r>
              <w:rPr>
                <w:rFonts w:hint="eastAsia" w:ascii="宋体" w:hAnsi="宋体" w:cs="宋体"/>
                <w:b/>
                <w:bCs/>
                <w:color w:val="auto"/>
                <w:kern w:val="0"/>
                <w:sz w:val="21"/>
                <w:szCs w:val="21"/>
                <w:highlight w:val="none"/>
              </w:rPr>
              <w:t>80以下</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73" w:hRule="atLeast"/>
        </w:trPr>
        <w:tc>
          <w:tcPr>
            <w:tcW w:w="1164" w:type="pct"/>
            <w:tcBorders>
              <w:top w:val="single" w:color="auto" w:sz="4" w:space="0"/>
              <w:left w:val="single" w:color="auto" w:sz="12" w:space="0"/>
              <w:bottom w:val="single" w:color="auto" w:sz="12" w:space="0"/>
              <w:right w:val="single" w:color="auto" w:sz="4" w:space="0"/>
            </w:tcBorders>
            <w:vAlign w:val="bottom"/>
          </w:tcPr>
          <w:p>
            <w:pPr>
              <w:keepNext w:val="0"/>
              <w:keepLines w:val="0"/>
              <w:pageBreakBefore w:val="0"/>
              <w:tabs>
                <w:tab w:val="left" w:pos="735"/>
                <w:tab w:val="left" w:pos="1080"/>
              </w:tabs>
              <w:kinsoku/>
              <w:wordWrap/>
              <w:overflowPunct/>
              <w:topLinePunct w:val="0"/>
              <w:bidi w:val="0"/>
              <w:snapToGrid/>
              <w:spacing w:line="360" w:lineRule="auto"/>
              <w:ind w:left="0" w:leftChars="0" w:right="0" w:rightChars="0" w:firstLine="0" w:firstLineChars="0"/>
              <w:jc w:val="both"/>
              <w:rPr>
                <w:rFonts w:hint="eastAsia" w:ascii="宋体" w:hAnsi="宋体" w:eastAsia="宋体" w:cs="宋体"/>
                <w:highlight w:val="none"/>
                <w:lang w:val="en-US" w:eastAsia="zh-CN"/>
              </w:rPr>
            </w:pPr>
            <w:r>
              <w:rPr>
                <w:rFonts w:hint="eastAsia" w:ascii="宋体" w:hAnsi="宋体" w:cs="宋体"/>
                <w:highlight w:val="none"/>
              </w:rPr>
              <w:t>月度支付</w:t>
            </w:r>
            <w:r>
              <w:rPr>
                <w:rFonts w:hint="eastAsia" w:ascii="宋体" w:hAnsi="宋体" w:cs="宋体"/>
                <w:highlight w:val="none"/>
                <w:lang w:val="en-US" w:eastAsia="zh-CN"/>
              </w:rPr>
              <w:t>比例</w:t>
            </w:r>
          </w:p>
        </w:tc>
        <w:tc>
          <w:tcPr>
            <w:tcW w:w="995" w:type="pct"/>
            <w:tcBorders>
              <w:top w:val="single" w:color="auto" w:sz="4" w:space="0"/>
              <w:left w:val="single" w:color="auto" w:sz="4" w:space="0"/>
              <w:bottom w:val="single" w:color="auto" w:sz="12" w:space="0"/>
              <w:right w:val="single" w:color="auto" w:sz="4" w:space="0"/>
            </w:tcBorders>
            <w:vAlign w:val="center"/>
          </w:tcPr>
          <w:p>
            <w:pPr>
              <w:keepNext w:val="0"/>
              <w:keepLines w:val="0"/>
              <w:pageBreakBefore w:val="0"/>
              <w:suppressLineNumbers w:val="0"/>
              <w:kinsoku/>
              <w:wordWrap/>
              <w:overflowPunct/>
              <w:topLinePunct w:val="0"/>
              <w:bidi w:val="0"/>
              <w:adjustRightInd w:val="0"/>
              <w:snapToGrid/>
              <w:spacing w:beforeAutospacing="0" w:afterAutospacing="0" w:line="360" w:lineRule="auto"/>
              <w:ind w:left="0" w:leftChars="0" w:right="0" w:rightChars="0" w:firstLine="0" w:firstLineChars="0"/>
              <w:jc w:val="center"/>
              <w:textAlignment w:val="baseline"/>
              <w:rPr>
                <w:rFonts w:ascii="宋体" w:hAnsi="宋体" w:cs="宋体"/>
                <w:highlight w:val="none"/>
              </w:rPr>
            </w:pPr>
            <w:r>
              <w:rPr>
                <w:rFonts w:hint="eastAsia" w:ascii="宋体" w:hAnsi="宋体" w:cs="宋体"/>
                <w:color w:val="auto"/>
                <w:kern w:val="0"/>
                <w:sz w:val="21"/>
                <w:szCs w:val="21"/>
                <w:highlight w:val="none"/>
              </w:rPr>
              <w:t>100%</w:t>
            </w:r>
          </w:p>
        </w:tc>
        <w:tc>
          <w:tcPr>
            <w:tcW w:w="910" w:type="pct"/>
            <w:tcBorders>
              <w:top w:val="single" w:color="auto" w:sz="4" w:space="0"/>
              <w:left w:val="single" w:color="auto" w:sz="4" w:space="0"/>
              <w:bottom w:val="single" w:color="auto" w:sz="12" w:space="0"/>
              <w:right w:val="single" w:color="auto" w:sz="4" w:space="0"/>
            </w:tcBorders>
            <w:vAlign w:val="center"/>
          </w:tcPr>
          <w:p>
            <w:pPr>
              <w:keepNext w:val="0"/>
              <w:keepLines w:val="0"/>
              <w:pageBreakBefore w:val="0"/>
              <w:suppressLineNumbers w:val="0"/>
              <w:kinsoku/>
              <w:wordWrap/>
              <w:overflowPunct/>
              <w:topLinePunct w:val="0"/>
              <w:bidi w:val="0"/>
              <w:adjustRightInd w:val="0"/>
              <w:snapToGrid/>
              <w:spacing w:beforeAutospacing="0" w:afterAutospacing="0" w:line="360" w:lineRule="auto"/>
              <w:ind w:left="0" w:leftChars="0" w:right="0" w:rightChars="0" w:firstLine="0" w:firstLineChars="0"/>
              <w:jc w:val="center"/>
              <w:textAlignment w:val="baseline"/>
              <w:rPr>
                <w:rFonts w:ascii="宋体" w:hAnsi="宋体" w:cs="宋体"/>
                <w:highlight w:val="none"/>
              </w:rPr>
            </w:pPr>
            <w:r>
              <w:rPr>
                <w:rFonts w:hint="eastAsia" w:ascii="宋体" w:hAnsi="宋体" w:cs="宋体"/>
                <w:color w:val="auto"/>
                <w:kern w:val="0"/>
                <w:sz w:val="21"/>
                <w:szCs w:val="21"/>
                <w:highlight w:val="none"/>
              </w:rPr>
              <w:t>95%</w:t>
            </w:r>
          </w:p>
        </w:tc>
        <w:tc>
          <w:tcPr>
            <w:tcW w:w="1003" w:type="pct"/>
            <w:tcBorders>
              <w:top w:val="single" w:color="auto" w:sz="4" w:space="0"/>
              <w:left w:val="single" w:color="auto" w:sz="4" w:space="0"/>
              <w:bottom w:val="single" w:color="auto" w:sz="12" w:space="0"/>
              <w:right w:val="single" w:color="auto" w:sz="12" w:space="0"/>
            </w:tcBorders>
            <w:vAlign w:val="center"/>
          </w:tcPr>
          <w:p>
            <w:pPr>
              <w:keepNext w:val="0"/>
              <w:keepLines w:val="0"/>
              <w:pageBreakBefore w:val="0"/>
              <w:suppressLineNumbers w:val="0"/>
              <w:kinsoku/>
              <w:wordWrap/>
              <w:overflowPunct/>
              <w:topLinePunct w:val="0"/>
              <w:bidi w:val="0"/>
              <w:adjustRightInd w:val="0"/>
              <w:snapToGrid/>
              <w:spacing w:beforeAutospacing="0" w:afterAutospacing="0" w:line="360" w:lineRule="auto"/>
              <w:ind w:left="0" w:leftChars="0" w:right="0" w:rightChars="0" w:firstLine="0" w:firstLineChars="0"/>
              <w:jc w:val="center"/>
              <w:textAlignment w:val="baseline"/>
              <w:rPr>
                <w:rFonts w:ascii="宋体" w:hAnsi="宋体" w:cs="宋体"/>
                <w:highlight w:val="none"/>
              </w:rPr>
            </w:pPr>
            <w:r>
              <w:rPr>
                <w:rFonts w:hint="eastAsia" w:ascii="宋体" w:hAnsi="宋体" w:cs="宋体"/>
                <w:color w:val="auto"/>
                <w:kern w:val="0"/>
                <w:sz w:val="21"/>
                <w:szCs w:val="21"/>
                <w:highlight w:val="none"/>
              </w:rPr>
              <w:t>90%</w:t>
            </w:r>
          </w:p>
        </w:tc>
        <w:tc>
          <w:tcPr>
            <w:tcW w:w="926" w:type="pct"/>
            <w:tcBorders>
              <w:top w:val="single" w:color="auto" w:sz="4" w:space="0"/>
              <w:left w:val="single" w:color="auto" w:sz="4" w:space="0"/>
              <w:bottom w:val="single" w:color="auto" w:sz="12" w:space="0"/>
              <w:right w:val="single" w:color="auto" w:sz="12" w:space="0"/>
            </w:tcBorders>
            <w:vAlign w:val="center"/>
          </w:tcPr>
          <w:p>
            <w:pPr>
              <w:keepNext w:val="0"/>
              <w:keepLines w:val="0"/>
              <w:pageBreakBefore w:val="0"/>
              <w:suppressLineNumbers w:val="0"/>
              <w:kinsoku/>
              <w:wordWrap/>
              <w:overflowPunct/>
              <w:topLinePunct w:val="0"/>
              <w:bidi w:val="0"/>
              <w:adjustRightInd w:val="0"/>
              <w:snapToGrid/>
              <w:spacing w:beforeAutospacing="0" w:afterAutospacing="0" w:line="360" w:lineRule="auto"/>
              <w:ind w:left="0" w:leftChars="0" w:right="0" w:rightChars="0" w:firstLine="0" w:firstLineChars="0"/>
              <w:jc w:val="center"/>
              <w:textAlignment w:val="baseline"/>
              <w:rPr>
                <w:rFonts w:ascii="宋体" w:hAnsi="宋体" w:cs="宋体"/>
                <w:highlight w:val="none"/>
              </w:rPr>
            </w:pPr>
            <w:r>
              <w:rPr>
                <w:rFonts w:hint="eastAsia" w:ascii="宋体" w:hAnsi="宋体" w:cs="宋体"/>
                <w:color w:val="auto"/>
                <w:kern w:val="0"/>
                <w:sz w:val="21"/>
                <w:szCs w:val="21"/>
                <w:highlight w:val="none"/>
              </w:rPr>
              <w:t>80%</w:t>
            </w:r>
          </w:p>
        </w:tc>
      </w:tr>
    </w:tbl>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bookmarkStart w:id="40" w:name="_Toc16754"/>
      <w:bookmarkStart w:id="41" w:name="_Toc24491"/>
      <w:bookmarkStart w:id="42" w:name="_Toc18063"/>
      <w:bookmarkStart w:id="43" w:name="_Toc533841623"/>
      <w:r>
        <w:rPr>
          <w:rFonts w:hint="eastAsia" w:ascii="宋体" w:hAnsi="宋体" w:cs="宋体"/>
          <w:kern w:val="0"/>
          <w:sz w:val="22"/>
          <w:szCs w:val="22"/>
          <w:highlight w:val="none"/>
        </w:rPr>
        <w:t>若月度考核累计两次所得分数低于80分，甲方有权单方终止合同，同时乙方须承担合同执行过程中发生的直接扣款。</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outlineLvl w:val="1"/>
        <w:rPr>
          <w:rFonts w:ascii="宋体" w:hAnsi="宋体" w:cs="宋体"/>
          <w:b/>
          <w:kern w:val="44"/>
          <w:sz w:val="24"/>
          <w:highlight w:val="none"/>
        </w:rPr>
      </w:pPr>
      <w:r>
        <w:rPr>
          <w:rFonts w:hint="eastAsia" w:ascii="宋体" w:hAnsi="宋体" w:cs="宋体"/>
          <w:b/>
          <w:kern w:val="44"/>
          <w:sz w:val="24"/>
          <w:highlight w:val="none"/>
        </w:rPr>
        <w:t>5.违约责任</w:t>
      </w:r>
      <w:bookmarkEnd w:id="40"/>
      <w:bookmarkEnd w:id="41"/>
      <w:bookmarkEnd w:id="42"/>
      <w:bookmarkEnd w:id="43"/>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5.1 当发生下列情况时，甲方承担违约责任，赔偿因其违约给乙方造成的经济损失：</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5.1.1 甲方不按合同约定支付维保项目价款，导致维保项目维保作业无法进行；</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5.1.2 甲方无正当理由不支付维保项目工程结算价款；</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5.1.3 甲方不履行合同义务或不按合同约定履行义务的其他情况。</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5.2 当发生下列情况时, 乙方承担违约责任，赔偿因其违约给甲方造成的经济损失：</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5.2.1 由于乙方原因造成的工作延误而乙方不采取相应的措施；</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5.2.2 因乙方原因工程质量达不到约定的质量标准；</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 xml:space="preserve">5.2.3 乙方的工作实质上妨碍了甲方或其他方； </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5.2.4 乙方的工作实质上违反了有关环境、健康或安全的法律、法规及规章制度；</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5.2.5 乙方将其承包的全部工程转包给他人或者肢解以后转包给他人；</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5.2.6 乙方不履行合同义务或不按合同约定履行义务的其他情况。</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5.3 当乙方出现5.2款违约情况而不改正或不停止违约行为时，甲方有权将乙方逐出现场，并聘请有相关资质的第三方完成乙方合同内工程，乙方应承担由此产生的一切费用。</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5.4 因乙方的责任造成甲方工作量的增加，乙方应承担相应的费用。</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5.5 一方违约后，另一方要求违约方继续履行合同时，违约方承担上述违约责任后仍应继续履行合同。</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5.6 乙方在合同规定的承包期内，因故要提前终止其承包的任务，应提前三个月书面通知甲方，在这三个月内，乙方人员需在配合甲方做好相应的交接工作后，方可撤离，同时在费用结算中，未结算部分的费用甲方不再支付，并乙方还须支付合同总价10%的违约金给甲方。</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outlineLvl w:val="1"/>
        <w:rPr>
          <w:rFonts w:ascii="宋体" w:hAnsi="宋体" w:cs="宋体"/>
          <w:b/>
          <w:kern w:val="44"/>
          <w:sz w:val="24"/>
          <w:highlight w:val="none"/>
        </w:rPr>
      </w:pPr>
      <w:bookmarkStart w:id="44" w:name="_Toc533841624"/>
      <w:bookmarkStart w:id="45" w:name="_Toc4592"/>
      <w:bookmarkStart w:id="46" w:name="_Toc1058"/>
      <w:bookmarkStart w:id="47" w:name="_Toc11904"/>
      <w:bookmarkStart w:id="48" w:name="_Toc5663"/>
      <w:r>
        <w:rPr>
          <w:rFonts w:hint="eastAsia" w:ascii="宋体" w:hAnsi="宋体" w:cs="宋体"/>
          <w:b/>
          <w:kern w:val="44"/>
          <w:sz w:val="24"/>
          <w:highlight w:val="none"/>
        </w:rPr>
        <w:t>6.风险</w:t>
      </w:r>
      <w:bookmarkEnd w:id="44"/>
      <w:bookmarkEnd w:id="45"/>
      <w:bookmarkEnd w:id="46"/>
      <w:bookmarkEnd w:id="47"/>
      <w:bookmarkEnd w:id="48"/>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6.1 属于甲方的风险</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6.1.1 由于以下原因而引起的索赔、诉讼、补偿和应付费用：</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6.1.1.1 因本项目需要使用或占用工地现场(乙方的生活场地除外)；</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6.1.1.2 甲方人员或与其有合同关系但不包括乙方人员的疏忽、违约或违法行为；</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6.1.1.3 甲方的失误或甲方提供的设计和资料中的错误，而这类设计和资料不是由乙方提供的或负责的，也不是一个有经验的乙方能判断的。</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6.1.2 非乙方提供的设备和工器具等，在乙方接收并确认前发生损失和损坏。</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6.1.3 合同终止后，合同项目以及甲方尚保留在工地现场的设备和材料的损失和损坏，但不包括在合同终止后因乙方在工地现场内的活动引起的损失和损坏。</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6.2 属于乙方的风险</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6.2.1由于以下原因而引起的索赔、诉讼、补偿和应付费用：</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6.2.1.1乙方人员的疏忽、违约或违法行为。</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6.2.1.2 乙方的失误或乙方提供的设计和资料中的错误，而这类设计和资料不是由甲方提供的或负责的，也不是一个有经验的甲方能判断的。</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6.2.</w:t>
      </w:r>
      <w:r>
        <w:rPr>
          <w:rFonts w:hint="eastAsia" w:ascii="宋体" w:hAnsi="宋体" w:cs="宋体"/>
          <w:kern w:val="0"/>
          <w:sz w:val="22"/>
          <w:szCs w:val="22"/>
          <w:highlight w:val="none"/>
          <w:lang w:val="en-US" w:eastAsia="zh-CN"/>
        </w:rPr>
        <w:t>2</w:t>
      </w:r>
      <w:r>
        <w:rPr>
          <w:rFonts w:hint="eastAsia" w:ascii="宋体" w:hAnsi="宋体" w:cs="宋体"/>
          <w:kern w:val="0"/>
          <w:sz w:val="22"/>
          <w:szCs w:val="22"/>
          <w:highlight w:val="none"/>
        </w:rPr>
        <w:t>本维保项目内乙方或非甲方提供的设备和工器具等，发生损失和损坏。</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6.2.</w:t>
      </w:r>
      <w:r>
        <w:rPr>
          <w:rFonts w:hint="eastAsia" w:ascii="宋体" w:hAnsi="宋体" w:cs="宋体"/>
          <w:kern w:val="0"/>
          <w:sz w:val="22"/>
          <w:szCs w:val="22"/>
          <w:highlight w:val="none"/>
          <w:lang w:val="en-US" w:eastAsia="zh-CN"/>
        </w:rPr>
        <w:t>3</w:t>
      </w:r>
      <w:r>
        <w:rPr>
          <w:rFonts w:hint="eastAsia" w:ascii="宋体" w:hAnsi="宋体" w:cs="宋体"/>
          <w:kern w:val="0"/>
          <w:sz w:val="22"/>
          <w:szCs w:val="22"/>
          <w:highlight w:val="none"/>
        </w:rPr>
        <w:t xml:space="preserve"> 法律认定的其他应属于乙方的风险。</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6.3 紧急情况</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6.3.1 如果在项目维保过程中乙方在现场遇到了气候条件以外的不利的自然障碍和条件，这些障碍和条件是一个有经验的乙方无法预见的，乙方应立即通知甲方。在接到报告后，由甲方决定处理方法，乙方提出合理化建议被采纳后应立即施工维保。</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6.3.2 在项目维保期间，如在项目中发生事故或其它紧急事件，根据设备的安全运行状况进行修理、紧急补救或其它工作是项目安全的紧急需要，而乙方无能力或收到甲方催告后3日内不愿进行此类工作或修理时，甲方可雇用其它有相关资质人员从事该项工作，并支付相关费用。如果此项工作或修理按合同规定费用应由乙方承担，则甲方可从乙方维保款项内扣除，并通知乙方。</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outlineLvl w:val="1"/>
        <w:rPr>
          <w:rFonts w:ascii="宋体" w:hAnsi="宋体" w:cs="宋体"/>
          <w:b/>
          <w:kern w:val="44"/>
          <w:sz w:val="24"/>
          <w:highlight w:val="none"/>
        </w:rPr>
      </w:pPr>
      <w:bookmarkStart w:id="49" w:name="_Toc1627"/>
      <w:bookmarkStart w:id="50" w:name="_Toc16871"/>
      <w:bookmarkStart w:id="51" w:name="_Toc533841625"/>
      <w:bookmarkStart w:id="52" w:name="_Toc17209"/>
      <w:bookmarkStart w:id="53" w:name="_Toc10153"/>
      <w:r>
        <w:rPr>
          <w:rFonts w:hint="eastAsia" w:ascii="宋体" w:hAnsi="宋体" w:cs="宋体"/>
          <w:b/>
          <w:kern w:val="44"/>
          <w:sz w:val="24"/>
          <w:highlight w:val="none"/>
        </w:rPr>
        <w:t>7.不可抗力</w:t>
      </w:r>
      <w:bookmarkEnd w:id="49"/>
      <w:bookmarkEnd w:id="50"/>
      <w:bookmarkEnd w:id="51"/>
      <w:bookmarkEnd w:id="52"/>
      <w:bookmarkEnd w:id="53"/>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7.1 不可抗力按照《中华人民共和国民法典》和中华人民共和国保险监督管理委员会关于不可抗力的解释为准。</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7.2 在不可抗力发生时，乙方应尽快以书面形式,将不可抗力的情况和原因通知甲方，并在力所能及的条件下迅速采取措施，尽力减少损失，甲方应协助乙方采取措施。甲方认为应当暂停维保的，乙方应暂停维保。不可抗力事件结束后，乙方向甲方通报受害和损失情况。</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7.3 因不可抗力事件导致的费用由双方按以下方法分别承担：</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7.3.1 维保项目本身的损害、因项目损害导致第三方人员伤亡和财产损失以及甲方提供的运至维保场地用于维保的材料和待安装的设备的损害，由甲方承担；</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7.3.2 甲方和乙方人员伤亡由双方各自承担相应费用；</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7.3.3 乙方机械设备损坏及停工损失，由乙方承担；</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7.3.4 所需清理、修复费用，由甲方承担。</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7.4 在不可抗力发生后，若乙方不积极采取措施或采取措施不当造成损失，应承担相应的赔偿责任。</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outlineLvl w:val="1"/>
        <w:rPr>
          <w:rFonts w:ascii="宋体" w:hAnsi="宋体" w:cs="宋体"/>
          <w:b/>
          <w:kern w:val="44"/>
          <w:sz w:val="24"/>
          <w:highlight w:val="none"/>
        </w:rPr>
      </w:pPr>
      <w:bookmarkStart w:id="54" w:name="_Toc18911"/>
      <w:bookmarkStart w:id="55" w:name="_Toc15115"/>
      <w:bookmarkStart w:id="56" w:name="_Toc25899"/>
      <w:bookmarkStart w:id="57" w:name="_Toc533841626"/>
      <w:bookmarkStart w:id="58" w:name="_Toc1913"/>
      <w:r>
        <w:rPr>
          <w:rFonts w:hint="eastAsia" w:ascii="宋体" w:hAnsi="宋体" w:cs="宋体"/>
          <w:b/>
          <w:kern w:val="44"/>
          <w:sz w:val="24"/>
          <w:highlight w:val="none"/>
        </w:rPr>
        <w:t>8.处理条款</w:t>
      </w:r>
      <w:bookmarkEnd w:id="54"/>
      <w:bookmarkEnd w:id="55"/>
      <w:bookmarkEnd w:id="56"/>
      <w:bookmarkEnd w:id="57"/>
      <w:bookmarkEnd w:id="58"/>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8.1考核要求</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甲方将从生产管理、安全管理、服务表现等方面对乙方进行考核评分，并将检查结果纳入对乙方的月度检查、季度考核、年度总评价中，当有考核项目发生重复时以最高处罚项为考核标准，人为因素及其产生的后果均产生处罚时，行为本身与事件结果均作处罚处理。考核周期为每季度一次。甲方有权根据运营指标对相关维护指标进行调整，乙方须无条件执行甲方确定的最新指标标准。</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8.2考核依据：本项目考核工作依据甲方相关委外管理制度执行。</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8.3 考核细则</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8.3.1考核依据《</w:t>
      </w:r>
      <w:r>
        <w:rPr>
          <w:rFonts w:hint="eastAsia" w:ascii="宋体" w:hAnsi="宋体" w:cs="宋体"/>
          <w:kern w:val="0"/>
          <w:sz w:val="22"/>
          <w:szCs w:val="22"/>
          <w:highlight w:val="none"/>
          <w:lang w:eastAsia="zh-CN"/>
        </w:rPr>
        <w:t>南通轨道交通集团有限公司</w:t>
      </w:r>
      <w:r>
        <w:rPr>
          <w:rFonts w:hint="eastAsia" w:ascii="宋体" w:hAnsi="宋体" w:cs="宋体"/>
          <w:kern w:val="0"/>
          <w:sz w:val="22"/>
          <w:szCs w:val="22"/>
          <w:highlight w:val="none"/>
        </w:rPr>
        <w:t>运营分公司委外管理办法（试行）》及相关管理办法或合同要求执行，并以考核结果作为合同支付及扣款的依据。</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8.3.2甲方自合同生效之日开始每年度对乙方进行一次年度总评价，当年综合得分不合格的，甲方有权解除本项目合同，并追究乙方责任。</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8.3.3履约期间，未列入季度考核扣分、但需乙方限期整改的相关问题，甲方有权根据问题严重程度并参考其他考核细则进行考核的权利。</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8.3.4履约期间，若发生重大责任事故，除考核扣款扣分外，甲方可对乙方另行考核、处理。</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8.4处罚细则</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 xml:space="preserve">8.4.1乙方未按甲方要求派驻人员的，甲方有权要求乙方按项目经理人民币 </w:t>
      </w:r>
      <w:r>
        <w:rPr>
          <w:rFonts w:hint="eastAsia" w:ascii="宋体" w:hAnsi="宋体" w:cs="宋体"/>
          <w:kern w:val="0"/>
          <w:sz w:val="22"/>
          <w:szCs w:val="22"/>
          <w:highlight w:val="none"/>
          <w:lang w:val="en-US" w:eastAsia="zh-CN"/>
        </w:rPr>
        <w:t>10</w:t>
      </w:r>
      <w:r>
        <w:rPr>
          <w:rFonts w:hint="eastAsia" w:ascii="宋体" w:hAnsi="宋体" w:cs="宋体"/>
          <w:kern w:val="0"/>
          <w:sz w:val="22"/>
          <w:szCs w:val="22"/>
          <w:highlight w:val="none"/>
        </w:rPr>
        <w:t>万元/人次，主要管理人员人民币5万元/人次的标准支付违约金。乙方未经甲方允许不得变更项目经理和主要管理人员，否则，乙方须按本条规定支付违约金。</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8.4.2维保人员持证情况不满足要求，按下列计算扣除相应费用，直至相关人员取得证书为止（适用于实际提供证书少于投标时提供证书的情况）：</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维保人员持证情况扣款=（投标提供证书数量-实际提供证书数量）×(一年合同总价/需求约定最低人数)×(无证月数/12)</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维保人员数量不满足要求，按下列计算扣除相应费用，直至人员数量满足要求为止（适用于实际人员少于投标时提供人员数量的情况）：</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维保人员缺员扣款=（一年合同总价/投标提供人数）×（缺员数量）×(缺员月数/12)（不满整月按整月计算）</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8.4.3乙方维保负责人必须长驻现场，出勤率保证100%，甲方在各项检查中（含甲方组织的各种相关会议），如发现维保负责人缺席，每次甲方将扣除乙方5000元/人作为处罚。</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8.4.4</w:t>
      </w:r>
      <w:r>
        <w:rPr>
          <w:rFonts w:hint="eastAsia" w:ascii="宋体" w:hAnsi="宋体" w:cs="宋体"/>
          <w:color w:val="000000"/>
          <w:sz w:val="22"/>
          <w:szCs w:val="22"/>
          <w:highlight w:val="none"/>
        </w:rPr>
        <w:t>乙方派出的委外工作人员必须严格执行安全文明生产的管理制度，违章处罚500元/人次。</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color w:val="000000"/>
          <w:sz w:val="22"/>
          <w:szCs w:val="22"/>
          <w:highlight w:val="none"/>
        </w:rPr>
        <w:t>8.4.5甲方对乙方项目委外工作的管理、质量、安全、工期、服务、文明卫生等方面进行定期或不定期的检查，下达书面的限期整改通知，甲方对乙方不能按期限整改或重复发生的不合格项目处以500元/项次的扣款。</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color w:val="000000"/>
          <w:sz w:val="22"/>
          <w:szCs w:val="22"/>
          <w:highlight w:val="none"/>
        </w:rPr>
      </w:pPr>
      <w:r>
        <w:rPr>
          <w:rFonts w:hint="eastAsia" w:ascii="宋体" w:hAnsi="宋体" w:cs="宋体"/>
          <w:color w:val="000000"/>
          <w:sz w:val="22"/>
          <w:szCs w:val="22"/>
          <w:highlight w:val="none"/>
        </w:rPr>
        <w:t>8.4.6对于乙方在项目委外工作中因自身原因未能完成已批准的作业计划的行为，除乙方赔偿甲方损失外，甲方对乙方处以1000元/次的扣款。</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color w:val="000000"/>
          <w:sz w:val="22"/>
          <w:szCs w:val="22"/>
          <w:highlight w:val="none"/>
        </w:rPr>
      </w:pPr>
      <w:r>
        <w:rPr>
          <w:rFonts w:hint="eastAsia" w:ascii="宋体" w:hAnsi="宋体" w:cs="宋体"/>
          <w:color w:val="000000"/>
          <w:sz w:val="22"/>
          <w:szCs w:val="22"/>
          <w:highlight w:val="none"/>
        </w:rPr>
        <w:t>8.4.7对于乙方在项目委外工作中因自身原因不能及时上报各类报表、资料（包括报表、资料不符合要求）的行为，甲方对乙方处以500元/次的扣款。</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color w:val="000000"/>
          <w:sz w:val="22"/>
          <w:szCs w:val="22"/>
          <w:highlight w:val="none"/>
        </w:rPr>
      </w:pPr>
      <w:r>
        <w:rPr>
          <w:rFonts w:hint="eastAsia" w:ascii="宋体" w:hAnsi="宋体" w:cs="宋体"/>
          <w:color w:val="000000"/>
          <w:sz w:val="22"/>
          <w:szCs w:val="22"/>
          <w:highlight w:val="none"/>
        </w:rPr>
        <w:t>8.4.8在施工作业中，若发现乙方人员未做好安全防护或无上岗证或佩戴他人上岗证进行特殊工种施工作业，甲方对乙方处以200元／人次的扣款，累计5次则停工整顿。</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color w:val="000000"/>
          <w:sz w:val="22"/>
          <w:szCs w:val="22"/>
          <w:highlight w:val="none"/>
        </w:rPr>
      </w:pPr>
      <w:r>
        <w:rPr>
          <w:rFonts w:hint="eastAsia" w:ascii="宋体" w:hAnsi="宋体" w:cs="宋体"/>
          <w:color w:val="000000"/>
          <w:sz w:val="22"/>
          <w:szCs w:val="22"/>
          <w:highlight w:val="none"/>
        </w:rPr>
        <w:t>8.4.9当班检修及抢修时，若发现乙方安排的人员不足，缺一人次罚200元，依次类推。</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color w:val="000000"/>
          <w:sz w:val="22"/>
          <w:szCs w:val="22"/>
          <w:highlight w:val="none"/>
        </w:rPr>
      </w:pPr>
      <w:r>
        <w:rPr>
          <w:rFonts w:hint="eastAsia" w:ascii="宋体" w:hAnsi="宋体" w:cs="宋体"/>
          <w:color w:val="000000"/>
          <w:sz w:val="22"/>
          <w:szCs w:val="22"/>
          <w:highlight w:val="none"/>
        </w:rPr>
        <w:t>8.4.10对于乙方人员损坏地铁的设备、危害地铁运营安全及设备和人身安全的行为，除乙方赔偿甲方的全部损失外，甲方对乙方处以2000元/次的扣款。</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color w:val="000000"/>
          <w:sz w:val="22"/>
          <w:szCs w:val="22"/>
          <w:highlight w:val="none"/>
        </w:rPr>
      </w:pPr>
      <w:r>
        <w:rPr>
          <w:rFonts w:hint="eastAsia" w:ascii="宋体" w:hAnsi="宋体" w:cs="宋体"/>
          <w:color w:val="000000"/>
          <w:sz w:val="22"/>
          <w:szCs w:val="22"/>
          <w:highlight w:val="none"/>
        </w:rPr>
        <w:t>8.4.11如因乙方原因导致事故的发生，除乙方赔偿损失外，甲方视情节对乙方进行处罚，</w:t>
      </w:r>
      <w:r>
        <w:rPr>
          <w:rFonts w:hint="eastAsia" w:ascii="宋体" w:hAnsi="宋体" w:cs="宋体"/>
          <w:sz w:val="22"/>
          <w:szCs w:val="22"/>
          <w:highlight w:val="none"/>
        </w:rPr>
        <w:t>发生事故苗头的处以2000-5000元/次的扣款；发生一般事故的处以5000-10000元/次的扣款；发生险性事故的处以10000-20000元/次的扣款；发生大事故及以上的按事故损失的比例处以不低于20000元/次的扣款。</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color w:val="000000"/>
          <w:sz w:val="22"/>
          <w:szCs w:val="22"/>
          <w:highlight w:val="none"/>
        </w:rPr>
      </w:pPr>
      <w:r>
        <w:rPr>
          <w:rFonts w:hint="eastAsia" w:ascii="宋体" w:hAnsi="宋体" w:cs="宋体"/>
          <w:color w:val="000000"/>
          <w:sz w:val="22"/>
          <w:szCs w:val="22"/>
          <w:highlight w:val="none"/>
        </w:rPr>
        <w:t>8.4.12乙方人员应参加甲方相关会议，如迟到一次处罚200元/人次，不参加处罚300元/人次。</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color w:val="000000"/>
          <w:sz w:val="22"/>
          <w:szCs w:val="22"/>
          <w:highlight w:val="none"/>
        </w:rPr>
      </w:pPr>
      <w:r>
        <w:rPr>
          <w:rFonts w:hint="eastAsia" w:ascii="宋体" w:hAnsi="宋体" w:cs="宋体"/>
          <w:color w:val="000000"/>
          <w:sz w:val="22"/>
          <w:szCs w:val="22"/>
          <w:highlight w:val="none"/>
        </w:rPr>
        <w:t>8.4.13甲方对乙方人员进行考核，对于违反工作纪律的行为，处以500元/人次的扣款；对不能胜任工作要求或完成工作不好、安全状态不好的人员，甲方有权要求乙方更换合格人员，并处以500元/人次的扣款。</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color w:val="000000"/>
          <w:sz w:val="22"/>
          <w:szCs w:val="22"/>
          <w:highlight w:val="none"/>
        </w:rPr>
      </w:pPr>
      <w:r>
        <w:rPr>
          <w:rFonts w:hint="eastAsia" w:ascii="宋体" w:hAnsi="宋体" w:cs="宋体"/>
          <w:color w:val="000000"/>
          <w:sz w:val="22"/>
          <w:szCs w:val="22"/>
          <w:highlight w:val="none"/>
        </w:rPr>
        <w:t>8.4.14对于紧急故障抢修，因技术能力不足或响应时间不及时，造成故障无法及时恢复的，处罚1000元/次。</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color w:val="000000"/>
          <w:sz w:val="22"/>
          <w:szCs w:val="22"/>
          <w:highlight w:val="none"/>
        </w:rPr>
      </w:pPr>
      <w:r>
        <w:rPr>
          <w:rFonts w:hint="eastAsia" w:ascii="宋体" w:hAnsi="宋体" w:cs="宋体"/>
          <w:color w:val="000000"/>
          <w:sz w:val="22"/>
          <w:szCs w:val="22"/>
          <w:highlight w:val="none"/>
        </w:rPr>
        <w:t>8.4.15对于乙方在项目委外工作中无法提供甲方要求的主要设备工器具配置表里的设备仪器，甲方对乙方处以200—500元/次的扣款。</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color w:val="000000"/>
          <w:sz w:val="22"/>
          <w:szCs w:val="22"/>
          <w:highlight w:val="none"/>
        </w:rPr>
      </w:pPr>
      <w:r>
        <w:rPr>
          <w:rFonts w:hint="eastAsia" w:ascii="宋体" w:hAnsi="宋体" w:cs="宋体"/>
          <w:color w:val="000000"/>
          <w:sz w:val="22"/>
          <w:szCs w:val="22"/>
          <w:highlight w:val="none"/>
        </w:rPr>
        <w:t>8.4.16对于乙方人员故意损坏甲方提供的仪器设备工器具的行为，除乙方赔偿甲方的全部损失外，甲方对乙方处以1000元/次的扣款。</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color w:val="000000"/>
          <w:sz w:val="22"/>
          <w:szCs w:val="22"/>
          <w:highlight w:val="none"/>
        </w:rPr>
      </w:pPr>
      <w:r>
        <w:rPr>
          <w:rFonts w:hint="eastAsia" w:ascii="宋体" w:hAnsi="宋体" w:cs="宋体"/>
          <w:color w:val="000000"/>
          <w:sz w:val="22"/>
          <w:szCs w:val="22"/>
          <w:highlight w:val="none"/>
        </w:rPr>
        <w:t>8.4.17甲方对乙方每期数据进行抽查，若发现乙方监测数据存在造假等问题时，情节较轻，处以2000元/次的扣款；情节严重，甲方有权解除合同。</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8.</w:t>
      </w:r>
      <w:r>
        <w:rPr>
          <w:rFonts w:hint="eastAsia" w:ascii="宋体" w:hAnsi="宋体" w:cs="宋体"/>
          <w:color w:val="000000"/>
          <w:sz w:val="22"/>
          <w:szCs w:val="22"/>
          <w:highlight w:val="none"/>
        </w:rPr>
        <w:t>4.18</w:t>
      </w:r>
      <w:r>
        <w:rPr>
          <w:rFonts w:hint="eastAsia" w:ascii="宋体" w:hAnsi="宋体" w:cs="宋体"/>
          <w:kern w:val="0"/>
          <w:sz w:val="22"/>
          <w:szCs w:val="22"/>
          <w:highlight w:val="none"/>
        </w:rPr>
        <w:t>甲方现场监测数据出现异常时（超出标准数值等情况），若乙方未立即向甲方反馈，每点次扣款1000元。</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8.</w:t>
      </w:r>
      <w:r>
        <w:rPr>
          <w:rFonts w:hint="eastAsia" w:ascii="宋体" w:hAnsi="宋体" w:cs="宋体"/>
          <w:color w:val="000000"/>
          <w:sz w:val="22"/>
          <w:szCs w:val="22"/>
          <w:highlight w:val="none"/>
        </w:rPr>
        <w:t>4.19</w:t>
      </w:r>
      <w:r>
        <w:rPr>
          <w:rFonts w:hint="eastAsia" w:ascii="宋体" w:hAnsi="宋体" w:cs="宋体"/>
          <w:kern w:val="0"/>
          <w:sz w:val="22"/>
          <w:szCs w:val="22"/>
          <w:highlight w:val="none"/>
        </w:rPr>
        <w:t>乙方提交的正式监测报告中，若发现存在与原始数据不符等情况时，每次扣500元，当期报告重出。</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8.</w:t>
      </w:r>
      <w:r>
        <w:rPr>
          <w:rFonts w:hint="eastAsia" w:ascii="宋体" w:hAnsi="宋体" w:cs="宋体"/>
          <w:kern w:val="0"/>
          <w:sz w:val="22"/>
          <w:szCs w:val="22"/>
          <w:highlight w:val="none"/>
          <w:lang w:val="en-US" w:eastAsia="zh-CN"/>
        </w:rPr>
        <w:t>5</w:t>
      </w:r>
      <w:r>
        <w:rPr>
          <w:rFonts w:hint="eastAsia" w:ascii="宋体" w:hAnsi="宋体" w:cs="宋体"/>
          <w:kern w:val="0"/>
          <w:sz w:val="22"/>
          <w:szCs w:val="22"/>
          <w:highlight w:val="none"/>
        </w:rPr>
        <w:t>未尽事宜双方可签订补充协议予以约定。</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outlineLvl w:val="1"/>
        <w:rPr>
          <w:rFonts w:ascii="宋体" w:hAnsi="宋体" w:cs="宋体"/>
          <w:b/>
          <w:kern w:val="44"/>
          <w:sz w:val="24"/>
          <w:highlight w:val="none"/>
        </w:rPr>
      </w:pPr>
      <w:bookmarkStart w:id="59" w:name="_Toc533841627"/>
      <w:bookmarkStart w:id="60" w:name="_Toc13778"/>
      <w:bookmarkStart w:id="61" w:name="_Toc17217"/>
      <w:bookmarkStart w:id="62" w:name="_Toc17604"/>
      <w:bookmarkStart w:id="63" w:name="_Toc3795"/>
      <w:r>
        <w:rPr>
          <w:rFonts w:hint="eastAsia" w:ascii="宋体" w:hAnsi="宋体" w:cs="宋体"/>
          <w:b/>
          <w:kern w:val="44"/>
          <w:sz w:val="24"/>
          <w:highlight w:val="none"/>
        </w:rPr>
        <w:t>9.保密</w:t>
      </w:r>
      <w:bookmarkEnd w:id="59"/>
      <w:bookmarkEnd w:id="60"/>
      <w:bookmarkEnd w:id="61"/>
      <w:bookmarkEnd w:id="62"/>
      <w:bookmarkEnd w:id="63"/>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9.1 乙方必须将合同的所有细节作为保密资料对待，除为合同目的所必须，若没有得到甲方的事先批准，合同的任何部分不应在任何商业或技术文献上刊登或披露。如果就是否为出于合同之目的而必须刊登和披露有争议时，甲方决定应是最终决定。</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9.2 未经甲方事先批准，乙方不得在任何商业或技术文献上刊登或者披露任何与此项维保项目工程有关的情报或者详细资料。</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9.3 乙方不应在现场或维保设施上展示或容许展示任何贸易和商业性广告。</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outlineLvl w:val="1"/>
        <w:rPr>
          <w:rFonts w:ascii="宋体" w:hAnsi="宋体" w:cs="宋体"/>
          <w:b/>
          <w:kern w:val="44"/>
          <w:sz w:val="24"/>
          <w:highlight w:val="none"/>
        </w:rPr>
      </w:pPr>
      <w:bookmarkStart w:id="64" w:name="_Toc533841628"/>
      <w:bookmarkStart w:id="65" w:name="_Toc13953"/>
      <w:bookmarkStart w:id="66" w:name="_Toc17429"/>
      <w:bookmarkStart w:id="67" w:name="_Toc25676"/>
      <w:bookmarkStart w:id="68" w:name="_Toc30691"/>
      <w:r>
        <w:rPr>
          <w:rFonts w:hint="eastAsia" w:ascii="宋体" w:hAnsi="宋体" w:cs="宋体"/>
          <w:b/>
          <w:kern w:val="44"/>
          <w:sz w:val="24"/>
          <w:highlight w:val="none"/>
        </w:rPr>
        <w:t>10.税收</w:t>
      </w:r>
      <w:bookmarkEnd w:id="64"/>
      <w:bookmarkEnd w:id="65"/>
      <w:bookmarkEnd w:id="66"/>
      <w:bookmarkEnd w:id="67"/>
      <w:bookmarkEnd w:id="68"/>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u w:val="single"/>
        </w:rPr>
      </w:pPr>
      <w:r>
        <w:rPr>
          <w:rFonts w:hint="eastAsia" w:ascii="宋体" w:hAnsi="宋体" w:cs="宋体"/>
          <w:kern w:val="0"/>
          <w:sz w:val="22"/>
          <w:szCs w:val="22"/>
          <w:highlight w:val="none"/>
        </w:rPr>
        <w:t>10.1中国政府根据现行税法向甲方征收的与合同执行有关的所有税款，应由甲方承担</w:t>
      </w:r>
      <w:r>
        <w:rPr>
          <w:rFonts w:hint="eastAsia" w:ascii="宋体" w:hAnsi="宋体" w:cs="宋体"/>
          <w:kern w:val="0"/>
          <w:sz w:val="22"/>
          <w:szCs w:val="22"/>
          <w:highlight w:val="none"/>
          <w:lang w:val="zh-CN"/>
        </w:rPr>
        <w:t>，除此以外的税款均由乙方承担。</w:t>
      </w:r>
    </w:p>
    <w:p>
      <w:pPr>
        <w:keepNext w:val="0"/>
        <w:keepLines w:val="0"/>
        <w:pageBreakBefore w:val="0"/>
        <w:kinsoku/>
        <w:wordWrap/>
        <w:overflowPunct/>
        <w:topLinePunct w:val="0"/>
        <w:bidi w:val="0"/>
        <w:snapToGrid/>
        <w:spacing w:line="360" w:lineRule="auto"/>
        <w:ind w:left="0" w:leftChars="0" w:right="0" w:rightChars="0" w:firstLine="0" w:firstLineChars="0"/>
        <w:rPr>
          <w:rFonts w:ascii="宋体" w:hAnsi="宋体" w:cs="宋体"/>
          <w:kern w:val="0"/>
          <w:sz w:val="22"/>
          <w:szCs w:val="22"/>
          <w:highlight w:val="none"/>
          <w:lang w:val="zh-CN"/>
        </w:rPr>
      </w:pPr>
      <w:r>
        <w:rPr>
          <w:rFonts w:hint="eastAsia" w:ascii="宋体" w:hAnsi="宋体" w:cs="宋体"/>
          <w:kern w:val="0"/>
          <w:sz w:val="22"/>
          <w:szCs w:val="22"/>
          <w:highlight w:val="none"/>
        </w:rPr>
        <w:t>10.2</w:t>
      </w:r>
      <w:r>
        <w:rPr>
          <w:rFonts w:hint="eastAsia" w:ascii="宋体" w:hAnsi="宋体" w:cs="宋体"/>
          <w:kern w:val="0"/>
          <w:sz w:val="22"/>
          <w:szCs w:val="22"/>
          <w:highlight w:val="none"/>
          <w:lang w:val="zh-CN"/>
        </w:rPr>
        <w:t>中国政府根据现行税法及相关法规的规定对乙方和其雇员征收的与本合同有关的一切税费均由乙方负担，并已包含在合同总价中。</w:t>
      </w:r>
    </w:p>
    <w:p>
      <w:pPr>
        <w:keepNext w:val="0"/>
        <w:keepLines w:val="0"/>
        <w:pageBreakBefore w:val="0"/>
        <w:kinsoku/>
        <w:wordWrap/>
        <w:overflowPunct/>
        <w:topLinePunct w:val="0"/>
        <w:bidi w:val="0"/>
        <w:snapToGrid/>
        <w:spacing w:line="360" w:lineRule="auto"/>
        <w:ind w:left="0" w:leftChars="0" w:right="0" w:rightChars="0" w:firstLine="0" w:firstLineChars="0"/>
        <w:rPr>
          <w:rFonts w:ascii="宋体" w:hAnsi="宋体" w:cs="宋体"/>
          <w:kern w:val="0"/>
          <w:sz w:val="22"/>
          <w:szCs w:val="22"/>
          <w:highlight w:val="none"/>
          <w:lang w:val="zh-CN"/>
        </w:rPr>
      </w:pPr>
      <w:r>
        <w:rPr>
          <w:rFonts w:hint="eastAsia" w:ascii="宋体" w:hAnsi="宋体" w:cs="宋体"/>
          <w:kern w:val="0"/>
          <w:sz w:val="22"/>
          <w:szCs w:val="22"/>
          <w:highlight w:val="none"/>
          <w:lang w:val="zh-CN"/>
        </w:rPr>
        <w:t>10.3乙方必须保证所开具的发票符合中华人民共和国税法等相关法律法规，且由此产生的一切后果，由乙方自行承担。</w:t>
      </w:r>
    </w:p>
    <w:p>
      <w:pPr>
        <w:keepNext w:val="0"/>
        <w:keepLines w:val="0"/>
        <w:pageBreakBefore w:val="0"/>
        <w:kinsoku/>
        <w:wordWrap/>
        <w:overflowPunct/>
        <w:topLinePunct w:val="0"/>
        <w:bidi w:val="0"/>
        <w:snapToGrid/>
        <w:spacing w:line="360" w:lineRule="auto"/>
        <w:ind w:left="0" w:leftChars="0" w:right="0" w:rightChars="0" w:firstLine="0" w:firstLineChars="0"/>
        <w:rPr>
          <w:rFonts w:ascii="宋体" w:hAnsi="宋体" w:cs="宋体"/>
          <w:kern w:val="0"/>
          <w:sz w:val="22"/>
          <w:szCs w:val="22"/>
          <w:highlight w:val="none"/>
          <w:lang w:val="zh-CN"/>
        </w:rPr>
      </w:pPr>
      <w:r>
        <w:rPr>
          <w:rFonts w:hint="eastAsia" w:ascii="宋体" w:hAnsi="宋体" w:cs="宋体"/>
          <w:kern w:val="0"/>
          <w:sz w:val="22"/>
          <w:szCs w:val="22"/>
          <w:highlight w:val="none"/>
          <w:lang w:val="zh-CN"/>
        </w:rPr>
        <w:t>10.4在合同执行期间，如遇国家税率调整，则税费及合同含税总价相应调整。</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outlineLvl w:val="1"/>
        <w:rPr>
          <w:rFonts w:ascii="宋体" w:hAnsi="宋体" w:cs="宋体"/>
          <w:b/>
          <w:kern w:val="44"/>
          <w:sz w:val="24"/>
          <w:highlight w:val="none"/>
        </w:rPr>
      </w:pPr>
      <w:bookmarkStart w:id="69" w:name="_Toc533841629"/>
      <w:bookmarkStart w:id="70" w:name="_Toc29548"/>
      <w:bookmarkStart w:id="71" w:name="_Toc9453"/>
      <w:bookmarkStart w:id="72" w:name="_Toc6690"/>
      <w:r>
        <w:rPr>
          <w:rFonts w:hint="eastAsia" w:ascii="宋体" w:hAnsi="宋体" w:cs="宋体"/>
          <w:b/>
          <w:kern w:val="44"/>
          <w:sz w:val="24"/>
          <w:highlight w:val="none"/>
        </w:rPr>
        <w:t>1</w:t>
      </w:r>
      <w:bookmarkStart w:id="73" w:name="_Toc502722315"/>
      <w:bookmarkStart w:id="74" w:name="_Toc503890466"/>
      <w:bookmarkStart w:id="75" w:name="_Toc503148527"/>
      <w:bookmarkStart w:id="76" w:name="_Toc33412063"/>
      <w:bookmarkStart w:id="77" w:name="_Toc501447623"/>
      <w:bookmarkStart w:id="78" w:name="_Toc503890656"/>
      <w:bookmarkStart w:id="79" w:name="_Toc43108168"/>
      <w:bookmarkStart w:id="80" w:name="_Toc33415924"/>
      <w:bookmarkStart w:id="81" w:name="_Toc33414789"/>
      <w:bookmarkStart w:id="82" w:name="_Toc33414218"/>
      <w:r>
        <w:rPr>
          <w:rFonts w:hint="eastAsia" w:ascii="宋体" w:hAnsi="宋体" w:cs="宋体"/>
          <w:b/>
          <w:kern w:val="44"/>
          <w:sz w:val="24"/>
          <w:highlight w:val="none"/>
        </w:rPr>
        <w:t>1.保险</w:t>
      </w:r>
      <w:bookmarkEnd w:id="69"/>
      <w:bookmarkEnd w:id="70"/>
      <w:bookmarkEnd w:id="71"/>
      <w:bookmarkEnd w:id="72"/>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11.1 维保项目开工前，乙方必须按国家有关规定为参加维保项目工作的乙方人员办理国家和地方政府规定的相关社会保险和人身意外伤害保险，并支付保险费用。</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 xml:space="preserve">11.2 保险事故发生时，甲方和乙方有责任尽力采取必要的措施，防止或者减少损失。  </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11.3 保险事故发生后，购买保险方应积极向保险公司申请理赔，对方应积极提供资料和相应协助。</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11.4 乙方应承担在维保中造成的对其他方的伤害造成的索赔、诉讼和赔偿费用。</w:t>
      </w:r>
    </w:p>
    <w:bookmarkEnd w:id="73"/>
    <w:bookmarkEnd w:id="74"/>
    <w:bookmarkEnd w:id="75"/>
    <w:bookmarkEnd w:id="76"/>
    <w:bookmarkEnd w:id="77"/>
    <w:bookmarkEnd w:id="78"/>
    <w:bookmarkEnd w:id="79"/>
    <w:bookmarkEnd w:id="80"/>
    <w:bookmarkEnd w:id="81"/>
    <w:bookmarkEnd w:id="82"/>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outlineLvl w:val="1"/>
        <w:rPr>
          <w:rFonts w:ascii="宋体" w:hAnsi="宋体" w:cs="宋体"/>
          <w:b/>
          <w:kern w:val="44"/>
          <w:sz w:val="24"/>
          <w:highlight w:val="none"/>
        </w:rPr>
      </w:pPr>
      <w:bookmarkStart w:id="83" w:name="_Toc25486"/>
      <w:bookmarkStart w:id="84" w:name="_Toc533841630"/>
      <w:bookmarkStart w:id="85" w:name="_Toc11338"/>
      <w:bookmarkStart w:id="86" w:name="_Toc17106"/>
      <w:bookmarkStart w:id="87" w:name="_Toc25802"/>
      <w:r>
        <w:rPr>
          <w:rFonts w:hint="eastAsia" w:ascii="宋体" w:hAnsi="宋体" w:cs="宋体"/>
          <w:b/>
          <w:kern w:val="44"/>
          <w:sz w:val="24"/>
          <w:highlight w:val="none"/>
        </w:rPr>
        <w:t>12.合同执行时间表</w:t>
      </w:r>
      <w:bookmarkEnd w:id="83"/>
      <w:bookmarkEnd w:id="84"/>
      <w:bookmarkEnd w:id="85"/>
      <w:bookmarkEnd w:id="86"/>
      <w:bookmarkEnd w:id="87"/>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lang w:val="zh-CN"/>
        </w:rPr>
      </w:pPr>
      <w:r>
        <w:rPr>
          <w:rFonts w:hint="eastAsia" w:ascii="宋体" w:hAnsi="宋体" w:cs="宋体"/>
          <w:kern w:val="0"/>
          <w:sz w:val="22"/>
          <w:szCs w:val="22"/>
          <w:highlight w:val="none"/>
          <w:lang w:val="zh-CN"/>
        </w:rPr>
        <w:t>12.1 暂定服务时间为2026年</w:t>
      </w:r>
      <w:r>
        <w:rPr>
          <w:rFonts w:hint="eastAsia" w:ascii="宋体" w:hAnsi="宋体" w:cs="宋体"/>
          <w:kern w:val="0"/>
          <w:sz w:val="22"/>
          <w:szCs w:val="22"/>
          <w:highlight w:val="none"/>
          <w:lang w:val="en-US" w:eastAsia="zh-CN"/>
        </w:rPr>
        <w:t xml:space="preserve"> </w:t>
      </w:r>
      <w:r>
        <w:rPr>
          <w:rFonts w:hint="eastAsia" w:ascii="宋体" w:hAnsi="宋体" w:cs="宋体"/>
          <w:kern w:val="0"/>
          <w:sz w:val="22"/>
          <w:szCs w:val="22"/>
          <w:highlight w:val="none"/>
          <w:lang w:val="zh-CN"/>
        </w:rPr>
        <w:t>月</w:t>
      </w:r>
      <w:r>
        <w:rPr>
          <w:rFonts w:hint="eastAsia" w:ascii="宋体" w:hAnsi="宋体" w:cs="宋体"/>
          <w:kern w:val="0"/>
          <w:sz w:val="22"/>
          <w:szCs w:val="22"/>
          <w:highlight w:val="none"/>
          <w:lang w:val="en-US" w:eastAsia="zh-CN"/>
        </w:rPr>
        <w:t xml:space="preserve"> </w:t>
      </w:r>
      <w:r>
        <w:rPr>
          <w:rFonts w:hint="eastAsia" w:ascii="宋体" w:hAnsi="宋体" w:cs="宋体"/>
          <w:kern w:val="0"/>
          <w:sz w:val="22"/>
          <w:szCs w:val="22"/>
          <w:highlight w:val="none"/>
          <w:lang w:val="zh-CN"/>
        </w:rPr>
        <w:t>日至2029年</w:t>
      </w:r>
      <w:r>
        <w:rPr>
          <w:rFonts w:hint="eastAsia" w:ascii="宋体" w:hAnsi="宋体" w:cs="宋体"/>
          <w:kern w:val="0"/>
          <w:sz w:val="22"/>
          <w:szCs w:val="22"/>
          <w:highlight w:val="none"/>
          <w:lang w:val="en-US" w:eastAsia="zh-CN"/>
        </w:rPr>
        <w:t xml:space="preserve"> </w:t>
      </w:r>
      <w:r>
        <w:rPr>
          <w:rFonts w:hint="eastAsia" w:ascii="宋体" w:hAnsi="宋体" w:cs="宋体"/>
          <w:kern w:val="0"/>
          <w:sz w:val="22"/>
          <w:szCs w:val="22"/>
          <w:highlight w:val="none"/>
          <w:lang w:val="zh-CN"/>
        </w:rPr>
        <w:t>月</w:t>
      </w:r>
      <w:r>
        <w:rPr>
          <w:rFonts w:hint="eastAsia" w:ascii="宋体" w:hAnsi="宋体" w:cs="宋体"/>
          <w:kern w:val="0"/>
          <w:sz w:val="22"/>
          <w:szCs w:val="22"/>
          <w:highlight w:val="none"/>
          <w:lang w:val="en-US" w:eastAsia="zh-CN"/>
        </w:rPr>
        <w:t xml:space="preserve"> </w:t>
      </w:r>
      <w:r>
        <w:rPr>
          <w:rFonts w:hint="eastAsia" w:ascii="宋体" w:hAnsi="宋体" w:cs="宋体"/>
          <w:kern w:val="0"/>
          <w:sz w:val="22"/>
          <w:szCs w:val="22"/>
          <w:highlight w:val="none"/>
          <w:lang w:val="zh-CN"/>
        </w:rPr>
        <w:t>日（</w:t>
      </w:r>
      <w:r>
        <w:rPr>
          <w:rFonts w:hint="eastAsia" w:ascii="宋体" w:hAnsi="宋体" w:cs="宋体"/>
          <w:kern w:val="0"/>
          <w:sz w:val="22"/>
          <w:szCs w:val="22"/>
          <w:highlight w:val="none"/>
          <w:lang w:val="zh-CN" w:eastAsia="zh-CN"/>
        </w:rPr>
        <w:t>具体进场时间以甲方书面通知为准</w:t>
      </w:r>
      <w:r>
        <w:rPr>
          <w:rFonts w:hint="eastAsia" w:ascii="宋体" w:hAnsi="宋体" w:cs="宋体"/>
          <w:kern w:val="0"/>
          <w:sz w:val="22"/>
          <w:szCs w:val="22"/>
          <w:highlight w:val="none"/>
          <w:lang w:val="zh-CN"/>
        </w:rPr>
        <w:t>）。</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lang w:val="zh-CN"/>
        </w:rPr>
      </w:pPr>
      <w:r>
        <w:rPr>
          <w:rFonts w:hint="eastAsia" w:ascii="宋体" w:hAnsi="宋体" w:cs="宋体"/>
          <w:kern w:val="0"/>
          <w:sz w:val="22"/>
          <w:szCs w:val="22"/>
          <w:highlight w:val="none"/>
          <w:lang w:val="zh-CN"/>
        </w:rPr>
        <w:t>甲方有权对上述日期进行调整，乙方须承诺服从甲方对工期的调整。</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outlineLvl w:val="1"/>
        <w:rPr>
          <w:rFonts w:ascii="宋体" w:hAnsi="宋体" w:cs="宋体"/>
          <w:b/>
          <w:kern w:val="44"/>
          <w:sz w:val="24"/>
          <w:highlight w:val="none"/>
        </w:rPr>
      </w:pPr>
      <w:bookmarkStart w:id="88" w:name="_Toc19583"/>
      <w:bookmarkStart w:id="89" w:name="_Toc533841631"/>
      <w:bookmarkStart w:id="90" w:name="_Toc2776"/>
      <w:bookmarkStart w:id="91" w:name="_Toc4401"/>
      <w:bookmarkStart w:id="92" w:name="_Toc25870"/>
      <w:r>
        <w:rPr>
          <w:rFonts w:hint="eastAsia" w:ascii="宋体" w:hAnsi="宋体" w:cs="宋体"/>
          <w:b/>
          <w:kern w:val="44"/>
          <w:sz w:val="24"/>
          <w:highlight w:val="none"/>
        </w:rPr>
        <w:t>13.合同的变更、终止</w:t>
      </w:r>
      <w:bookmarkEnd w:id="88"/>
      <w:bookmarkEnd w:id="89"/>
      <w:bookmarkEnd w:id="90"/>
      <w:bookmarkEnd w:id="91"/>
      <w:bookmarkEnd w:id="92"/>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13.1 合同的变更</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 xml:space="preserve">13.1.1 </w:t>
      </w:r>
      <w:r>
        <w:rPr>
          <w:rFonts w:hint="eastAsia" w:ascii="宋体" w:hAnsi="宋体" w:cs="宋体"/>
          <w:bCs/>
          <w:kern w:val="0"/>
          <w:sz w:val="22"/>
          <w:szCs w:val="22"/>
          <w:highlight w:val="none"/>
        </w:rPr>
        <w:t>在</w:t>
      </w:r>
      <w:r>
        <w:rPr>
          <w:rFonts w:hint="eastAsia" w:ascii="宋体" w:hAnsi="宋体" w:cs="宋体"/>
          <w:kern w:val="0"/>
          <w:sz w:val="22"/>
          <w:szCs w:val="22"/>
          <w:highlight w:val="none"/>
        </w:rPr>
        <w:t>合同履行中，甲方有权对维保项目进行实质性的变更，对本合同条件所作的任何修改、补充均须根据双方协商达成的协议，以规定的标准修改书形式由双方盖章来完成，并作为本合同不可分割的组成部分，具有与合同本身同样的效力。</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13.1.2 由于甲方或乙方原因，无法实施部分项目工作，合同价款将做相应调整。</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13.1.3 工作量的确认：用户需求书中列出的工作内容是本维保项目的估算工作量（实际工作量以甲方现场实际情况和图纸为准）。</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13.1.4乙方在甲方要求的维保工作内容变更确定后15天内，向甲方提出变更项目价款的报告，经甲方确认后调整合同价款。变更合同价款按下列方法进行：</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13.1.4.1 合同中已有适用于变更维保项目的价格，按合同已有的价格执行；</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13.1.4.2 合同中只有与变更维保项目相似的价格，可以参照类似价格变更合同价款；</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13.1.4.3 合同中没有适用或相似于变更维保项目的价格，则按合同价款确定方式，由乙方进行报价分析，报甲方审核、批准后执行。</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13.1.5 甲方确认增加的维保项目变更价款与结算款同期支付。</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13.1.6 因乙方自身原因导致的维保项目变更，乙方无权要求任何补偿。</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13.1.7由于乙方原因需变更乙方单位名称的，需履行合同变更流程。</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13.2 合同终止</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13.2.1 双方合同义务履行完成终止合同</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 xml:space="preserve">    当合同双方完成了合同中规定的责任和义务，合同终止。</w:t>
      </w:r>
    </w:p>
    <w:p>
      <w:pPr>
        <w:keepNext w:val="0"/>
        <w:keepLines w:val="0"/>
        <w:pageBreakBefore w:val="0"/>
        <w:kinsoku/>
        <w:wordWrap/>
        <w:overflowPunct/>
        <w:topLinePunct w:val="0"/>
        <w:bidi w:val="0"/>
        <w:adjustRightInd w:val="0"/>
        <w:snapToGrid/>
        <w:spacing w:line="360" w:lineRule="auto"/>
        <w:ind w:left="0" w:leftChars="0" w:right="0" w:rightChars="0" w:firstLine="660" w:firstLineChars="300"/>
        <w:textAlignment w:val="baseline"/>
        <w:rPr>
          <w:rFonts w:ascii="宋体" w:hAnsi="宋体" w:cs="宋体"/>
          <w:kern w:val="0"/>
          <w:sz w:val="22"/>
          <w:szCs w:val="22"/>
          <w:highlight w:val="none"/>
        </w:rPr>
      </w:pPr>
      <w:r>
        <w:rPr>
          <w:rFonts w:hint="eastAsia" w:ascii="宋体" w:hAnsi="宋体" w:cs="宋体"/>
          <w:kern w:val="0"/>
          <w:sz w:val="22"/>
          <w:szCs w:val="22"/>
          <w:highlight w:val="none"/>
        </w:rPr>
        <w:t xml:space="preserve"> 双方同意终止合同</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 xml:space="preserve">    若双方同意，合同可以在任何条件下终止。</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13.2.2 违约终止合同</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13.2.2.1 因乙方违约终止合同。</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 xml:space="preserve">    如果甲方发现以下违约情形之一后可向乙方发出书面违约通知书，提出终止部分或全部合同：</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 xml:space="preserve">   （1）如果乙方无能力进行正常运行服务或不能按时提供规定的维保供甲方认可；</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 xml:space="preserve">   （2）如果乙方未能履行合同规定的其他任何义务； </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 xml:space="preserve">   （3）如果甲方认为乙方在本合同的竞争和实施过程中有腐败和欺诈行为；</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 xml:space="preserve">   （4）在服务考核中，如果乙方连续有二次考核分数低于</w:t>
      </w:r>
      <w:r>
        <w:rPr>
          <w:rFonts w:hint="eastAsia" w:ascii="宋体" w:hAnsi="宋体" w:cs="宋体"/>
          <w:kern w:val="0"/>
          <w:sz w:val="22"/>
          <w:szCs w:val="22"/>
          <w:highlight w:val="none"/>
          <w:lang w:val="en-US" w:eastAsia="zh-CN"/>
        </w:rPr>
        <w:t>8</w:t>
      </w:r>
      <w:r>
        <w:rPr>
          <w:rFonts w:hint="eastAsia" w:ascii="宋体" w:hAnsi="宋体" w:cs="宋体"/>
          <w:kern w:val="0"/>
          <w:sz w:val="22"/>
          <w:szCs w:val="22"/>
          <w:highlight w:val="none"/>
        </w:rPr>
        <w:t>0分时应视乙方不能履行服务合同的情况处理。</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13.2.2.2 因甲方违约终止合同。</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bCs/>
          <w:kern w:val="0"/>
          <w:sz w:val="22"/>
          <w:szCs w:val="22"/>
          <w:highlight w:val="none"/>
        </w:rPr>
        <w:t xml:space="preserve">    </w:t>
      </w:r>
      <w:r>
        <w:rPr>
          <w:rFonts w:hint="eastAsia" w:ascii="宋体" w:hAnsi="宋体" w:cs="宋体"/>
          <w:kern w:val="0"/>
          <w:sz w:val="22"/>
          <w:szCs w:val="22"/>
          <w:highlight w:val="none"/>
        </w:rPr>
        <w:t>如果甲方严重违背了合同规定的责任义务而且这种违约没有任何条款允许时，则乙方有权终止合同的一部分或全部，但前提条件是乙方应在终止合同前三个月书面通知甲方，而甲方未能在这个期限内采取合理的措施以弥补其违约。</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bCs/>
          <w:kern w:val="0"/>
          <w:sz w:val="22"/>
          <w:szCs w:val="22"/>
          <w:highlight w:val="none"/>
        </w:rPr>
        <w:t xml:space="preserve">    </w:t>
      </w:r>
      <w:r>
        <w:rPr>
          <w:rFonts w:hint="eastAsia" w:ascii="宋体" w:hAnsi="宋体" w:cs="宋体"/>
          <w:kern w:val="0"/>
          <w:sz w:val="22"/>
          <w:szCs w:val="22"/>
          <w:highlight w:val="none"/>
        </w:rPr>
        <w:t>乙方有权要求甲方补偿其因违约而造成的任何直接损失。但是，乙方应继续执行合同中未终止的部分。</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13.2.2.3 因不可抗力终止合同。</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 xml:space="preserve">    如因不可抗力提出终止合同，则双方应协商解决合同终止日以前双方应得的利益问题。如果乙方因不可抗力而导致合同实施延误或不能履行其他的合同义务的话，乙方的履约保证金不能被没收，也不应该承担延误期赔偿或终止合同的责任。</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13.2.3 合同终止的程序</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13.2.3.1 一方依据合同款约定要求终止合同的，应以书面形式向对方发出终止合同的通知，并在发出通知前10天告知对方。对解除合同有争议的，按主合同关于争议的约定处理。</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13.2.3.2 合同终止后，乙方应妥善做好已完项目和已购材料、设备的保护和移交工作，按甲方要求将自有机械设备和人员撤出维保场地。甲方应为乙方撤出提供必要条件，并按合同约定支付已完工作的价款。除此之外，有过错一方应当赔偿因合同终止给对方造成的损失。</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13.2.3.3 合同终止后，不影响双方在合同中约定的结算、清理和损害赔偿条款的效力。</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outlineLvl w:val="1"/>
        <w:rPr>
          <w:rFonts w:ascii="宋体" w:hAnsi="宋体" w:cs="宋体"/>
          <w:b/>
          <w:kern w:val="44"/>
          <w:sz w:val="24"/>
          <w:highlight w:val="none"/>
        </w:rPr>
      </w:pPr>
      <w:bookmarkStart w:id="93" w:name="_Toc131471580"/>
      <w:bookmarkStart w:id="94" w:name="_Toc15692"/>
      <w:bookmarkStart w:id="95" w:name="_Toc17716"/>
      <w:bookmarkStart w:id="96" w:name="_Toc5980"/>
      <w:bookmarkStart w:id="97" w:name="_Toc533841632"/>
      <w:bookmarkStart w:id="98" w:name="_Toc22324"/>
      <w:bookmarkStart w:id="99" w:name="_Toc205352465"/>
      <w:bookmarkStart w:id="100" w:name="_Toc205352466"/>
      <w:bookmarkStart w:id="101" w:name="_Toc17274"/>
      <w:bookmarkStart w:id="102" w:name="_Toc8473"/>
      <w:bookmarkStart w:id="103" w:name="_Toc533841633"/>
      <w:bookmarkStart w:id="104" w:name="_Toc131471581"/>
      <w:r>
        <w:rPr>
          <w:rFonts w:hint="eastAsia" w:ascii="宋体" w:hAnsi="宋体" w:cs="宋体"/>
          <w:b/>
          <w:kern w:val="44"/>
          <w:sz w:val="24"/>
          <w:highlight w:val="none"/>
        </w:rPr>
        <w:t>14.维保作业组</w:t>
      </w:r>
      <w:bookmarkEnd w:id="93"/>
      <w:r>
        <w:rPr>
          <w:rFonts w:hint="eastAsia" w:ascii="宋体" w:hAnsi="宋体" w:cs="宋体"/>
          <w:b/>
          <w:kern w:val="44"/>
          <w:sz w:val="24"/>
          <w:highlight w:val="none"/>
        </w:rPr>
        <w:t>织</w:t>
      </w:r>
      <w:bookmarkEnd w:id="94"/>
      <w:bookmarkEnd w:id="95"/>
      <w:bookmarkEnd w:id="96"/>
      <w:bookmarkEnd w:id="97"/>
      <w:bookmarkEnd w:id="98"/>
    </w:p>
    <w:bookmarkEnd w:id="99"/>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14.1 维保作业计划</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14.1.1 乙方应严格按照批准后的维保项目计划进行维保作业，若要对维保作业计划进行修改时，应具备充足理由并取得甲方的批准。</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14.1.2 若乙方不能按时提交维保作业而造成甲方工作的延误，乙方应赔偿甲方因延误而造成的损失。</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14.1.3 甲方由于其对公众服务的特点而需要改变已批准的计划时，乙方应按甲方最终批准的维保项目计划进行维保作业，甲方不补偿乙方的相应损失。</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14.1.4 凡由甲方提供的设备材料，乙方在向甲方提出需求计划时，要给甲方留有足够的采购或制造时间。</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14.2 现场维保作业实施</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14.2.1 乙方应对项目维保作业的现场作业和作业方法的完备、稳定和安全负全部责任。</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14.2.2 乙方应在维保作业计划中对于维保作业中有可能会遇到的一些特殊情况或有可能会产生不良后果的维保作业方法进行说明，并对有可能会产生的不良后果提出应急措施并经过甲方的批准,甲方对于维保作业方法的批准不排除乙方对维保作业方法的完备、稳定和安全应负的全部责任。</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14.2.3 鼓励乙方采取一些积极措施在维保作业中取得良好的效果和经济效益，为甲方节约成本或缩短工期，乙方采取的积极措施包括：</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14.2.3.1 在维保作业中采用新技术和新方法；</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14.2.3.2 对可能出现的甲方和乙方的风险采取积极防范措施；</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14.2.3.3 对甲方的设计和其它安排提出合理化建议；</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14.2.3.4 在维保作业中主动地进行各方面的协调，保证工程顺利实施。</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14.3 暂停维保作业</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14.3.1 甲方有权在他认为确有必要时，指令乙方暂停维保作业，乙方应当按甲方要求停止维保作业，并妥善保护已完工作，如有损失双方协商。</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14.3.2 因乙方原因造成停工的，由乙方承担甲方的损失。</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14.4 工作延误</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14.4.1 因以下原因造成工作延误，经甲方确认，工作相应顺延，损失双方协商：</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14.4.1.1 甲方未能按约定提供图纸及开工条件；</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14.4.1.2 甲方未按合同约定提供所需指令、批准手续等，致使维保作业不能正常进行；</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14.4.1.3 甲方要求的工作量增加；</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14.4.1.4 不可抗力；</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14.4.1.5 甲方同意工作顺延的其他情况。</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14.4.2 由于乙方的原因造成的工作延误，甲方有权指令乙方加速作业并由乙方承担甲方的损失。</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14.5 维保作业完工</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14.5.1 乙方必须按照约定的完工日期或甲方同意顺延的完工日期完成工作。</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14.5.2 因乙方原因不能按照约定的完工日期或甲方同意顺延的完工日期完成工作，乙方承担违约责任。</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14.5.3 因乙方自身原因造成工作延误或质量原因未及时告知甲方做好预防措施而引发事故的，乙方承担相应的损失和法律责任。</w:t>
      </w:r>
    </w:p>
    <w:bookmarkEnd w:id="100"/>
    <w:bookmarkEnd w:id="101"/>
    <w:bookmarkEnd w:id="102"/>
    <w:bookmarkEnd w:id="103"/>
    <w:bookmarkEnd w:id="104"/>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outlineLvl w:val="1"/>
        <w:rPr>
          <w:rFonts w:ascii="宋体" w:hAnsi="宋体" w:cs="宋体"/>
          <w:b/>
          <w:kern w:val="44"/>
          <w:sz w:val="24"/>
          <w:highlight w:val="none"/>
        </w:rPr>
      </w:pPr>
      <w:bookmarkStart w:id="105" w:name="_Toc21508"/>
      <w:bookmarkStart w:id="106" w:name="_Toc13913"/>
      <w:bookmarkStart w:id="107" w:name="_Toc11154"/>
      <w:bookmarkStart w:id="108" w:name="_Toc29702"/>
      <w:bookmarkStart w:id="109" w:name="_Toc533841634"/>
      <w:bookmarkStart w:id="110" w:name="_Toc205352467"/>
      <w:bookmarkStart w:id="111" w:name="_Toc131471582"/>
      <w:r>
        <w:rPr>
          <w:rFonts w:hint="eastAsia" w:ascii="宋体" w:hAnsi="宋体" w:cs="宋体"/>
          <w:b/>
          <w:kern w:val="44"/>
          <w:sz w:val="24"/>
          <w:highlight w:val="none"/>
        </w:rPr>
        <w:t>1</w:t>
      </w:r>
      <w:r>
        <w:rPr>
          <w:rFonts w:hint="eastAsia" w:ascii="宋体" w:hAnsi="宋体" w:cs="宋体"/>
          <w:b/>
          <w:kern w:val="44"/>
          <w:sz w:val="24"/>
          <w:highlight w:val="none"/>
          <w:lang w:val="en-US" w:eastAsia="zh-CN"/>
        </w:rPr>
        <w:t>5</w:t>
      </w:r>
      <w:r>
        <w:rPr>
          <w:rFonts w:hint="eastAsia" w:ascii="宋体" w:hAnsi="宋体" w:cs="宋体"/>
          <w:b/>
          <w:kern w:val="44"/>
          <w:sz w:val="24"/>
          <w:highlight w:val="none"/>
        </w:rPr>
        <w:t>.安全维保</w:t>
      </w:r>
      <w:bookmarkEnd w:id="105"/>
      <w:bookmarkEnd w:id="106"/>
      <w:bookmarkEnd w:id="107"/>
      <w:bookmarkEnd w:id="108"/>
      <w:bookmarkEnd w:id="109"/>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1</w:t>
      </w:r>
      <w:bookmarkEnd w:id="110"/>
      <w:bookmarkEnd w:id="111"/>
      <w:r>
        <w:rPr>
          <w:rFonts w:hint="eastAsia" w:ascii="宋体" w:hAnsi="宋体" w:cs="宋体"/>
          <w:kern w:val="0"/>
          <w:sz w:val="22"/>
          <w:szCs w:val="22"/>
          <w:highlight w:val="none"/>
          <w:lang w:val="en-US" w:eastAsia="zh-CN"/>
        </w:rPr>
        <w:t>5</w:t>
      </w:r>
      <w:r>
        <w:rPr>
          <w:rFonts w:hint="eastAsia" w:ascii="宋体" w:hAnsi="宋体" w:cs="宋体"/>
          <w:kern w:val="0"/>
          <w:sz w:val="22"/>
          <w:szCs w:val="22"/>
          <w:highlight w:val="none"/>
        </w:rPr>
        <w:t>.1 安全维保作业与检查</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1</w:t>
      </w:r>
      <w:r>
        <w:rPr>
          <w:rFonts w:hint="eastAsia" w:ascii="宋体" w:hAnsi="宋体" w:cs="宋体"/>
          <w:kern w:val="0"/>
          <w:sz w:val="22"/>
          <w:szCs w:val="22"/>
          <w:highlight w:val="none"/>
          <w:lang w:val="en-US" w:eastAsia="zh-CN"/>
        </w:rPr>
        <w:t>5</w:t>
      </w:r>
      <w:r>
        <w:rPr>
          <w:rFonts w:hint="eastAsia" w:ascii="宋体" w:hAnsi="宋体" w:cs="宋体"/>
          <w:kern w:val="0"/>
          <w:sz w:val="22"/>
          <w:szCs w:val="22"/>
          <w:highlight w:val="none"/>
        </w:rPr>
        <w:t>.1.1 乙方应遵守国家和地方有关安全生产的法律法规和甲方的有关安全生产的规章制度，严格按安全标准组织维保作业，并随时接受甲方和行业安全检查人员依法实施的监督检查，采取必要的安全防护措施，消除事故隐患。由于乙方安全措施不力造成事故的责任和因此发生的费用及甲方损失，由乙方在相关政府部门认定的责任范围内承担。</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1</w:t>
      </w:r>
      <w:r>
        <w:rPr>
          <w:rFonts w:hint="eastAsia" w:ascii="宋体" w:hAnsi="宋体" w:cs="宋体"/>
          <w:kern w:val="0"/>
          <w:sz w:val="22"/>
          <w:szCs w:val="22"/>
          <w:highlight w:val="none"/>
          <w:lang w:val="en-US" w:eastAsia="zh-CN"/>
        </w:rPr>
        <w:t>5</w:t>
      </w:r>
      <w:r>
        <w:rPr>
          <w:rFonts w:hint="eastAsia" w:ascii="宋体" w:hAnsi="宋体" w:cs="宋体"/>
          <w:kern w:val="0"/>
          <w:sz w:val="22"/>
          <w:szCs w:val="22"/>
          <w:highlight w:val="none"/>
        </w:rPr>
        <w:t>.1.2 参加维保工作的乙方人员必须经过甲方的岗前三级安全教育，且考试合格方可上岗作业。甲方应对其在维保作业场地的工作人员进行安全教育。甲方不得要求乙方违反安全管理的规定进行维保作业。</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1</w:t>
      </w:r>
      <w:r>
        <w:rPr>
          <w:rFonts w:hint="eastAsia" w:ascii="宋体" w:hAnsi="宋体" w:cs="宋体"/>
          <w:kern w:val="0"/>
          <w:sz w:val="22"/>
          <w:szCs w:val="22"/>
          <w:highlight w:val="none"/>
          <w:lang w:val="en-US" w:eastAsia="zh-CN"/>
        </w:rPr>
        <w:t>5</w:t>
      </w:r>
      <w:r>
        <w:rPr>
          <w:rFonts w:hint="eastAsia" w:ascii="宋体" w:hAnsi="宋体" w:cs="宋体"/>
          <w:kern w:val="0"/>
          <w:sz w:val="22"/>
          <w:szCs w:val="22"/>
          <w:highlight w:val="none"/>
        </w:rPr>
        <w:t>.1.3 乙方应在维保作业现场配置必要的安全标志以引起现场人员的注意，避免伤害。</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1</w:t>
      </w:r>
      <w:r>
        <w:rPr>
          <w:rFonts w:hint="eastAsia" w:ascii="宋体" w:hAnsi="宋体" w:cs="宋体"/>
          <w:kern w:val="0"/>
          <w:sz w:val="22"/>
          <w:szCs w:val="22"/>
          <w:highlight w:val="none"/>
          <w:lang w:val="en-US" w:eastAsia="zh-CN"/>
        </w:rPr>
        <w:t>5</w:t>
      </w:r>
      <w:r>
        <w:rPr>
          <w:rFonts w:hint="eastAsia" w:ascii="宋体" w:hAnsi="宋体" w:cs="宋体"/>
          <w:kern w:val="0"/>
          <w:sz w:val="22"/>
          <w:szCs w:val="22"/>
          <w:highlight w:val="none"/>
        </w:rPr>
        <w:t>.1.4 若甲方认为乙方在现场维保作业中存在一定的安全隐患，有可能威胁到现场人员（包括乘客）的生命安全和甲方的利益，有权要求乙方采取必要的措施和增加必需的设施以杜绝安全隐患。产生安全隐患的原因若是由乙方引起，采取措施和增加设备的费用应由乙方承担。</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1</w:t>
      </w:r>
      <w:r>
        <w:rPr>
          <w:rFonts w:hint="eastAsia" w:ascii="宋体" w:hAnsi="宋体" w:cs="宋体"/>
          <w:kern w:val="0"/>
          <w:sz w:val="22"/>
          <w:szCs w:val="22"/>
          <w:highlight w:val="none"/>
          <w:lang w:val="en-US" w:eastAsia="zh-CN"/>
        </w:rPr>
        <w:t>5</w:t>
      </w:r>
      <w:r>
        <w:rPr>
          <w:rFonts w:hint="eastAsia" w:ascii="宋体" w:hAnsi="宋体" w:cs="宋体"/>
          <w:kern w:val="0"/>
          <w:sz w:val="22"/>
          <w:szCs w:val="22"/>
          <w:highlight w:val="none"/>
        </w:rPr>
        <w:t>.2 安全防护</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1</w:t>
      </w:r>
      <w:r>
        <w:rPr>
          <w:rFonts w:hint="eastAsia" w:ascii="宋体" w:hAnsi="宋体" w:cs="宋体"/>
          <w:kern w:val="0"/>
          <w:sz w:val="22"/>
          <w:szCs w:val="22"/>
          <w:highlight w:val="none"/>
          <w:lang w:val="en-US" w:eastAsia="zh-CN"/>
        </w:rPr>
        <w:t>5</w:t>
      </w:r>
      <w:r>
        <w:rPr>
          <w:rFonts w:hint="eastAsia" w:ascii="宋体" w:hAnsi="宋体" w:cs="宋体"/>
          <w:kern w:val="0"/>
          <w:sz w:val="22"/>
          <w:szCs w:val="22"/>
          <w:highlight w:val="none"/>
        </w:rPr>
        <w:t>.2.1 乙方在任何维保作业开始前应向甲方提出安全防护措施，经甲方批准后方可实施。</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1</w:t>
      </w:r>
      <w:r>
        <w:rPr>
          <w:rFonts w:hint="eastAsia" w:ascii="宋体" w:hAnsi="宋体" w:cs="宋体"/>
          <w:kern w:val="0"/>
          <w:sz w:val="22"/>
          <w:szCs w:val="22"/>
          <w:highlight w:val="none"/>
          <w:lang w:val="en-US" w:eastAsia="zh-CN"/>
        </w:rPr>
        <w:t>5</w:t>
      </w:r>
      <w:r>
        <w:rPr>
          <w:rFonts w:hint="eastAsia" w:ascii="宋体" w:hAnsi="宋体" w:cs="宋体"/>
          <w:kern w:val="0"/>
          <w:sz w:val="22"/>
          <w:szCs w:val="22"/>
          <w:highlight w:val="none"/>
        </w:rPr>
        <w:t>.2.2 凡影响轨行区内行车设备正常使用的维保作业必须办理轨行区施工作业申请；维保过程中有动火作业时，应按规定办理动火申请。</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1</w:t>
      </w:r>
      <w:r>
        <w:rPr>
          <w:rFonts w:hint="eastAsia" w:ascii="宋体" w:hAnsi="宋体" w:cs="宋体"/>
          <w:kern w:val="0"/>
          <w:sz w:val="22"/>
          <w:szCs w:val="22"/>
          <w:highlight w:val="none"/>
          <w:lang w:val="en-US" w:eastAsia="zh-CN"/>
        </w:rPr>
        <w:t>5</w:t>
      </w:r>
      <w:r>
        <w:rPr>
          <w:rFonts w:hint="eastAsia" w:ascii="宋体" w:hAnsi="宋体" w:cs="宋体"/>
          <w:kern w:val="0"/>
          <w:sz w:val="22"/>
          <w:szCs w:val="22"/>
          <w:highlight w:val="none"/>
        </w:rPr>
        <w:t>.2.3 实施爆破作业，在放射、毒害性环境中维保(含堆放、运输、使用)作业及使用毒害性、腐蚀性物品维保作业时，乙方应在维保作业前10天以书面形式通知甲方，并提出相应的安全防护措施，经甲方批准后实施。</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1</w:t>
      </w:r>
      <w:r>
        <w:rPr>
          <w:rFonts w:hint="eastAsia" w:ascii="宋体" w:hAnsi="宋体" w:cs="宋体"/>
          <w:kern w:val="0"/>
          <w:sz w:val="22"/>
          <w:szCs w:val="22"/>
          <w:highlight w:val="none"/>
          <w:lang w:val="en-US" w:eastAsia="zh-CN"/>
        </w:rPr>
        <w:t>5</w:t>
      </w:r>
      <w:r>
        <w:rPr>
          <w:rFonts w:hint="eastAsia" w:ascii="宋体" w:hAnsi="宋体" w:cs="宋体"/>
          <w:kern w:val="0"/>
          <w:sz w:val="22"/>
          <w:szCs w:val="22"/>
          <w:highlight w:val="none"/>
        </w:rPr>
        <w:t>.2.4 在密闭空间作业时，乙方应安排必要的通风设备和照明设备及个人防护用具，以使维保作业场地保持一定的通风要求和照度要求，确保人身安全。</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1</w:t>
      </w:r>
      <w:r>
        <w:rPr>
          <w:rFonts w:hint="eastAsia" w:ascii="宋体" w:hAnsi="宋体" w:cs="宋体"/>
          <w:kern w:val="0"/>
          <w:sz w:val="22"/>
          <w:szCs w:val="22"/>
          <w:highlight w:val="none"/>
          <w:lang w:val="en-US" w:eastAsia="zh-CN"/>
        </w:rPr>
        <w:t>5</w:t>
      </w:r>
      <w:r>
        <w:rPr>
          <w:rFonts w:hint="eastAsia" w:ascii="宋体" w:hAnsi="宋体" w:cs="宋体"/>
          <w:kern w:val="0"/>
          <w:sz w:val="22"/>
          <w:szCs w:val="22"/>
          <w:highlight w:val="none"/>
        </w:rPr>
        <w:t>.2.5 地下作业时，乙方应准备必要的防停电设备和措施，以使现场人员在停电时能够迅速而安全地撤离维保作业现场。</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1</w:t>
      </w:r>
      <w:r>
        <w:rPr>
          <w:rFonts w:hint="eastAsia" w:ascii="宋体" w:hAnsi="宋体" w:cs="宋体"/>
          <w:kern w:val="0"/>
          <w:sz w:val="22"/>
          <w:szCs w:val="22"/>
          <w:highlight w:val="none"/>
          <w:lang w:val="en-US" w:eastAsia="zh-CN"/>
        </w:rPr>
        <w:t>5</w:t>
      </w:r>
      <w:r>
        <w:rPr>
          <w:rFonts w:hint="eastAsia" w:ascii="宋体" w:hAnsi="宋体" w:cs="宋体"/>
          <w:kern w:val="0"/>
          <w:sz w:val="22"/>
          <w:szCs w:val="22"/>
          <w:highlight w:val="none"/>
        </w:rPr>
        <w:t>.3 事故处理</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1</w:t>
      </w:r>
      <w:r>
        <w:rPr>
          <w:rFonts w:hint="eastAsia" w:ascii="宋体" w:hAnsi="宋体" w:cs="宋体"/>
          <w:kern w:val="0"/>
          <w:sz w:val="22"/>
          <w:szCs w:val="22"/>
          <w:highlight w:val="none"/>
          <w:lang w:val="en-US" w:eastAsia="zh-CN"/>
        </w:rPr>
        <w:t>5</w:t>
      </w:r>
      <w:r>
        <w:rPr>
          <w:rFonts w:hint="eastAsia" w:ascii="宋体" w:hAnsi="宋体" w:cs="宋体"/>
          <w:kern w:val="0"/>
          <w:sz w:val="22"/>
          <w:szCs w:val="22"/>
          <w:highlight w:val="none"/>
        </w:rPr>
        <w:t xml:space="preserve">.3.1 </w:t>
      </w:r>
      <w:r>
        <w:rPr>
          <w:rFonts w:hint="eastAsia" w:ascii="宋体" w:hAnsi="宋体" w:cs="宋体"/>
          <w:bCs/>
          <w:kern w:val="0"/>
          <w:sz w:val="22"/>
          <w:szCs w:val="22"/>
          <w:highlight w:val="none"/>
        </w:rPr>
        <w:t>生产现场出现的人身、设备等事故，双方均有责任紧急抢救。</w:t>
      </w:r>
      <w:r>
        <w:rPr>
          <w:rFonts w:hint="eastAsia" w:ascii="宋体" w:hAnsi="宋体" w:cs="宋体"/>
          <w:kern w:val="0"/>
          <w:sz w:val="22"/>
          <w:szCs w:val="22"/>
          <w:highlight w:val="none"/>
        </w:rPr>
        <w:t>在情况紧急且无法与甲方联系时，乙方应当采取保证人员生命和工程、财产安全的紧急措施，并在采取措施后及时向甲方送交报告，</w:t>
      </w:r>
      <w:r>
        <w:rPr>
          <w:rFonts w:hint="eastAsia" w:ascii="宋体" w:hAnsi="宋体" w:cs="宋体"/>
          <w:bCs/>
          <w:kern w:val="0"/>
          <w:sz w:val="22"/>
          <w:szCs w:val="22"/>
          <w:highlight w:val="none"/>
        </w:rPr>
        <w:t>事后应根据安全分析结论，由责任方负责</w:t>
      </w:r>
      <w:r>
        <w:rPr>
          <w:rFonts w:hint="eastAsia" w:ascii="宋体" w:hAnsi="宋体" w:cs="宋体"/>
          <w:kern w:val="0"/>
          <w:sz w:val="22"/>
          <w:szCs w:val="22"/>
          <w:highlight w:val="none"/>
        </w:rPr>
        <w:t>发生的抢险费用。</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1</w:t>
      </w:r>
      <w:r>
        <w:rPr>
          <w:rFonts w:hint="eastAsia" w:ascii="宋体" w:hAnsi="宋体" w:cs="宋体"/>
          <w:kern w:val="0"/>
          <w:sz w:val="22"/>
          <w:szCs w:val="22"/>
          <w:highlight w:val="none"/>
          <w:lang w:val="en-US" w:eastAsia="zh-CN"/>
        </w:rPr>
        <w:t>5</w:t>
      </w:r>
      <w:r>
        <w:rPr>
          <w:rFonts w:hint="eastAsia" w:ascii="宋体" w:hAnsi="宋体" w:cs="宋体"/>
          <w:kern w:val="0"/>
          <w:sz w:val="22"/>
          <w:szCs w:val="22"/>
          <w:highlight w:val="none"/>
        </w:rPr>
        <w:t>.3.2 发生重大伤亡及其他重大安全事故，乙方应按有关规定立即上报有关部门并通知甲方，同时按国家有关部门要求处理，由事故责任方承担发生的费用。</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1</w:t>
      </w:r>
      <w:r>
        <w:rPr>
          <w:rFonts w:hint="eastAsia" w:ascii="宋体" w:hAnsi="宋体" w:cs="宋体"/>
          <w:kern w:val="0"/>
          <w:sz w:val="22"/>
          <w:szCs w:val="22"/>
          <w:highlight w:val="none"/>
          <w:lang w:val="en-US" w:eastAsia="zh-CN"/>
        </w:rPr>
        <w:t>5</w:t>
      </w:r>
      <w:r>
        <w:rPr>
          <w:rFonts w:hint="eastAsia" w:ascii="宋体" w:hAnsi="宋体" w:cs="宋体"/>
          <w:kern w:val="0"/>
          <w:sz w:val="22"/>
          <w:szCs w:val="22"/>
          <w:highlight w:val="none"/>
        </w:rPr>
        <w:t>.3.3 甲方和乙方对事故责任有争议时，应按国家有关部门的认定处理。</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outlineLvl w:val="1"/>
        <w:rPr>
          <w:rFonts w:ascii="宋体" w:hAnsi="宋体" w:cs="宋体"/>
          <w:b/>
          <w:kern w:val="44"/>
          <w:sz w:val="24"/>
          <w:highlight w:val="none"/>
        </w:rPr>
      </w:pPr>
      <w:bookmarkStart w:id="112" w:name="_Toc23919"/>
      <w:bookmarkStart w:id="113" w:name="_Toc18848"/>
      <w:bookmarkStart w:id="114" w:name="_Toc3024"/>
      <w:bookmarkStart w:id="115" w:name="_Toc533841637"/>
      <w:bookmarkStart w:id="116" w:name="_Toc1233"/>
      <w:bookmarkStart w:id="117" w:name="_Toc205352470"/>
      <w:bookmarkStart w:id="118" w:name="_Toc203364672"/>
      <w:bookmarkStart w:id="119" w:name="_Toc131471593"/>
      <w:r>
        <w:rPr>
          <w:rFonts w:hint="eastAsia" w:ascii="宋体" w:hAnsi="宋体" w:cs="宋体"/>
          <w:b/>
          <w:kern w:val="44"/>
          <w:sz w:val="24"/>
          <w:highlight w:val="none"/>
        </w:rPr>
        <w:t>1</w:t>
      </w:r>
      <w:r>
        <w:rPr>
          <w:rFonts w:hint="eastAsia" w:ascii="宋体" w:hAnsi="宋体" w:cs="宋体"/>
          <w:b/>
          <w:kern w:val="44"/>
          <w:sz w:val="24"/>
          <w:highlight w:val="none"/>
          <w:lang w:val="en-US" w:eastAsia="zh-CN"/>
        </w:rPr>
        <w:t>6</w:t>
      </w:r>
      <w:r>
        <w:rPr>
          <w:rFonts w:hint="eastAsia" w:ascii="宋体" w:hAnsi="宋体" w:cs="宋体"/>
          <w:b/>
          <w:kern w:val="44"/>
          <w:sz w:val="24"/>
          <w:highlight w:val="none"/>
        </w:rPr>
        <w:t>.其它</w:t>
      </w:r>
      <w:bookmarkEnd w:id="112"/>
      <w:bookmarkEnd w:id="113"/>
      <w:bookmarkEnd w:id="114"/>
      <w:bookmarkEnd w:id="115"/>
      <w:bookmarkEnd w:id="116"/>
    </w:p>
    <w:bookmarkEnd w:id="117"/>
    <w:bookmarkEnd w:id="118"/>
    <w:bookmarkEnd w:id="119"/>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1</w:t>
      </w:r>
      <w:r>
        <w:rPr>
          <w:rFonts w:hint="eastAsia" w:ascii="宋体" w:hAnsi="宋体" w:cs="宋体"/>
          <w:kern w:val="0"/>
          <w:sz w:val="22"/>
          <w:szCs w:val="22"/>
          <w:highlight w:val="none"/>
          <w:lang w:val="en-US" w:eastAsia="zh-CN"/>
        </w:rPr>
        <w:t>6</w:t>
      </w:r>
      <w:r>
        <w:rPr>
          <w:rFonts w:hint="eastAsia" w:ascii="宋体" w:hAnsi="宋体" w:cs="宋体"/>
          <w:kern w:val="0"/>
          <w:sz w:val="22"/>
          <w:szCs w:val="22"/>
          <w:highlight w:val="none"/>
        </w:rPr>
        <w:t>.1 专利技术及特殊工艺</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sz w:val="22"/>
          <w:szCs w:val="22"/>
          <w:highlight w:val="none"/>
        </w:rPr>
      </w:pPr>
      <w:r>
        <w:rPr>
          <w:rFonts w:hint="eastAsia" w:ascii="宋体" w:hAnsi="宋体" w:cs="宋体"/>
          <w:kern w:val="0"/>
          <w:sz w:val="22"/>
          <w:szCs w:val="22"/>
          <w:highlight w:val="none"/>
        </w:rPr>
        <w:t>1</w:t>
      </w:r>
      <w:r>
        <w:rPr>
          <w:rFonts w:hint="eastAsia" w:ascii="宋体" w:hAnsi="宋体" w:cs="宋体"/>
          <w:kern w:val="0"/>
          <w:sz w:val="22"/>
          <w:szCs w:val="22"/>
          <w:highlight w:val="none"/>
          <w:lang w:val="en-US" w:eastAsia="zh-CN"/>
        </w:rPr>
        <w:t>6</w:t>
      </w:r>
      <w:r>
        <w:rPr>
          <w:rFonts w:hint="eastAsia" w:ascii="宋体" w:hAnsi="宋体" w:cs="宋体"/>
          <w:kern w:val="0"/>
          <w:sz w:val="22"/>
          <w:szCs w:val="22"/>
          <w:highlight w:val="none"/>
        </w:rPr>
        <w:t>.1.1 甲方要求使用专利技术或特殊工艺，应负责办理相应的申报手续，承担申报、试验、使用等费用；乙方提出使用专利技术或特殊工艺，应取得甲方批准，乙方负责办理申报手续并承担有关费用。</w:t>
      </w:r>
    </w:p>
    <w:p>
      <w:pPr>
        <w:keepNext w:val="0"/>
        <w:keepLines w:val="0"/>
        <w:pageBreakBefore w:val="0"/>
        <w:kinsoku/>
        <w:wordWrap/>
        <w:overflowPunct/>
        <w:topLinePunct w:val="0"/>
        <w:bidi w:val="0"/>
        <w:adjustRightInd w:val="0"/>
        <w:snapToGrid/>
        <w:spacing w:line="360" w:lineRule="auto"/>
        <w:ind w:left="0" w:leftChars="0" w:right="0" w:rightChars="0" w:firstLine="0" w:firstLineChars="0"/>
        <w:textAlignment w:val="baseline"/>
        <w:rPr>
          <w:rFonts w:ascii="宋体" w:hAnsi="宋体" w:cs="宋体"/>
          <w:kern w:val="0"/>
          <w:highlight w:val="none"/>
        </w:rPr>
      </w:pPr>
      <w:r>
        <w:rPr>
          <w:rFonts w:hint="eastAsia" w:ascii="宋体" w:hAnsi="宋体" w:cs="宋体"/>
          <w:kern w:val="0"/>
          <w:sz w:val="22"/>
          <w:szCs w:val="22"/>
          <w:highlight w:val="none"/>
        </w:rPr>
        <w:t>1</w:t>
      </w:r>
      <w:r>
        <w:rPr>
          <w:rFonts w:hint="eastAsia" w:ascii="宋体" w:hAnsi="宋体" w:cs="宋体"/>
          <w:kern w:val="0"/>
          <w:sz w:val="22"/>
          <w:szCs w:val="22"/>
          <w:highlight w:val="none"/>
          <w:lang w:val="en-US" w:eastAsia="zh-CN"/>
        </w:rPr>
        <w:t>6</w:t>
      </w:r>
      <w:r>
        <w:rPr>
          <w:rFonts w:hint="eastAsia" w:ascii="宋体" w:hAnsi="宋体" w:cs="宋体"/>
          <w:kern w:val="0"/>
          <w:sz w:val="22"/>
          <w:szCs w:val="22"/>
          <w:highlight w:val="none"/>
        </w:rPr>
        <w:t>.1.2 擅自使用专利技术侵犯他人专利权的，责任者承担相应责任。</w:t>
      </w:r>
    </w:p>
    <w:p>
      <w:pPr>
        <w:keepNext w:val="0"/>
        <w:keepLines w:val="0"/>
        <w:pageBreakBefore w:val="0"/>
        <w:kinsoku/>
        <w:wordWrap/>
        <w:overflowPunct/>
        <w:topLinePunct w:val="0"/>
        <w:bidi w:val="0"/>
        <w:snapToGrid/>
        <w:spacing w:line="360" w:lineRule="auto"/>
        <w:ind w:left="0" w:leftChars="0" w:right="0" w:rightChars="0" w:firstLine="0" w:firstLineChars="0"/>
        <w:rPr>
          <w:rFonts w:ascii="宋体" w:hAnsi="宋体" w:cs="宋体"/>
          <w:bCs/>
          <w:highlight w:val="none"/>
        </w:rPr>
      </w:pPr>
      <w:r>
        <w:rPr>
          <w:rFonts w:hint="eastAsia" w:ascii="宋体" w:hAnsi="宋体" w:cs="宋体"/>
          <w:bCs/>
          <w:highlight w:val="none"/>
        </w:rPr>
        <w:br w:type="page"/>
      </w:r>
    </w:p>
    <w:p>
      <w:pPr>
        <w:keepNext w:val="0"/>
        <w:keepLines w:val="0"/>
        <w:pageBreakBefore w:val="0"/>
        <w:kinsoku/>
        <w:wordWrap/>
        <w:overflowPunct/>
        <w:topLinePunct w:val="0"/>
        <w:bidi w:val="0"/>
        <w:snapToGrid/>
        <w:spacing w:line="360" w:lineRule="auto"/>
        <w:ind w:left="0" w:leftChars="0" w:right="0" w:rightChars="0" w:firstLine="0" w:firstLineChars="0"/>
        <w:outlineLvl w:val="2"/>
        <w:rPr>
          <w:rFonts w:ascii="宋体" w:hAnsi="宋体" w:cs="宋体"/>
          <w:highlight w:val="none"/>
        </w:rPr>
      </w:pPr>
      <w:r>
        <w:rPr>
          <w:rFonts w:hint="eastAsia" w:ascii="宋体" w:hAnsi="宋体" w:cs="宋体"/>
          <w:bCs/>
          <w:highlight w:val="none"/>
        </w:rPr>
        <w:t>附件1：</w:t>
      </w:r>
      <w:r>
        <w:rPr>
          <w:rFonts w:hint="eastAsia" w:ascii="宋体" w:hAnsi="宋体" w:cs="宋体"/>
          <w:highlight w:val="none"/>
        </w:rPr>
        <w:t>履约担保</w:t>
      </w:r>
    </w:p>
    <w:p>
      <w:pPr>
        <w:keepNext w:val="0"/>
        <w:keepLines w:val="0"/>
        <w:pageBreakBefore w:val="0"/>
        <w:kinsoku/>
        <w:wordWrap/>
        <w:overflowPunct/>
        <w:topLinePunct w:val="0"/>
        <w:bidi w:val="0"/>
        <w:snapToGrid/>
        <w:spacing w:line="360" w:lineRule="auto"/>
        <w:ind w:left="0" w:leftChars="0" w:right="0" w:rightChars="0" w:firstLine="0" w:firstLineChars="0"/>
        <w:jc w:val="center"/>
        <w:rPr>
          <w:rFonts w:ascii="宋体" w:hAnsi="宋体" w:cs="宋体"/>
          <w:b/>
          <w:sz w:val="30"/>
          <w:szCs w:val="30"/>
          <w:highlight w:val="none"/>
        </w:rPr>
      </w:pPr>
      <w:r>
        <w:rPr>
          <w:rFonts w:hint="eastAsia" w:ascii="宋体" w:hAnsi="宋体" w:cs="宋体"/>
          <w:b/>
          <w:sz w:val="30"/>
          <w:szCs w:val="30"/>
          <w:highlight w:val="none"/>
        </w:rPr>
        <w:t>履约保函</w:t>
      </w:r>
    </w:p>
    <w:p>
      <w:pPr>
        <w:keepNext w:val="0"/>
        <w:keepLines w:val="0"/>
        <w:pageBreakBefore w:val="0"/>
        <w:kinsoku/>
        <w:wordWrap/>
        <w:overflowPunct/>
        <w:topLinePunct w:val="0"/>
        <w:bidi w:val="0"/>
        <w:snapToGrid/>
        <w:spacing w:line="360" w:lineRule="auto"/>
        <w:ind w:left="0" w:leftChars="0" w:right="0" w:rightChars="0" w:firstLine="0" w:firstLineChars="0"/>
        <w:jc w:val="center"/>
        <w:rPr>
          <w:rFonts w:ascii="宋体" w:hAnsi="宋体" w:cs="宋体"/>
          <w:highlight w:val="none"/>
        </w:rPr>
      </w:pPr>
      <w:r>
        <w:rPr>
          <w:rFonts w:hint="eastAsia" w:ascii="宋体" w:hAnsi="宋体" w:cs="宋体"/>
          <w:sz w:val="24"/>
          <w:highlight w:val="none"/>
        </w:rPr>
        <w:t xml:space="preserve">                                             </w:t>
      </w:r>
      <w:r>
        <w:rPr>
          <w:rFonts w:hint="eastAsia" w:ascii="宋体" w:hAnsi="宋体" w:cs="宋体"/>
          <w:highlight w:val="none"/>
        </w:rPr>
        <w:t xml:space="preserve"> 保函编号：</w:t>
      </w:r>
      <w:r>
        <w:rPr>
          <w:rFonts w:hint="eastAsia" w:ascii="宋体" w:hAnsi="宋体" w:cs="宋体"/>
          <w:highlight w:val="none"/>
          <w:u w:val="single"/>
        </w:rPr>
        <w:t xml:space="preserve">       </w:t>
      </w:r>
    </w:p>
    <w:p>
      <w:pPr>
        <w:keepNext w:val="0"/>
        <w:keepLines w:val="0"/>
        <w:pageBreakBefore w:val="0"/>
        <w:kinsoku/>
        <w:wordWrap/>
        <w:overflowPunct/>
        <w:topLinePunct w:val="0"/>
        <w:bidi w:val="0"/>
        <w:snapToGrid/>
        <w:spacing w:line="360" w:lineRule="auto"/>
        <w:ind w:left="0" w:leftChars="0" w:right="0" w:rightChars="0" w:firstLine="0" w:firstLineChars="0"/>
        <w:rPr>
          <w:rFonts w:ascii="宋体" w:hAnsi="宋体" w:cs="宋体"/>
          <w:highlight w:val="none"/>
        </w:rPr>
      </w:pPr>
      <w:r>
        <w:rPr>
          <w:rFonts w:hint="eastAsia" w:ascii="宋体" w:hAnsi="宋体" w:cs="宋体"/>
          <w:b/>
          <w:bCs/>
          <w:highlight w:val="none"/>
        </w:rPr>
        <w:t>致：</w:t>
      </w:r>
      <w:r>
        <w:rPr>
          <w:rFonts w:hint="eastAsia" w:ascii="宋体" w:hAnsi="宋体" w:cs="宋体"/>
          <w:highlight w:val="none"/>
          <w:u w:val="single"/>
          <w:lang w:eastAsia="zh-CN"/>
        </w:rPr>
        <w:t>南通轨道交通集团有限公司运营分公司</w:t>
      </w:r>
      <w:r>
        <w:rPr>
          <w:rFonts w:hint="eastAsia" w:ascii="宋体" w:hAnsi="宋体" w:cs="宋体"/>
          <w:highlight w:val="none"/>
        </w:rPr>
        <w:t xml:space="preserve">          </w:t>
      </w:r>
    </w:p>
    <w:p>
      <w:pPr>
        <w:keepNext w:val="0"/>
        <w:keepLines w:val="0"/>
        <w:pageBreakBefore w:val="0"/>
        <w:kinsoku/>
        <w:wordWrap/>
        <w:overflowPunct/>
        <w:topLinePunct w:val="0"/>
        <w:bidi w:val="0"/>
        <w:snapToGrid/>
        <w:spacing w:line="360" w:lineRule="auto"/>
        <w:ind w:left="0" w:leftChars="0" w:right="0" w:rightChars="0" w:firstLine="0" w:firstLineChars="0"/>
        <w:rPr>
          <w:rFonts w:ascii="宋体" w:hAnsi="宋体" w:cs="宋体"/>
          <w:highlight w:val="none"/>
        </w:rPr>
      </w:pPr>
      <w:r>
        <w:rPr>
          <w:rFonts w:hint="eastAsia" w:ascii="宋体" w:hAnsi="宋体" w:cs="宋体"/>
          <w:highlight w:val="none"/>
        </w:rPr>
        <w:t>鉴于乙方</w:t>
      </w:r>
      <w:r>
        <w:rPr>
          <w:rFonts w:hint="eastAsia" w:ascii="宋体" w:hAnsi="宋体" w:cs="宋体"/>
          <w:highlight w:val="none"/>
          <w:u w:val="single"/>
        </w:rPr>
        <w:t xml:space="preserve">       </w:t>
      </w:r>
      <w:r>
        <w:rPr>
          <w:rFonts w:hint="eastAsia" w:ascii="宋体" w:hAnsi="宋体" w:cs="宋体"/>
          <w:highlight w:val="none"/>
        </w:rPr>
        <w:t>与</w:t>
      </w:r>
      <w:r>
        <w:rPr>
          <w:rFonts w:hint="eastAsia" w:ascii="宋体" w:hAnsi="宋体" w:cs="宋体"/>
          <w:highlight w:val="none"/>
          <w:u w:val="single"/>
          <w:lang w:eastAsia="zh-CN"/>
        </w:rPr>
        <w:t>南通轨道交通集团有限公司运营分公司</w:t>
      </w:r>
      <w:r>
        <w:rPr>
          <w:rFonts w:hint="eastAsia" w:ascii="宋体" w:hAnsi="宋体" w:cs="宋体"/>
          <w:highlight w:val="none"/>
        </w:rPr>
        <w:t>（下称“甲方”）签订了</w:t>
      </w:r>
      <w:r>
        <w:rPr>
          <w:rFonts w:hint="eastAsia" w:ascii="宋体" w:hAnsi="宋体" w:cs="宋体"/>
          <w:highlight w:val="none"/>
          <w:u w:val="single"/>
        </w:rPr>
        <w:t xml:space="preserve">      </w:t>
      </w:r>
      <w:r>
        <w:rPr>
          <w:rFonts w:hint="eastAsia" w:ascii="宋体" w:hAnsi="宋体" w:cs="宋体"/>
          <w:highlight w:val="none"/>
        </w:rPr>
        <w:t>合同书，并保证按合同规定承担该合同的工作任务，我行愿意出具保函为乙方担保，担保金额为人民币（大写）</w:t>
      </w:r>
      <w:r>
        <w:rPr>
          <w:rFonts w:hint="eastAsia" w:ascii="宋体" w:hAnsi="宋体" w:cs="宋体"/>
          <w:highlight w:val="none"/>
          <w:u w:val="single" w:color="000000"/>
        </w:rPr>
        <w:t xml:space="preserve">         </w:t>
      </w:r>
      <w:r>
        <w:rPr>
          <w:rFonts w:hint="eastAsia" w:ascii="宋体" w:hAnsi="宋体" w:cs="宋体"/>
          <w:highlight w:val="none"/>
        </w:rPr>
        <w:t>元（￥</w:t>
      </w:r>
      <w:r>
        <w:rPr>
          <w:rFonts w:hint="eastAsia" w:ascii="宋体" w:hAnsi="宋体" w:cs="宋体"/>
          <w:highlight w:val="none"/>
          <w:u w:val="single" w:color="000000"/>
        </w:rPr>
        <w:t xml:space="preserve">       </w:t>
      </w:r>
      <w:r>
        <w:rPr>
          <w:rFonts w:hint="eastAsia" w:ascii="宋体" w:hAnsi="宋体" w:cs="宋体"/>
          <w:highlight w:val="none"/>
        </w:rPr>
        <w:t>元）。</w:t>
      </w:r>
    </w:p>
    <w:p>
      <w:pPr>
        <w:keepNext w:val="0"/>
        <w:keepLines w:val="0"/>
        <w:pageBreakBefore w:val="0"/>
        <w:kinsoku/>
        <w:wordWrap/>
        <w:overflowPunct/>
        <w:topLinePunct w:val="0"/>
        <w:bidi w:val="0"/>
        <w:snapToGrid/>
        <w:spacing w:line="360" w:lineRule="auto"/>
        <w:ind w:left="0" w:leftChars="0" w:right="0" w:rightChars="0" w:firstLine="0" w:firstLineChars="0"/>
        <w:rPr>
          <w:rFonts w:ascii="宋体" w:hAnsi="宋体" w:cs="宋体"/>
          <w:highlight w:val="none"/>
        </w:rPr>
      </w:pPr>
      <w:r>
        <w:rPr>
          <w:rFonts w:hint="eastAsia" w:ascii="宋体" w:hAnsi="宋体" w:cs="宋体"/>
          <w:highlight w:val="none"/>
        </w:rPr>
        <w:t>本保函的义务是：我行在接到甲方提出的因乙方在履行合同过程中未能履约或违背合同规定的责任和义务而要求索赔的书面通知的 15 天内,在上述担保金额的限额内向甲方支付任何数额的款项，无须甲方出具证明或陈述理由。</w:t>
      </w:r>
    </w:p>
    <w:p>
      <w:pPr>
        <w:keepNext w:val="0"/>
        <w:keepLines w:val="0"/>
        <w:pageBreakBefore w:val="0"/>
        <w:kinsoku/>
        <w:wordWrap/>
        <w:overflowPunct/>
        <w:topLinePunct w:val="0"/>
        <w:bidi w:val="0"/>
        <w:snapToGrid/>
        <w:spacing w:line="360" w:lineRule="auto"/>
        <w:ind w:left="0" w:leftChars="0" w:right="0" w:rightChars="0" w:firstLine="0" w:firstLineChars="0"/>
        <w:rPr>
          <w:rFonts w:ascii="宋体" w:hAnsi="宋体" w:cs="宋体"/>
          <w:highlight w:val="none"/>
        </w:rPr>
      </w:pPr>
      <w:r>
        <w:rPr>
          <w:rFonts w:hint="eastAsia" w:ascii="宋体" w:hAnsi="宋体" w:cs="宋体"/>
          <w:highlight w:val="none"/>
        </w:rPr>
        <w:t>在向我行提出要求前，我行将不坚持要求甲方应首先向乙方索要上述款项。我们还同意，任何对合同条款所作的修改或补充都不能免除或减轻我行按本保函所应承担的义务，但法律法规另有规定的除外。</w:t>
      </w:r>
    </w:p>
    <w:p>
      <w:pPr>
        <w:keepNext w:val="0"/>
        <w:keepLines w:val="0"/>
        <w:pageBreakBefore w:val="0"/>
        <w:kinsoku/>
        <w:wordWrap/>
        <w:overflowPunct/>
        <w:topLinePunct w:val="0"/>
        <w:bidi w:val="0"/>
        <w:snapToGrid/>
        <w:spacing w:line="360" w:lineRule="auto"/>
        <w:ind w:left="0" w:leftChars="0" w:right="0" w:rightChars="0" w:firstLine="0" w:firstLineChars="0"/>
        <w:rPr>
          <w:rFonts w:ascii="宋体" w:hAnsi="宋体" w:cs="宋体"/>
          <w:highlight w:val="none"/>
        </w:rPr>
      </w:pPr>
      <w:r>
        <w:rPr>
          <w:rFonts w:hint="eastAsia" w:ascii="宋体" w:hAnsi="宋体" w:cs="宋体"/>
          <w:highlight w:val="none"/>
        </w:rPr>
        <w:t>本保函保证方式为见索即付的连带责任保证，自我行签发之日即有效且不可撤销，直到本项目完工后失效；但无论如何,本保函有效期最晚应不迟于202</w:t>
      </w:r>
      <w:r>
        <w:rPr>
          <w:rFonts w:hint="eastAsia" w:ascii="宋体" w:hAnsi="宋体" w:cs="宋体"/>
          <w:highlight w:val="none"/>
          <w:lang w:val="en-US" w:eastAsia="zh-CN"/>
        </w:rPr>
        <w:t>9</w:t>
      </w:r>
      <w:r>
        <w:rPr>
          <w:rFonts w:hint="eastAsia" w:ascii="宋体" w:hAnsi="宋体" w:cs="宋体"/>
          <w:highlight w:val="none"/>
        </w:rPr>
        <w:t>年</w:t>
      </w:r>
      <w:r>
        <w:rPr>
          <w:rFonts w:hint="eastAsia" w:ascii="宋体" w:hAnsi="宋体" w:cs="宋体"/>
          <w:highlight w:val="none"/>
          <w:lang w:val="en-US" w:eastAsia="zh-CN"/>
        </w:rPr>
        <w:t>12</w:t>
      </w:r>
      <w:r>
        <w:rPr>
          <w:rFonts w:hint="eastAsia" w:ascii="宋体" w:hAnsi="宋体" w:cs="宋体"/>
          <w:highlight w:val="none"/>
        </w:rPr>
        <w:t>月31日失效。</w:t>
      </w:r>
    </w:p>
    <w:p>
      <w:pPr>
        <w:keepNext w:val="0"/>
        <w:keepLines w:val="0"/>
        <w:pageBreakBefore w:val="0"/>
        <w:kinsoku/>
        <w:wordWrap/>
        <w:overflowPunct/>
        <w:topLinePunct w:val="0"/>
        <w:bidi w:val="0"/>
        <w:snapToGrid/>
        <w:spacing w:line="360" w:lineRule="auto"/>
        <w:ind w:left="0" w:leftChars="0" w:right="0" w:rightChars="0" w:firstLine="0" w:firstLineChars="0"/>
        <w:rPr>
          <w:rFonts w:ascii="宋体" w:hAnsi="宋体" w:cs="宋体"/>
          <w:highlight w:val="none"/>
        </w:rPr>
      </w:pPr>
    </w:p>
    <w:p>
      <w:pPr>
        <w:keepNext w:val="0"/>
        <w:keepLines w:val="0"/>
        <w:pageBreakBefore w:val="0"/>
        <w:kinsoku/>
        <w:wordWrap/>
        <w:overflowPunct/>
        <w:topLinePunct w:val="0"/>
        <w:bidi w:val="0"/>
        <w:snapToGrid/>
        <w:spacing w:line="360" w:lineRule="auto"/>
        <w:ind w:left="0" w:leftChars="0" w:right="0" w:rightChars="0" w:firstLine="0" w:firstLineChars="0"/>
        <w:rPr>
          <w:rFonts w:ascii="宋体" w:hAnsi="宋体" w:cs="宋体"/>
          <w:highlight w:val="none"/>
        </w:rPr>
      </w:pPr>
    </w:p>
    <w:p>
      <w:pPr>
        <w:keepNext w:val="0"/>
        <w:keepLines w:val="0"/>
        <w:pageBreakBefore w:val="0"/>
        <w:kinsoku/>
        <w:wordWrap/>
        <w:overflowPunct/>
        <w:topLinePunct w:val="0"/>
        <w:bidi w:val="0"/>
        <w:snapToGrid/>
        <w:spacing w:line="360" w:lineRule="auto"/>
        <w:ind w:left="0" w:leftChars="0" w:right="0" w:rightChars="0" w:firstLine="0" w:firstLineChars="0"/>
        <w:rPr>
          <w:rFonts w:ascii="宋体" w:hAnsi="宋体" w:cs="宋体"/>
          <w:highlight w:val="none"/>
          <w:u w:val="single"/>
        </w:rPr>
      </w:pPr>
      <w:r>
        <w:rPr>
          <w:rFonts w:hint="eastAsia" w:ascii="宋体" w:hAnsi="宋体" w:cs="宋体"/>
          <w:highlight w:val="none"/>
        </w:rPr>
        <w:t>担保银行：</w:t>
      </w:r>
      <w:r>
        <w:rPr>
          <w:rFonts w:hint="eastAsia" w:ascii="宋体" w:hAnsi="宋体" w:cs="宋体"/>
          <w:highlight w:val="none"/>
          <w:u w:val="single"/>
        </w:rPr>
        <w:t>（全称）         （盖章）</w:t>
      </w:r>
    </w:p>
    <w:p>
      <w:pPr>
        <w:keepNext w:val="0"/>
        <w:keepLines w:val="0"/>
        <w:pageBreakBefore w:val="0"/>
        <w:kinsoku/>
        <w:wordWrap/>
        <w:overflowPunct/>
        <w:topLinePunct w:val="0"/>
        <w:bidi w:val="0"/>
        <w:snapToGrid/>
        <w:spacing w:line="360" w:lineRule="auto"/>
        <w:ind w:left="0" w:leftChars="0" w:right="0" w:rightChars="0" w:firstLine="0" w:firstLineChars="0"/>
        <w:rPr>
          <w:rFonts w:ascii="宋体" w:hAnsi="宋体" w:cs="宋体"/>
          <w:highlight w:val="none"/>
        </w:rPr>
      </w:pPr>
      <w:r>
        <w:rPr>
          <w:rFonts w:hint="eastAsia" w:ascii="宋体" w:hAnsi="宋体" w:cs="宋体"/>
          <w:highlight w:val="none"/>
        </w:rPr>
        <w:t>负责人或其授权的代理人：</w:t>
      </w:r>
    </w:p>
    <w:p>
      <w:pPr>
        <w:keepNext w:val="0"/>
        <w:keepLines w:val="0"/>
        <w:pageBreakBefore w:val="0"/>
        <w:kinsoku/>
        <w:wordWrap/>
        <w:overflowPunct/>
        <w:topLinePunct w:val="0"/>
        <w:bidi w:val="0"/>
        <w:snapToGrid/>
        <w:spacing w:line="360" w:lineRule="auto"/>
        <w:ind w:left="0" w:leftChars="0" w:right="0" w:rightChars="0" w:firstLine="0" w:firstLineChars="0"/>
        <w:rPr>
          <w:rFonts w:ascii="宋体" w:hAnsi="宋体" w:cs="宋体"/>
          <w:highlight w:val="none"/>
          <w:u w:val="single"/>
        </w:rPr>
      </w:pPr>
      <w:r>
        <w:rPr>
          <w:rFonts w:hint="eastAsia" w:ascii="宋体" w:hAnsi="宋体" w:cs="宋体"/>
          <w:highlight w:val="none"/>
          <w:u w:val="single"/>
        </w:rPr>
        <w:t>（职务）  （姓名）        （签字）</w:t>
      </w:r>
    </w:p>
    <w:p>
      <w:pPr>
        <w:keepNext w:val="0"/>
        <w:keepLines w:val="0"/>
        <w:pageBreakBefore w:val="0"/>
        <w:kinsoku/>
        <w:wordWrap/>
        <w:overflowPunct/>
        <w:topLinePunct w:val="0"/>
        <w:bidi w:val="0"/>
        <w:snapToGrid/>
        <w:spacing w:line="360" w:lineRule="auto"/>
        <w:ind w:left="0" w:leftChars="0" w:right="0" w:rightChars="0" w:firstLine="0" w:firstLineChars="0"/>
        <w:rPr>
          <w:rFonts w:ascii="宋体" w:hAnsi="宋体" w:cs="宋体"/>
          <w:highlight w:val="none"/>
          <w:u w:val="single"/>
        </w:rPr>
      </w:pPr>
      <w:r>
        <w:rPr>
          <w:rFonts w:hint="eastAsia" w:ascii="宋体" w:hAnsi="宋体" w:cs="宋体"/>
          <w:highlight w:val="none"/>
        </w:rPr>
        <w:t>银行地址：</w:t>
      </w:r>
      <w:r>
        <w:rPr>
          <w:rFonts w:hint="eastAsia" w:ascii="宋体" w:hAnsi="宋体" w:cs="宋体"/>
          <w:highlight w:val="none"/>
          <w:u w:val="single"/>
        </w:rPr>
        <w:t xml:space="preserve">                        </w:t>
      </w:r>
    </w:p>
    <w:p>
      <w:pPr>
        <w:keepNext w:val="0"/>
        <w:keepLines w:val="0"/>
        <w:pageBreakBefore w:val="0"/>
        <w:kinsoku/>
        <w:wordWrap/>
        <w:overflowPunct/>
        <w:topLinePunct w:val="0"/>
        <w:bidi w:val="0"/>
        <w:snapToGrid/>
        <w:spacing w:line="360" w:lineRule="auto"/>
        <w:ind w:left="0" w:leftChars="0" w:right="0" w:rightChars="0" w:firstLine="0" w:firstLineChars="0"/>
        <w:rPr>
          <w:rFonts w:ascii="宋体" w:hAnsi="宋体" w:cs="宋体"/>
          <w:highlight w:val="none"/>
          <w:u w:val="single"/>
        </w:rPr>
      </w:pPr>
      <w:r>
        <w:rPr>
          <w:rFonts w:hint="eastAsia" w:ascii="宋体" w:hAnsi="宋体" w:cs="宋体"/>
          <w:highlight w:val="none"/>
        </w:rPr>
        <w:t>邮    编：</w:t>
      </w:r>
      <w:r>
        <w:rPr>
          <w:rFonts w:hint="eastAsia" w:ascii="宋体" w:hAnsi="宋体" w:cs="宋体"/>
          <w:highlight w:val="none"/>
          <w:u w:val="single"/>
        </w:rPr>
        <w:t xml:space="preserve">                        </w:t>
      </w:r>
    </w:p>
    <w:p>
      <w:pPr>
        <w:keepNext w:val="0"/>
        <w:keepLines w:val="0"/>
        <w:pageBreakBefore w:val="0"/>
        <w:kinsoku/>
        <w:wordWrap/>
        <w:overflowPunct/>
        <w:topLinePunct w:val="0"/>
        <w:bidi w:val="0"/>
        <w:snapToGrid/>
        <w:spacing w:line="360" w:lineRule="auto"/>
        <w:ind w:left="0" w:leftChars="0" w:right="0" w:rightChars="0" w:firstLine="0" w:firstLineChars="0"/>
        <w:rPr>
          <w:rFonts w:ascii="宋体" w:hAnsi="宋体" w:cs="宋体"/>
          <w:highlight w:val="none"/>
        </w:rPr>
      </w:pPr>
      <w:r>
        <w:rPr>
          <w:rFonts w:hint="eastAsia" w:ascii="宋体" w:hAnsi="宋体" w:cs="宋体"/>
          <w:highlight w:val="none"/>
        </w:rPr>
        <w:t>电    话：</w:t>
      </w:r>
      <w:r>
        <w:rPr>
          <w:rFonts w:hint="eastAsia" w:ascii="宋体" w:hAnsi="宋体" w:cs="宋体"/>
          <w:highlight w:val="none"/>
          <w:u w:val="single"/>
        </w:rPr>
        <w:t xml:space="preserve">                        </w:t>
      </w:r>
    </w:p>
    <w:p>
      <w:pPr>
        <w:keepNext w:val="0"/>
        <w:keepLines w:val="0"/>
        <w:pageBreakBefore w:val="0"/>
        <w:tabs>
          <w:tab w:val="left" w:pos="1080"/>
        </w:tabs>
        <w:kinsoku/>
        <w:wordWrap/>
        <w:overflowPunct/>
        <w:topLinePunct w:val="0"/>
        <w:bidi w:val="0"/>
        <w:snapToGrid/>
        <w:spacing w:line="360" w:lineRule="auto"/>
        <w:ind w:left="0" w:leftChars="0" w:right="0" w:rightChars="0" w:firstLine="0" w:firstLineChars="0"/>
        <w:rPr>
          <w:rFonts w:ascii="宋体" w:hAnsi="宋体" w:cs="宋体"/>
          <w:highlight w:val="none"/>
        </w:rPr>
      </w:pPr>
      <w:r>
        <w:rPr>
          <w:rFonts w:hint="eastAsia" w:ascii="宋体" w:hAnsi="宋体" w:cs="宋体"/>
          <w:highlight w:val="none"/>
        </w:rPr>
        <w:t>传    真：</w:t>
      </w:r>
      <w:r>
        <w:rPr>
          <w:rFonts w:hint="eastAsia" w:ascii="宋体" w:hAnsi="宋体" w:cs="宋体"/>
          <w:highlight w:val="none"/>
          <w:u w:val="single"/>
        </w:rPr>
        <w:t xml:space="preserve">                        </w:t>
      </w:r>
      <w:r>
        <w:rPr>
          <w:rFonts w:hint="eastAsia" w:ascii="宋体" w:hAnsi="宋体" w:cs="宋体"/>
          <w:highlight w:val="none"/>
        </w:rPr>
        <w:t xml:space="preserve"> </w:t>
      </w:r>
    </w:p>
    <w:p>
      <w:pPr>
        <w:keepNext w:val="0"/>
        <w:keepLines w:val="0"/>
        <w:pageBreakBefore w:val="0"/>
        <w:kinsoku/>
        <w:wordWrap/>
        <w:overflowPunct/>
        <w:topLinePunct w:val="0"/>
        <w:bidi w:val="0"/>
        <w:snapToGrid/>
        <w:spacing w:line="360" w:lineRule="auto"/>
        <w:ind w:left="0" w:leftChars="0" w:right="0" w:rightChars="0" w:firstLine="0" w:firstLineChars="0"/>
        <w:rPr>
          <w:rFonts w:ascii="宋体" w:hAnsi="宋体" w:cs="宋体"/>
          <w:highlight w:val="none"/>
        </w:rPr>
      </w:pPr>
      <w:r>
        <w:rPr>
          <w:rFonts w:hint="eastAsia" w:ascii="宋体" w:hAnsi="宋体" w:cs="宋体"/>
          <w:highlight w:val="none"/>
        </w:rPr>
        <w:t>日    期：</w:t>
      </w:r>
      <w:r>
        <w:rPr>
          <w:rFonts w:hint="eastAsia" w:ascii="宋体" w:hAnsi="宋体" w:cs="宋体"/>
          <w:highlight w:val="none"/>
          <w:u w:val="single"/>
        </w:rPr>
        <w:t xml:space="preserve">       </w:t>
      </w:r>
      <w:r>
        <w:rPr>
          <w:rFonts w:hint="eastAsia" w:ascii="宋体" w:hAnsi="宋体" w:cs="宋体"/>
          <w:highlight w:val="none"/>
        </w:rPr>
        <w:t>年</w:t>
      </w:r>
      <w:r>
        <w:rPr>
          <w:rFonts w:hint="eastAsia" w:ascii="宋体" w:hAnsi="宋体" w:cs="宋体"/>
          <w:highlight w:val="none"/>
          <w:u w:val="single"/>
        </w:rPr>
        <w:t xml:space="preserve">      </w:t>
      </w:r>
      <w:r>
        <w:rPr>
          <w:rFonts w:hint="eastAsia" w:ascii="宋体" w:hAnsi="宋体" w:cs="宋体"/>
          <w:highlight w:val="none"/>
        </w:rPr>
        <w:t>月</w:t>
      </w:r>
      <w:r>
        <w:rPr>
          <w:rFonts w:hint="eastAsia" w:ascii="宋体" w:hAnsi="宋体" w:cs="宋体"/>
          <w:highlight w:val="none"/>
          <w:u w:val="single"/>
        </w:rPr>
        <w:t xml:space="preserve">      </w:t>
      </w:r>
      <w:r>
        <w:rPr>
          <w:rFonts w:hint="eastAsia" w:ascii="宋体" w:hAnsi="宋体" w:cs="宋体"/>
          <w:highlight w:val="none"/>
        </w:rPr>
        <w:t>日</w:t>
      </w:r>
    </w:p>
    <w:p>
      <w:pPr>
        <w:keepNext w:val="0"/>
        <w:keepLines w:val="0"/>
        <w:pageBreakBefore w:val="0"/>
        <w:kinsoku/>
        <w:wordWrap/>
        <w:overflowPunct/>
        <w:topLinePunct w:val="0"/>
        <w:bidi w:val="0"/>
        <w:snapToGrid/>
        <w:spacing w:line="360" w:lineRule="auto"/>
        <w:ind w:left="0" w:leftChars="0" w:right="0" w:rightChars="0" w:firstLine="0" w:firstLineChars="0"/>
        <w:rPr>
          <w:rFonts w:ascii="宋体" w:hAnsi="宋体" w:cs="宋体"/>
          <w:highlight w:val="none"/>
        </w:rPr>
      </w:pPr>
    </w:p>
    <w:p>
      <w:pPr>
        <w:keepNext w:val="0"/>
        <w:keepLines w:val="0"/>
        <w:pageBreakBefore w:val="0"/>
        <w:kinsoku/>
        <w:wordWrap/>
        <w:overflowPunct/>
        <w:topLinePunct w:val="0"/>
        <w:autoSpaceDE w:val="0"/>
        <w:autoSpaceDN w:val="0"/>
        <w:bidi w:val="0"/>
        <w:snapToGrid/>
        <w:spacing w:line="360" w:lineRule="auto"/>
        <w:ind w:left="0" w:leftChars="0" w:right="0" w:rightChars="0" w:firstLine="0" w:firstLineChars="0"/>
        <w:jc w:val="both"/>
        <w:textAlignment w:val="bottom"/>
        <w:rPr>
          <w:rFonts w:ascii="宋体" w:hAnsi="宋体" w:cs="宋体"/>
          <w:b/>
          <w:highlight w:val="none"/>
        </w:rPr>
      </w:pPr>
    </w:p>
    <w:p>
      <w:pPr>
        <w:keepNext w:val="0"/>
        <w:keepLines w:val="0"/>
        <w:pageBreakBefore w:val="0"/>
        <w:kinsoku/>
        <w:wordWrap/>
        <w:overflowPunct/>
        <w:topLinePunct w:val="0"/>
        <w:bidi w:val="0"/>
        <w:snapToGrid/>
        <w:spacing w:line="360" w:lineRule="auto"/>
        <w:ind w:left="0" w:leftChars="0" w:right="0" w:rightChars="0" w:firstLine="0" w:firstLineChars="0"/>
        <w:rPr>
          <w:rFonts w:ascii="宋体" w:hAnsi="宋体" w:cs="宋体"/>
          <w:highlight w:val="none"/>
        </w:rPr>
      </w:pPr>
    </w:p>
    <w:p>
      <w:pPr>
        <w:keepNext w:val="0"/>
        <w:keepLines w:val="0"/>
        <w:pageBreakBefore w:val="0"/>
        <w:kinsoku/>
        <w:wordWrap/>
        <w:overflowPunct/>
        <w:topLinePunct w:val="0"/>
        <w:autoSpaceDE w:val="0"/>
        <w:autoSpaceDN w:val="0"/>
        <w:bidi w:val="0"/>
        <w:snapToGrid/>
        <w:spacing w:line="360" w:lineRule="auto"/>
        <w:ind w:left="0" w:leftChars="0" w:right="0" w:rightChars="0" w:firstLine="0" w:firstLineChars="0"/>
        <w:jc w:val="center"/>
        <w:textAlignment w:val="bottom"/>
        <w:rPr>
          <w:rFonts w:ascii="宋体" w:hAnsi="宋体" w:cs="宋体"/>
          <w:b/>
          <w:highlight w:val="none"/>
        </w:rPr>
      </w:pPr>
    </w:p>
    <w:p>
      <w:pPr>
        <w:keepNext w:val="0"/>
        <w:keepLines w:val="0"/>
        <w:pageBreakBefore w:val="0"/>
        <w:kinsoku/>
        <w:wordWrap/>
        <w:overflowPunct/>
        <w:topLinePunct w:val="0"/>
        <w:autoSpaceDE w:val="0"/>
        <w:autoSpaceDN w:val="0"/>
        <w:bidi w:val="0"/>
        <w:snapToGrid/>
        <w:spacing w:line="360" w:lineRule="auto"/>
        <w:ind w:left="0" w:leftChars="0" w:right="0" w:rightChars="0" w:firstLine="0" w:firstLineChars="0"/>
        <w:jc w:val="center"/>
        <w:textAlignment w:val="bottom"/>
        <w:rPr>
          <w:rFonts w:ascii="宋体" w:hAnsi="宋体" w:cs="宋体"/>
          <w:b/>
          <w:highlight w:val="none"/>
        </w:rPr>
      </w:pPr>
    </w:p>
    <w:p>
      <w:pPr>
        <w:keepNext w:val="0"/>
        <w:keepLines w:val="0"/>
        <w:pageBreakBefore w:val="0"/>
        <w:kinsoku/>
        <w:wordWrap/>
        <w:overflowPunct/>
        <w:topLinePunct w:val="0"/>
        <w:bidi w:val="0"/>
        <w:snapToGrid/>
        <w:spacing w:line="360" w:lineRule="auto"/>
        <w:ind w:left="0" w:leftChars="0" w:right="0" w:rightChars="0" w:firstLine="0" w:firstLineChars="0"/>
        <w:outlineLvl w:val="2"/>
        <w:rPr>
          <w:rFonts w:ascii="宋体" w:hAnsi="宋体" w:cs="宋体"/>
          <w:bCs/>
          <w:highlight w:val="none"/>
        </w:rPr>
      </w:pPr>
      <w:r>
        <w:rPr>
          <w:rFonts w:hint="eastAsia" w:ascii="宋体" w:hAnsi="宋体" w:cs="宋体"/>
          <w:bCs/>
          <w:highlight w:val="none"/>
        </w:rPr>
        <w:t>附件2：</w:t>
      </w:r>
      <w:bookmarkEnd w:id="24"/>
      <w:bookmarkStart w:id="120" w:name="_Toc69891507"/>
      <w:bookmarkStart w:id="121" w:name="_Toc17910"/>
      <w:bookmarkStart w:id="122" w:name="_Toc69909997"/>
      <w:r>
        <w:rPr>
          <w:rFonts w:hint="eastAsia" w:ascii="宋体" w:hAnsi="宋体" w:cs="宋体"/>
          <w:bCs/>
          <w:highlight w:val="none"/>
        </w:rPr>
        <w:t>廉政合同格式</w:t>
      </w:r>
      <w:bookmarkEnd w:id="120"/>
      <w:bookmarkEnd w:id="121"/>
      <w:bookmarkEnd w:id="122"/>
    </w:p>
    <w:p>
      <w:pPr>
        <w:pageBreakBefore w:val="0"/>
        <w:widowControl w:val="0"/>
        <w:kinsoku/>
        <w:wordWrap/>
        <w:overflowPunct/>
        <w:topLinePunct w:val="0"/>
        <w:autoSpaceDE/>
        <w:autoSpaceDN/>
        <w:bidi w:val="0"/>
        <w:spacing w:line="560" w:lineRule="exact"/>
        <w:ind w:left="0" w:right="0" w:firstLine="0" w:firstLineChars="0"/>
        <w:jc w:val="center"/>
        <w:textAlignment w:val="auto"/>
        <w:rPr>
          <w:rFonts w:hint="eastAsia" w:ascii="宋体" w:hAnsi="宋体" w:eastAsia="宋体" w:cs="宋体"/>
          <w:b/>
          <w:sz w:val="24"/>
          <w:szCs w:val="24"/>
          <w:highlight w:val="none"/>
        </w:rPr>
      </w:pPr>
      <w:r>
        <w:rPr>
          <w:rFonts w:hint="eastAsia" w:ascii="宋体" w:hAnsi="宋体" w:eastAsia="宋体" w:cs="宋体"/>
          <w:b/>
          <w:sz w:val="24"/>
          <w:szCs w:val="24"/>
          <w:highlight w:val="none"/>
        </w:rPr>
        <w:t>廉政合同</w:t>
      </w:r>
    </w:p>
    <w:p>
      <w:pPr>
        <w:keepNext w:val="0"/>
        <w:keepLines w:val="0"/>
        <w:pageBreakBefore w:val="0"/>
        <w:widowControl w:val="0"/>
        <w:kinsoku/>
        <w:wordWrap/>
        <w:overflowPunct/>
        <w:topLinePunct w:val="0"/>
        <w:autoSpaceDE/>
        <w:autoSpaceDN/>
        <w:bidi w:val="0"/>
        <w:adjustRightInd/>
        <w:snapToGrid/>
        <w:spacing w:line="360" w:lineRule="auto"/>
        <w:ind w:left="0" w:right="0" w:firstLine="0" w:firstLineChars="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甲方：</w:t>
      </w:r>
      <w:r>
        <w:rPr>
          <w:rFonts w:hint="eastAsia" w:ascii="宋体" w:hAnsi="宋体" w:eastAsia="宋体" w:cs="宋体"/>
          <w:sz w:val="24"/>
          <w:szCs w:val="24"/>
          <w:highlight w:val="none"/>
          <w:u w:val="single"/>
        </w:rPr>
        <w:t xml:space="preserve">南通轨道交通集团有限公司运营分公司  </w:t>
      </w:r>
    </w:p>
    <w:p>
      <w:pPr>
        <w:keepNext w:val="0"/>
        <w:keepLines w:val="0"/>
        <w:pageBreakBefore w:val="0"/>
        <w:widowControl w:val="0"/>
        <w:kinsoku/>
        <w:wordWrap/>
        <w:overflowPunct/>
        <w:topLinePunct w:val="0"/>
        <w:autoSpaceDE/>
        <w:autoSpaceDN/>
        <w:bidi w:val="0"/>
        <w:adjustRightInd/>
        <w:snapToGrid/>
        <w:spacing w:line="360" w:lineRule="auto"/>
        <w:ind w:left="0" w:right="0" w:firstLine="0" w:firstLineChars="0"/>
        <w:textAlignment w:val="auto"/>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t>乙方：</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p>
    <w:p>
      <w:pPr>
        <w:keepNext w:val="0"/>
        <w:keepLines w:val="0"/>
        <w:pageBreakBefore w:val="0"/>
        <w:widowControl w:val="0"/>
        <w:kinsoku/>
        <w:wordWrap/>
        <w:overflowPunct/>
        <w:topLinePunct w:val="0"/>
        <w:autoSpaceDE/>
        <w:autoSpaceDN/>
        <w:bidi w:val="0"/>
        <w:adjustRightInd/>
        <w:snapToGrid/>
        <w:spacing w:line="360" w:lineRule="auto"/>
        <w:ind w:left="0" w:right="0" w:firstLine="0" w:firstLineChars="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为加强廉政建设，规范甲、乙双方的各项活动，防止发生各种谋取不正当利益的违法违纪行为，保护国家、集体和当事人的合法权益，根据国家有关廉政建设规定，特订立本廉政合同。</w:t>
      </w:r>
    </w:p>
    <w:p>
      <w:pPr>
        <w:keepNext w:val="0"/>
        <w:keepLines w:val="0"/>
        <w:pageBreakBefore w:val="0"/>
        <w:widowControl w:val="0"/>
        <w:kinsoku/>
        <w:wordWrap/>
        <w:overflowPunct/>
        <w:topLinePunct w:val="0"/>
        <w:autoSpaceDE/>
        <w:autoSpaceDN/>
        <w:bidi w:val="0"/>
        <w:adjustRightInd/>
        <w:snapToGrid/>
        <w:spacing w:line="360" w:lineRule="auto"/>
        <w:ind w:left="0" w:right="0" w:firstLine="0" w:firstLineChars="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第一条 双方的权利和义务</w:t>
      </w:r>
    </w:p>
    <w:p>
      <w:pPr>
        <w:keepNext w:val="0"/>
        <w:keepLines w:val="0"/>
        <w:pageBreakBefore w:val="0"/>
        <w:widowControl w:val="0"/>
        <w:kinsoku/>
        <w:wordWrap/>
        <w:overflowPunct/>
        <w:topLinePunct w:val="0"/>
        <w:autoSpaceDE/>
        <w:autoSpaceDN/>
        <w:bidi w:val="0"/>
        <w:adjustRightInd/>
        <w:snapToGrid/>
        <w:spacing w:line="360" w:lineRule="auto"/>
        <w:ind w:left="0" w:right="0" w:firstLine="0" w:firstLineChars="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(一) 应严格遵守国家关于市场准入、项目招标投标、采购工作、招标代理管理、市场活动的有关法律、法规，相关政策，以及廉政建设的各项规定。</w:t>
      </w:r>
    </w:p>
    <w:p>
      <w:pPr>
        <w:keepNext w:val="0"/>
        <w:keepLines w:val="0"/>
        <w:pageBreakBefore w:val="0"/>
        <w:widowControl w:val="0"/>
        <w:kinsoku/>
        <w:wordWrap/>
        <w:overflowPunct/>
        <w:topLinePunct w:val="0"/>
        <w:autoSpaceDE/>
        <w:autoSpaceDN/>
        <w:bidi w:val="0"/>
        <w:adjustRightInd/>
        <w:snapToGrid/>
        <w:spacing w:line="360" w:lineRule="auto"/>
        <w:ind w:left="0" w:right="0" w:firstLine="0" w:firstLineChars="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(二) 严格执行本项目甲、乙双方签订的合同（协议）文件，自觉按合同（协议）办事。</w:t>
      </w:r>
    </w:p>
    <w:p>
      <w:pPr>
        <w:keepNext w:val="0"/>
        <w:keepLines w:val="0"/>
        <w:pageBreakBefore w:val="0"/>
        <w:widowControl w:val="0"/>
        <w:kinsoku/>
        <w:wordWrap/>
        <w:overflowPunct/>
        <w:topLinePunct w:val="0"/>
        <w:autoSpaceDE/>
        <w:autoSpaceDN/>
        <w:bidi w:val="0"/>
        <w:adjustRightInd/>
        <w:snapToGrid/>
        <w:spacing w:line="360" w:lineRule="auto"/>
        <w:ind w:left="0" w:right="0" w:firstLine="0" w:firstLineChars="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(三) 业务活动必须坚持公开、公平、公正、诚信、透明的原则（除法律法规和合同文件另有规定者外），双方人员不得获取不正当利益，不得损害国家和集体利益。</w:t>
      </w:r>
    </w:p>
    <w:p>
      <w:pPr>
        <w:keepNext w:val="0"/>
        <w:keepLines w:val="0"/>
        <w:pageBreakBefore w:val="0"/>
        <w:widowControl w:val="0"/>
        <w:kinsoku/>
        <w:wordWrap/>
        <w:overflowPunct/>
        <w:topLinePunct w:val="0"/>
        <w:autoSpaceDE/>
        <w:autoSpaceDN/>
        <w:bidi w:val="0"/>
        <w:adjustRightInd/>
        <w:snapToGrid/>
        <w:spacing w:line="360" w:lineRule="auto"/>
        <w:ind w:left="0" w:right="0" w:firstLine="0" w:firstLineChars="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(四) 建立健全廉政制度，开展廉政教育，公布举报电话，监督并认真查处违法违纪行为。发现对方在业务活动中有违反本合同行为的，有及时提醒对方纠正的权利和义务。情节严重的，有向其上级有关部门举报、建议给予处理并要求告知处理结果的权利。</w:t>
      </w:r>
    </w:p>
    <w:p>
      <w:pPr>
        <w:keepNext w:val="0"/>
        <w:keepLines w:val="0"/>
        <w:pageBreakBefore w:val="0"/>
        <w:widowControl w:val="0"/>
        <w:kinsoku/>
        <w:wordWrap/>
        <w:overflowPunct/>
        <w:topLinePunct w:val="0"/>
        <w:autoSpaceDE/>
        <w:autoSpaceDN/>
        <w:bidi w:val="0"/>
        <w:adjustRightInd/>
        <w:snapToGrid/>
        <w:spacing w:line="360" w:lineRule="auto"/>
        <w:ind w:left="0" w:right="0" w:firstLine="0" w:firstLineChars="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第二条  甲方的责任</w:t>
      </w:r>
    </w:p>
    <w:p>
      <w:pPr>
        <w:keepNext w:val="0"/>
        <w:keepLines w:val="0"/>
        <w:pageBreakBefore w:val="0"/>
        <w:widowControl w:val="0"/>
        <w:kinsoku/>
        <w:wordWrap/>
        <w:overflowPunct/>
        <w:topLinePunct w:val="0"/>
        <w:autoSpaceDE/>
        <w:autoSpaceDN/>
        <w:bidi w:val="0"/>
        <w:adjustRightInd/>
        <w:snapToGrid/>
        <w:spacing w:line="360" w:lineRule="auto"/>
        <w:ind w:left="0" w:right="0" w:firstLine="0" w:firstLineChars="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甲方的领导和从事该项目的工作人员，在项目的事前、事中、事后应遵守以下规定：</w:t>
      </w:r>
    </w:p>
    <w:p>
      <w:pPr>
        <w:keepNext w:val="0"/>
        <w:keepLines w:val="0"/>
        <w:pageBreakBefore w:val="0"/>
        <w:widowControl w:val="0"/>
        <w:kinsoku/>
        <w:wordWrap/>
        <w:overflowPunct/>
        <w:topLinePunct w:val="0"/>
        <w:autoSpaceDE/>
        <w:autoSpaceDN/>
        <w:bidi w:val="0"/>
        <w:adjustRightInd/>
        <w:snapToGrid/>
        <w:spacing w:line="360" w:lineRule="auto"/>
        <w:ind w:left="0" w:right="0" w:firstLine="0" w:firstLineChars="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(一) 不准向乙方索要或接受回扣、礼金、有价证券、贵重物品和好处费、感谢费等；不准在乙方报销任何由甲方或个人支付的费用。</w:t>
      </w:r>
    </w:p>
    <w:p>
      <w:pPr>
        <w:keepNext w:val="0"/>
        <w:keepLines w:val="0"/>
        <w:pageBreakBefore w:val="0"/>
        <w:widowControl w:val="0"/>
        <w:kinsoku/>
        <w:wordWrap/>
        <w:overflowPunct/>
        <w:topLinePunct w:val="0"/>
        <w:autoSpaceDE/>
        <w:autoSpaceDN/>
        <w:bidi w:val="0"/>
        <w:adjustRightInd/>
        <w:snapToGrid/>
        <w:spacing w:line="360" w:lineRule="auto"/>
        <w:ind w:left="0" w:right="0" w:firstLine="0" w:firstLineChars="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(二) 不准参加乙方安排的超标准宴请及健身、娱乐等活动；不得接受乙方提供的通讯工具、交通工具、高档办公用品等。</w:t>
      </w:r>
    </w:p>
    <w:p>
      <w:pPr>
        <w:keepNext w:val="0"/>
        <w:keepLines w:val="0"/>
        <w:pageBreakBefore w:val="0"/>
        <w:widowControl w:val="0"/>
        <w:kinsoku/>
        <w:wordWrap/>
        <w:overflowPunct/>
        <w:topLinePunct w:val="0"/>
        <w:autoSpaceDE/>
        <w:autoSpaceDN/>
        <w:bidi w:val="0"/>
        <w:adjustRightInd/>
        <w:snapToGrid/>
        <w:spacing w:line="360" w:lineRule="auto"/>
        <w:ind w:left="0" w:right="0" w:firstLine="0" w:firstLineChars="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(三) 不准要求、暗示和接受乙方为个人装修住房、婚丧嫁娶、配偶子女工作安排以及出国（境）、旅游等提供方便。</w:t>
      </w:r>
    </w:p>
    <w:p>
      <w:pPr>
        <w:keepNext w:val="0"/>
        <w:keepLines w:val="0"/>
        <w:pageBreakBefore w:val="0"/>
        <w:widowControl w:val="0"/>
        <w:kinsoku/>
        <w:wordWrap/>
        <w:overflowPunct/>
        <w:topLinePunct w:val="0"/>
        <w:autoSpaceDE/>
        <w:autoSpaceDN/>
        <w:bidi w:val="0"/>
        <w:adjustRightInd/>
        <w:snapToGrid/>
        <w:spacing w:line="360" w:lineRule="auto"/>
        <w:ind w:left="0" w:right="0" w:firstLine="0" w:firstLineChars="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(四) 配偶、子女不得从事与乙方承接本项目工作有关业务活动。</w:t>
      </w:r>
    </w:p>
    <w:p>
      <w:pPr>
        <w:keepNext w:val="0"/>
        <w:keepLines w:val="0"/>
        <w:pageBreakBefore w:val="0"/>
        <w:widowControl w:val="0"/>
        <w:kinsoku/>
        <w:wordWrap/>
        <w:overflowPunct/>
        <w:topLinePunct w:val="0"/>
        <w:autoSpaceDE/>
        <w:autoSpaceDN/>
        <w:bidi w:val="0"/>
        <w:adjustRightInd/>
        <w:snapToGrid/>
        <w:spacing w:line="360" w:lineRule="auto"/>
        <w:ind w:left="0" w:right="0" w:firstLine="0" w:firstLineChars="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第三条  乙方责任</w:t>
      </w:r>
    </w:p>
    <w:p>
      <w:pPr>
        <w:keepNext w:val="0"/>
        <w:keepLines w:val="0"/>
        <w:pageBreakBefore w:val="0"/>
        <w:widowControl w:val="0"/>
        <w:kinsoku/>
        <w:wordWrap/>
        <w:overflowPunct/>
        <w:topLinePunct w:val="0"/>
        <w:autoSpaceDE/>
        <w:autoSpaceDN/>
        <w:bidi w:val="0"/>
        <w:adjustRightInd/>
        <w:snapToGrid/>
        <w:spacing w:line="360" w:lineRule="auto"/>
        <w:ind w:left="0" w:right="0" w:firstLine="0" w:firstLineChars="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乙方应与甲方保持正常的业务交往，按照有关法律法规和程序开展业务工作，并遵守以下规定：</w:t>
      </w:r>
    </w:p>
    <w:p>
      <w:pPr>
        <w:keepNext w:val="0"/>
        <w:keepLines w:val="0"/>
        <w:pageBreakBefore w:val="0"/>
        <w:widowControl w:val="0"/>
        <w:kinsoku/>
        <w:wordWrap/>
        <w:overflowPunct/>
        <w:topLinePunct w:val="0"/>
        <w:autoSpaceDE/>
        <w:autoSpaceDN/>
        <w:bidi w:val="0"/>
        <w:adjustRightInd/>
        <w:snapToGrid/>
        <w:spacing w:line="360" w:lineRule="auto"/>
        <w:ind w:left="0" w:right="0" w:firstLine="0" w:firstLineChars="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(一) 不准以任何理由向甲方及其工作人员行贿或赠送礼金、有价证券、贵 (二) 不准以任何名义为甲方及其工作人员报销应由对方或个人支付的费用。</w:t>
      </w:r>
    </w:p>
    <w:p>
      <w:pPr>
        <w:keepNext w:val="0"/>
        <w:keepLines w:val="0"/>
        <w:pageBreakBefore w:val="0"/>
        <w:widowControl w:val="0"/>
        <w:kinsoku/>
        <w:wordWrap/>
        <w:overflowPunct/>
        <w:topLinePunct w:val="0"/>
        <w:autoSpaceDE/>
        <w:autoSpaceDN/>
        <w:bidi w:val="0"/>
        <w:adjustRightInd/>
        <w:snapToGrid/>
        <w:spacing w:line="360" w:lineRule="auto"/>
        <w:ind w:left="0" w:right="0" w:firstLine="0" w:firstLineChars="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(三) 不准以任何理由安排甲方工作人员参加的超标准宴请及健身、娱乐和旅游等活动。</w:t>
      </w:r>
    </w:p>
    <w:p>
      <w:pPr>
        <w:keepNext w:val="0"/>
        <w:keepLines w:val="0"/>
        <w:pageBreakBefore w:val="0"/>
        <w:widowControl w:val="0"/>
        <w:kinsoku/>
        <w:wordWrap/>
        <w:overflowPunct/>
        <w:topLinePunct w:val="0"/>
        <w:autoSpaceDE/>
        <w:autoSpaceDN/>
        <w:bidi w:val="0"/>
        <w:adjustRightInd/>
        <w:snapToGrid/>
        <w:spacing w:line="360" w:lineRule="auto"/>
        <w:ind w:left="0" w:right="0" w:firstLine="0" w:firstLineChars="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(四) 不准为甲方单位和工作人员购置或提供通讯工具、交通工具、高档办公用品和装修住房等。</w:t>
      </w:r>
    </w:p>
    <w:p>
      <w:pPr>
        <w:keepNext w:val="0"/>
        <w:keepLines w:val="0"/>
        <w:pageBreakBefore w:val="0"/>
        <w:widowControl w:val="0"/>
        <w:kinsoku/>
        <w:wordWrap/>
        <w:overflowPunct/>
        <w:topLinePunct w:val="0"/>
        <w:autoSpaceDE/>
        <w:autoSpaceDN/>
        <w:bidi w:val="0"/>
        <w:adjustRightInd/>
        <w:snapToGrid/>
        <w:spacing w:line="360" w:lineRule="auto"/>
        <w:ind w:left="0" w:right="0" w:firstLine="0" w:firstLineChars="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第四条  违约责任</w:t>
      </w:r>
    </w:p>
    <w:p>
      <w:pPr>
        <w:keepNext w:val="0"/>
        <w:keepLines w:val="0"/>
        <w:pageBreakBefore w:val="0"/>
        <w:widowControl w:val="0"/>
        <w:kinsoku/>
        <w:wordWrap/>
        <w:overflowPunct/>
        <w:topLinePunct w:val="0"/>
        <w:autoSpaceDE/>
        <w:autoSpaceDN/>
        <w:bidi w:val="0"/>
        <w:adjustRightInd/>
        <w:snapToGrid/>
        <w:spacing w:line="360" w:lineRule="auto"/>
        <w:ind w:left="0" w:right="0" w:firstLine="0" w:firstLineChars="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(一) 甲方工作人员有违反本合同第一、二条责任行为的，按照管理权限，依据有关法律法规和规定给予党纪、政纪处分或组织处理；涉嫌犯罪的，移交司法机关追究刑事责任；给乙方单位造成经济损失的，应予以赔偿。</w:t>
      </w:r>
    </w:p>
    <w:p>
      <w:pPr>
        <w:keepNext w:val="0"/>
        <w:keepLines w:val="0"/>
        <w:pageBreakBefore w:val="0"/>
        <w:widowControl w:val="0"/>
        <w:kinsoku/>
        <w:wordWrap/>
        <w:overflowPunct/>
        <w:topLinePunct w:val="0"/>
        <w:autoSpaceDE/>
        <w:autoSpaceDN/>
        <w:bidi w:val="0"/>
        <w:adjustRightInd/>
        <w:snapToGrid/>
        <w:spacing w:line="360" w:lineRule="auto"/>
        <w:ind w:left="0" w:right="0" w:firstLine="0" w:firstLineChars="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(二) 乙方工作人员有违反本合同第一、三条责任行为的，按照管理权限，依据有关法律法规和规定给予党纪、政纪处分或组织处理；涉嫌犯罪的，移交司法机关追究刑事责任；给甲方单位造成经济损失的，应予以赔偿。</w:t>
      </w:r>
    </w:p>
    <w:p>
      <w:pPr>
        <w:keepNext w:val="0"/>
        <w:keepLines w:val="0"/>
        <w:pageBreakBefore w:val="0"/>
        <w:widowControl w:val="0"/>
        <w:kinsoku/>
        <w:wordWrap/>
        <w:overflowPunct/>
        <w:topLinePunct w:val="0"/>
        <w:autoSpaceDE/>
        <w:autoSpaceDN/>
        <w:bidi w:val="0"/>
        <w:adjustRightInd/>
        <w:snapToGrid/>
        <w:spacing w:line="360" w:lineRule="auto"/>
        <w:ind w:left="0" w:right="0" w:firstLine="0" w:firstLineChars="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第五条  双方约定：本合同由运营分公司纪检监督部负责监督</w:t>
      </w:r>
      <w:r>
        <w:rPr>
          <w:rFonts w:hint="eastAsia" w:ascii="宋体" w:hAnsi="宋体" w:cs="宋体"/>
          <w:sz w:val="24"/>
          <w:szCs w:val="24"/>
          <w:highlight w:val="none"/>
          <w:lang w:eastAsia="zh-CN"/>
        </w:rPr>
        <w:t>。</w:t>
      </w:r>
    </w:p>
    <w:p>
      <w:pPr>
        <w:keepNext w:val="0"/>
        <w:keepLines w:val="0"/>
        <w:pageBreakBefore w:val="0"/>
        <w:widowControl w:val="0"/>
        <w:kinsoku/>
        <w:wordWrap/>
        <w:overflowPunct/>
        <w:topLinePunct w:val="0"/>
        <w:autoSpaceDE/>
        <w:autoSpaceDN/>
        <w:bidi w:val="0"/>
        <w:adjustRightInd/>
        <w:snapToGrid/>
        <w:spacing w:line="360" w:lineRule="auto"/>
        <w:ind w:left="0" w:right="0" w:firstLine="0" w:firstLineChars="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第六条  本合同作为合同的附件，与主合同具有同等法律效力。甲乙双方签署后立即生效。</w:t>
      </w:r>
    </w:p>
    <w:p>
      <w:pPr>
        <w:pageBreakBefore w:val="0"/>
        <w:widowControl w:val="0"/>
        <w:kinsoku/>
        <w:wordWrap/>
        <w:overflowPunct/>
        <w:topLinePunct w:val="0"/>
        <w:autoSpaceDE/>
        <w:autoSpaceDN/>
        <w:bidi w:val="0"/>
        <w:spacing w:line="560" w:lineRule="exact"/>
        <w:ind w:left="0" w:right="0" w:firstLine="0" w:firstLineChars="0"/>
        <w:jc w:val="left"/>
        <w:textAlignment w:val="auto"/>
        <w:rPr>
          <w:rFonts w:hint="eastAsia" w:ascii="宋体" w:hAnsi="宋体" w:eastAsia="宋体" w:cs="宋体"/>
          <w:sz w:val="24"/>
          <w:szCs w:val="24"/>
          <w:highlight w:val="none"/>
        </w:rPr>
      </w:pPr>
    </w:p>
    <w:p>
      <w:pPr>
        <w:pageBreakBefore w:val="0"/>
        <w:widowControl w:val="0"/>
        <w:kinsoku/>
        <w:wordWrap/>
        <w:overflowPunct/>
        <w:topLinePunct w:val="0"/>
        <w:autoSpaceDE/>
        <w:autoSpaceDN/>
        <w:bidi w:val="0"/>
        <w:spacing w:line="560" w:lineRule="exact"/>
        <w:ind w:left="0" w:right="0" w:firstLine="0" w:firstLineChars="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甲方（盖章）：</w:t>
      </w:r>
      <w:r>
        <w:rPr>
          <w:rFonts w:hint="eastAsia" w:ascii="宋体" w:hAnsi="宋体" w:eastAsia="宋体" w:cs="宋体"/>
          <w:sz w:val="24"/>
          <w:szCs w:val="24"/>
          <w:highlight w:val="none"/>
          <w:u w:val="single"/>
        </w:rPr>
        <w:t>南通轨道交通集团有限公司</w:t>
      </w:r>
      <w:r>
        <w:rPr>
          <w:rFonts w:hint="eastAsia" w:ascii="宋体" w:hAnsi="宋体" w:eastAsia="宋体" w:cs="宋体"/>
          <w:sz w:val="24"/>
          <w:szCs w:val="24"/>
          <w:highlight w:val="none"/>
        </w:rPr>
        <w:t xml:space="preserve">  乙方（盖章）：</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 xml:space="preserve">                        </w:t>
      </w:r>
    </w:p>
    <w:p>
      <w:pPr>
        <w:pageBreakBefore w:val="0"/>
        <w:widowControl w:val="0"/>
        <w:kinsoku/>
        <w:wordWrap/>
        <w:overflowPunct/>
        <w:topLinePunct w:val="0"/>
        <w:autoSpaceDE/>
        <w:autoSpaceDN/>
        <w:bidi w:val="0"/>
        <w:spacing w:line="560" w:lineRule="exact"/>
        <w:ind w:left="0" w:right="0" w:firstLine="0" w:firstLineChars="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u w:val="single"/>
        </w:rPr>
        <w:t>运营分公司</w:t>
      </w:r>
    </w:p>
    <w:p>
      <w:pPr>
        <w:spacing w:before="66" w:line="228" w:lineRule="auto"/>
        <w:ind w:left="0" w:leftChars="0" w:firstLine="0" w:firstLineChars="0"/>
        <w:rPr>
          <w:rFonts w:hint="eastAsia" w:ascii="宋体" w:hAnsi="宋体" w:eastAsia="宋体" w:cs="宋体"/>
          <w:sz w:val="31"/>
          <w:szCs w:val="31"/>
          <w:highlight w:val="none"/>
        </w:rPr>
      </w:pPr>
    </w:p>
    <w:p>
      <w:pPr>
        <w:ind w:left="0" w:leftChars="0" w:firstLine="0" w:firstLineChars="0"/>
        <w:rPr>
          <w:rFonts w:hint="eastAsia" w:ascii="宋体" w:hAnsi="宋体" w:eastAsia="宋体" w:cs="宋体"/>
          <w:sz w:val="24"/>
          <w:szCs w:val="24"/>
          <w:highlight w:val="none"/>
        </w:rPr>
      </w:pPr>
      <w:r>
        <w:rPr>
          <w:rFonts w:hint="eastAsia" w:ascii="宋体" w:hAnsi="宋体" w:eastAsia="宋体" w:cs="宋体"/>
          <w:sz w:val="24"/>
          <w:szCs w:val="24"/>
          <w:highlight w:val="none"/>
        </w:rPr>
        <w:br w:type="page"/>
      </w:r>
    </w:p>
    <w:p>
      <w:pPr>
        <w:spacing w:line="221" w:lineRule="auto"/>
        <w:rPr>
          <w:rFonts w:ascii="宋体" w:hAnsi="宋体" w:eastAsia="宋体" w:cs="宋体"/>
          <w:sz w:val="21"/>
          <w:szCs w:val="21"/>
          <w:highlight w:val="none"/>
        </w:rPr>
        <w:sectPr>
          <w:footerReference r:id="rId13" w:type="default"/>
          <w:pgSz w:w="11907" w:h="16839"/>
          <w:pgMar w:top="1431" w:right="1627" w:bottom="1215" w:left="1609" w:header="0" w:footer="988" w:gutter="0"/>
          <w:pgBorders>
            <w:top w:val="none" w:sz="0" w:space="0"/>
            <w:left w:val="none" w:sz="0" w:space="0"/>
            <w:bottom w:val="none" w:sz="0" w:space="0"/>
            <w:right w:val="none" w:sz="0" w:space="0"/>
          </w:pgBorders>
          <w:pgNumType w:fmt="decimal"/>
          <w:cols w:space="720" w:num="1"/>
        </w:sectPr>
      </w:pPr>
    </w:p>
    <w:p>
      <w:pPr>
        <w:pStyle w:val="7"/>
        <w:rPr>
          <w:highlight w:val="none"/>
        </w:rPr>
      </w:pPr>
      <w:bookmarkStart w:id="123" w:name="_Toc31910"/>
    </w:p>
    <w:p>
      <w:pPr>
        <w:ind w:firstLine="480"/>
        <w:rPr>
          <w:highlight w:val="none"/>
        </w:rPr>
      </w:pPr>
    </w:p>
    <w:p>
      <w:pPr>
        <w:ind w:firstLine="480"/>
        <w:rPr>
          <w:highlight w:val="none"/>
        </w:rPr>
      </w:pPr>
    </w:p>
    <w:p>
      <w:pPr>
        <w:ind w:firstLine="480"/>
        <w:rPr>
          <w:highlight w:val="none"/>
        </w:rPr>
      </w:pPr>
    </w:p>
    <w:p>
      <w:pPr>
        <w:ind w:firstLine="480"/>
        <w:rPr>
          <w:highlight w:val="none"/>
        </w:rPr>
      </w:pPr>
    </w:p>
    <w:p>
      <w:pPr>
        <w:ind w:firstLine="480"/>
        <w:rPr>
          <w:highlight w:val="none"/>
        </w:rPr>
      </w:pPr>
    </w:p>
    <w:p>
      <w:pPr>
        <w:ind w:firstLine="480"/>
        <w:rPr>
          <w:highlight w:val="none"/>
        </w:rPr>
      </w:pPr>
    </w:p>
    <w:p>
      <w:pPr>
        <w:ind w:firstLine="480"/>
        <w:rPr>
          <w:highlight w:val="none"/>
        </w:rPr>
      </w:pPr>
    </w:p>
    <w:p>
      <w:pPr>
        <w:ind w:firstLine="480"/>
        <w:rPr>
          <w:highlight w:val="none"/>
        </w:rPr>
      </w:pPr>
    </w:p>
    <w:p>
      <w:pPr>
        <w:ind w:firstLine="480"/>
        <w:rPr>
          <w:highlight w:val="none"/>
        </w:rPr>
      </w:pPr>
    </w:p>
    <w:p>
      <w:pPr>
        <w:pStyle w:val="7"/>
        <w:rPr>
          <w:highlight w:val="none"/>
        </w:rPr>
      </w:pPr>
    </w:p>
    <w:p>
      <w:pPr>
        <w:pStyle w:val="10"/>
        <w:rPr>
          <w:highlight w:val="none"/>
        </w:rPr>
      </w:pPr>
    </w:p>
    <w:p>
      <w:pPr>
        <w:keepNext/>
        <w:keepLines/>
        <w:ind w:firstLine="140" w:firstLineChars="32"/>
        <w:jc w:val="center"/>
        <w:outlineLvl w:val="0"/>
        <w:rPr>
          <w:rFonts w:hint="default" w:eastAsia="黑体"/>
          <w:bCs/>
          <w:kern w:val="44"/>
          <w:sz w:val="44"/>
          <w:szCs w:val="44"/>
          <w:highlight w:val="none"/>
          <w:lang w:val="en-US" w:eastAsia="zh-CN"/>
        </w:rPr>
      </w:pPr>
      <w:r>
        <w:rPr>
          <w:rFonts w:hint="eastAsia" w:eastAsia="黑体"/>
          <w:bCs/>
          <w:kern w:val="44"/>
          <w:sz w:val="44"/>
          <w:szCs w:val="44"/>
          <w:highlight w:val="none"/>
        </w:rPr>
        <w:t>第</w:t>
      </w:r>
      <w:r>
        <w:rPr>
          <w:rFonts w:hint="eastAsia" w:eastAsia="黑体"/>
          <w:bCs/>
          <w:kern w:val="44"/>
          <w:sz w:val="44"/>
          <w:szCs w:val="44"/>
          <w:highlight w:val="none"/>
          <w:lang w:val="en-US" w:eastAsia="zh-CN"/>
        </w:rPr>
        <w:t>五</w:t>
      </w:r>
      <w:r>
        <w:rPr>
          <w:rFonts w:hint="eastAsia" w:eastAsia="黑体"/>
          <w:bCs/>
          <w:kern w:val="44"/>
          <w:sz w:val="44"/>
          <w:szCs w:val="44"/>
          <w:highlight w:val="none"/>
        </w:rPr>
        <w:t xml:space="preserve">章 </w:t>
      </w:r>
      <w:r>
        <w:rPr>
          <w:rFonts w:hint="eastAsia" w:eastAsia="黑体"/>
          <w:bCs/>
          <w:kern w:val="44"/>
          <w:sz w:val="44"/>
          <w:szCs w:val="44"/>
          <w:highlight w:val="none"/>
          <w:lang w:val="en-US" w:eastAsia="zh-CN"/>
        </w:rPr>
        <w:t>采购需求</w:t>
      </w:r>
    </w:p>
    <w:p>
      <w:pPr>
        <w:spacing w:line="440" w:lineRule="exact"/>
        <w:ind w:firstLine="0" w:firstLineChars="0"/>
        <w:rPr>
          <w:rFonts w:ascii="宋体" w:hAnsi="宋体" w:cs="宋体"/>
          <w:sz w:val="28"/>
          <w:szCs w:val="28"/>
          <w:highlight w:val="none"/>
        </w:rPr>
      </w:pPr>
      <w:r>
        <w:rPr>
          <w:rFonts w:hint="eastAsia" w:eastAsia="黑体"/>
          <w:bCs/>
          <w:kern w:val="44"/>
          <w:sz w:val="44"/>
          <w:szCs w:val="44"/>
          <w:highlight w:val="none"/>
        </w:rPr>
        <w:br w:type="page"/>
      </w:r>
      <w:bookmarkEnd w:id="123"/>
    </w:p>
    <w:p>
      <w:pPr>
        <w:spacing w:line="360" w:lineRule="auto"/>
        <w:outlineLvl w:val="0"/>
        <w:rPr>
          <w:rFonts w:hint="eastAsia" w:ascii="宋体" w:hAnsi="宋体" w:eastAsia="宋体" w:cs="宋体"/>
          <w:b/>
          <w:bCs/>
          <w:color w:val="auto"/>
          <w:kern w:val="2"/>
          <w:sz w:val="24"/>
          <w:szCs w:val="24"/>
          <w:highlight w:val="none"/>
          <w:lang w:val="en-US" w:eastAsia="zh-CN"/>
        </w:rPr>
      </w:pPr>
      <w:bookmarkStart w:id="124" w:name="_Toc14421"/>
      <w:r>
        <w:rPr>
          <w:rFonts w:hint="eastAsia" w:ascii="宋体" w:hAnsi="宋体" w:eastAsia="宋体" w:cs="宋体"/>
          <w:b/>
          <w:bCs w:val="0"/>
          <w:color w:val="auto"/>
          <w:sz w:val="24"/>
          <w:szCs w:val="24"/>
          <w:highlight w:val="none"/>
          <w:lang w:val="en-US" w:eastAsia="zh-CN"/>
        </w:rPr>
        <w:t>1 项目概况</w:t>
      </w:r>
    </w:p>
    <w:p>
      <w:pPr>
        <w:tabs>
          <w:tab w:val="left" w:pos="6120"/>
        </w:tabs>
        <w:spacing w:line="360" w:lineRule="auto"/>
        <w:ind w:firstLine="480" w:firstLineChars="200"/>
        <w:rPr>
          <w:rFonts w:hint="eastAsia" w:ascii="宋体" w:hAnsi="宋体" w:eastAsia="宋体" w:cs="宋体"/>
          <w:color w:val="auto"/>
          <w:sz w:val="24"/>
          <w:szCs w:val="24"/>
          <w:highlight w:val="none"/>
          <w:lang w:val="en-US" w:eastAsia="zh-CN"/>
        </w:rPr>
      </w:pPr>
      <w:bookmarkStart w:id="125" w:name="_Toc294600410"/>
      <w:bookmarkStart w:id="126" w:name="_Toc294603089"/>
      <w:bookmarkStart w:id="127" w:name="_Toc294858427"/>
      <w:bookmarkStart w:id="128" w:name="_Toc295821992"/>
      <w:bookmarkStart w:id="129" w:name="_Toc294599934"/>
      <w:bookmarkStart w:id="130" w:name="_Toc294599097"/>
      <w:bookmarkStart w:id="131" w:name="_Toc294860242"/>
      <w:bookmarkStart w:id="132" w:name="_Toc294860201"/>
      <w:bookmarkStart w:id="133" w:name="_Toc295822023"/>
      <w:bookmarkStart w:id="134" w:name="_Toc294600095"/>
      <w:r>
        <w:rPr>
          <w:rFonts w:hint="eastAsia" w:ascii="宋体" w:hAnsi="宋体" w:eastAsia="宋体" w:cs="宋体"/>
          <w:color w:val="auto"/>
          <w:sz w:val="24"/>
          <w:szCs w:val="24"/>
          <w:highlight w:val="none"/>
          <w:lang w:val="en-US" w:eastAsia="zh-CN"/>
        </w:rPr>
        <w:t>2号线包括主线20.8km、幸福车辆段各单体建筑物、17座车站及附属结构。正线区间为盾构区间，幸福车辆段出入段线为明挖区间。17座车站均为地下车站，主线车站包含：幸福站、南通火车站、长岸站、北大街站、北城大桥站、钟秀西路站、和平桥站、体育公园站、易家桥站、文峰站、五一路站、园林路站、汽车东站、通富北路站、观音山站、南通东站、先锋站。</w:t>
      </w:r>
    </w:p>
    <w:bookmarkEnd w:id="125"/>
    <w:bookmarkEnd w:id="126"/>
    <w:bookmarkEnd w:id="127"/>
    <w:bookmarkEnd w:id="128"/>
    <w:bookmarkEnd w:id="129"/>
    <w:bookmarkEnd w:id="130"/>
    <w:bookmarkEnd w:id="131"/>
    <w:bookmarkEnd w:id="132"/>
    <w:bookmarkEnd w:id="133"/>
    <w:bookmarkEnd w:id="134"/>
    <w:p>
      <w:pPr>
        <w:spacing w:line="360" w:lineRule="auto"/>
        <w:outlineLvl w:val="0"/>
        <w:rPr>
          <w:rFonts w:hint="eastAsia" w:ascii="宋体" w:hAnsi="宋体" w:eastAsia="宋体" w:cs="宋体"/>
          <w:b/>
          <w:bCs w:val="0"/>
          <w:color w:val="auto"/>
          <w:sz w:val="24"/>
          <w:szCs w:val="24"/>
          <w:highlight w:val="none"/>
          <w:lang w:val="en-US" w:eastAsia="zh-CN"/>
        </w:rPr>
      </w:pPr>
      <w:bookmarkStart w:id="135" w:name="_Toc3551202"/>
      <w:bookmarkStart w:id="136" w:name="_Toc533073147"/>
      <w:bookmarkStart w:id="137" w:name="_Toc348894802"/>
      <w:bookmarkStart w:id="138" w:name="_Toc18818"/>
      <w:r>
        <w:rPr>
          <w:rFonts w:hint="eastAsia" w:ascii="宋体" w:hAnsi="宋体" w:eastAsia="宋体" w:cs="宋体"/>
          <w:b/>
          <w:bCs w:val="0"/>
          <w:color w:val="auto"/>
          <w:sz w:val="24"/>
          <w:szCs w:val="24"/>
          <w:highlight w:val="none"/>
          <w:lang w:val="en-US" w:eastAsia="zh-CN"/>
        </w:rPr>
        <w:t>2 标准技术规范</w:t>
      </w:r>
      <w:bookmarkEnd w:id="135"/>
      <w:bookmarkEnd w:id="136"/>
      <w:bookmarkEnd w:id="137"/>
      <w:bookmarkEnd w:id="138"/>
    </w:p>
    <w:p>
      <w:pPr>
        <w:tabs>
          <w:tab w:val="left" w:pos="6120"/>
        </w:tabs>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本项目按下述标准、规程、办法等文件组织实施（包括但不限于）。</w:t>
      </w:r>
    </w:p>
    <w:p>
      <w:pPr>
        <w:pStyle w:val="11"/>
        <w:tabs>
          <w:tab w:val="left" w:pos="840"/>
          <w:tab w:val="left" w:pos="2098"/>
        </w:tabs>
        <w:adjustRightInd/>
        <w:spacing w:before="0" w:after="0" w:line="360" w:lineRule="auto"/>
        <w:ind w:left="0" w:firstLine="0"/>
        <w:jc w:val="both"/>
        <w:textAlignment w:val="auto"/>
        <w:rPr>
          <w:rFonts w:hint="eastAsia" w:ascii="宋体" w:hAnsi="宋体" w:eastAsia="宋体" w:cs="宋体"/>
          <w:b/>
          <w:bCs/>
          <w:color w:val="auto"/>
          <w:kern w:val="2"/>
          <w:sz w:val="24"/>
          <w:szCs w:val="24"/>
          <w:highlight w:val="none"/>
          <w:lang w:val="en-US" w:eastAsia="zh-CN"/>
        </w:rPr>
      </w:pPr>
      <w:bookmarkStart w:id="139" w:name="_Toc18665"/>
      <w:bookmarkStart w:id="140" w:name="_Toc32268"/>
      <w:bookmarkStart w:id="141" w:name="_Toc12168"/>
      <w:r>
        <w:rPr>
          <w:rFonts w:hint="eastAsia" w:ascii="宋体" w:hAnsi="宋体" w:eastAsia="宋体" w:cs="宋体"/>
          <w:b/>
          <w:bCs/>
          <w:color w:val="auto"/>
          <w:kern w:val="2"/>
          <w:sz w:val="24"/>
          <w:szCs w:val="24"/>
          <w:highlight w:val="none"/>
          <w:lang w:val="en-US" w:eastAsia="zh-CN"/>
        </w:rPr>
        <w:t xml:space="preserve">2.1 </w:t>
      </w:r>
      <w:bookmarkEnd w:id="139"/>
      <w:bookmarkEnd w:id="140"/>
      <w:r>
        <w:rPr>
          <w:rFonts w:hint="eastAsia" w:ascii="宋体" w:hAnsi="宋体" w:eastAsia="宋体" w:cs="宋体"/>
          <w:b/>
          <w:bCs/>
          <w:color w:val="auto"/>
          <w:kern w:val="2"/>
          <w:sz w:val="24"/>
          <w:szCs w:val="24"/>
          <w:highlight w:val="none"/>
          <w:lang w:val="en-US" w:eastAsia="zh-CN"/>
        </w:rPr>
        <w:t>国家及行业相关标准与规范</w:t>
      </w:r>
      <w:bookmarkEnd w:id="141"/>
    </w:p>
    <w:p>
      <w:pPr>
        <w:tabs>
          <w:tab w:val="left" w:pos="6120"/>
        </w:tabs>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《城市轨道交通工程监测技术规范》（GB 50911-2013）；</w:t>
      </w:r>
    </w:p>
    <w:p>
      <w:pPr>
        <w:tabs>
          <w:tab w:val="left" w:pos="6120"/>
        </w:tabs>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《建筑地基基础设计规范》（GB 50007-2011）；</w:t>
      </w:r>
    </w:p>
    <w:p>
      <w:pPr>
        <w:tabs>
          <w:tab w:val="left" w:pos="6120"/>
        </w:tabs>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《城市轨道交通设施运营监测技术规范》（GB/T 39559.3-2020）；</w:t>
      </w:r>
    </w:p>
    <w:p>
      <w:pPr>
        <w:tabs>
          <w:tab w:val="left" w:pos="6120"/>
        </w:tabs>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《城市轨道交通设施运营监测技术规范 第3部分：隧道》（GB/T 39559.3-2020）；</w:t>
      </w:r>
    </w:p>
    <w:p>
      <w:pPr>
        <w:tabs>
          <w:tab w:val="left" w:pos="6120"/>
        </w:tabs>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《国家一、二等水准测量规范》（GB/T 12897-2006）；</w:t>
      </w:r>
    </w:p>
    <w:p>
      <w:pPr>
        <w:tabs>
          <w:tab w:val="left" w:pos="6120"/>
        </w:tabs>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《城市轨道交通工程测量规范》（GB/T 50308-2017）；</w:t>
      </w:r>
    </w:p>
    <w:p>
      <w:pPr>
        <w:tabs>
          <w:tab w:val="left" w:pos="6120"/>
        </w:tabs>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《江苏省城市轨道交通工程监测规程》（DGJ32/J 195-2015）；</w:t>
      </w:r>
    </w:p>
    <w:p>
      <w:pPr>
        <w:tabs>
          <w:tab w:val="left" w:pos="6120"/>
        </w:tabs>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《交运规〔2024〕9号城市轨道交通设施设备运行维护管理办法》；</w:t>
      </w:r>
    </w:p>
    <w:p>
      <w:pPr>
        <w:tabs>
          <w:tab w:val="left" w:pos="6120"/>
        </w:tabs>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上述技术规范如有更新的，需参照最新版执行。除上述技术规范外，投标人还应遵守招标人的其他相关文件要求。</w:t>
      </w:r>
    </w:p>
    <w:p>
      <w:pPr>
        <w:pStyle w:val="11"/>
        <w:tabs>
          <w:tab w:val="left" w:pos="840"/>
          <w:tab w:val="left" w:pos="2098"/>
        </w:tabs>
        <w:adjustRightInd/>
        <w:spacing w:before="0" w:after="0" w:line="360" w:lineRule="auto"/>
        <w:ind w:left="0" w:firstLine="0"/>
        <w:jc w:val="both"/>
        <w:textAlignment w:val="auto"/>
        <w:rPr>
          <w:rFonts w:hint="eastAsia" w:ascii="宋体" w:hAnsi="宋体" w:eastAsia="宋体" w:cs="宋体"/>
          <w:b/>
          <w:bCs/>
          <w:color w:val="auto"/>
          <w:kern w:val="2"/>
          <w:sz w:val="24"/>
          <w:szCs w:val="24"/>
          <w:highlight w:val="none"/>
          <w:lang w:val="en-US" w:eastAsia="zh-CN"/>
        </w:rPr>
      </w:pPr>
      <w:bookmarkStart w:id="142" w:name="_Toc24443"/>
      <w:bookmarkStart w:id="143" w:name="_Toc16545"/>
      <w:bookmarkStart w:id="144" w:name="_Toc11189"/>
      <w:r>
        <w:rPr>
          <w:rFonts w:hint="eastAsia" w:ascii="宋体" w:hAnsi="宋体" w:eastAsia="宋体" w:cs="宋体"/>
          <w:b/>
          <w:bCs/>
          <w:color w:val="auto"/>
          <w:kern w:val="2"/>
          <w:sz w:val="24"/>
          <w:szCs w:val="24"/>
          <w:highlight w:val="none"/>
          <w:lang w:val="en-US" w:eastAsia="zh-CN"/>
        </w:rPr>
        <w:t>2.2</w:t>
      </w:r>
      <w:bookmarkEnd w:id="142"/>
      <w:bookmarkEnd w:id="143"/>
      <w:r>
        <w:rPr>
          <w:rFonts w:hint="eastAsia" w:ascii="宋体" w:hAnsi="宋体" w:eastAsia="宋体" w:cs="宋体"/>
          <w:b/>
          <w:bCs/>
          <w:color w:val="auto"/>
          <w:kern w:val="2"/>
          <w:sz w:val="24"/>
          <w:szCs w:val="24"/>
          <w:highlight w:val="none"/>
          <w:lang w:val="en-US" w:eastAsia="zh-CN"/>
        </w:rPr>
        <w:t xml:space="preserve"> 相关安全、技术要求</w:t>
      </w:r>
      <w:bookmarkEnd w:id="144"/>
    </w:p>
    <w:p>
      <w:pPr>
        <w:tabs>
          <w:tab w:val="right" w:leader="dot" w:pos="7980"/>
        </w:tabs>
        <w:spacing w:line="360" w:lineRule="auto"/>
        <w:ind w:firstLine="480" w:firstLineChars="200"/>
        <w:outlineLvl w:val="2"/>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.1相关安全</w:t>
      </w:r>
      <w:r>
        <w:rPr>
          <w:rFonts w:hint="eastAsia" w:ascii="宋体" w:hAnsi="宋体" w:eastAsia="宋体" w:cs="宋体"/>
          <w:color w:val="auto"/>
          <w:sz w:val="24"/>
          <w:szCs w:val="24"/>
          <w:highlight w:val="none"/>
          <w:lang w:val="en-US" w:eastAsia="zh-CN"/>
        </w:rPr>
        <w:t>要求</w:t>
      </w:r>
    </w:p>
    <w:p>
      <w:pPr>
        <w:keepNext w:val="0"/>
        <w:keepLines w:val="0"/>
        <w:pageBreakBefore w:val="0"/>
        <w:widowControl w:val="0"/>
        <w:kinsoku/>
        <w:wordWrap/>
        <w:overflowPunct/>
        <w:topLinePunct w:val="0"/>
        <w:autoSpaceDE/>
        <w:autoSpaceDN/>
        <w:bidi w:val="0"/>
        <w:adjustRightInd w:val="0"/>
        <w:snapToGrid/>
        <w:spacing w:line="360" w:lineRule="auto"/>
        <w:ind w:firstLine="420" w:firstLineChars="200"/>
        <w:jc w:val="left"/>
        <w:textAlignment w:val="baseline"/>
        <w:rPr>
          <w:rFonts w:hint="eastAsia" w:ascii="宋体" w:hAnsi="宋体" w:eastAsia="宋体" w:cs="宋体"/>
          <w:color w:val="auto"/>
          <w:sz w:val="21"/>
          <w:szCs w:val="21"/>
          <w:highlight w:val="none"/>
          <w:lang w:eastAsia="zh-CN"/>
        </w:rPr>
      </w:pPr>
      <w:bookmarkStart w:id="145" w:name="_Toc22749"/>
      <w:bookmarkStart w:id="146" w:name="_Toc3551201"/>
      <w:bookmarkStart w:id="147" w:name="_Toc533073146"/>
      <w:bookmarkStart w:id="148" w:name="_Toc348894801"/>
      <w:r>
        <w:rPr>
          <w:rFonts w:hint="eastAsia" w:ascii="宋体" w:hAnsi="宋体" w:eastAsia="宋体" w:cs="宋体"/>
          <w:color w:val="auto"/>
          <w:sz w:val="21"/>
          <w:szCs w:val="21"/>
          <w:highlight w:val="none"/>
        </w:rPr>
        <w:t>《南通轨道交通集团有限公司运营分公司安全生产管理办法》（Q/NDAJ-20405-2025）</w:t>
      </w:r>
      <w:r>
        <w:rPr>
          <w:rFonts w:hint="eastAsia" w:ascii="宋体" w:hAnsi="宋体" w:eastAsia="宋体" w:cs="宋体"/>
          <w:color w:val="auto"/>
          <w:sz w:val="21"/>
          <w:szCs w:val="21"/>
          <w:highlight w:val="none"/>
          <w:lang w:eastAsia="zh-CN"/>
        </w:rPr>
        <w:t>；</w:t>
      </w:r>
    </w:p>
    <w:p>
      <w:pPr>
        <w:spacing w:line="360" w:lineRule="auto"/>
        <w:ind w:firstLine="420" w:firstLineChars="20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《南通轨道交通集团有限公司运营分公司外单位施工管理办法（Q/NDYY0-00-1-20303-2023）；</w:t>
      </w:r>
    </w:p>
    <w:p>
      <w:pPr>
        <w:spacing w:line="360" w:lineRule="auto"/>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《南通轨道交通集团有限公司运营分公司委外管理办法》（Q/NDYY0-00-1-20008-2024）。</w:t>
      </w:r>
    </w:p>
    <w:p>
      <w:pPr>
        <w:spacing w:line="360" w:lineRule="auto"/>
        <w:ind w:firstLine="420" w:firstLineChars="200"/>
        <w:outlineLvl w:val="2"/>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.2相关维修规则</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规程</w:t>
      </w:r>
    </w:p>
    <w:p>
      <w:pPr>
        <w:spacing w:line="360" w:lineRule="auto"/>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《南通轨道交通集团有限公司运营分公司施工管理规则》（Q/NDYY0-00-1-20302-2025）</w:t>
      </w:r>
      <w:r>
        <w:rPr>
          <w:rFonts w:hint="eastAsia" w:ascii="宋体" w:hAnsi="宋体" w:eastAsia="宋体" w:cs="宋体"/>
          <w:color w:val="auto"/>
          <w:sz w:val="21"/>
          <w:szCs w:val="21"/>
          <w:highlight w:val="none"/>
          <w:lang w:eastAsia="zh-CN"/>
        </w:rPr>
        <w:t>；</w:t>
      </w:r>
    </w:p>
    <w:p>
      <w:pPr>
        <w:spacing w:line="360" w:lineRule="auto"/>
        <w:ind w:firstLine="420" w:firstLineChars="20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《南通轨道交通集团有限公司运营分公司</w:t>
      </w:r>
      <w:r>
        <w:rPr>
          <w:rFonts w:hint="eastAsia" w:ascii="宋体" w:hAnsi="宋体" w:eastAsia="宋体" w:cs="宋体"/>
          <w:color w:val="auto"/>
          <w:sz w:val="21"/>
          <w:szCs w:val="21"/>
          <w:highlight w:val="none"/>
          <w:lang w:val="en-US" w:eastAsia="zh-CN"/>
        </w:rPr>
        <w:t>结构监测</w:t>
      </w:r>
      <w:r>
        <w:rPr>
          <w:rFonts w:hint="eastAsia" w:ascii="宋体" w:hAnsi="宋体" w:eastAsia="宋体" w:cs="宋体"/>
          <w:color w:val="auto"/>
          <w:sz w:val="21"/>
          <w:szCs w:val="21"/>
          <w:highlight w:val="none"/>
        </w:rPr>
        <w:t>规程》（Q/ND</w:t>
      </w:r>
      <w:r>
        <w:rPr>
          <w:rFonts w:hint="eastAsia" w:ascii="宋体" w:hAnsi="宋体" w:eastAsia="宋体" w:cs="宋体"/>
          <w:color w:val="auto"/>
          <w:sz w:val="21"/>
          <w:szCs w:val="21"/>
          <w:highlight w:val="none"/>
          <w:lang w:val="en-US" w:eastAsia="zh-CN"/>
        </w:rPr>
        <w:t>WX1</w:t>
      </w:r>
      <w:r>
        <w:rPr>
          <w:rFonts w:hint="eastAsia" w:ascii="宋体" w:hAnsi="宋体" w:eastAsia="宋体" w:cs="宋体"/>
          <w:color w:val="auto"/>
          <w:sz w:val="21"/>
          <w:szCs w:val="21"/>
          <w:highlight w:val="none"/>
        </w:rPr>
        <w:t>-00-</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1102</w:t>
      </w:r>
      <w:r>
        <w:rPr>
          <w:rFonts w:hint="eastAsia" w:ascii="宋体" w:hAnsi="宋体" w:eastAsia="宋体" w:cs="宋体"/>
          <w:color w:val="auto"/>
          <w:sz w:val="21"/>
          <w:szCs w:val="21"/>
          <w:highlight w:val="none"/>
        </w:rPr>
        <w:t>-202</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eastAsia="zh-CN"/>
        </w:rPr>
        <w:t>；</w:t>
      </w:r>
    </w:p>
    <w:p>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上述管理要求如有更新的，需参照最新版执行，</w:t>
      </w:r>
      <w:r>
        <w:rPr>
          <w:rFonts w:hint="eastAsia" w:ascii="宋体" w:hAnsi="宋体" w:eastAsia="宋体" w:cs="宋体"/>
          <w:color w:val="auto"/>
          <w:sz w:val="21"/>
          <w:szCs w:val="21"/>
          <w:highlight w:val="none"/>
        </w:rPr>
        <w:t>详细内容可向招标人借阅。</w:t>
      </w:r>
    </w:p>
    <w:p>
      <w:pPr>
        <w:pStyle w:val="11"/>
        <w:tabs>
          <w:tab w:val="left" w:pos="840"/>
          <w:tab w:val="left" w:pos="2098"/>
        </w:tabs>
        <w:adjustRightInd/>
        <w:spacing w:before="0" w:after="0" w:line="360" w:lineRule="auto"/>
        <w:ind w:left="0" w:firstLine="0"/>
        <w:jc w:val="both"/>
        <w:textAlignment w:val="auto"/>
        <w:rPr>
          <w:rFonts w:hint="eastAsia" w:ascii="宋体" w:hAnsi="宋体" w:eastAsia="宋体" w:cs="宋体"/>
          <w:b/>
          <w:bCs/>
          <w:color w:val="auto"/>
          <w:kern w:val="2"/>
          <w:sz w:val="24"/>
          <w:szCs w:val="24"/>
          <w:highlight w:val="none"/>
          <w:lang w:val="en-US" w:eastAsia="zh-CN"/>
        </w:rPr>
      </w:pPr>
      <w:r>
        <w:rPr>
          <w:rFonts w:hint="eastAsia" w:ascii="宋体" w:hAnsi="宋体" w:eastAsia="宋体" w:cs="宋体"/>
          <w:b/>
          <w:bCs/>
          <w:color w:val="auto"/>
          <w:kern w:val="2"/>
          <w:sz w:val="24"/>
          <w:szCs w:val="24"/>
          <w:highlight w:val="none"/>
          <w:lang w:val="en-US" w:eastAsia="zh-CN"/>
        </w:rPr>
        <w:t>3 维保模式及工作内容</w:t>
      </w:r>
      <w:bookmarkEnd w:id="145"/>
    </w:p>
    <w:p>
      <w:pPr>
        <w:spacing w:line="360" w:lineRule="auto"/>
        <w:outlineLvl w:val="1"/>
        <w:rPr>
          <w:rFonts w:hint="eastAsia" w:ascii="宋体" w:hAnsi="宋体" w:eastAsia="宋体" w:cs="宋体"/>
          <w:b/>
          <w:bCs w:val="0"/>
          <w:color w:val="auto"/>
          <w:sz w:val="24"/>
          <w:szCs w:val="24"/>
          <w:highlight w:val="none"/>
        </w:rPr>
      </w:pPr>
      <w:bookmarkStart w:id="149" w:name="_Toc31681"/>
      <w:bookmarkStart w:id="150" w:name="_Toc17219"/>
      <w:bookmarkStart w:id="151" w:name="_Toc30891"/>
      <w:r>
        <w:rPr>
          <w:rFonts w:hint="eastAsia" w:ascii="宋体" w:hAnsi="宋体" w:eastAsia="宋体" w:cs="宋体"/>
          <w:b/>
          <w:bCs w:val="0"/>
          <w:color w:val="auto"/>
          <w:sz w:val="24"/>
          <w:szCs w:val="24"/>
          <w:highlight w:val="none"/>
          <w:lang w:val="en-US" w:eastAsia="zh-CN"/>
        </w:rPr>
        <w:t>3</w:t>
      </w:r>
      <w:r>
        <w:rPr>
          <w:rFonts w:hint="eastAsia" w:ascii="宋体" w:hAnsi="宋体" w:eastAsia="宋体" w:cs="宋体"/>
          <w:b/>
          <w:bCs w:val="0"/>
          <w:color w:val="auto"/>
          <w:sz w:val="24"/>
          <w:szCs w:val="24"/>
          <w:highlight w:val="none"/>
        </w:rPr>
        <w:t>.1</w:t>
      </w:r>
      <w:r>
        <w:rPr>
          <w:rFonts w:hint="eastAsia" w:ascii="宋体" w:hAnsi="宋体" w:eastAsia="宋体" w:cs="宋体"/>
          <w:b/>
          <w:bCs w:val="0"/>
          <w:color w:val="auto"/>
          <w:sz w:val="24"/>
          <w:szCs w:val="24"/>
          <w:highlight w:val="none"/>
          <w:lang w:val="en-US" w:eastAsia="zh-CN"/>
        </w:rPr>
        <w:t xml:space="preserve"> 维保模式和</w:t>
      </w:r>
      <w:r>
        <w:rPr>
          <w:rFonts w:hint="eastAsia" w:ascii="宋体" w:hAnsi="宋体" w:eastAsia="宋体" w:cs="宋体"/>
          <w:b/>
          <w:bCs w:val="0"/>
          <w:color w:val="auto"/>
          <w:sz w:val="24"/>
          <w:szCs w:val="24"/>
          <w:highlight w:val="none"/>
        </w:rPr>
        <w:t>合同期限</w:t>
      </w:r>
      <w:bookmarkEnd w:id="149"/>
      <w:bookmarkEnd w:id="150"/>
      <w:bookmarkEnd w:id="151"/>
    </w:p>
    <w:p>
      <w:pPr>
        <w:tabs>
          <w:tab w:val="left" w:pos="6120"/>
        </w:tabs>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本维保模式采取项目委外，投标人应成立项目部。监测计划开展阶段，项目人员必须在岗，其余阶段对项目部管理不作要求。投标人提供结构监测服务，依据需求书的监测内容和要求提供结构监测成果报告、分析报告和评价报告等。每个监测周期开展前，应对监测委外项目人员资质进行审查，确保项目配备的监测队伍固定、人员资格证书齐全、工器具及备件完备。项目所需人力、工器具及全部所需材料由投标人供应，采取总价包干与清单计价相结合的形式。</w:t>
      </w:r>
    </w:p>
    <w:p>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w:t>
      </w:r>
      <w:r>
        <w:rPr>
          <w:rFonts w:hint="eastAsia" w:ascii="宋体" w:hAnsi="宋体" w:eastAsia="宋体" w:cs="宋体"/>
          <w:color w:val="auto"/>
          <w:sz w:val="24"/>
          <w:szCs w:val="24"/>
          <w:highlight w:val="none"/>
          <w:lang w:val="en-US" w:eastAsia="zh-CN"/>
        </w:rPr>
        <w:t>期限为</w:t>
      </w:r>
      <w:r>
        <w:rPr>
          <w:rFonts w:hint="eastAsia" w:ascii="宋体" w:hAnsi="宋体" w:eastAsia="宋体" w:cs="宋体"/>
          <w:color w:val="auto"/>
          <w:sz w:val="24"/>
          <w:szCs w:val="24"/>
          <w:highlight w:val="none"/>
        </w:rPr>
        <w:t>三年，具体以招标</w:t>
      </w:r>
      <w:r>
        <w:rPr>
          <w:rFonts w:hint="eastAsia" w:ascii="宋体" w:hAnsi="宋体" w:eastAsia="宋体" w:cs="宋体"/>
          <w:color w:val="auto"/>
          <w:sz w:val="24"/>
          <w:szCs w:val="24"/>
          <w:highlight w:val="none"/>
          <w:lang w:val="en-US" w:eastAsia="zh-CN"/>
        </w:rPr>
        <w:t>人</w:t>
      </w:r>
      <w:r>
        <w:rPr>
          <w:rFonts w:hint="eastAsia" w:ascii="宋体" w:hAnsi="宋体" w:eastAsia="宋体" w:cs="宋体"/>
          <w:color w:val="auto"/>
          <w:sz w:val="24"/>
          <w:szCs w:val="24"/>
          <w:highlight w:val="none"/>
        </w:rPr>
        <w:t>书面进场通知日期算起。</w:t>
      </w:r>
    </w:p>
    <w:p>
      <w:pPr>
        <w:spacing w:line="360" w:lineRule="auto"/>
        <w:outlineLvl w:val="1"/>
        <w:rPr>
          <w:rFonts w:hint="eastAsia" w:ascii="宋体" w:hAnsi="宋体" w:eastAsia="宋体" w:cs="宋体"/>
          <w:b/>
          <w:bCs/>
          <w:color w:val="auto"/>
          <w:sz w:val="24"/>
          <w:szCs w:val="24"/>
          <w:highlight w:val="none"/>
          <w:lang w:val="en-US" w:eastAsia="zh-CN"/>
        </w:rPr>
      </w:pPr>
      <w:bookmarkStart w:id="152" w:name="_Toc5534"/>
      <w:r>
        <w:rPr>
          <w:rFonts w:hint="eastAsia" w:ascii="宋体" w:hAnsi="宋体" w:eastAsia="宋体" w:cs="宋体"/>
          <w:b/>
          <w:bCs/>
          <w:color w:val="auto"/>
          <w:sz w:val="24"/>
          <w:szCs w:val="24"/>
          <w:highlight w:val="none"/>
          <w:lang w:val="en-US" w:eastAsia="zh-CN"/>
        </w:rPr>
        <w:t>3.2 项目范围</w:t>
      </w:r>
      <w:bookmarkEnd w:id="152"/>
    </w:p>
    <w:bookmarkEnd w:id="146"/>
    <w:bookmarkEnd w:id="147"/>
    <w:bookmarkEnd w:id="148"/>
    <w:p>
      <w:pPr>
        <w:tabs>
          <w:tab w:val="left" w:pos="6120"/>
        </w:tabs>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bidi="ar-SA"/>
        </w:rPr>
        <w:t>3.2.1 南通轨道交通</w:t>
      </w:r>
      <w:r>
        <w:rPr>
          <w:rFonts w:hint="eastAsia" w:ascii="宋体" w:hAnsi="宋体" w:eastAsia="宋体" w:cs="宋体"/>
          <w:color w:val="auto"/>
          <w:sz w:val="24"/>
          <w:szCs w:val="24"/>
          <w:highlight w:val="none"/>
          <w:lang w:val="en-US" w:eastAsia="zh-CN"/>
        </w:rPr>
        <w:t>2号线盾构隧道、明挖隧道、出入段线矩形隧道、U型槽结构等；</w:t>
      </w:r>
    </w:p>
    <w:p>
      <w:pPr>
        <w:tabs>
          <w:tab w:val="left" w:pos="6120"/>
        </w:tabs>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bidi="ar-SA"/>
        </w:rPr>
        <w:t>3.2.2 南通轨道交通</w:t>
      </w:r>
      <w:r>
        <w:rPr>
          <w:rFonts w:hint="eastAsia" w:ascii="宋体" w:hAnsi="宋体" w:eastAsia="宋体" w:cs="宋体"/>
          <w:color w:val="auto"/>
          <w:sz w:val="24"/>
          <w:szCs w:val="24"/>
          <w:highlight w:val="none"/>
          <w:lang w:val="en-US" w:eastAsia="zh-CN"/>
        </w:rPr>
        <w:t>2号线17座车站主体结构；</w:t>
      </w:r>
    </w:p>
    <w:p>
      <w:pPr>
        <w:pStyle w:val="11"/>
        <w:tabs>
          <w:tab w:val="left" w:pos="840"/>
          <w:tab w:val="left" w:pos="2098"/>
        </w:tabs>
        <w:adjustRightInd/>
        <w:spacing w:before="0" w:after="0" w:line="360" w:lineRule="auto"/>
        <w:ind w:left="0" w:firstLine="482" w:firstLineChars="200"/>
        <w:jc w:val="both"/>
        <w:textAlignment w:val="auto"/>
        <w:rPr>
          <w:rFonts w:hint="eastAsia" w:ascii="宋体" w:hAnsi="宋体" w:eastAsia="宋体" w:cs="宋体"/>
          <w:color w:val="auto"/>
          <w:sz w:val="24"/>
          <w:szCs w:val="24"/>
          <w:highlight w:val="none"/>
          <w:lang w:val="en-US" w:eastAsia="zh-CN"/>
        </w:rPr>
      </w:pPr>
      <w:bookmarkStart w:id="153" w:name="_Toc20701"/>
      <w:bookmarkStart w:id="154" w:name="_Toc9992"/>
      <w:r>
        <w:rPr>
          <w:rFonts w:hint="eastAsia" w:ascii="宋体" w:hAnsi="宋体" w:eastAsia="宋体" w:cs="宋体"/>
          <w:color w:val="auto"/>
          <w:sz w:val="24"/>
          <w:szCs w:val="24"/>
          <w:highlight w:val="none"/>
          <w:lang w:val="en-US" w:eastAsia="zh-CN" w:bidi="ar-SA"/>
        </w:rPr>
        <w:t>3.2.3 南通轨道交通2号线</w:t>
      </w:r>
      <w:r>
        <w:rPr>
          <w:rFonts w:hint="eastAsia" w:ascii="宋体" w:hAnsi="宋体" w:eastAsia="宋体" w:cs="宋体"/>
          <w:color w:val="auto"/>
          <w:sz w:val="24"/>
          <w:szCs w:val="24"/>
          <w:highlight w:val="none"/>
          <w:lang w:val="en-US" w:eastAsia="zh-CN"/>
        </w:rPr>
        <w:t>幸福车辆段单体建筑物：综合楼、司机公寓、物资总库、特种物品库、出入口门卫、人行出入口门卫、次出入口门卫、联合车库、运用库、工程车库及材料棚、洗车库、镟轮库、牵引降压混合变电所、动调实验间、轮对及受电弓在线检测棚、洗车房。</w:t>
      </w:r>
      <w:bookmarkEnd w:id="153"/>
      <w:bookmarkEnd w:id="154"/>
    </w:p>
    <w:p>
      <w:pPr>
        <w:spacing w:line="360" w:lineRule="auto"/>
        <w:outlineLvl w:val="1"/>
        <w:rPr>
          <w:rFonts w:hint="eastAsia" w:ascii="宋体" w:hAnsi="宋体" w:eastAsia="宋体" w:cs="宋体"/>
          <w:b/>
          <w:bCs/>
          <w:color w:val="auto"/>
          <w:sz w:val="24"/>
          <w:szCs w:val="24"/>
          <w:highlight w:val="none"/>
        </w:rPr>
      </w:pPr>
      <w:bookmarkStart w:id="155" w:name="_Toc6441"/>
      <w:r>
        <w:rPr>
          <w:rFonts w:hint="eastAsia" w:ascii="宋体" w:hAnsi="宋体" w:eastAsia="宋体" w:cs="宋体"/>
          <w:b/>
          <w:bCs/>
          <w:color w:val="auto"/>
          <w:sz w:val="24"/>
          <w:szCs w:val="24"/>
          <w:highlight w:val="none"/>
          <w:lang w:val="en-US" w:eastAsia="zh-CN"/>
        </w:rPr>
        <w:t>3</w:t>
      </w: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lang w:val="en-US" w:eastAsia="zh-CN"/>
        </w:rPr>
        <w:t xml:space="preserve">3 </w:t>
      </w:r>
      <w:r>
        <w:rPr>
          <w:rFonts w:hint="eastAsia" w:ascii="宋体" w:hAnsi="宋体" w:eastAsia="宋体" w:cs="宋体"/>
          <w:b/>
          <w:bCs/>
          <w:color w:val="auto"/>
          <w:sz w:val="24"/>
          <w:szCs w:val="24"/>
          <w:highlight w:val="none"/>
        </w:rPr>
        <w:t>主要工作内容</w:t>
      </w:r>
      <w:bookmarkEnd w:id="155"/>
    </w:p>
    <w:p>
      <w:pPr>
        <w:keepNext w:val="0"/>
        <w:keepLines w:val="0"/>
        <w:pageBreakBefore w:val="0"/>
        <w:widowControl w:val="0"/>
        <w:kinsoku/>
        <w:wordWrap/>
        <w:overflowPunct/>
        <w:topLinePunct w:val="0"/>
        <w:autoSpaceDE/>
        <w:autoSpaceDN/>
        <w:bidi w:val="0"/>
        <w:snapToGrid/>
        <w:spacing w:line="360" w:lineRule="auto"/>
        <w:ind w:firstLine="480" w:firstLineChars="200"/>
        <w:rPr>
          <w:rFonts w:hint="eastAsia" w:ascii="宋体" w:hAnsi="宋体" w:eastAsia="宋体" w:cs="宋体"/>
          <w:i w:val="0"/>
          <w:iCs w:val="0"/>
          <w:color w:val="auto"/>
          <w:sz w:val="24"/>
          <w:szCs w:val="24"/>
          <w:highlight w:val="none"/>
          <w:lang w:val="en-US" w:eastAsia="zh-CN" w:bidi="ar-SA"/>
        </w:rPr>
      </w:pPr>
      <w:r>
        <w:rPr>
          <w:rFonts w:hint="eastAsia" w:ascii="宋体" w:hAnsi="宋体" w:eastAsia="宋体" w:cs="宋体"/>
          <w:i w:val="0"/>
          <w:iCs w:val="0"/>
          <w:color w:val="auto"/>
          <w:sz w:val="24"/>
          <w:szCs w:val="24"/>
          <w:highlight w:val="none"/>
          <w:lang w:val="en-US" w:eastAsia="zh-CN" w:bidi="ar-SA"/>
        </w:rPr>
        <w:t>3.3.1 总价包干部分</w:t>
      </w:r>
    </w:p>
    <w:p>
      <w:pPr>
        <w:tabs>
          <w:tab w:val="left" w:pos="6120"/>
        </w:tabs>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结构监测内容包括地下车站主体结构沉降监测、车站与隧道结构差异沉降监测、隧道结构沉降监测、联络通道沉降监测、隧道结构净空收敛、轨顶风道净空收敛、南通电视塔沉降监测、建（构）筑物沉降监测、监测基准网复测、加密监测、2号线隧道结构技术状况评价等。主要工作内容如下：</w:t>
      </w:r>
    </w:p>
    <w:p>
      <w:pPr>
        <w:tabs>
          <w:tab w:val="left" w:pos="6120"/>
        </w:tabs>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（1）方案编制：编制结构监测实施方案，并由投标人组织专家论证，专家论证通过后，按照招标人批复的结果组织实施；</w:t>
      </w:r>
    </w:p>
    <w:p>
      <w:pPr>
        <w:tabs>
          <w:tab w:val="left" w:pos="6120"/>
        </w:tabs>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（2）测点交接：项目实施前，投标人需对既有监测点（含既有控制点）点位和成果进行交接，必要情况下，对既有监测点（含既有控制点）进行调整、加密等。加密原则具体遵照招标人要求实施；</w:t>
      </w:r>
    </w:p>
    <w:p>
      <w:pPr>
        <w:tabs>
          <w:tab w:val="left" w:pos="6120"/>
        </w:tabs>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监测点：对项目范围内的监测点（含既有控制点）进行核实确认，复核测定各测点的具体里程位置，并绘制全线及各单体建筑物监测点分布图并编号。车站（区间）测点编号按照“车站（区间）代码+上下行代码+顺序号”进行编号，车站（区间）代码显示两位或三位，里程从小到大为上行，反之为下行，上行代码为“S”，下行代码为“X”，顺序号按里程从小到大依次排序。建筑物测点编号按照大写字母JC+数字进行编号。并对必要的监测点进行修缮、补充、改正；</w:t>
      </w:r>
    </w:p>
    <w:p>
      <w:pPr>
        <w:tabs>
          <w:tab w:val="left" w:pos="6120"/>
        </w:tabs>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（4）监测资料：按要求整理成果报告、分析报告、评估报告等监测资料，并按照时限要求提交至招标人。分析报告内容必须包含监测数据分析，并对分析结果提出合理化建议或解决方案。</w:t>
      </w:r>
      <w:bookmarkStart w:id="156" w:name="OLE_LINK11"/>
      <w:r>
        <w:rPr>
          <w:rFonts w:hint="eastAsia" w:ascii="宋体" w:hAnsi="宋体" w:eastAsia="宋体" w:cs="宋体"/>
          <w:color w:val="auto"/>
          <w:sz w:val="24"/>
          <w:szCs w:val="24"/>
          <w:highlight w:val="none"/>
          <w:lang w:val="en-US" w:eastAsia="zh-CN"/>
        </w:rPr>
        <w:t>如出现监测数据异常等问题，投标人在发现问题后应立即以书面形式告知招标人，并结合周边环境及地质条件分析数据异常的初步原因，呈报招标人审核，将异常数据等问题归档至当期监测报告</w:t>
      </w:r>
      <w:bookmarkEnd w:id="156"/>
      <w:r>
        <w:rPr>
          <w:rFonts w:hint="eastAsia" w:ascii="宋体" w:hAnsi="宋体" w:eastAsia="宋体" w:cs="宋体"/>
          <w:color w:val="auto"/>
          <w:sz w:val="24"/>
          <w:szCs w:val="24"/>
          <w:highlight w:val="none"/>
          <w:lang w:val="en-US" w:eastAsia="zh-CN"/>
        </w:rPr>
        <w:t>内；</w:t>
      </w:r>
    </w:p>
    <w:p>
      <w:pPr>
        <w:tabs>
          <w:tab w:val="left" w:pos="6120"/>
        </w:tabs>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（5）加密监测：对既有重点区段（监测数据异常、下穿建构筑物、较宽河流以及施工期间异常区域）进行加密监测，监测记录归档至当期监测报告内；</w:t>
      </w:r>
    </w:p>
    <w:p>
      <w:pPr>
        <w:tabs>
          <w:tab w:val="left" w:pos="6120"/>
        </w:tabs>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w:t>
      </w:r>
      <w:bookmarkStart w:id="157" w:name="OLE_LINK13"/>
      <w:r>
        <w:rPr>
          <w:rFonts w:hint="eastAsia" w:ascii="宋体" w:hAnsi="宋体" w:eastAsia="宋体" w:cs="宋体"/>
          <w:color w:val="auto"/>
          <w:sz w:val="24"/>
          <w:szCs w:val="24"/>
          <w:highlight w:val="none"/>
          <w:lang w:val="en-US" w:eastAsia="zh-CN"/>
        </w:rPr>
        <w:t>2号线</w:t>
      </w:r>
      <w:bookmarkEnd w:id="157"/>
      <w:r>
        <w:rPr>
          <w:rFonts w:hint="eastAsia" w:ascii="宋体" w:hAnsi="宋体" w:eastAsia="宋体" w:cs="宋体"/>
          <w:color w:val="auto"/>
          <w:sz w:val="24"/>
          <w:szCs w:val="24"/>
          <w:highlight w:val="none"/>
          <w:lang w:val="en-US" w:eastAsia="zh-CN"/>
        </w:rPr>
        <w:t>隧道结构技术状况评价：利用三维激光扫描技术采集的结构数据，对2号线全线隧道结构开展技术状况评价，并出具隧道结构技术状况评价报告。以单个区间作为一个评价单元，评价对象主要包括主体结构、接缝结构、隧底结构、附属设施四类；评价内容主要包括结构裂缝与衬砌掉块的程度和范围、逐环收敛、渗漏水等；评价方法、等级以及相关要求参考《城市轨道交通设施运营监测技术规范第3部分：隧道》（GB/T39559.3-2020）相关规定。如监测中出现数据异常等情况，投标人应在发现问题后立即以书面形式告知招标人，并结合周边环境及地质条件分析数据异常的初步原因，呈报招标人审核，将异常数据等问题归档至当期监测成果报告中；</w:t>
      </w:r>
    </w:p>
    <w:p>
      <w:pPr>
        <w:tabs>
          <w:tab w:val="left" w:pos="6120"/>
        </w:tabs>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7）组织专家评审：项目实施前，对结构监测实施方案组织专家评审，按照评审通过的结构监测实施方案开展结构监测工作；每年对隧道结构技术状况评价报告、结构监测成果报告、南通电视塔监测数据组织专家评审；专家评审由投标人按招标人要求组织实施，相关费用已纳入合同费用中，招标人不予另行支付；</w:t>
      </w:r>
    </w:p>
    <w:p>
      <w:pPr>
        <w:tabs>
          <w:tab w:val="left" w:pos="6120"/>
        </w:tabs>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（8）招标人安排的其他相关任务。</w:t>
      </w:r>
    </w:p>
    <w:p>
      <w:pPr>
        <w:keepNext w:val="0"/>
        <w:keepLines w:val="0"/>
        <w:pageBreakBefore w:val="0"/>
        <w:widowControl w:val="0"/>
        <w:kinsoku/>
        <w:wordWrap/>
        <w:overflowPunct/>
        <w:topLinePunct w:val="0"/>
        <w:autoSpaceDE/>
        <w:autoSpaceDN/>
        <w:bidi w:val="0"/>
        <w:snapToGrid/>
        <w:spacing w:line="360" w:lineRule="auto"/>
        <w:ind w:firstLine="480" w:firstLineChars="200"/>
        <w:rPr>
          <w:rFonts w:hint="eastAsia" w:ascii="宋体" w:hAnsi="宋体" w:eastAsia="宋体" w:cs="宋体"/>
          <w:i w:val="0"/>
          <w:iCs w:val="0"/>
          <w:color w:val="auto"/>
          <w:sz w:val="24"/>
          <w:szCs w:val="24"/>
          <w:highlight w:val="none"/>
          <w:lang w:val="en-US" w:eastAsia="zh-CN" w:bidi="ar-SA"/>
        </w:rPr>
      </w:pPr>
      <w:r>
        <w:rPr>
          <w:rFonts w:hint="eastAsia" w:ascii="宋体" w:hAnsi="宋体" w:eastAsia="宋体" w:cs="宋体"/>
          <w:i w:val="0"/>
          <w:iCs w:val="0"/>
          <w:color w:val="auto"/>
          <w:sz w:val="24"/>
          <w:szCs w:val="24"/>
          <w:highlight w:val="none"/>
          <w:lang w:val="en-US" w:eastAsia="zh-CN" w:bidi="ar-SA"/>
        </w:rPr>
        <w:t>3.3.2 零星用工部分</w:t>
      </w:r>
    </w:p>
    <w:p>
      <w:pPr>
        <w:tabs>
          <w:tab w:val="left" w:pos="6120"/>
        </w:tabs>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（1）工作内容为监管地保单位的轨行区监测施工。在监管过程中严格履行监管职责，执行施工安全卡控制度，落实安全防护等要求。</w:t>
      </w:r>
    </w:p>
    <w:p>
      <w:pPr>
        <w:tabs>
          <w:tab w:val="left" w:pos="6120"/>
        </w:tabs>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（2）人员要求具备运营分公司施工负责人证，年龄不大于50周岁，测量相关专业中专及以上学历。</w:t>
      </w:r>
    </w:p>
    <w:p>
      <w:pPr>
        <w:tabs>
          <w:tab w:val="left" w:pos="6120"/>
        </w:tabs>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（3）预估工作量为324人次，据实结算。</w:t>
      </w:r>
    </w:p>
    <w:p>
      <w:pPr>
        <w:spacing w:line="360" w:lineRule="auto"/>
        <w:outlineLvl w:val="1"/>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3</w:t>
      </w: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lang w:val="en-US" w:eastAsia="zh-CN"/>
        </w:rPr>
        <w:t>4 配合</w:t>
      </w:r>
      <w:r>
        <w:rPr>
          <w:rFonts w:hint="eastAsia" w:ascii="宋体" w:hAnsi="宋体" w:eastAsia="宋体" w:cs="宋体"/>
          <w:b/>
          <w:bCs/>
          <w:color w:val="auto"/>
          <w:sz w:val="24"/>
          <w:szCs w:val="24"/>
          <w:highlight w:val="none"/>
        </w:rPr>
        <w:t>工作内容</w:t>
      </w:r>
    </w:p>
    <w:p>
      <w:pPr>
        <w:numPr>
          <w:ilvl w:val="0"/>
          <w:numId w:val="0"/>
        </w:numPr>
        <w:tabs>
          <w:tab w:val="left" w:pos="6120"/>
        </w:tabs>
        <w:spacing w:line="360" w:lineRule="auto"/>
        <w:ind w:firstLine="480" w:firstLineChars="200"/>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结构监测涉及的配合工作包含但不限于如下几点：</w:t>
      </w:r>
    </w:p>
    <w:p>
      <w:pPr>
        <w:keepNext w:val="0"/>
        <w:keepLines w:val="0"/>
        <w:pageBreakBefore w:val="0"/>
        <w:widowControl w:val="0"/>
        <w:kinsoku/>
        <w:wordWrap/>
        <w:overflowPunct/>
        <w:topLinePunct w:val="0"/>
        <w:autoSpaceDE/>
        <w:autoSpaceDN/>
        <w:bidi w:val="0"/>
        <w:snapToGrid/>
        <w:spacing w:line="360" w:lineRule="auto"/>
        <w:ind w:firstLine="480" w:firstLineChars="200"/>
        <w:rPr>
          <w:rFonts w:hint="eastAsia" w:ascii="宋体" w:hAnsi="宋体" w:eastAsia="宋体" w:cs="宋体"/>
          <w:i w:val="0"/>
          <w:iCs w:val="0"/>
          <w:color w:val="auto"/>
          <w:sz w:val="24"/>
          <w:szCs w:val="24"/>
          <w:highlight w:val="none"/>
          <w:lang w:val="en-US" w:eastAsia="zh-CN" w:bidi="ar-SA"/>
        </w:rPr>
      </w:pPr>
      <w:r>
        <w:rPr>
          <w:rFonts w:hint="eastAsia" w:ascii="宋体" w:hAnsi="宋体" w:eastAsia="宋体" w:cs="宋体"/>
          <w:i w:val="0"/>
          <w:iCs w:val="0"/>
          <w:color w:val="auto"/>
          <w:sz w:val="24"/>
          <w:szCs w:val="24"/>
          <w:highlight w:val="none"/>
          <w:lang w:val="en-US" w:eastAsia="zh-CN" w:bidi="ar-SA"/>
        </w:rPr>
        <w:t>3.4.1 保护区运营施工配合；</w:t>
      </w:r>
    </w:p>
    <w:p>
      <w:pPr>
        <w:keepNext w:val="0"/>
        <w:keepLines w:val="0"/>
        <w:pageBreakBefore w:val="0"/>
        <w:widowControl w:val="0"/>
        <w:kinsoku/>
        <w:wordWrap/>
        <w:overflowPunct/>
        <w:topLinePunct w:val="0"/>
        <w:autoSpaceDE/>
        <w:autoSpaceDN/>
        <w:bidi w:val="0"/>
        <w:snapToGrid/>
        <w:spacing w:line="360" w:lineRule="auto"/>
        <w:ind w:firstLine="480" w:firstLineChars="200"/>
        <w:rPr>
          <w:rFonts w:hint="eastAsia" w:ascii="宋体" w:hAnsi="宋体" w:eastAsia="宋体" w:cs="宋体"/>
          <w:i w:val="0"/>
          <w:iCs w:val="0"/>
          <w:color w:val="auto"/>
          <w:sz w:val="24"/>
          <w:szCs w:val="24"/>
          <w:highlight w:val="none"/>
          <w:lang w:val="en-US" w:eastAsia="zh-CN" w:bidi="ar-SA"/>
        </w:rPr>
      </w:pPr>
      <w:r>
        <w:rPr>
          <w:rFonts w:hint="eastAsia" w:ascii="宋体" w:hAnsi="宋体" w:eastAsia="宋体" w:cs="宋体"/>
          <w:i w:val="0"/>
          <w:iCs w:val="0"/>
          <w:color w:val="auto"/>
          <w:sz w:val="24"/>
          <w:szCs w:val="24"/>
          <w:highlight w:val="none"/>
          <w:lang w:val="en-US" w:eastAsia="zh-CN" w:bidi="ar-SA"/>
        </w:rPr>
        <w:t>3.4.2 重点保护区加密监测；</w:t>
      </w:r>
    </w:p>
    <w:p>
      <w:pPr>
        <w:keepNext w:val="0"/>
        <w:keepLines w:val="0"/>
        <w:pageBreakBefore w:val="0"/>
        <w:widowControl w:val="0"/>
        <w:kinsoku/>
        <w:wordWrap/>
        <w:overflowPunct/>
        <w:topLinePunct w:val="0"/>
        <w:autoSpaceDE/>
        <w:autoSpaceDN/>
        <w:bidi w:val="0"/>
        <w:snapToGrid/>
        <w:spacing w:line="360" w:lineRule="auto"/>
        <w:ind w:firstLine="480" w:firstLineChars="200"/>
        <w:rPr>
          <w:rFonts w:hint="eastAsia" w:ascii="宋体" w:hAnsi="宋体" w:eastAsia="宋体" w:cs="宋体"/>
          <w:i w:val="0"/>
          <w:iCs w:val="0"/>
          <w:color w:val="auto"/>
          <w:sz w:val="24"/>
          <w:szCs w:val="24"/>
          <w:highlight w:val="none"/>
          <w:lang w:val="en-US" w:eastAsia="zh-CN" w:bidi="ar-SA"/>
        </w:rPr>
      </w:pPr>
      <w:r>
        <w:rPr>
          <w:rFonts w:hint="eastAsia" w:ascii="宋体" w:hAnsi="宋体" w:eastAsia="宋体" w:cs="宋体"/>
          <w:i w:val="0"/>
          <w:iCs w:val="0"/>
          <w:color w:val="auto"/>
          <w:sz w:val="24"/>
          <w:szCs w:val="24"/>
          <w:highlight w:val="none"/>
          <w:lang w:val="en-US" w:eastAsia="zh-CN" w:bidi="ar-SA"/>
        </w:rPr>
        <w:t>3.4.3 抽检1号线结构监测数据。</w:t>
      </w:r>
    </w:p>
    <w:p>
      <w:pPr>
        <w:pStyle w:val="11"/>
        <w:tabs>
          <w:tab w:val="left" w:pos="840"/>
          <w:tab w:val="left" w:pos="2098"/>
        </w:tabs>
        <w:adjustRightInd/>
        <w:spacing w:before="0" w:after="0" w:line="360" w:lineRule="auto"/>
        <w:ind w:left="0" w:firstLine="0"/>
        <w:jc w:val="both"/>
        <w:textAlignment w:val="auto"/>
        <w:rPr>
          <w:rFonts w:hint="eastAsia" w:ascii="宋体" w:hAnsi="宋体" w:eastAsia="宋体" w:cs="宋体"/>
          <w:b/>
          <w:bCs/>
          <w:color w:val="auto"/>
          <w:kern w:val="2"/>
          <w:sz w:val="24"/>
          <w:szCs w:val="24"/>
          <w:highlight w:val="none"/>
          <w:lang w:val="en-US" w:eastAsia="zh-CN"/>
        </w:rPr>
      </w:pPr>
      <w:bookmarkStart w:id="158" w:name="_Toc19343"/>
      <w:bookmarkStart w:id="159" w:name="_Toc3551205"/>
      <w:bookmarkStart w:id="160" w:name="_Toc348894804"/>
      <w:bookmarkStart w:id="161" w:name="_Toc533073150"/>
      <w:r>
        <w:rPr>
          <w:rFonts w:hint="eastAsia" w:ascii="宋体" w:hAnsi="宋体" w:eastAsia="宋体" w:cs="宋体"/>
          <w:b/>
          <w:bCs/>
          <w:color w:val="auto"/>
          <w:kern w:val="2"/>
          <w:sz w:val="24"/>
          <w:szCs w:val="24"/>
          <w:highlight w:val="none"/>
          <w:lang w:val="en-US" w:eastAsia="zh-CN"/>
        </w:rPr>
        <w:t>4 项目设施清单和工作量</w:t>
      </w:r>
      <w:bookmarkEnd w:id="158"/>
      <w:bookmarkEnd w:id="159"/>
      <w:bookmarkEnd w:id="160"/>
      <w:bookmarkEnd w:id="161"/>
    </w:p>
    <w:p>
      <w:pPr>
        <w:pStyle w:val="11"/>
        <w:tabs>
          <w:tab w:val="left" w:pos="840"/>
          <w:tab w:val="left" w:pos="2098"/>
        </w:tabs>
        <w:adjustRightInd/>
        <w:spacing w:before="0" w:after="0" w:line="360" w:lineRule="auto"/>
        <w:ind w:left="0" w:firstLine="0"/>
        <w:jc w:val="both"/>
        <w:textAlignment w:val="auto"/>
        <w:rPr>
          <w:rFonts w:hint="eastAsia" w:ascii="宋体" w:hAnsi="宋体" w:eastAsia="宋体" w:cs="宋体"/>
          <w:b/>
          <w:bCs/>
          <w:color w:val="auto"/>
          <w:kern w:val="2"/>
          <w:sz w:val="24"/>
          <w:szCs w:val="24"/>
          <w:highlight w:val="none"/>
          <w:lang w:val="en-US" w:eastAsia="zh-CN"/>
        </w:rPr>
      </w:pPr>
      <w:bookmarkStart w:id="162" w:name="_Toc18733"/>
      <w:bookmarkStart w:id="163" w:name="_Toc16664"/>
      <w:bookmarkStart w:id="164" w:name="_Toc19871"/>
      <w:r>
        <w:rPr>
          <w:rFonts w:hint="eastAsia" w:ascii="宋体" w:hAnsi="宋体" w:eastAsia="宋体" w:cs="宋体"/>
          <w:b/>
          <w:bCs/>
          <w:color w:val="auto"/>
          <w:kern w:val="2"/>
          <w:sz w:val="24"/>
          <w:szCs w:val="24"/>
          <w:highlight w:val="none"/>
          <w:lang w:val="en-US" w:eastAsia="zh-CN"/>
        </w:rPr>
        <w:t>4.1 项目设施清单</w:t>
      </w:r>
      <w:bookmarkEnd w:id="162"/>
      <w:bookmarkEnd w:id="163"/>
      <w:bookmarkEnd w:id="164"/>
    </w:p>
    <w:p>
      <w:pPr>
        <w:tabs>
          <w:tab w:val="left" w:pos="6120"/>
        </w:tabs>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4.1.1 区间</w:t>
      </w:r>
    </w:p>
    <w:p>
      <w:pPr>
        <w:tabs>
          <w:tab w:val="left" w:pos="6120"/>
        </w:tabs>
        <w:spacing w:line="360" w:lineRule="auto"/>
        <w:ind w:firstLine="420" w:firstLineChars="20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表1 主线</w:t>
      </w:r>
    </w:p>
    <w:tbl>
      <w:tblPr>
        <w:tblStyle w:val="25"/>
        <w:tblW w:w="4689"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90"/>
        <w:gridCol w:w="3397"/>
        <w:gridCol w:w="2290"/>
        <w:gridCol w:w="20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411" w:type="pct"/>
            <w:tcBorders>
              <w:top w:val="single" w:color="000000" w:sz="4" w:space="0"/>
              <w:left w:val="single" w:color="000000" w:sz="4" w:space="0"/>
              <w:bottom w:val="single" w:color="auto"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序号</w:t>
            </w:r>
          </w:p>
        </w:tc>
        <w:tc>
          <w:tcPr>
            <w:tcW w:w="202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区间</w:t>
            </w:r>
          </w:p>
        </w:tc>
        <w:tc>
          <w:tcPr>
            <w:tcW w:w="136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宋体" w:hAnsi="宋体" w:eastAsia="宋体" w:cs="宋体"/>
                <w:b/>
                <w:bCs/>
                <w:i w:val="0"/>
                <w:iCs w:val="0"/>
                <w:color w:val="auto"/>
                <w:sz w:val="21"/>
                <w:szCs w:val="21"/>
                <w:highlight w:val="none"/>
                <w:u w:val="none"/>
                <w:lang w:val="en-US" w:eastAsia="zh-CN"/>
              </w:rPr>
            </w:pPr>
            <w:r>
              <w:rPr>
                <w:rFonts w:hint="eastAsia" w:ascii="宋体" w:hAnsi="宋体" w:eastAsia="宋体" w:cs="宋体"/>
                <w:b/>
                <w:bCs/>
                <w:i w:val="0"/>
                <w:iCs w:val="0"/>
                <w:color w:val="auto"/>
                <w:sz w:val="21"/>
                <w:szCs w:val="21"/>
                <w:highlight w:val="none"/>
                <w:u w:val="none"/>
                <w:lang w:val="en-US" w:eastAsia="zh-CN"/>
              </w:rPr>
              <w:t>站间距（m）</w:t>
            </w:r>
          </w:p>
        </w:tc>
        <w:tc>
          <w:tcPr>
            <w:tcW w:w="11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联络通道数量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411"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2024" w:type="pct"/>
            <w:tcBorders>
              <w:top w:val="nil"/>
              <w:left w:val="single" w:color="auto"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i w:val="0"/>
                <w:iCs w:val="0"/>
                <w:color w:val="auto"/>
                <w:kern w:val="0"/>
                <w:sz w:val="21"/>
                <w:szCs w:val="21"/>
                <w:highlight w:val="none"/>
                <w:u w:val="none"/>
                <w:lang w:val="en-US" w:eastAsia="zh-CN" w:bidi="ar"/>
              </w:rPr>
              <w:t>出入段线～幸福站</w:t>
            </w:r>
          </w:p>
        </w:tc>
        <w:tc>
          <w:tcPr>
            <w:tcW w:w="136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i w:val="0"/>
                <w:iCs w:val="0"/>
                <w:color w:val="auto"/>
                <w:kern w:val="0"/>
                <w:sz w:val="21"/>
                <w:szCs w:val="21"/>
                <w:highlight w:val="none"/>
                <w:u w:val="none"/>
                <w:lang w:val="en-US" w:eastAsia="zh-CN" w:bidi="ar"/>
              </w:rPr>
              <w:t>1220</w:t>
            </w:r>
          </w:p>
        </w:tc>
        <w:tc>
          <w:tcPr>
            <w:tcW w:w="11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411"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2024" w:type="pct"/>
            <w:tcBorders>
              <w:top w:val="single" w:color="000000" w:sz="4" w:space="0"/>
              <w:left w:val="single" w:color="auto"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幸福站～南通火车站</w:t>
            </w:r>
          </w:p>
        </w:tc>
        <w:tc>
          <w:tcPr>
            <w:tcW w:w="136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1482</w:t>
            </w:r>
          </w:p>
        </w:tc>
        <w:tc>
          <w:tcPr>
            <w:tcW w:w="11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411"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w:t>
            </w:r>
          </w:p>
        </w:tc>
        <w:tc>
          <w:tcPr>
            <w:tcW w:w="2024" w:type="pct"/>
            <w:tcBorders>
              <w:top w:val="single" w:color="000000" w:sz="4" w:space="0"/>
              <w:left w:val="single" w:color="auto"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sz w:val="21"/>
                <w:szCs w:val="21"/>
                <w:highlight w:val="none"/>
                <w:u w:val="none"/>
                <w:lang w:val="en-US"/>
              </w:rPr>
            </w:pPr>
            <w:r>
              <w:rPr>
                <w:rFonts w:hint="eastAsia" w:ascii="宋体" w:hAnsi="宋体" w:eastAsia="宋体" w:cs="宋体"/>
                <w:i w:val="0"/>
                <w:iCs w:val="0"/>
                <w:color w:val="auto"/>
                <w:kern w:val="0"/>
                <w:sz w:val="21"/>
                <w:szCs w:val="21"/>
                <w:highlight w:val="none"/>
                <w:u w:val="none"/>
                <w:lang w:val="en-US" w:eastAsia="zh-CN" w:bidi="ar"/>
              </w:rPr>
              <w:t>南通火车站～长岸站</w:t>
            </w:r>
          </w:p>
        </w:tc>
        <w:tc>
          <w:tcPr>
            <w:tcW w:w="136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i w:val="0"/>
                <w:iCs w:val="0"/>
                <w:color w:val="auto"/>
                <w:kern w:val="0"/>
                <w:sz w:val="21"/>
                <w:szCs w:val="21"/>
                <w:highlight w:val="none"/>
                <w:u w:val="none"/>
                <w:lang w:val="en-US" w:eastAsia="zh-CN" w:bidi="ar"/>
              </w:rPr>
              <w:t>1280</w:t>
            </w:r>
          </w:p>
        </w:tc>
        <w:tc>
          <w:tcPr>
            <w:tcW w:w="11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411"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w:t>
            </w:r>
          </w:p>
        </w:tc>
        <w:tc>
          <w:tcPr>
            <w:tcW w:w="2024" w:type="pct"/>
            <w:tcBorders>
              <w:top w:val="single" w:color="000000" w:sz="4" w:space="0"/>
              <w:left w:val="single" w:color="auto"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长岸站～北大街站</w:t>
            </w:r>
          </w:p>
        </w:tc>
        <w:tc>
          <w:tcPr>
            <w:tcW w:w="136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i w:val="0"/>
                <w:iCs w:val="0"/>
                <w:color w:val="auto"/>
                <w:kern w:val="0"/>
                <w:sz w:val="21"/>
                <w:szCs w:val="21"/>
                <w:highlight w:val="none"/>
                <w:u w:val="none"/>
                <w:lang w:val="en-US" w:eastAsia="zh-CN" w:bidi="ar"/>
              </w:rPr>
              <w:t>1260</w:t>
            </w:r>
          </w:p>
        </w:tc>
        <w:tc>
          <w:tcPr>
            <w:tcW w:w="11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411"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w:t>
            </w:r>
          </w:p>
        </w:tc>
        <w:tc>
          <w:tcPr>
            <w:tcW w:w="2024" w:type="pct"/>
            <w:tcBorders>
              <w:top w:val="single" w:color="000000" w:sz="4" w:space="0"/>
              <w:left w:val="single" w:color="auto"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北大街站～北城大桥站</w:t>
            </w:r>
          </w:p>
        </w:tc>
        <w:tc>
          <w:tcPr>
            <w:tcW w:w="136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i w:val="0"/>
                <w:iCs w:val="0"/>
                <w:color w:val="auto"/>
                <w:kern w:val="0"/>
                <w:sz w:val="21"/>
                <w:szCs w:val="21"/>
                <w:highlight w:val="none"/>
                <w:u w:val="none"/>
                <w:lang w:val="en-US" w:eastAsia="zh-CN" w:bidi="ar"/>
              </w:rPr>
              <w:t>700</w:t>
            </w:r>
          </w:p>
        </w:tc>
        <w:tc>
          <w:tcPr>
            <w:tcW w:w="11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411"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w:t>
            </w:r>
          </w:p>
        </w:tc>
        <w:tc>
          <w:tcPr>
            <w:tcW w:w="2024" w:type="pct"/>
            <w:tcBorders>
              <w:top w:val="single" w:color="000000" w:sz="4" w:space="0"/>
              <w:left w:val="single" w:color="auto"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北城大桥站～钟秀西路站</w:t>
            </w:r>
          </w:p>
        </w:tc>
        <w:tc>
          <w:tcPr>
            <w:tcW w:w="136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i w:val="0"/>
                <w:iCs w:val="0"/>
                <w:color w:val="auto"/>
                <w:kern w:val="0"/>
                <w:sz w:val="21"/>
                <w:szCs w:val="21"/>
                <w:highlight w:val="none"/>
                <w:u w:val="none"/>
                <w:lang w:val="en-US" w:eastAsia="zh-CN" w:bidi="ar"/>
              </w:rPr>
              <w:t>1956</w:t>
            </w:r>
          </w:p>
        </w:tc>
        <w:tc>
          <w:tcPr>
            <w:tcW w:w="11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411"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w:t>
            </w:r>
          </w:p>
        </w:tc>
        <w:tc>
          <w:tcPr>
            <w:tcW w:w="2024" w:type="pct"/>
            <w:tcBorders>
              <w:top w:val="single" w:color="000000" w:sz="4" w:space="0"/>
              <w:left w:val="single" w:color="auto"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钟秀西路站～和平桥站</w:t>
            </w:r>
          </w:p>
        </w:tc>
        <w:tc>
          <w:tcPr>
            <w:tcW w:w="136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i w:val="0"/>
                <w:iCs w:val="0"/>
                <w:color w:val="auto"/>
                <w:kern w:val="0"/>
                <w:sz w:val="21"/>
                <w:szCs w:val="21"/>
                <w:highlight w:val="none"/>
                <w:u w:val="none"/>
                <w:lang w:val="en-US" w:eastAsia="zh-CN" w:bidi="ar"/>
              </w:rPr>
              <w:t>1202</w:t>
            </w:r>
          </w:p>
        </w:tc>
        <w:tc>
          <w:tcPr>
            <w:tcW w:w="11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411"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w:t>
            </w:r>
          </w:p>
        </w:tc>
        <w:tc>
          <w:tcPr>
            <w:tcW w:w="2024" w:type="pct"/>
            <w:tcBorders>
              <w:top w:val="single" w:color="000000" w:sz="4" w:space="0"/>
              <w:left w:val="single" w:color="auto"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和平桥站～体育公园站</w:t>
            </w:r>
          </w:p>
        </w:tc>
        <w:tc>
          <w:tcPr>
            <w:tcW w:w="136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i w:val="0"/>
                <w:iCs w:val="0"/>
                <w:color w:val="auto"/>
                <w:kern w:val="0"/>
                <w:sz w:val="21"/>
                <w:szCs w:val="21"/>
                <w:highlight w:val="none"/>
                <w:u w:val="none"/>
                <w:lang w:val="en-US" w:eastAsia="zh-CN" w:bidi="ar"/>
              </w:rPr>
              <w:t>1345</w:t>
            </w:r>
          </w:p>
        </w:tc>
        <w:tc>
          <w:tcPr>
            <w:tcW w:w="11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411"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w:t>
            </w:r>
          </w:p>
        </w:tc>
        <w:tc>
          <w:tcPr>
            <w:tcW w:w="2024" w:type="pct"/>
            <w:tcBorders>
              <w:top w:val="single" w:color="000000" w:sz="4" w:space="0"/>
              <w:left w:val="single" w:color="auto"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体育公园站～易家桥站</w:t>
            </w:r>
          </w:p>
        </w:tc>
        <w:tc>
          <w:tcPr>
            <w:tcW w:w="136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i w:val="0"/>
                <w:iCs w:val="0"/>
                <w:color w:val="auto"/>
                <w:kern w:val="0"/>
                <w:sz w:val="21"/>
                <w:szCs w:val="21"/>
                <w:highlight w:val="none"/>
                <w:u w:val="none"/>
                <w:lang w:val="en-US" w:eastAsia="zh-CN" w:bidi="ar"/>
              </w:rPr>
              <w:t>1171</w:t>
            </w:r>
          </w:p>
        </w:tc>
        <w:tc>
          <w:tcPr>
            <w:tcW w:w="11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411" w:type="pct"/>
            <w:tcBorders>
              <w:top w:val="single" w:color="auto" w:sz="4" w:space="0"/>
              <w:left w:val="single" w:color="000000" w:sz="4" w:space="0"/>
              <w:bottom w:val="single" w:color="auto"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2024" w:type="pct"/>
            <w:tcBorders>
              <w:top w:val="single" w:color="000000" w:sz="4" w:space="0"/>
              <w:left w:val="single" w:color="000000" w:sz="4" w:space="0"/>
              <w:bottom w:val="single" w:color="auto"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易家桥站～文峰站</w:t>
            </w:r>
          </w:p>
        </w:tc>
        <w:tc>
          <w:tcPr>
            <w:tcW w:w="136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i w:val="0"/>
                <w:iCs w:val="0"/>
                <w:color w:val="auto"/>
                <w:kern w:val="0"/>
                <w:sz w:val="21"/>
                <w:szCs w:val="21"/>
                <w:highlight w:val="none"/>
                <w:u w:val="none"/>
                <w:lang w:val="en-US" w:eastAsia="zh-CN" w:bidi="ar"/>
              </w:rPr>
              <w:t>832</w:t>
            </w:r>
          </w:p>
        </w:tc>
        <w:tc>
          <w:tcPr>
            <w:tcW w:w="11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411"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w:t>
            </w:r>
          </w:p>
        </w:tc>
        <w:tc>
          <w:tcPr>
            <w:tcW w:w="2024"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文峰站～五一路站</w:t>
            </w:r>
          </w:p>
        </w:tc>
        <w:tc>
          <w:tcPr>
            <w:tcW w:w="1364" w:type="pct"/>
            <w:tcBorders>
              <w:top w:val="single" w:color="000000" w:sz="4" w:space="0"/>
              <w:left w:val="single" w:color="auto"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i w:val="0"/>
                <w:iCs w:val="0"/>
                <w:color w:val="auto"/>
                <w:kern w:val="0"/>
                <w:sz w:val="21"/>
                <w:szCs w:val="21"/>
                <w:highlight w:val="none"/>
                <w:u w:val="none"/>
                <w:lang w:val="en-US" w:eastAsia="zh-CN" w:bidi="ar"/>
              </w:rPr>
              <w:t>888</w:t>
            </w:r>
          </w:p>
        </w:tc>
        <w:tc>
          <w:tcPr>
            <w:tcW w:w="11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411" w:type="pct"/>
            <w:tcBorders>
              <w:top w:val="single" w:color="auto"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w:t>
            </w:r>
          </w:p>
        </w:tc>
        <w:tc>
          <w:tcPr>
            <w:tcW w:w="2024" w:type="pct"/>
            <w:tcBorders>
              <w:top w:val="single" w:color="auto"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五一路站～园林路站</w:t>
            </w:r>
          </w:p>
        </w:tc>
        <w:tc>
          <w:tcPr>
            <w:tcW w:w="136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i w:val="0"/>
                <w:iCs w:val="0"/>
                <w:color w:val="auto"/>
                <w:kern w:val="0"/>
                <w:sz w:val="21"/>
                <w:szCs w:val="21"/>
                <w:highlight w:val="none"/>
                <w:u w:val="none"/>
                <w:lang w:val="en-US" w:eastAsia="zh-CN" w:bidi="ar"/>
              </w:rPr>
              <w:t>1423</w:t>
            </w:r>
          </w:p>
        </w:tc>
        <w:tc>
          <w:tcPr>
            <w:tcW w:w="11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411" w:type="pct"/>
            <w:tcBorders>
              <w:top w:val="nil"/>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13</w:t>
            </w:r>
          </w:p>
        </w:tc>
        <w:tc>
          <w:tcPr>
            <w:tcW w:w="202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园林路站～汽车东站</w:t>
            </w:r>
          </w:p>
        </w:tc>
        <w:tc>
          <w:tcPr>
            <w:tcW w:w="136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1041</w:t>
            </w:r>
          </w:p>
        </w:tc>
        <w:tc>
          <w:tcPr>
            <w:tcW w:w="11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411"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14</w:t>
            </w:r>
          </w:p>
        </w:tc>
        <w:tc>
          <w:tcPr>
            <w:tcW w:w="202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汽车东站～通富北路站</w:t>
            </w:r>
          </w:p>
        </w:tc>
        <w:tc>
          <w:tcPr>
            <w:tcW w:w="136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i w:val="0"/>
                <w:iCs w:val="0"/>
                <w:color w:val="auto"/>
                <w:kern w:val="0"/>
                <w:sz w:val="21"/>
                <w:szCs w:val="21"/>
                <w:highlight w:val="none"/>
                <w:u w:val="none"/>
                <w:lang w:val="en-US" w:eastAsia="zh-CN" w:bidi="ar"/>
              </w:rPr>
              <w:t>873</w:t>
            </w:r>
          </w:p>
        </w:tc>
        <w:tc>
          <w:tcPr>
            <w:tcW w:w="11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411" w:type="pct"/>
            <w:tcBorders>
              <w:top w:val="nil"/>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15</w:t>
            </w:r>
          </w:p>
        </w:tc>
        <w:tc>
          <w:tcPr>
            <w:tcW w:w="202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通富北路站～观音山站</w:t>
            </w:r>
          </w:p>
        </w:tc>
        <w:tc>
          <w:tcPr>
            <w:tcW w:w="136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i w:val="0"/>
                <w:iCs w:val="0"/>
                <w:color w:val="auto"/>
                <w:kern w:val="0"/>
                <w:sz w:val="21"/>
                <w:szCs w:val="21"/>
                <w:highlight w:val="none"/>
                <w:u w:val="none"/>
                <w:lang w:val="en-US" w:eastAsia="zh-CN" w:bidi="ar"/>
              </w:rPr>
              <w:t>916</w:t>
            </w:r>
          </w:p>
        </w:tc>
        <w:tc>
          <w:tcPr>
            <w:tcW w:w="11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411"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16</w:t>
            </w:r>
          </w:p>
        </w:tc>
        <w:tc>
          <w:tcPr>
            <w:tcW w:w="202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观音山站～南通东站</w:t>
            </w:r>
          </w:p>
        </w:tc>
        <w:tc>
          <w:tcPr>
            <w:tcW w:w="136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i w:val="0"/>
                <w:iCs w:val="0"/>
                <w:color w:val="auto"/>
                <w:kern w:val="0"/>
                <w:sz w:val="21"/>
                <w:szCs w:val="21"/>
                <w:highlight w:val="none"/>
                <w:u w:val="none"/>
                <w:lang w:val="en-US" w:eastAsia="zh-CN" w:bidi="ar"/>
              </w:rPr>
              <w:t>1579</w:t>
            </w:r>
          </w:p>
        </w:tc>
        <w:tc>
          <w:tcPr>
            <w:tcW w:w="11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411" w:type="pct"/>
            <w:tcBorders>
              <w:top w:val="nil"/>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17</w:t>
            </w:r>
          </w:p>
        </w:tc>
        <w:tc>
          <w:tcPr>
            <w:tcW w:w="202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南通东站～先锋站</w:t>
            </w:r>
          </w:p>
        </w:tc>
        <w:tc>
          <w:tcPr>
            <w:tcW w:w="136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i w:val="0"/>
                <w:iCs w:val="0"/>
                <w:color w:val="auto"/>
                <w:kern w:val="0"/>
                <w:sz w:val="21"/>
                <w:szCs w:val="21"/>
                <w:highlight w:val="none"/>
                <w:u w:val="none"/>
                <w:lang w:val="en-US" w:eastAsia="zh-CN" w:bidi="ar"/>
              </w:rPr>
              <w:t>2291</w:t>
            </w:r>
          </w:p>
        </w:tc>
        <w:tc>
          <w:tcPr>
            <w:tcW w:w="11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w:t>
            </w:r>
          </w:p>
        </w:tc>
      </w:tr>
    </w:tbl>
    <w:p>
      <w:pPr>
        <w:tabs>
          <w:tab w:val="left" w:pos="6120"/>
        </w:tabs>
        <w:spacing w:line="360" w:lineRule="auto"/>
        <w:ind w:firstLine="420" w:firstLineChars="200"/>
        <w:rPr>
          <w:rFonts w:hint="eastAsia" w:ascii="宋体" w:hAnsi="宋体" w:eastAsia="宋体" w:cs="宋体"/>
          <w:color w:val="auto"/>
          <w:sz w:val="21"/>
          <w:szCs w:val="21"/>
          <w:highlight w:val="none"/>
          <w:lang w:val="en-US" w:eastAsia="zh-CN"/>
        </w:rPr>
      </w:pPr>
    </w:p>
    <w:p>
      <w:pPr>
        <w:tabs>
          <w:tab w:val="left" w:pos="6120"/>
        </w:tabs>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4.1.2 车辆段</w:t>
      </w:r>
    </w:p>
    <w:p>
      <w:pPr>
        <w:tabs>
          <w:tab w:val="left" w:pos="6120"/>
        </w:tabs>
        <w:spacing w:line="360" w:lineRule="auto"/>
        <w:ind w:firstLine="420" w:firstLineChars="20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表2 幸福车辆段</w:t>
      </w:r>
    </w:p>
    <w:tbl>
      <w:tblPr>
        <w:tblStyle w:val="25"/>
        <w:tblW w:w="83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3"/>
        <w:gridCol w:w="2731"/>
        <w:gridCol w:w="1605"/>
        <w:gridCol w:w="33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70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ind w:left="0" w:leftChars="0" w:firstLine="0" w:firstLineChars="0"/>
              <w:jc w:val="both"/>
              <w:textAlignment w:val="auto"/>
              <w:rPr>
                <w:rFonts w:hint="eastAsia" w:ascii="宋体" w:hAnsi="宋体" w:eastAsia="宋体" w:cs="宋体"/>
                <w:b/>
                <w:bCs/>
                <w:color w:val="auto"/>
                <w:kern w:val="2"/>
                <w:sz w:val="21"/>
                <w:szCs w:val="21"/>
                <w:highlight w:val="none"/>
              </w:rPr>
            </w:pPr>
            <w:r>
              <w:rPr>
                <w:rFonts w:hint="eastAsia" w:ascii="宋体" w:hAnsi="宋体" w:eastAsia="宋体" w:cs="宋体"/>
                <w:b/>
                <w:bCs/>
                <w:color w:val="auto"/>
                <w:kern w:val="2"/>
                <w:sz w:val="21"/>
                <w:szCs w:val="21"/>
                <w:highlight w:val="none"/>
              </w:rPr>
              <w:t>序号</w:t>
            </w:r>
          </w:p>
        </w:tc>
        <w:tc>
          <w:tcPr>
            <w:tcW w:w="273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b/>
                <w:bCs/>
                <w:color w:val="auto"/>
                <w:kern w:val="2"/>
                <w:sz w:val="21"/>
                <w:szCs w:val="21"/>
                <w:highlight w:val="none"/>
              </w:rPr>
            </w:pPr>
            <w:r>
              <w:rPr>
                <w:rFonts w:hint="eastAsia" w:ascii="宋体" w:hAnsi="宋体" w:eastAsia="宋体" w:cs="宋体"/>
                <w:b/>
                <w:bCs/>
                <w:color w:val="auto"/>
                <w:kern w:val="2"/>
                <w:sz w:val="21"/>
                <w:szCs w:val="21"/>
                <w:highlight w:val="none"/>
              </w:rPr>
              <w:t>建筑名称</w:t>
            </w:r>
          </w:p>
        </w:tc>
        <w:tc>
          <w:tcPr>
            <w:tcW w:w="160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ind w:left="0" w:leftChars="0" w:firstLine="0" w:firstLineChars="0"/>
              <w:jc w:val="both"/>
              <w:textAlignment w:val="auto"/>
              <w:rPr>
                <w:rFonts w:hint="eastAsia" w:ascii="宋体" w:hAnsi="宋体" w:eastAsia="宋体" w:cs="宋体"/>
                <w:b/>
                <w:bCs/>
                <w:color w:val="auto"/>
                <w:kern w:val="2"/>
                <w:sz w:val="21"/>
                <w:szCs w:val="21"/>
                <w:highlight w:val="none"/>
              </w:rPr>
            </w:pPr>
            <w:r>
              <w:rPr>
                <w:rFonts w:hint="eastAsia" w:ascii="宋体" w:hAnsi="宋体" w:eastAsia="宋体" w:cs="宋体"/>
                <w:b/>
                <w:bCs/>
                <w:color w:val="auto"/>
                <w:kern w:val="2"/>
                <w:sz w:val="21"/>
                <w:szCs w:val="21"/>
                <w:highlight w:val="none"/>
              </w:rPr>
              <w:t>建筑面积</w:t>
            </w:r>
            <w:r>
              <w:rPr>
                <w:rFonts w:hint="eastAsia" w:ascii="宋体" w:hAnsi="宋体" w:eastAsia="宋体" w:cs="宋体"/>
                <w:b/>
                <w:bCs/>
                <w:color w:val="auto"/>
                <w:kern w:val="2"/>
                <w:sz w:val="21"/>
                <w:szCs w:val="21"/>
                <w:highlight w:val="none"/>
                <w:lang w:eastAsia="zh-CN"/>
              </w:rPr>
              <w:t>（</w:t>
            </w:r>
            <w:r>
              <w:rPr>
                <w:rFonts w:hint="eastAsia" w:ascii="宋体" w:hAnsi="宋体" w:eastAsia="宋体" w:cs="宋体"/>
                <w:b/>
                <w:bCs/>
                <w:color w:val="auto"/>
                <w:kern w:val="2"/>
                <w:sz w:val="21"/>
                <w:szCs w:val="21"/>
                <w:highlight w:val="none"/>
              </w:rPr>
              <w:t>m²</w:t>
            </w:r>
            <w:r>
              <w:rPr>
                <w:rFonts w:hint="eastAsia" w:ascii="宋体" w:hAnsi="宋体" w:eastAsia="宋体" w:cs="宋体"/>
                <w:b/>
                <w:bCs/>
                <w:color w:val="auto"/>
                <w:kern w:val="2"/>
                <w:sz w:val="21"/>
                <w:szCs w:val="21"/>
                <w:highlight w:val="none"/>
                <w:lang w:eastAsia="zh-CN"/>
              </w:rPr>
              <w:t>）</w:t>
            </w:r>
          </w:p>
        </w:tc>
        <w:tc>
          <w:tcPr>
            <w:tcW w:w="331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b/>
                <w:bCs/>
                <w:color w:val="auto"/>
                <w:kern w:val="2"/>
                <w:sz w:val="21"/>
                <w:szCs w:val="21"/>
                <w:highlight w:val="none"/>
              </w:rPr>
            </w:pPr>
            <w:r>
              <w:rPr>
                <w:rFonts w:hint="eastAsia" w:ascii="宋体" w:hAnsi="宋体" w:eastAsia="宋体" w:cs="宋体"/>
                <w:b/>
                <w:bCs/>
                <w:color w:val="auto"/>
                <w:kern w:val="2"/>
                <w:sz w:val="21"/>
                <w:szCs w:val="21"/>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ind w:left="0" w:leftChars="0" w:firstLine="0" w:firstLineChars="0"/>
              <w:jc w:val="both"/>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1</w:t>
            </w:r>
          </w:p>
        </w:tc>
        <w:tc>
          <w:tcPr>
            <w:tcW w:w="273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综合楼</w:t>
            </w:r>
          </w:p>
        </w:tc>
        <w:tc>
          <w:tcPr>
            <w:tcW w:w="160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right"/>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30659</w:t>
            </w:r>
          </w:p>
        </w:tc>
        <w:tc>
          <w:tcPr>
            <w:tcW w:w="331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ind w:left="0" w:leftChars="0" w:firstLine="0" w:firstLineChars="0"/>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地上12层、地下1层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2</w:t>
            </w:r>
          </w:p>
        </w:tc>
        <w:tc>
          <w:tcPr>
            <w:tcW w:w="273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联合车库</w:t>
            </w:r>
          </w:p>
        </w:tc>
        <w:tc>
          <w:tcPr>
            <w:tcW w:w="160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right"/>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18598</w:t>
            </w:r>
          </w:p>
        </w:tc>
        <w:tc>
          <w:tcPr>
            <w:tcW w:w="331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ind w:left="0" w:leftChars="0" w:firstLine="0" w:firstLineChars="0"/>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地上1层、局部2层、地下1层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3</w:t>
            </w:r>
          </w:p>
        </w:tc>
        <w:tc>
          <w:tcPr>
            <w:tcW w:w="273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司机公寓</w:t>
            </w:r>
          </w:p>
        </w:tc>
        <w:tc>
          <w:tcPr>
            <w:tcW w:w="160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right"/>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5779</w:t>
            </w:r>
          </w:p>
        </w:tc>
        <w:tc>
          <w:tcPr>
            <w:tcW w:w="331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ind w:left="0" w:leftChars="0" w:firstLine="0" w:firstLineChars="0"/>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地上6层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4</w:t>
            </w:r>
          </w:p>
        </w:tc>
        <w:tc>
          <w:tcPr>
            <w:tcW w:w="273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运用库</w:t>
            </w:r>
          </w:p>
        </w:tc>
        <w:tc>
          <w:tcPr>
            <w:tcW w:w="160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right"/>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34457</w:t>
            </w:r>
          </w:p>
        </w:tc>
        <w:tc>
          <w:tcPr>
            <w:tcW w:w="331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ind w:left="0" w:leftChars="0" w:firstLine="0" w:firstLineChars="0"/>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地上1层、局部2层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5</w:t>
            </w:r>
          </w:p>
        </w:tc>
        <w:tc>
          <w:tcPr>
            <w:tcW w:w="273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特种物品库</w:t>
            </w:r>
          </w:p>
        </w:tc>
        <w:tc>
          <w:tcPr>
            <w:tcW w:w="160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right"/>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141</w:t>
            </w:r>
          </w:p>
        </w:tc>
        <w:tc>
          <w:tcPr>
            <w:tcW w:w="331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ind w:left="0" w:leftChars="0" w:firstLine="0" w:firstLineChars="0"/>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地上1层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6</w:t>
            </w:r>
          </w:p>
        </w:tc>
        <w:tc>
          <w:tcPr>
            <w:tcW w:w="273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物资总库</w:t>
            </w:r>
          </w:p>
        </w:tc>
        <w:tc>
          <w:tcPr>
            <w:tcW w:w="160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right"/>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3671</w:t>
            </w:r>
          </w:p>
        </w:tc>
        <w:tc>
          <w:tcPr>
            <w:tcW w:w="331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ind w:left="0" w:leftChars="0" w:firstLine="0" w:firstLineChars="0"/>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主跨1层、辅跨4层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7</w:t>
            </w:r>
          </w:p>
        </w:tc>
        <w:tc>
          <w:tcPr>
            <w:tcW w:w="273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工程车库及材料棚</w:t>
            </w:r>
          </w:p>
        </w:tc>
        <w:tc>
          <w:tcPr>
            <w:tcW w:w="160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right"/>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3616</w:t>
            </w:r>
          </w:p>
        </w:tc>
        <w:tc>
          <w:tcPr>
            <w:tcW w:w="331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ind w:left="0" w:leftChars="0" w:firstLine="0" w:firstLineChars="0"/>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地上1层、局部2层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8</w:t>
            </w:r>
          </w:p>
        </w:tc>
        <w:tc>
          <w:tcPr>
            <w:tcW w:w="273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洗车库</w:t>
            </w:r>
          </w:p>
        </w:tc>
        <w:tc>
          <w:tcPr>
            <w:tcW w:w="160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right"/>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984</w:t>
            </w:r>
          </w:p>
        </w:tc>
        <w:tc>
          <w:tcPr>
            <w:tcW w:w="331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ind w:left="0" w:leftChars="0" w:firstLine="0" w:firstLineChars="0"/>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地上1层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9</w:t>
            </w:r>
          </w:p>
        </w:tc>
        <w:tc>
          <w:tcPr>
            <w:tcW w:w="273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rPr>
              <w:t>镟轮</w:t>
            </w:r>
            <w:r>
              <w:rPr>
                <w:rFonts w:hint="eastAsia" w:ascii="宋体" w:hAnsi="宋体" w:eastAsia="宋体" w:cs="宋体"/>
                <w:color w:val="auto"/>
                <w:kern w:val="2"/>
                <w:sz w:val="21"/>
                <w:szCs w:val="21"/>
                <w:highlight w:val="none"/>
                <w:lang w:val="en-US" w:eastAsia="zh-CN"/>
              </w:rPr>
              <w:t>库</w:t>
            </w:r>
          </w:p>
        </w:tc>
        <w:tc>
          <w:tcPr>
            <w:tcW w:w="160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righ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rPr>
              <w:t>733</w:t>
            </w:r>
          </w:p>
        </w:tc>
        <w:tc>
          <w:tcPr>
            <w:tcW w:w="331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ind w:left="0" w:leftChars="0" w:firstLine="0" w:firstLineChars="0"/>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地上1层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10</w:t>
            </w:r>
          </w:p>
        </w:tc>
        <w:tc>
          <w:tcPr>
            <w:tcW w:w="273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牵引</w:t>
            </w:r>
            <w:r>
              <w:rPr>
                <w:rFonts w:hint="eastAsia" w:ascii="宋体" w:hAnsi="宋体" w:eastAsia="宋体" w:cs="宋体"/>
                <w:color w:val="auto"/>
                <w:kern w:val="2"/>
                <w:sz w:val="21"/>
                <w:szCs w:val="21"/>
                <w:highlight w:val="none"/>
                <w:lang w:val="en-US" w:eastAsia="zh-CN"/>
              </w:rPr>
              <w:t>降压混合</w:t>
            </w:r>
            <w:r>
              <w:rPr>
                <w:rFonts w:hint="eastAsia" w:ascii="宋体" w:hAnsi="宋体" w:eastAsia="宋体" w:cs="宋体"/>
                <w:color w:val="auto"/>
                <w:kern w:val="2"/>
                <w:sz w:val="21"/>
                <w:szCs w:val="21"/>
                <w:highlight w:val="none"/>
              </w:rPr>
              <w:t>变电所</w:t>
            </w:r>
          </w:p>
        </w:tc>
        <w:tc>
          <w:tcPr>
            <w:tcW w:w="160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right"/>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1031</w:t>
            </w:r>
          </w:p>
        </w:tc>
        <w:tc>
          <w:tcPr>
            <w:tcW w:w="331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ind w:left="0" w:leftChars="0" w:firstLine="0" w:firstLineChars="0"/>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地上1层、地下1层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11</w:t>
            </w:r>
          </w:p>
        </w:tc>
        <w:tc>
          <w:tcPr>
            <w:tcW w:w="273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动调实验间</w:t>
            </w:r>
          </w:p>
        </w:tc>
        <w:tc>
          <w:tcPr>
            <w:tcW w:w="160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righ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rPr>
              <w:t>288</w:t>
            </w:r>
          </w:p>
        </w:tc>
        <w:tc>
          <w:tcPr>
            <w:tcW w:w="331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ind w:left="0" w:leftChars="0" w:firstLine="0" w:firstLineChars="0"/>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地上1层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12</w:t>
            </w:r>
          </w:p>
        </w:tc>
        <w:tc>
          <w:tcPr>
            <w:tcW w:w="273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轮动受电弓在线检测棚</w:t>
            </w:r>
          </w:p>
        </w:tc>
        <w:tc>
          <w:tcPr>
            <w:tcW w:w="160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righ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rPr>
              <w:t>188</w:t>
            </w:r>
          </w:p>
        </w:tc>
        <w:tc>
          <w:tcPr>
            <w:tcW w:w="331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ind w:left="0" w:leftChars="0" w:firstLine="0" w:firstLineChars="0"/>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地上1层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13</w:t>
            </w:r>
          </w:p>
        </w:tc>
        <w:tc>
          <w:tcPr>
            <w:tcW w:w="273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color w:val="auto"/>
                <w:kern w:val="2"/>
                <w:sz w:val="21"/>
                <w:szCs w:val="21"/>
                <w:highlight w:val="none"/>
                <w:lang w:eastAsia="zh-CN"/>
              </w:rPr>
            </w:pPr>
            <w:r>
              <w:rPr>
                <w:rFonts w:hint="eastAsia" w:ascii="宋体" w:hAnsi="宋体" w:eastAsia="宋体" w:cs="宋体"/>
                <w:color w:val="auto"/>
                <w:kern w:val="2"/>
                <w:sz w:val="21"/>
                <w:szCs w:val="21"/>
                <w:highlight w:val="none"/>
                <w:lang w:val="en-US" w:eastAsia="zh-CN"/>
              </w:rPr>
              <w:t>洗车房</w:t>
            </w:r>
          </w:p>
        </w:tc>
        <w:tc>
          <w:tcPr>
            <w:tcW w:w="160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right"/>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402</w:t>
            </w:r>
          </w:p>
        </w:tc>
        <w:tc>
          <w:tcPr>
            <w:tcW w:w="331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ind w:left="0" w:leftChars="0" w:firstLine="0" w:firstLineChars="0"/>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地上1层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14</w:t>
            </w:r>
          </w:p>
        </w:tc>
        <w:tc>
          <w:tcPr>
            <w:tcW w:w="273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出入口门卫</w:t>
            </w:r>
          </w:p>
        </w:tc>
        <w:tc>
          <w:tcPr>
            <w:tcW w:w="160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right"/>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95</w:t>
            </w:r>
          </w:p>
        </w:tc>
        <w:tc>
          <w:tcPr>
            <w:tcW w:w="331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ind w:left="0" w:leftChars="0" w:firstLine="0" w:firstLineChars="0"/>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地上1层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15</w:t>
            </w:r>
          </w:p>
        </w:tc>
        <w:tc>
          <w:tcPr>
            <w:tcW w:w="273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人行出入口门卫</w:t>
            </w:r>
          </w:p>
        </w:tc>
        <w:tc>
          <w:tcPr>
            <w:tcW w:w="160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righ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rPr>
              <w:t>22</w:t>
            </w:r>
          </w:p>
        </w:tc>
        <w:tc>
          <w:tcPr>
            <w:tcW w:w="331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ind w:left="0" w:leftChars="0" w:firstLine="0" w:firstLineChars="0"/>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地上1层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color w:val="auto"/>
                <w:kern w:val="2"/>
                <w:sz w:val="21"/>
                <w:szCs w:val="21"/>
                <w:highlight w:val="none"/>
                <w:lang w:eastAsia="zh-CN"/>
              </w:rPr>
            </w:pPr>
            <w:r>
              <w:rPr>
                <w:rFonts w:hint="eastAsia" w:ascii="宋体" w:hAnsi="宋体" w:eastAsia="宋体" w:cs="宋体"/>
                <w:color w:val="auto"/>
                <w:kern w:val="2"/>
                <w:sz w:val="21"/>
                <w:szCs w:val="21"/>
                <w:highlight w:val="none"/>
              </w:rPr>
              <w:t>1</w:t>
            </w:r>
            <w:r>
              <w:rPr>
                <w:rFonts w:hint="eastAsia" w:ascii="宋体" w:hAnsi="宋体" w:eastAsia="宋体" w:cs="宋体"/>
                <w:color w:val="auto"/>
                <w:kern w:val="2"/>
                <w:sz w:val="21"/>
                <w:szCs w:val="21"/>
                <w:highlight w:val="none"/>
                <w:lang w:val="en-US" w:eastAsia="zh-CN"/>
              </w:rPr>
              <w:t>6</w:t>
            </w:r>
          </w:p>
        </w:tc>
        <w:tc>
          <w:tcPr>
            <w:tcW w:w="273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次出入口门卫</w:t>
            </w:r>
          </w:p>
        </w:tc>
        <w:tc>
          <w:tcPr>
            <w:tcW w:w="160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right"/>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23</w:t>
            </w:r>
          </w:p>
        </w:tc>
        <w:tc>
          <w:tcPr>
            <w:tcW w:w="331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ind w:left="0" w:leftChars="0" w:firstLine="0" w:firstLineChars="0"/>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地上1层</w:t>
            </w:r>
          </w:p>
        </w:tc>
      </w:tr>
    </w:tbl>
    <w:p>
      <w:pPr>
        <w:tabs>
          <w:tab w:val="left" w:pos="6120"/>
        </w:tabs>
        <w:spacing w:line="360" w:lineRule="auto"/>
        <w:ind w:firstLine="420" w:firstLineChars="200"/>
        <w:jc w:val="center"/>
        <w:rPr>
          <w:rFonts w:hint="eastAsia" w:ascii="宋体" w:hAnsi="宋体" w:eastAsia="宋体" w:cs="宋体"/>
          <w:color w:val="auto"/>
          <w:sz w:val="21"/>
          <w:szCs w:val="21"/>
          <w:highlight w:val="none"/>
          <w:lang w:val="en-US" w:eastAsia="zh-CN"/>
        </w:rPr>
      </w:pPr>
    </w:p>
    <w:p>
      <w:pPr>
        <w:tabs>
          <w:tab w:val="left" w:pos="6120"/>
        </w:tabs>
        <w:spacing w:line="360" w:lineRule="auto"/>
        <w:ind w:firstLine="480" w:firstLineChars="200"/>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4.1.3 监测重点段</w:t>
      </w:r>
    </w:p>
    <w:tbl>
      <w:tblPr>
        <w:tblStyle w:val="25"/>
        <w:tblpPr w:leftFromText="180" w:rightFromText="180" w:vertAnchor="text" w:horzAnchor="page" w:tblpX="1862" w:tblpY="417"/>
        <w:tblOverlap w:val="never"/>
        <w:tblW w:w="4685"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7"/>
        <w:gridCol w:w="2436"/>
        <w:gridCol w:w="1009"/>
        <w:gridCol w:w="2210"/>
        <w:gridCol w:w="20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43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both"/>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序号</w:t>
            </w:r>
          </w:p>
        </w:tc>
        <w:tc>
          <w:tcPr>
            <w:tcW w:w="1452"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区间/车站</w:t>
            </w:r>
          </w:p>
        </w:tc>
        <w:tc>
          <w:tcPr>
            <w:tcW w:w="601"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both"/>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行别</w:t>
            </w:r>
          </w:p>
        </w:tc>
        <w:tc>
          <w:tcPr>
            <w:tcW w:w="1318"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里程</w:t>
            </w:r>
          </w:p>
        </w:tc>
        <w:tc>
          <w:tcPr>
            <w:tcW w:w="119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监测形式要求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43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1452" w:type="pct"/>
            <w:vMerge w:val="restart"/>
            <w:tcBorders>
              <w:top w:val="single" w:color="000000" w:sz="4" w:space="0"/>
              <w:left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宋体" w:hAnsi="宋体" w:eastAsia="宋体" w:cs="宋体"/>
                <w:i w:val="0"/>
                <w:iCs w:val="0"/>
                <w:color w:val="auto"/>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南通火车站～长岸站</w:t>
            </w:r>
          </w:p>
        </w:tc>
        <w:tc>
          <w:tcPr>
            <w:tcW w:w="601"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both"/>
              <w:textAlignment w:val="center"/>
              <w:rPr>
                <w:rFonts w:hint="eastAsia" w:ascii="宋体" w:hAnsi="宋体" w:eastAsia="宋体" w:cs="宋体"/>
                <w:b w:val="0"/>
                <w:bCs w:val="0"/>
                <w:i w:val="0"/>
                <w:iCs w:val="0"/>
                <w:color w:val="auto"/>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上行</w:t>
            </w:r>
          </w:p>
        </w:tc>
        <w:tc>
          <w:tcPr>
            <w:tcW w:w="1318"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both"/>
              <w:textAlignment w:val="center"/>
              <w:rPr>
                <w:rFonts w:hint="eastAsia" w:ascii="宋体" w:hAnsi="宋体" w:eastAsia="宋体" w:cs="宋体"/>
                <w:i w:val="0"/>
                <w:iCs w:val="0"/>
                <w:color w:val="auto"/>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K1+999~K2+077</w:t>
            </w:r>
          </w:p>
        </w:tc>
        <w:tc>
          <w:tcPr>
            <w:tcW w:w="119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人工监测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43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lang w:val="en-US" w:eastAsia="zh-CN"/>
              </w:rPr>
              <w:t>2</w:t>
            </w:r>
          </w:p>
        </w:tc>
        <w:tc>
          <w:tcPr>
            <w:tcW w:w="1452" w:type="pct"/>
            <w:vMerge w:val="continue"/>
            <w:tcBorders>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宋体" w:hAnsi="宋体" w:eastAsia="宋体" w:cs="宋体"/>
                <w:i w:val="0"/>
                <w:iCs w:val="0"/>
                <w:color w:val="auto"/>
                <w:sz w:val="21"/>
                <w:szCs w:val="21"/>
                <w:highlight w:val="none"/>
                <w:u w:val="none"/>
                <w:lang w:val="en-US" w:eastAsia="zh-CN" w:bidi="ar-SA"/>
              </w:rPr>
            </w:pPr>
          </w:p>
        </w:tc>
        <w:tc>
          <w:tcPr>
            <w:tcW w:w="601"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下行</w:t>
            </w:r>
          </w:p>
        </w:tc>
        <w:tc>
          <w:tcPr>
            <w:tcW w:w="1318"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K1+999~K2+077</w:t>
            </w:r>
          </w:p>
        </w:tc>
        <w:tc>
          <w:tcPr>
            <w:tcW w:w="119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人工监测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43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lang w:val="en-US" w:eastAsia="zh-CN"/>
              </w:rPr>
              <w:t>3</w:t>
            </w:r>
          </w:p>
        </w:tc>
        <w:tc>
          <w:tcPr>
            <w:tcW w:w="1452" w:type="pct"/>
            <w:vMerge w:val="restart"/>
            <w:tcBorders>
              <w:top w:val="single" w:color="000000" w:sz="4" w:space="0"/>
              <w:left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宋体" w:hAnsi="宋体" w:eastAsia="宋体" w:cs="宋体"/>
                <w:i w:val="0"/>
                <w:iCs w:val="0"/>
                <w:color w:val="auto"/>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北大街站～北城大桥站</w:t>
            </w:r>
          </w:p>
        </w:tc>
        <w:tc>
          <w:tcPr>
            <w:tcW w:w="601"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上行</w:t>
            </w:r>
          </w:p>
        </w:tc>
        <w:tc>
          <w:tcPr>
            <w:tcW w:w="1318"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K4+847~K4+908</w:t>
            </w:r>
          </w:p>
        </w:tc>
        <w:tc>
          <w:tcPr>
            <w:tcW w:w="119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人工监测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43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lang w:val="en-US" w:eastAsia="zh-CN"/>
              </w:rPr>
              <w:t>4</w:t>
            </w:r>
          </w:p>
        </w:tc>
        <w:tc>
          <w:tcPr>
            <w:tcW w:w="1452" w:type="pct"/>
            <w:vMerge w:val="continue"/>
            <w:tcBorders>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sz w:val="21"/>
                <w:szCs w:val="21"/>
                <w:highlight w:val="none"/>
                <w:u w:val="none"/>
              </w:rPr>
            </w:pPr>
          </w:p>
        </w:tc>
        <w:tc>
          <w:tcPr>
            <w:tcW w:w="601"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下行</w:t>
            </w:r>
          </w:p>
        </w:tc>
        <w:tc>
          <w:tcPr>
            <w:tcW w:w="1318"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K4+871~K4+908</w:t>
            </w:r>
          </w:p>
        </w:tc>
        <w:tc>
          <w:tcPr>
            <w:tcW w:w="119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人工监测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43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lang w:val="en-US" w:eastAsia="zh-CN"/>
              </w:rPr>
              <w:t>5</w:t>
            </w:r>
          </w:p>
        </w:tc>
        <w:tc>
          <w:tcPr>
            <w:tcW w:w="1452"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北城大桥站～钟秀西路站</w:t>
            </w:r>
          </w:p>
        </w:tc>
        <w:tc>
          <w:tcPr>
            <w:tcW w:w="601"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上行</w:t>
            </w:r>
          </w:p>
        </w:tc>
        <w:tc>
          <w:tcPr>
            <w:tcW w:w="1318"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both"/>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K5+077~K5+124</w:t>
            </w:r>
          </w:p>
        </w:tc>
        <w:tc>
          <w:tcPr>
            <w:tcW w:w="119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人工监测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43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lang w:val="en-US" w:eastAsia="zh-CN"/>
              </w:rPr>
              <w:t>6</w:t>
            </w:r>
          </w:p>
        </w:tc>
        <w:tc>
          <w:tcPr>
            <w:tcW w:w="1452"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宋体" w:hAnsi="宋体" w:eastAsia="宋体" w:cs="宋体"/>
                <w:i w:val="0"/>
                <w:iCs w:val="0"/>
                <w:color w:val="auto"/>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北城大桥站～钟秀西路站</w:t>
            </w:r>
          </w:p>
        </w:tc>
        <w:tc>
          <w:tcPr>
            <w:tcW w:w="601"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下行</w:t>
            </w:r>
          </w:p>
        </w:tc>
        <w:tc>
          <w:tcPr>
            <w:tcW w:w="1318"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K5+077~K5+124</w:t>
            </w:r>
          </w:p>
        </w:tc>
        <w:tc>
          <w:tcPr>
            <w:tcW w:w="119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人工监测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43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lang w:val="en-US" w:eastAsia="zh-CN"/>
              </w:rPr>
              <w:t>7</w:t>
            </w:r>
          </w:p>
        </w:tc>
        <w:tc>
          <w:tcPr>
            <w:tcW w:w="1452"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宋体" w:hAnsi="宋体" w:eastAsia="宋体" w:cs="宋体"/>
                <w:i w:val="0"/>
                <w:iCs w:val="0"/>
                <w:color w:val="auto"/>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和平桥站～体育公园站</w:t>
            </w:r>
          </w:p>
        </w:tc>
        <w:tc>
          <w:tcPr>
            <w:tcW w:w="601"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上行</w:t>
            </w:r>
          </w:p>
        </w:tc>
        <w:tc>
          <w:tcPr>
            <w:tcW w:w="1318"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both"/>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K8+270~K8+677</w:t>
            </w:r>
          </w:p>
          <w:p>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both"/>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K9+223~K9+428</w:t>
            </w:r>
          </w:p>
        </w:tc>
        <w:tc>
          <w:tcPr>
            <w:tcW w:w="119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人工监测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43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lang w:val="en-US" w:eastAsia="zh-CN"/>
              </w:rPr>
              <w:t>8</w:t>
            </w:r>
          </w:p>
        </w:tc>
        <w:tc>
          <w:tcPr>
            <w:tcW w:w="1452"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和平桥站～体育公园站</w:t>
            </w:r>
          </w:p>
        </w:tc>
        <w:tc>
          <w:tcPr>
            <w:tcW w:w="601"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下行</w:t>
            </w:r>
          </w:p>
        </w:tc>
        <w:tc>
          <w:tcPr>
            <w:tcW w:w="1318"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both"/>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K8+270~K8+347</w:t>
            </w:r>
          </w:p>
          <w:p>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both"/>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K8+629~K8+701</w:t>
            </w:r>
          </w:p>
          <w:p>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both"/>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K9+253~K9+428</w:t>
            </w:r>
          </w:p>
        </w:tc>
        <w:tc>
          <w:tcPr>
            <w:tcW w:w="119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人工监测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43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lang w:val="en-US" w:eastAsia="zh-CN"/>
              </w:rPr>
              <w:t>9</w:t>
            </w:r>
          </w:p>
        </w:tc>
        <w:tc>
          <w:tcPr>
            <w:tcW w:w="1452"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易家桥站～文峰站</w:t>
            </w:r>
          </w:p>
        </w:tc>
        <w:tc>
          <w:tcPr>
            <w:tcW w:w="601"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上行</w:t>
            </w:r>
          </w:p>
        </w:tc>
        <w:tc>
          <w:tcPr>
            <w:tcW w:w="1318"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both"/>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K11+385~K11+404</w:t>
            </w:r>
          </w:p>
        </w:tc>
        <w:tc>
          <w:tcPr>
            <w:tcW w:w="119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人工监测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43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lang w:val="en-US" w:eastAsia="zh-CN"/>
              </w:rPr>
              <w:t>10</w:t>
            </w:r>
          </w:p>
        </w:tc>
        <w:tc>
          <w:tcPr>
            <w:tcW w:w="1452"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宋体" w:hAnsi="宋体" w:eastAsia="宋体" w:cs="宋体"/>
                <w:i w:val="0"/>
                <w:iCs w:val="0"/>
                <w:color w:val="auto"/>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易家桥站～文峰站</w:t>
            </w:r>
          </w:p>
        </w:tc>
        <w:tc>
          <w:tcPr>
            <w:tcW w:w="601"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下行</w:t>
            </w:r>
          </w:p>
        </w:tc>
        <w:tc>
          <w:tcPr>
            <w:tcW w:w="1318"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K11+385~K11+404</w:t>
            </w:r>
          </w:p>
        </w:tc>
        <w:tc>
          <w:tcPr>
            <w:tcW w:w="119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人工监测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3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lang w:val="en-US" w:eastAsia="zh-CN"/>
              </w:rPr>
              <w:t>11</w:t>
            </w:r>
          </w:p>
        </w:tc>
        <w:tc>
          <w:tcPr>
            <w:tcW w:w="1452"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文峰站～五一路站</w:t>
            </w:r>
          </w:p>
        </w:tc>
        <w:tc>
          <w:tcPr>
            <w:tcW w:w="601"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上行</w:t>
            </w:r>
          </w:p>
        </w:tc>
        <w:tc>
          <w:tcPr>
            <w:tcW w:w="1318"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both"/>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K12+203~K12+241</w:t>
            </w:r>
          </w:p>
        </w:tc>
        <w:tc>
          <w:tcPr>
            <w:tcW w:w="119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人工监测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43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lang w:val="en-US" w:eastAsia="zh-CN"/>
              </w:rPr>
              <w:t>12</w:t>
            </w:r>
          </w:p>
        </w:tc>
        <w:tc>
          <w:tcPr>
            <w:tcW w:w="1452"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宋体" w:hAnsi="宋体" w:eastAsia="宋体" w:cs="宋体"/>
                <w:i w:val="0"/>
                <w:iCs w:val="0"/>
                <w:color w:val="auto"/>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文峰站～五一路站</w:t>
            </w:r>
          </w:p>
        </w:tc>
        <w:tc>
          <w:tcPr>
            <w:tcW w:w="601"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下行</w:t>
            </w:r>
          </w:p>
        </w:tc>
        <w:tc>
          <w:tcPr>
            <w:tcW w:w="1318"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both"/>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K12+215~K12+241</w:t>
            </w:r>
          </w:p>
        </w:tc>
        <w:tc>
          <w:tcPr>
            <w:tcW w:w="119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人工监测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43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lang w:val="en-US" w:eastAsia="zh-CN"/>
              </w:rPr>
              <w:t>13</w:t>
            </w:r>
          </w:p>
        </w:tc>
        <w:tc>
          <w:tcPr>
            <w:tcW w:w="1452"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宋体" w:hAnsi="宋体" w:eastAsia="宋体" w:cs="宋体"/>
                <w:i w:val="0"/>
                <w:iCs w:val="0"/>
                <w:color w:val="auto"/>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南通东站～先锋站</w:t>
            </w:r>
          </w:p>
        </w:tc>
        <w:tc>
          <w:tcPr>
            <w:tcW w:w="601"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上行</w:t>
            </w:r>
          </w:p>
        </w:tc>
        <w:tc>
          <w:tcPr>
            <w:tcW w:w="1318"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both"/>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K18+314~K18+409</w:t>
            </w:r>
          </w:p>
        </w:tc>
        <w:tc>
          <w:tcPr>
            <w:tcW w:w="119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人工监测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43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i w:val="0"/>
                <w:iCs w:val="0"/>
                <w:color w:val="auto"/>
                <w:sz w:val="21"/>
                <w:szCs w:val="21"/>
                <w:highlight w:val="none"/>
                <w:u w:val="none"/>
                <w:lang w:val="en-US" w:eastAsia="zh-CN"/>
              </w:rPr>
              <w:t>14</w:t>
            </w:r>
          </w:p>
        </w:tc>
        <w:tc>
          <w:tcPr>
            <w:tcW w:w="1452"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南通东站～先锋站</w:t>
            </w:r>
          </w:p>
        </w:tc>
        <w:tc>
          <w:tcPr>
            <w:tcW w:w="601"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下行</w:t>
            </w:r>
          </w:p>
        </w:tc>
        <w:tc>
          <w:tcPr>
            <w:tcW w:w="1318"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K18+314~K18+409</w:t>
            </w:r>
          </w:p>
        </w:tc>
        <w:tc>
          <w:tcPr>
            <w:tcW w:w="119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人工监测</w:t>
            </w:r>
          </w:p>
        </w:tc>
      </w:tr>
    </w:tbl>
    <w:p>
      <w:pPr>
        <w:spacing w:line="360" w:lineRule="auto"/>
        <w:ind w:firstLine="422" w:firstLineChars="200"/>
        <w:jc w:val="center"/>
        <w:rPr>
          <w:rFonts w:hint="eastAsia" w:ascii="宋体" w:hAnsi="宋体" w:eastAsia="宋体" w:cs="宋体"/>
          <w:b/>
          <w:color w:val="auto"/>
          <w:sz w:val="21"/>
          <w:szCs w:val="21"/>
          <w:highlight w:val="none"/>
          <w:lang w:val="en-US" w:eastAsia="zh-CN"/>
        </w:rPr>
      </w:pPr>
    </w:p>
    <w:p>
      <w:pPr>
        <w:pStyle w:val="11"/>
        <w:tabs>
          <w:tab w:val="left" w:pos="840"/>
          <w:tab w:val="left" w:pos="2098"/>
        </w:tabs>
        <w:adjustRightInd/>
        <w:spacing w:before="0" w:after="0" w:line="360" w:lineRule="auto"/>
        <w:ind w:left="0" w:firstLine="0"/>
        <w:jc w:val="both"/>
        <w:textAlignment w:val="auto"/>
        <w:rPr>
          <w:rFonts w:hint="default" w:ascii="宋体" w:hAnsi="宋体" w:eastAsia="宋体" w:cs="宋体"/>
          <w:b/>
          <w:bCs/>
          <w:color w:val="auto"/>
          <w:kern w:val="2"/>
          <w:sz w:val="24"/>
          <w:szCs w:val="24"/>
          <w:highlight w:val="none"/>
          <w:lang w:val="en-US" w:eastAsia="zh-CN"/>
        </w:rPr>
      </w:pPr>
      <w:bookmarkStart w:id="165" w:name="_Toc13675"/>
      <w:bookmarkStart w:id="166" w:name="_Toc32273"/>
      <w:bookmarkStart w:id="167" w:name="_Toc18068"/>
      <w:r>
        <w:rPr>
          <w:rFonts w:hint="eastAsia" w:ascii="宋体" w:hAnsi="宋体" w:eastAsia="宋体" w:cs="宋体"/>
          <w:b/>
          <w:bCs/>
          <w:color w:val="auto"/>
          <w:kern w:val="2"/>
          <w:sz w:val="24"/>
          <w:szCs w:val="24"/>
          <w:highlight w:val="none"/>
          <w:lang w:val="en-US" w:eastAsia="zh-CN"/>
        </w:rPr>
        <w:t>4.2 结构监测</w:t>
      </w:r>
      <w:bookmarkEnd w:id="165"/>
      <w:bookmarkEnd w:id="166"/>
      <w:r>
        <w:rPr>
          <w:rFonts w:hint="eastAsia" w:ascii="宋体" w:hAnsi="宋体" w:eastAsia="宋体" w:cs="宋体"/>
          <w:b/>
          <w:bCs/>
          <w:color w:val="auto"/>
          <w:kern w:val="2"/>
          <w:sz w:val="24"/>
          <w:szCs w:val="24"/>
          <w:highlight w:val="none"/>
          <w:lang w:val="en-US" w:eastAsia="zh-CN"/>
        </w:rPr>
        <w:t>工作量</w:t>
      </w:r>
      <w:bookmarkEnd w:id="167"/>
    </w:p>
    <w:p>
      <w:pPr>
        <w:tabs>
          <w:tab w:val="left" w:pos="6120"/>
        </w:tabs>
        <w:spacing w:line="360" w:lineRule="auto"/>
        <w:ind w:firstLine="480" w:firstLineChars="20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4.2.1 测点布设原则（遵照国家、行业规范标准，并不低于以下规定）。</w:t>
      </w:r>
    </w:p>
    <w:tbl>
      <w:tblPr>
        <w:tblStyle w:val="25"/>
        <w:tblW w:w="8406"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546"/>
        <w:gridCol w:w="1149"/>
        <w:gridCol w:w="1488"/>
        <w:gridCol w:w="2981"/>
        <w:gridCol w:w="2242"/>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77" w:hRule="atLeast"/>
          <w:jc w:val="center"/>
        </w:trPr>
        <w:tc>
          <w:tcPr>
            <w:tcW w:w="546" w:type="dxa"/>
            <w:noWrap w:val="0"/>
            <w:tcMar>
              <w:left w:w="0" w:type="dxa"/>
              <w:right w:w="0" w:type="dxa"/>
            </w:tcMar>
            <w:vAlign w:val="center"/>
          </w:tcPr>
          <w:p>
            <w:pPr>
              <w:keepNext w:val="0"/>
              <w:keepLines w:val="0"/>
              <w:pageBreakBefore w:val="0"/>
              <w:kinsoku/>
              <w:wordWrap/>
              <w:overflowPunct/>
              <w:topLinePunct/>
              <w:autoSpaceDE/>
              <w:autoSpaceDN/>
              <w:bidi w:val="0"/>
              <w:adjustRightInd/>
              <w:snapToGrid w:val="0"/>
              <w:spacing w:line="240" w:lineRule="auto"/>
              <w:ind w:left="0" w:leftChars="0" w:firstLine="0" w:firstLineChars="0"/>
              <w:jc w:val="both"/>
              <w:textAlignment w:val="auto"/>
              <w:rPr>
                <w:rFonts w:hint="eastAsia" w:ascii="宋体" w:hAnsi="宋体" w:eastAsia="宋体" w:cs="宋体"/>
                <w:b/>
                <w:bCs/>
                <w:snapToGrid w:val="0"/>
                <w:color w:val="auto"/>
                <w:kern w:val="0"/>
                <w:sz w:val="21"/>
                <w:szCs w:val="21"/>
                <w:highlight w:val="none"/>
              </w:rPr>
            </w:pPr>
            <w:r>
              <w:rPr>
                <w:rFonts w:hint="eastAsia" w:ascii="宋体" w:hAnsi="宋体" w:eastAsia="宋体" w:cs="宋体"/>
                <w:b/>
                <w:bCs/>
                <w:snapToGrid w:val="0"/>
                <w:color w:val="auto"/>
                <w:kern w:val="0"/>
                <w:sz w:val="21"/>
                <w:szCs w:val="21"/>
                <w:highlight w:val="none"/>
              </w:rPr>
              <w:t>序号</w:t>
            </w:r>
          </w:p>
        </w:tc>
        <w:tc>
          <w:tcPr>
            <w:tcW w:w="1149" w:type="dxa"/>
            <w:noWrap w:val="0"/>
            <w:vAlign w:val="center"/>
          </w:tcPr>
          <w:p>
            <w:pPr>
              <w:keepNext w:val="0"/>
              <w:keepLines w:val="0"/>
              <w:pageBreakBefore w:val="0"/>
              <w:kinsoku/>
              <w:wordWrap/>
              <w:overflowPunct/>
              <w:topLinePunct/>
              <w:autoSpaceDE/>
              <w:autoSpaceDN/>
              <w:bidi w:val="0"/>
              <w:adjustRightInd/>
              <w:snapToGrid w:val="0"/>
              <w:spacing w:line="240" w:lineRule="auto"/>
              <w:ind w:left="0" w:leftChars="0" w:firstLine="0" w:firstLineChars="0"/>
              <w:jc w:val="both"/>
              <w:textAlignment w:val="auto"/>
              <w:rPr>
                <w:rFonts w:hint="eastAsia" w:ascii="宋体" w:hAnsi="宋体" w:eastAsia="宋体" w:cs="宋体"/>
                <w:b/>
                <w:bCs/>
                <w:snapToGrid w:val="0"/>
                <w:color w:val="auto"/>
                <w:kern w:val="0"/>
                <w:sz w:val="21"/>
                <w:szCs w:val="21"/>
                <w:highlight w:val="none"/>
              </w:rPr>
            </w:pPr>
            <w:r>
              <w:rPr>
                <w:rFonts w:hint="eastAsia" w:ascii="宋体" w:hAnsi="宋体" w:eastAsia="宋体" w:cs="宋体"/>
                <w:b/>
                <w:bCs/>
                <w:snapToGrid w:val="0"/>
                <w:color w:val="auto"/>
                <w:kern w:val="0"/>
                <w:sz w:val="21"/>
                <w:szCs w:val="21"/>
                <w:highlight w:val="none"/>
              </w:rPr>
              <w:t>结构形式</w:t>
            </w:r>
          </w:p>
        </w:tc>
        <w:tc>
          <w:tcPr>
            <w:tcW w:w="1488" w:type="dxa"/>
            <w:noWrap w:val="0"/>
            <w:vAlign w:val="center"/>
          </w:tcPr>
          <w:p>
            <w:pPr>
              <w:keepNext w:val="0"/>
              <w:keepLines w:val="0"/>
              <w:pageBreakBefore w:val="0"/>
              <w:kinsoku/>
              <w:wordWrap/>
              <w:overflowPunct/>
              <w:topLinePunct/>
              <w:autoSpaceDE/>
              <w:autoSpaceDN/>
              <w:bidi w:val="0"/>
              <w:adjustRightInd/>
              <w:snapToGrid w:val="0"/>
              <w:spacing w:line="240" w:lineRule="auto"/>
              <w:ind w:firstLine="0" w:firstLineChars="0"/>
              <w:jc w:val="center"/>
              <w:textAlignment w:val="auto"/>
              <w:rPr>
                <w:rFonts w:hint="eastAsia" w:ascii="宋体" w:hAnsi="宋体" w:eastAsia="宋体" w:cs="宋体"/>
                <w:b/>
                <w:bCs/>
                <w:snapToGrid w:val="0"/>
                <w:color w:val="auto"/>
                <w:kern w:val="0"/>
                <w:sz w:val="21"/>
                <w:szCs w:val="21"/>
                <w:highlight w:val="none"/>
              </w:rPr>
            </w:pPr>
            <w:r>
              <w:rPr>
                <w:rFonts w:hint="eastAsia" w:ascii="宋体" w:hAnsi="宋体" w:eastAsia="宋体" w:cs="宋体"/>
                <w:b/>
                <w:bCs/>
                <w:snapToGrid w:val="0"/>
                <w:color w:val="auto"/>
                <w:kern w:val="0"/>
                <w:sz w:val="21"/>
                <w:szCs w:val="21"/>
                <w:highlight w:val="none"/>
              </w:rPr>
              <w:t>监测内容</w:t>
            </w:r>
          </w:p>
        </w:tc>
        <w:tc>
          <w:tcPr>
            <w:tcW w:w="2981" w:type="dxa"/>
            <w:noWrap w:val="0"/>
            <w:vAlign w:val="center"/>
          </w:tcPr>
          <w:p>
            <w:pPr>
              <w:keepNext w:val="0"/>
              <w:keepLines w:val="0"/>
              <w:pageBreakBefore w:val="0"/>
              <w:kinsoku/>
              <w:wordWrap/>
              <w:overflowPunct/>
              <w:topLinePunct/>
              <w:autoSpaceDE/>
              <w:autoSpaceDN/>
              <w:bidi w:val="0"/>
              <w:adjustRightInd/>
              <w:snapToGrid w:val="0"/>
              <w:spacing w:line="240" w:lineRule="auto"/>
              <w:ind w:firstLine="0" w:firstLineChars="0"/>
              <w:jc w:val="center"/>
              <w:textAlignment w:val="auto"/>
              <w:rPr>
                <w:rFonts w:hint="eastAsia" w:ascii="宋体" w:hAnsi="宋体" w:eastAsia="宋体" w:cs="宋体"/>
                <w:b/>
                <w:bCs/>
                <w:snapToGrid w:val="0"/>
                <w:color w:val="auto"/>
                <w:kern w:val="0"/>
                <w:sz w:val="21"/>
                <w:szCs w:val="21"/>
                <w:highlight w:val="none"/>
              </w:rPr>
            </w:pPr>
            <w:r>
              <w:rPr>
                <w:rFonts w:hint="eastAsia" w:ascii="宋体" w:hAnsi="宋体" w:eastAsia="宋体" w:cs="宋体"/>
                <w:b/>
                <w:bCs/>
                <w:snapToGrid w:val="0"/>
                <w:color w:val="auto"/>
                <w:kern w:val="0"/>
                <w:sz w:val="21"/>
                <w:szCs w:val="21"/>
                <w:highlight w:val="none"/>
              </w:rPr>
              <w:t>测点布设</w:t>
            </w:r>
          </w:p>
        </w:tc>
        <w:tc>
          <w:tcPr>
            <w:tcW w:w="2242" w:type="dxa"/>
            <w:noWrap w:val="0"/>
            <w:vAlign w:val="center"/>
          </w:tcPr>
          <w:p>
            <w:pPr>
              <w:keepNext w:val="0"/>
              <w:keepLines w:val="0"/>
              <w:pageBreakBefore w:val="0"/>
              <w:kinsoku/>
              <w:wordWrap/>
              <w:overflowPunct/>
              <w:topLinePunct/>
              <w:autoSpaceDE/>
              <w:autoSpaceDN/>
              <w:bidi w:val="0"/>
              <w:adjustRightInd/>
              <w:snapToGrid w:val="0"/>
              <w:spacing w:line="240" w:lineRule="auto"/>
              <w:ind w:firstLine="0" w:firstLineChars="0"/>
              <w:jc w:val="center"/>
              <w:textAlignment w:val="auto"/>
              <w:rPr>
                <w:rFonts w:hint="eastAsia" w:ascii="宋体" w:hAnsi="宋体" w:eastAsia="宋体" w:cs="宋体"/>
                <w:b/>
                <w:bCs/>
                <w:snapToGrid w:val="0"/>
                <w:color w:val="auto"/>
                <w:kern w:val="0"/>
                <w:sz w:val="21"/>
                <w:szCs w:val="21"/>
                <w:highlight w:val="none"/>
                <w:lang w:val="en-US" w:eastAsia="zh-CN"/>
              </w:rPr>
            </w:pPr>
            <w:r>
              <w:rPr>
                <w:rFonts w:hint="eastAsia" w:ascii="宋体" w:hAnsi="宋体" w:eastAsia="宋体" w:cs="宋体"/>
                <w:b/>
                <w:bCs/>
                <w:snapToGrid w:val="0"/>
                <w:color w:val="auto"/>
                <w:kern w:val="0"/>
                <w:sz w:val="21"/>
                <w:szCs w:val="21"/>
                <w:highlight w:val="none"/>
                <w:lang w:val="en-US" w:eastAsia="zh-CN"/>
              </w:rPr>
              <w:t>频率</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45" w:hRule="atLeast"/>
          <w:jc w:val="center"/>
        </w:trPr>
        <w:tc>
          <w:tcPr>
            <w:tcW w:w="546" w:type="dxa"/>
            <w:noWrap w:val="0"/>
            <w:vAlign w:val="center"/>
          </w:tcPr>
          <w:p>
            <w:pPr>
              <w:keepNext w:val="0"/>
              <w:keepLines w:val="0"/>
              <w:pageBreakBefore w:val="0"/>
              <w:widowControl/>
              <w:suppressLineNumbers w:val="0"/>
              <w:kinsoku/>
              <w:wordWrap/>
              <w:overflowPunct/>
              <w:autoSpaceDE/>
              <w:autoSpaceDN/>
              <w:bidi w:val="0"/>
              <w:adjustRightInd/>
              <w:ind w:left="0" w:lef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rPr>
              <w:t>1</w:t>
            </w:r>
          </w:p>
        </w:tc>
        <w:tc>
          <w:tcPr>
            <w:tcW w:w="1149" w:type="dxa"/>
            <w:noWrap w:val="0"/>
            <w:tcMar>
              <w:left w:w="0" w:type="dxa"/>
              <w:right w:w="0" w:type="dxa"/>
            </w:tcMar>
            <w:vAlign w:val="center"/>
          </w:tcPr>
          <w:p>
            <w:pPr>
              <w:keepNext w:val="0"/>
              <w:keepLines w:val="0"/>
              <w:pageBreakBefore w:val="0"/>
              <w:kinsoku/>
              <w:wordWrap/>
              <w:overflowPunct/>
              <w:topLinePunct/>
              <w:autoSpaceDE/>
              <w:autoSpaceDN/>
              <w:bidi w:val="0"/>
              <w:adjustRightInd/>
              <w:snapToGrid w:val="0"/>
              <w:spacing w:line="240" w:lineRule="auto"/>
              <w:ind w:left="0" w:leftChars="0" w:firstLine="0" w:firstLineChars="0"/>
              <w:jc w:val="center"/>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地下车站</w:t>
            </w:r>
          </w:p>
          <w:p>
            <w:pPr>
              <w:keepNext w:val="0"/>
              <w:keepLines w:val="0"/>
              <w:pageBreakBefore w:val="0"/>
              <w:kinsoku/>
              <w:wordWrap/>
              <w:overflowPunct/>
              <w:topLinePunct/>
              <w:autoSpaceDE/>
              <w:autoSpaceDN/>
              <w:bidi w:val="0"/>
              <w:adjustRightInd/>
              <w:snapToGrid w:val="0"/>
              <w:spacing w:line="240" w:lineRule="auto"/>
              <w:ind w:left="0" w:leftChars="0" w:firstLine="0" w:firstLineChars="0"/>
              <w:jc w:val="center"/>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主体结构</w:t>
            </w:r>
          </w:p>
        </w:tc>
        <w:tc>
          <w:tcPr>
            <w:tcW w:w="1488" w:type="dxa"/>
            <w:noWrap w:val="0"/>
            <w:vAlign w:val="center"/>
          </w:tcPr>
          <w:p>
            <w:pPr>
              <w:keepNext w:val="0"/>
              <w:keepLines w:val="0"/>
              <w:pageBreakBefore w:val="0"/>
              <w:kinsoku/>
              <w:wordWrap/>
              <w:overflowPunct/>
              <w:topLinePunct/>
              <w:autoSpaceDE/>
              <w:autoSpaceDN/>
              <w:bidi w:val="0"/>
              <w:adjustRightInd/>
              <w:snapToGrid w:val="0"/>
              <w:spacing w:line="240" w:lineRule="auto"/>
              <w:ind w:left="0" w:leftChars="0" w:firstLine="0" w:firstLineChars="0"/>
              <w:jc w:val="left"/>
              <w:textAlignment w:val="auto"/>
              <w:rPr>
                <w:rFonts w:hint="default"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（1）沉降监测</w:t>
            </w:r>
          </w:p>
          <w:p>
            <w:pPr>
              <w:keepNext w:val="0"/>
              <w:keepLines w:val="0"/>
              <w:pageBreakBefore w:val="0"/>
              <w:kinsoku/>
              <w:wordWrap/>
              <w:overflowPunct/>
              <w:topLinePunct/>
              <w:autoSpaceDE/>
              <w:autoSpaceDN/>
              <w:bidi w:val="0"/>
              <w:adjustRightInd/>
              <w:snapToGrid w:val="0"/>
              <w:spacing w:line="240" w:lineRule="auto"/>
              <w:ind w:left="0" w:leftChars="0" w:firstLine="0" w:firstLineChars="0"/>
              <w:jc w:val="left"/>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（2）轨顶风道</w:t>
            </w:r>
          </w:p>
          <w:p>
            <w:pPr>
              <w:keepNext w:val="0"/>
              <w:keepLines w:val="0"/>
              <w:pageBreakBefore w:val="0"/>
              <w:kinsoku/>
              <w:wordWrap/>
              <w:overflowPunct/>
              <w:topLinePunct/>
              <w:autoSpaceDE/>
              <w:autoSpaceDN/>
              <w:bidi w:val="0"/>
              <w:adjustRightInd/>
              <w:snapToGrid w:val="0"/>
              <w:spacing w:line="240" w:lineRule="auto"/>
              <w:ind w:left="0" w:leftChars="0" w:firstLine="0" w:firstLineChars="0"/>
              <w:jc w:val="left"/>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净空收敛</w:t>
            </w:r>
          </w:p>
        </w:tc>
        <w:tc>
          <w:tcPr>
            <w:tcW w:w="2981" w:type="dxa"/>
            <w:noWrap w:val="0"/>
            <w:vAlign w:val="center"/>
          </w:tcPr>
          <w:p>
            <w:pPr>
              <w:keepNext w:val="0"/>
              <w:keepLines w:val="0"/>
              <w:pageBreakBefore w:val="0"/>
              <w:kinsoku/>
              <w:wordWrap/>
              <w:overflowPunct/>
              <w:topLinePunct/>
              <w:autoSpaceDE/>
              <w:autoSpaceDN/>
              <w:bidi w:val="0"/>
              <w:adjustRightInd/>
              <w:snapToGrid w:val="0"/>
              <w:spacing w:line="240" w:lineRule="auto"/>
              <w:ind w:firstLine="0" w:firstLineChars="0"/>
              <w:jc w:val="left"/>
              <w:textAlignment w:val="auto"/>
              <w:rPr>
                <w:rFonts w:hint="eastAsia" w:ascii="宋体" w:hAnsi="宋体" w:eastAsia="宋体" w:cs="宋体"/>
                <w:snapToGrid w:val="0"/>
                <w:color w:val="auto"/>
                <w:kern w:val="0"/>
                <w:sz w:val="21"/>
                <w:szCs w:val="21"/>
                <w:highlight w:val="none"/>
                <w:lang w:val="en-US" w:eastAsia="zh-CN" w:bidi="ar-SA"/>
              </w:rPr>
            </w:pPr>
            <w:r>
              <w:rPr>
                <w:rFonts w:hint="default" w:ascii="宋体" w:hAnsi="宋体" w:eastAsia="宋体" w:cs="宋体"/>
                <w:snapToGrid w:val="0"/>
                <w:color w:val="auto"/>
                <w:kern w:val="0"/>
                <w:sz w:val="21"/>
                <w:szCs w:val="21"/>
                <w:highlight w:val="none"/>
                <w:lang w:val="en-US" w:eastAsia="zh-CN" w:bidi="ar-SA"/>
              </w:rPr>
              <w:t>①</w:t>
            </w:r>
            <w:r>
              <w:rPr>
                <w:rFonts w:hint="eastAsia" w:ascii="宋体" w:hAnsi="宋体" w:eastAsia="宋体" w:cs="宋体"/>
                <w:snapToGrid w:val="0"/>
                <w:color w:val="auto"/>
                <w:kern w:val="0"/>
                <w:sz w:val="21"/>
                <w:szCs w:val="21"/>
                <w:highlight w:val="none"/>
                <w:lang w:val="en-US" w:eastAsia="zh-CN" w:bidi="ar-SA"/>
              </w:rPr>
              <w:t>沉降测点：各车站</w:t>
            </w:r>
            <w:r>
              <w:rPr>
                <w:rFonts w:hint="eastAsia" w:ascii="宋体" w:hAnsi="宋体" w:eastAsia="宋体" w:cs="宋体"/>
                <w:snapToGrid w:val="0"/>
                <w:color w:val="auto"/>
                <w:kern w:val="0"/>
                <w:sz w:val="21"/>
                <w:szCs w:val="21"/>
                <w:highlight w:val="none"/>
              </w:rPr>
              <w:t>不大于50米设一监测断面，每</w:t>
            </w:r>
            <w:r>
              <w:rPr>
                <w:rFonts w:hint="eastAsia" w:ascii="宋体" w:hAnsi="宋体" w:eastAsia="宋体" w:cs="宋体"/>
                <w:snapToGrid w:val="0"/>
                <w:color w:val="auto"/>
                <w:kern w:val="0"/>
                <w:sz w:val="21"/>
                <w:szCs w:val="21"/>
                <w:highlight w:val="none"/>
                <w:lang w:eastAsia="zh-CN"/>
              </w:rPr>
              <w:t>个</w:t>
            </w:r>
            <w:r>
              <w:rPr>
                <w:rFonts w:hint="eastAsia" w:ascii="宋体" w:hAnsi="宋体" w:eastAsia="宋体" w:cs="宋体"/>
                <w:snapToGrid w:val="0"/>
                <w:color w:val="auto"/>
                <w:kern w:val="0"/>
                <w:sz w:val="21"/>
                <w:szCs w:val="21"/>
                <w:highlight w:val="none"/>
              </w:rPr>
              <w:t>断面</w:t>
            </w:r>
            <w:r>
              <w:rPr>
                <w:rFonts w:hint="eastAsia" w:ascii="宋体" w:hAnsi="宋体" w:eastAsia="宋体" w:cs="宋体"/>
                <w:snapToGrid w:val="0"/>
                <w:color w:val="auto"/>
                <w:kern w:val="0"/>
                <w:sz w:val="21"/>
                <w:szCs w:val="21"/>
                <w:highlight w:val="none"/>
                <w:lang w:val="en-US" w:eastAsia="zh-CN"/>
              </w:rPr>
              <w:t>上、下行</w:t>
            </w:r>
            <w:r>
              <w:rPr>
                <w:rFonts w:hint="eastAsia" w:ascii="宋体" w:hAnsi="宋体" w:eastAsia="宋体" w:cs="宋体"/>
                <w:snapToGrid w:val="0"/>
                <w:color w:val="auto"/>
                <w:kern w:val="0"/>
                <w:sz w:val="21"/>
                <w:szCs w:val="21"/>
                <w:highlight w:val="none"/>
              </w:rPr>
              <w:t>线各布设1个沉降测点，测点布设在道床</w:t>
            </w:r>
            <w:r>
              <w:rPr>
                <w:rFonts w:hint="eastAsia" w:ascii="宋体" w:hAnsi="宋体" w:eastAsia="宋体" w:cs="宋体"/>
                <w:snapToGrid w:val="0"/>
                <w:color w:val="auto"/>
                <w:kern w:val="0"/>
                <w:sz w:val="21"/>
                <w:szCs w:val="21"/>
                <w:highlight w:val="none"/>
                <w:lang w:val="en-US" w:eastAsia="zh-CN"/>
              </w:rPr>
              <w:t>中间</w:t>
            </w:r>
            <w:r>
              <w:rPr>
                <w:rFonts w:hint="eastAsia" w:ascii="宋体" w:hAnsi="宋体" w:eastAsia="宋体" w:cs="宋体"/>
                <w:snapToGrid w:val="0"/>
                <w:color w:val="auto"/>
                <w:kern w:val="0"/>
                <w:sz w:val="21"/>
                <w:szCs w:val="21"/>
                <w:highlight w:val="none"/>
                <w:lang w:val="en-US" w:eastAsia="zh-CN" w:bidi="ar-SA"/>
              </w:rPr>
              <w:t>；</w:t>
            </w:r>
          </w:p>
          <w:p>
            <w:pPr>
              <w:keepNext w:val="0"/>
              <w:keepLines w:val="0"/>
              <w:pageBreakBefore w:val="0"/>
              <w:kinsoku/>
              <w:wordWrap/>
              <w:overflowPunct/>
              <w:topLinePunct/>
              <w:autoSpaceDE/>
              <w:autoSpaceDN/>
              <w:bidi w:val="0"/>
              <w:adjustRightInd/>
              <w:snapToGrid w:val="0"/>
              <w:spacing w:line="240" w:lineRule="auto"/>
              <w:ind w:firstLine="0" w:firstLineChars="0"/>
              <w:jc w:val="left"/>
              <w:textAlignment w:val="auto"/>
              <w:rPr>
                <w:rFonts w:hint="eastAsia" w:ascii="宋体" w:hAnsi="宋体" w:eastAsia="宋体" w:cs="宋体"/>
                <w:color w:val="auto"/>
                <w:sz w:val="21"/>
                <w:szCs w:val="21"/>
                <w:highlight w:val="none"/>
              </w:rPr>
            </w:pPr>
            <w:r>
              <w:rPr>
                <w:rFonts w:hint="default" w:ascii="宋体" w:hAnsi="宋体" w:eastAsia="宋体" w:cs="宋体"/>
                <w:snapToGrid w:val="0"/>
                <w:color w:val="auto"/>
                <w:kern w:val="0"/>
                <w:sz w:val="21"/>
                <w:szCs w:val="21"/>
                <w:highlight w:val="none"/>
                <w:lang w:val="en-US" w:eastAsia="zh-CN" w:bidi="ar-SA"/>
              </w:rPr>
              <w:t>②</w:t>
            </w:r>
            <w:r>
              <w:rPr>
                <w:rFonts w:hint="eastAsia" w:ascii="宋体" w:hAnsi="宋体" w:eastAsia="宋体" w:cs="宋体"/>
                <w:snapToGrid w:val="0"/>
                <w:color w:val="auto"/>
                <w:kern w:val="0"/>
                <w:sz w:val="21"/>
                <w:szCs w:val="21"/>
                <w:highlight w:val="none"/>
                <w:lang w:val="en-US" w:eastAsia="zh-CN" w:bidi="ar-SA"/>
              </w:rPr>
              <w:t>轨顶风道净空点：沉降测点就近位置布设，轨顶风道与道床面布设一个净空监测断面。</w:t>
            </w:r>
          </w:p>
        </w:tc>
        <w:tc>
          <w:tcPr>
            <w:tcW w:w="2242" w:type="dxa"/>
            <w:vMerge w:val="restart"/>
            <w:noWrap w:val="0"/>
            <w:vAlign w:val="center"/>
          </w:tcPr>
          <w:p>
            <w:pPr>
              <w:keepNext w:val="0"/>
              <w:keepLines w:val="0"/>
              <w:pageBreakBefore w:val="0"/>
              <w:widowControl/>
              <w:suppressLineNumbers w:val="0"/>
              <w:kinsoku/>
              <w:wordWrap/>
              <w:overflowPunct/>
              <w:autoSpaceDE/>
              <w:autoSpaceDN/>
              <w:bidi w:val="0"/>
              <w:adjustRightInd/>
              <w:ind w:firstLine="0" w:firstLineChars="0"/>
              <w:jc w:val="left"/>
              <w:textAlignment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lang w:val="en-US" w:eastAsia="zh-CN"/>
              </w:rPr>
              <w:t>监测频率为1次/半年；当监测结果显示结构不稳定时，应根据实际情况重点监测，增加监测频率。</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45" w:hRule="atLeast"/>
          <w:jc w:val="center"/>
        </w:trPr>
        <w:tc>
          <w:tcPr>
            <w:tcW w:w="546" w:type="dxa"/>
            <w:noWrap w:val="0"/>
            <w:vAlign w:val="center"/>
          </w:tcPr>
          <w:p>
            <w:pPr>
              <w:keepNext w:val="0"/>
              <w:keepLines w:val="0"/>
              <w:pageBreakBefore w:val="0"/>
              <w:widowControl/>
              <w:suppressLineNumbers w:val="0"/>
              <w:kinsoku/>
              <w:wordWrap/>
              <w:overflowPunct/>
              <w:autoSpaceDE/>
              <w:autoSpaceDN/>
              <w:bidi w:val="0"/>
              <w:adjustRightInd/>
              <w:ind w:left="0" w:lef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rPr>
              <w:t>2</w:t>
            </w:r>
          </w:p>
        </w:tc>
        <w:tc>
          <w:tcPr>
            <w:tcW w:w="1149" w:type="dxa"/>
            <w:noWrap w:val="0"/>
            <w:tcMar>
              <w:left w:w="0" w:type="dxa"/>
              <w:right w:w="0" w:type="dxa"/>
            </w:tcMar>
            <w:vAlign w:val="center"/>
          </w:tcPr>
          <w:p>
            <w:pPr>
              <w:keepNext w:val="0"/>
              <w:keepLines w:val="0"/>
              <w:pageBreakBefore w:val="0"/>
              <w:kinsoku/>
              <w:wordWrap/>
              <w:overflowPunct/>
              <w:topLinePunct/>
              <w:autoSpaceDE/>
              <w:autoSpaceDN/>
              <w:bidi w:val="0"/>
              <w:adjustRightInd/>
              <w:snapToGrid w:val="0"/>
              <w:spacing w:line="240" w:lineRule="auto"/>
              <w:ind w:left="0" w:leftChars="0" w:firstLine="0" w:firstLineChars="0"/>
              <w:jc w:val="center"/>
              <w:textAlignment w:val="auto"/>
              <w:rPr>
                <w:rFonts w:hint="default"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rPr>
              <w:t>车站与隧道交接</w:t>
            </w:r>
            <w:r>
              <w:rPr>
                <w:rFonts w:hint="eastAsia" w:ascii="宋体" w:hAnsi="宋体" w:eastAsia="宋体" w:cs="宋体"/>
                <w:snapToGrid w:val="0"/>
                <w:color w:val="auto"/>
                <w:kern w:val="0"/>
                <w:sz w:val="21"/>
                <w:szCs w:val="21"/>
                <w:highlight w:val="none"/>
                <w:lang w:val="en-US" w:eastAsia="zh-CN"/>
              </w:rPr>
              <w:t>处结构</w:t>
            </w:r>
          </w:p>
        </w:tc>
        <w:tc>
          <w:tcPr>
            <w:tcW w:w="1488" w:type="dxa"/>
            <w:noWrap w:val="0"/>
            <w:vAlign w:val="center"/>
          </w:tcPr>
          <w:p>
            <w:pPr>
              <w:keepNext w:val="0"/>
              <w:keepLines w:val="0"/>
              <w:pageBreakBefore w:val="0"/>
              <w:kinsoku/>
              <w:wordWrap/>
              <w:overflowPunct/>
              <w:topLinePunct/>
              <w:autoSpaceDE/>
              <w:autoSpaceDN/>
              <w:bidi w:val="0"/>
              <w:adjustRightInd/>
              <w:snapToGrid w:val="0"/>
              <w:spacing w:line="240" w:lineRule="auto"/>
              <w:ind w:left="0" w:leftChars="0" w:firstLine="0" w:firstLineChars="0"/>
              <w:jc w:val="left"/>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（1）差异沉降</w:t>
            </w:r>
          </w:p>
        </w:tc>
        <w:tc>
          <w:tcPr>
            <w:tcW w:w="2981" w:type="dxa"/>
            <w:noWrap w:val="0"/>
            <w:vAlign w:val="center"/>
          </w:tcPr>
          <w:p>
            <w:pPr>
              <w:keepNext w:val="0"/>
              <w:keepLines w:val="0"/>
              <w:pageBreakBefore w:val="0"/>
              <w:kinsoku/>
              <w:wordWrap/>
              <w:overflowPunct/>
              <w:topLinePunct/>
              <w:autoSpaceDE/>
              <w:autoSpaceDN/>
              <w:bidi w:val="0"/>
              <w:adjustRightInd/>
              <w:snapToGrid w:val="0"/>
              <w:spacing w:line="240" w:lineRule="auto"/>
              <w:ind w:firstLine="0" w:firstLineChars="0"/>
              <w:jc w:val="left"/>
              <w:textAlignment w:val="auto"/>
              <w:rPr>
                <w:rFonts w:hint="eastAsia" w:ascii="宋体" w:hAnsi="宋体" w:eastAsia="宋体" w:cs="宋体"/>
                <w:snapToGrid w:val="0"/>
                <w:color w:val="auto"/>
                <w:kern w:val="0"/>
                <w:sz w:val="21"/>
                <w:szCs w:val="21"/>
                <w:highlight w:val="none"/>
              </w:rPr>
            </w:pPr>
            <w:r>
              <w:rPr>
                <w:rFonts w:hint="default" w:ascii="宋体" w:hAnsi="宋体" w:eastAsia="宋体" w:cs="宋体"/>
                <w:snapToGrid w:val="0"/>
                <w:color w:val="auto"/>
                <w:kern w:val="0"/>
                <w:sz w:val="21"/>
                <w:szCs w:val="21"/>
                <w:highlight w:val="none"/>
                <w:lang w:val="en-US" w:eastAsia="zh-CN" w:bidi="ar-SA"/>
              </w:rPr>
              <w:t>①</w:t>
            </w:r>
            <w:r>
              <w:rPr>
                <w:rFonts w:hint="eastAsia" w:ascii="宋体" w:hAnsi="宋体" w:eastAsia="宋体" w:cs="宋体"/>
                <w:snapToGrid w:val="0"/>
                <w:color w:val="auto"/>
                <w:kern w:val="0"/>
                <w:sz w:val="21"/>
                <w:szCs w:val="21"/>
                <w:highlight w:val="none"/>
              </w:rPr>
              <w:t>沉降测点布设在</w:t>
            </w:r>
            <w:r>
              <w:rPr>
                <w:rFonts w:hint="eastAsia" w:ascii="宋体" w:hAnsi="宋体" w:eastAsia="宋体" w:cs="宋体"/>
                <w:snapToGrid w:val="0"/>
                <w:color w:val="auto"/>
                <w:kern w:val="0"/>
                <w:sz w:val="21"/>
                <w:szCs w:val="21"/>
                <w:highlight w:val="none"/>
                <w:lang w:val="en-US" w:eastAsia="zh-CN"/>
              </w:rPr>
              <w:t>车站与隧道</w:t>
            </w:r>
            <w:r>
              <w:rPr>
                <w:rFonts w:hint="eastAsia" w:ascii="宋体" w:hAnsi="宋体" w:eastAsia="宋体" w:cs="宋体"/>
                <w:snapToGrid w:val="0"/>
                <w:color w:val="auto"/>
                <w:kern w:val="0"/>
                <w:sz w:val="21"/>
                <w:szCs w:val="21"/>
                <w:highlight w:val="none"/>
              </w:rPr>
              <w:t>交接处两侧道床</w:t>
            </w:r>
            <w:r>
              <w:rPr>
                <w:rFonts w:hint="eastAsia" w:ascii="宋体" w:hAnsi="宋体" w:eastAsia="宋体" w:cs="宋体"/>
                <w:snapToGrid w:val="0"/>
                <w:color w:val="auto"/>
                <w:kern w:val="0"/>
                <w:sz w:val="21"/>
                <w:szCs w:val="21"/>
                <w:highlight w:val="none"/>
                <w:lang w:val="en-US" w:eastAsia="zh-CN"/>
              </w:rPr>
              <w:t>中间，</w:t>
            </w:r>
            <w:r>
              <w:rPr>
                <w:rFonts w:hint="eastAsia" w:ascii="宋体" w:hAnsi="宋体" w:eastAsia="宋体" w:cs="宋体"/>
                <w:snapToGrid w:val="0"/>
                <w:color w:val="auto"/>
                <w:kern w:val="0"/>
                <w:sz w:val="21"/>
                <w:szCs w:val="21"/>
                <w:highlight w:val="none"/>
              </w:rPr>
              <w:t>每侧一个点</w:t>
            </w:r>
            <w:r>
              <w:rPr>
                <w:rFonts w:hint="eastAsia" w:ascii="宋体" w:hAnsi="宋体" w:eastAsia="宋体" w:cs="宋体"/>
                <w:snapToGrid w:val="0"/>
                <w:color w:val="auto"/>
                <w:kern w:val="0"/>
                <w:sz w:val="21"/>
                <w:szCs w:val="21"/>
                <w:highlight w:val="none"/>
                <w:lang w:eastAsia="zh-CN"/>
              </w:rPr>
              <w:t>，</w:t>
            </w:r>
            <w:r>
              <w:rPr>
                <w:rFonts w:hint="eastAsia" w:ascii="宋体" w:hAnsi="宋体" w:eastAsia="宋体" w:cs="宋体"/>
                <w:snapToGrid w:val="0"/>
                <w:color w:val="auto"/>
                <w:kern w:val="0"/>
                <w:sz w:val="21"/>
                <w:szCs w:val="21"/>
                <w:highlight w:val="none"/>
                <w:lang w:val="en-US" w:eastAsia="zh-CN"/>
              </w:rPr>
              <w:t>距交接缝约1m</w:t>
            </w:r>
            <w:r>
              <w:rPr>
                <w:rFonts w:hint="eastAsia" w:ascii="宋体" w:hAnsi="宋体" w:eastAsia="宋体" w:cs="宋体"/>
                <w:snapToGrid w:val="0"/>
                <w:color w:val="auto"/>
                <w:kern w:val="0"/>
                <w:sz w:val="21"/>
                <w:szCs w:val="21"/>
                <w:highlight w:val="none"/>
              </w:rPr>
              <w:t>；</w:t>
            </w:r>
          </w:p>
          <w:p>
            <w:pPr>
              <w:keepNext w:val="0"/>
              <w:keepLines w:val="0"/>
              <w:pageBreakBefore w:val="0"/>
              <w:kinsoku/>
              <w:wordWrap/>
              <w:overflowPunct/>
              <w:topLinePunct/>
              <w:autoSpaceDE/>
              <w:autoSpaceDN/>
              <w:bidi w:val="0"/>
              <w:adjustRightInd/>
              <w:snapToGrid w:val="0"/>
              <w:spacing w:line="240" w:lineRule="auto"/>
              <w:ind w:firstLine="0" w:firstLineChars="0"/>
              <w:jc w:val="left"/>
              <w:textAlignment w:val="auto"/>
              <w:rPr>
                <w:rFonts w:hint="eastAsia" w:ascii="宋体" w:hAnsi="宋体" w:eastAsia="宋体" w:cs="宋体"/>
                <w:snapToGrid w:val="0"/>
                <w:color w:val="auto"/>
                <w:kern w:val="0"/>
                <w:sz w:val="21"/>
                <w:szCs w:val="21"/>
                <w:highlight w:val="none"/>
              </w:rPr>
            </w:pPr>
            <w:r>
              <w:rPr>
                <w:rFonts w:hint="default" w:ascii="宋体" w:hAnsi="宋体" w:eastAsia="宋体" w:cs="宋体"/>
                <w:snapToGrid w:val="0"/>
                <w:color w:val="auto"/>
                <w:kern w:val="0"/>
                <w:sz w:val="21"/>
                <w:szCs w:val="21"/>
                <w:highlight w:val="none"/>
                <w:lang w:val="en-US" w:eastAsia="zh-CN" w:bidi="ar-SA"/>
              </w:rPr>
              <w:t>②</w:t>
            </w:r>
            <w:r>
              <w:rPr>
                <w:rFonts w:hint="eastAsia" w:ascii="宋体" w:hAnsi="宋体" w:eastAsia="宋体" w:cs="宋体"/>
                <w:snapToGrid w:val="0"/>
                <w:color w:val="auto"/>
                <w:kern w:val="0"/>
                <w:sz w:val="21"/>
                <w:szCs w:val="21"/>
                <w:highlight w:val="none"/>
                <w:lang w:eastAsia="zh-CN"/>
              </w:rPr>
              <w:t>每座车站</w:t>
            </w:r>
            <w:r>
              <w:rPr>
                <w:rFonts w:hint="eastAsia" w:ascii="宋体" w:hAnsi="宋体" w:eastAsia="宋体" w:cs="宋体"/>
                <w:snapToGrid w:val="0"/>
                <w:color w:val="auto"/>
                <w:kern w:val="0"/>
                <w:sz w:val="21"/>
                <w:szCs w:val="21"/>
                <w:highlight w:val="none"/>
                <w:lang w:val="en-US" w:eastAsia="zh-CN"/>
              </w:rPr>
              <w:t>上下行共</w:t>
            </w:r>
            <w:r>
              <w:rPr>
                <w:rFonts w:hint="eastAsia" w:ascii="宋体" w:hAnsi="宋体" w:eastAsia="宋体" w:cs="宋体"/>
                <w:snapToGrid w:val="0"/>
                <w:color w:val="auto"/>
                <w:kern w:val="0"/>
                <w:sz w:val="21"/>
                <w:szCs w:val="21"/>
                <w:highlight w:val="none"/>
                <w:lang w:eastAsia="zh-CN"/>
              </w:rPr>
              <w:t>布设</w:t>
            </w:r>
            <w:r>
              <w:rPr>
                <w:rFonts w:hint="eastAsia" w:ascii="宋体" w:hAnsi="宋体" w:eastAsia="宋体" w:cs="宋体"/>
                <w:snapToGrid w:val="0"/>
                <w:color w:val="auto"/>
                <w:kern w:val="0"/>
                <w:sz w:val="21"/>
                <w:szCs w:val="21"/>
                <w:highlight w:val="none"/>
                <w:lang w:val="en-US" w:eastAsia="zh-CN"/>
              </w:rPr>
              <w:t>8个</w:t>
            </w:r>
            <w:r>
              <w:rPr>
                <w:rFonts w:hint="eastAsia" w:ascii="宋体" w:hAnsi="宋体" w:eastAsia="宋体" w:cs="宋体"/>
                <w:snapToGrid w:val="0"/>
                <w:color w:val="auto"/>
                <w:kern w:val="0"/>
                <w:sz w:val="21"/>
                <w:szCs w:val="21"/>
                <w:highlight w:val="none"/>
              </w:rPr>
              <w:t>沉降测点。</w:t>
            </w:r>
          </w:p>
        </w:tc>
        <w:tc>
          <w:tcPr>
            <w:tcW w:w="2242" w:type="dxa"/>
            <w:vMerge w:val="continue"/>
            <w:noWrap w:val="0"/>
            <w:vAlign w:val="center"/>
          </w:tcPr>
          <w:p>
            <w:pPr>
              <w:keepNext w:val="0"/>
              <w:keepLines w:val="0"/>
              <w:pageBreakBefore w:val="0"/>
              <w:kinsoku/>
              <w:wordWrap/>
              <w:overflowPunct/>
              <w:topLinePunct/>
              <w:autoSpaceDE/>
              <w:autoSpaceDN/>
              <w:bidi w:val="0"/>
              <w:adjustRightInd/>
              <w:snapToGrid w:val="0"/>
              <w:spacing w:line="240" w:lineRule="auto"/>
              <w:ind w:firstLine="0" w:firstLineChars="0"/>
              <w:jc w:val="center"/>
              <w:textAlignment w:val="auto"/>
              <w:rPr>
                <w:rFonts w:hint="eastAsia" w:ascii="宋体" w:hAnsi="宋体" w:eastAsia="宋体" w:cs="宋体"/>
                <w:snapToGrid w:val="0"/>
                <w:color w:val="auto"/>
                <w:kern w:val="0"/>
                <w:sz w:val="21"/>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1" w:hRule="atLeast"/>
          <w:jc w:val="center"/>
        </w:trPr>
        <w:tc>
          <w:tcPr>
            <w:tcW w:w="546" w:type="dxa"/>
            <w:vMerge w:val="restart"/>
            <w:noWrap w:val="0"/>
            <w:vAlign w:val="center"/>
          </w:tcPr>
          <w:p>
            <w:pPr>
              <w:keepNext w:val="0"/>
              <w:keepLines w:val="0"/>
              <w:pageBreakBefore w:val="0"/>
              <w:widowControl/>
              <w:suppressLineNumbers w:val="0"/>
              <w:kinsoku/>
              <w:wordWrap/>
              <w:overflowPunct/>
              <w:autoSpaceDE/>
              <w:autoSpaceDN/>
              <w:bidi w:val="0"/>
              <w:adjustRightInd/>
              <w:ind w:left="0" w:lef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rPr>
              <w:t>3</w:t>
            </w:r>
          </w:p>
        </w:tc>
        <w:tc>
          <w:tcPr>
            <w:tcW w:w="1149" w:type="dxa"/>
            <w:vMerge w:val="restart"/>
            <w:noWrap w:val="0"/>
            <w:tcMar>
              <w:left w:w="0" w:type="dxa"/>
              <w:right w:w="0" w:type="dxa"/>
            </w:tcMar>
            <w:vAlign w:val="center"/>
          </w:tcPr>
          <w:p>
            <w:pPr>
              <w:keepNext w:val="0"/>
              <w:keepLines w:val="0"/>
              <w:pageBreakBefore w:val="0"/>
              <w:kinsoku/>
              <w:wordWrap/>
              <w:overflowPunct/>
              <w:topLinePunct/>
              <w:autoSpaceDE/>
              <w:autoSpaceDN/>
              <w:bidi w:val="0"/>
              <w:adjustRightInd/>
              <w:snapToGrid w:val="0"/>
              <w:spacing w:line="240" w:lineRule="auto"/>
              <w:ind w:left="0" w:leftChars="0" w:firstLine="0" w:firstLineChars="0"/>
              <w:jc w:val="center"/>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盾构隧道</w:t>
            </w:r>
          </w:p>
        </w:tc>
        <w:tc>
          <w:tcPr>
            <w:tcW w:w="1488" w:type="dxa"/>
            <w:noWrap w:val="0"/>
            <w:vAlign w:val="center"/>
          </w:tcPr>
          <w:p>
            <w:pPr>
              <w:keepNext w:val="0"/>
              <w:keepLines w:val="0"/>
              <w:pageBreakBefore w:val="0"/>
              <w:kinsoku/>
              <w:wordWrap/>
              <w:overflowPunct/>
              <w:topLinePunct/>
              <w:autoSpaceDE/>
              <w:autoSpaceDN/>
              <w:bidi w:val="0"/>
              <w:adjustRightInd/>
              <w:snapToGrid w:val="0"/>
              <w:spacing w:line="240" w:lineRule="auto"/>
              <w:ind w:left="0" w:leftChars="0" w:firstLine="0" w:firstLineChars="0"/>
              <w:jc w:val="left"/>
              <w:textAlignment w:val="auto"/>
              <w:rPr>
                <w:rFonts w:hint="default"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（1）沉降监测</w:t>
            </w:r>
          </w:p>
        </w:tc>
        <w:tc>
          <w:tcPr>
            <w:tcW w:w="2981" w:type="dxa"/>
            <w:noWrap w:val="0"/>
            <w:vAlign w:val="center"/>
          </w:tcPr>
          <w:p>
            <w:pPr>
              <w:keepNext w:val="0"/>
              <w:keepLines w:val="0"/>
              <w:pageBreakBefore w:val="0"/>
              <w:kinsoku/>
              <w:wordWrap/>
              <w:overflowPunct/>
              <w:topLinePunct/>
              <w:autoSpaceDE/>
              <w:autoSpaceDN/>
              <w:bidi w:val="0"/>
              <w:adjustRightInd/>
              <w:snapToGrid w:val="0"/>
              <w:spacing w:line="240" w:lineRule="auto"/>
              <w:ind w:firstLine="0" w:firstLineChars="0"/>
              <w:jc w:val="left"/>
              <w:textAlignment w:val="auto"/>
              <w:rPr>
                <w:rFonts w:hint="eastAsia" w:ascii="宋体" w:hAnsi="宋体" w:eastAsia="宋体" w:cs="宋体"/>
                <w:snapToGrid w:val="0"/>
                <w:color w:val="auto"/>
                <w:kern w:val="0"/>
                <w:sz w:val="21"/>
                <w:szCs w:val="21"/>
                <w:highlight w:val="none"/>
              </w:rPr>
            </w:pPr>
            <w:r>
              <w:rPr>
                <w:rFonts w:hint="default" w:ascii="宋体" w:hAnsi="宋体" w:eastAsia="宋体" w:cs="宋体"/>
                <w:snapToGrid w:val="0"/>
                <w:color w:val="auto"/>
                <w:kern w:val="0"/>
                <w:sz w:val="21"/>
                <w:szCs w:val="21"/>
                <w:highlight w:val="none"/>
                <w:lang w:val="en-US" w:eastAsia="zh-CN" w:bidi="ar-SA"/>
              </w:rPr>
              <w:t>①</w:t>
            </w:r>
            <w:r>
              <w:rPr>
                <w:rFonts w:hint="eastAsia" w:ascii="宋体" w:hAnsi="宋体" w:eastAsia="宋体" w:cs="宋体"/>
                <w:snapToGrid w:val="0"/>
                <w:color w:val="auto"/>
                <w:kern w:val="0"/>
                <w:sz w:val="21"/>
                <w:szCs w:val="21"/>
                <w:highlight w:val="none"/>
              </w:rPr>
              <w:t>隧道内不大于20环设一测点，测点布设在道床</w:t>
            </w:r>
            <w:r>
              <w:rPr>
                <w:rFonts w:hint="eastAsia" w:ascii="宋体" w:hAnsi="宋体" w:eastAsia="宋体" w:cs="宋体"/>
                <w:snapToGrid w:val="0"/>
                <w:color w:val="auto"/>
                <w:kern w:val="0"/>
                <w:sz w:val="21"/>
                <w:szCs w:val="21"/>
                <w:highlight w:val="none"/>
                <w:lang w:val="en-US" w:eastAsia="zh-CN"/>
              </w:rPr>
              <w:t>中间</w:t>
            </w:r>
            <w:r>
              <w:rPr>
                <w:rFonts w:hint="eastAsia" w:ascii="宋体" w:hAnsi="宋体" w:eastAsia="宋体" w:cs="宋体"/>
                <w:snapToGrid w:val="0"/>
                <w:color w:val="auto"/>
                <w:kern w:val="0"/>
                <w:sz w:val="21"/>
                <w:szCs w:val="21"/>
                <w:highlight w:val="none"/>
              </w:rPr>
              <w:t>；</w:t>
            </w:r>
          </w:p>
          <w:p>
            <w:pPr>
              <w:keepNext w:val="0"/>
              <w:keepLines w:val="0"/>
              <w:pageBreakBefore w:val="0"/>
              <w:kinsoku/>
              <w:wordWrap/>
              <w:overflowPunct/>
              <w:topLinePunct/>
              <w:autoSpaceDE/>
              <w:autoSpaceDN/>
              <w:bidi w:val="0"/>
              <w:adjustRightInd/>
              <w:snapToGrid w:val="0"/>
              <w:spacing w:line="240" w:lineRule="auto"/>
              <w:ind w:firstLine="0" w:firstLineChars="0"/>
              <w:jc w:val="left"/>
              <w:textAlignment w:val="auto"/>
              <w:rPr>
                <w:rFonts w:hint="eastAsia" w:ascii="宋体" w:hAnsi="宋体" w:eastAsia="宋体" w:cs="宋体"/>
                <w:snapToGrid w:val="0"/>
                <w:color w:val="auto"/>
                <w:kern w:val="0"/>
                <w:sz w:val="21"/>
                <w:szCs w:val="21"/>
                <w:highlight w:val="none"/>
              </w:rPr>
            </w:pPr>
            <w:r>
              <w:rPr>
                <w:rFonts w:hint="default" w:ascii="宋体" w:hAnsi="宋体" w:eastAsia="宋体" w:cs="宋体"/>
                <w:snapToGrid w:val="0"/>
                <w:color w:val="auto"/>
                <w:kern w:val="0"/>
                <w:sz w:val="21"/>
                <w:szCs w:val="21"/>
                <w:highlight w:val="none"/>
                <w:lang w:val="en-US" w:eastAsia="zh-CN" w:bidi="ar-SA"/>
              </w:rPr>
              <w:t>②</w:t>
            </w:r>
            <w:r>
              <w:rPr>
                <w:rFonts w:hint="eastAsia" w:ascii="宋体" w:hAnsi="宋体" w:eastAsia="宋体" w:cs="宋体"/>
                <w:snapToGrid w:val="0"/>
                <w:color w:val="auto"/>
                <w:kern w:val="0"/>
                <w:sz w:val="21"/>
                <w:szCs w:val="21"/>
                <w:highlight w:val="none"/>
              </w:rPr>
              <w:t>联络通道处</w:t>
            </w:r>
            <w:r>
              <w:rPr>
                <w:rFonts w:hint="eastAsia" w:ascii="宋体" w:hAnsi="宋体" w:eastAsia="宋体" w:cs="宋体"/>
                <w:snapToGrid w:val="0"/>
                <w:color w:val="auto"/>
                <w:kern w:val="0"/>
                <w:sz w:val="21"/>
                <w:szCs w:val="21"/>
                <w:highlight w:val="none"/>
                <w:lang w:eastAsia="zh-CN"/>
              </w:rPr>
              <w:t>，</w:t>
            </w:r>
            <w:r>
              <w:rPr>
                <w:rFonts w:hint="eastAsia" w:ascii="宋体" w:hAnsi="宋体" w:eastAsia="宋体" w:cs="宋体"/>
                <w:snapToGrid w:val="0"/>
                <w:color w:val="auto"/>
                <w:kern w:val="0"/>
                <w:sz w:val="21"/>
                <w:szCs w:val="21"/>
                <w:highlight w:val="none"/>
              </w:rPr>
              <w:t>上</w:t>
            </w:r>
            <w:r>
              <w:rPr>
                <w:rFonts w:hint="eastAsia" w:ascii="宋体" w:hAnsi="宋体" w:eastAsia="宋体" w:cs="宋体"/>
                <w:snapToGrid w:val="0"/>
                <w:color w:val="auto"/>
                <w:kern w:val="0"/>
                <w:sz w:val="21"/>
                <w:szCs w:val="21"/>
                <w:highlight w:val="none"/>
                <w:lang w:eastAsia="zh-CN"/>
              </w:rPr>
              <w:t>、</w:t>
            </w:r>
            <w:r>
              <w:rPr>
                <w:rFonts w:hint="eastAsia" w:ascii="宋体" w:hAnsi="宋体" w:eastAsia="宋体" w:cs="宋体"/>
                <w:snapToGrid w:val="0"/>
                <w:color w:val="auto"/>
                <w:kern w:val="0"/>
                <w:sz w:val="21"/>
                <w:szCs w:val="21"/>
                <w:highlight w:val="none"/>
              </w:rPr>
              <w:t>下行各设1</w:t>
            </w:r>
            <w:r>
              <w:rPr>
                <w:rFonts w:hint="eastAsia" w:ascii="宋体" w:hAnsi="宋体" w:eastAsia="宋体" w:cs="宋体"/>
                <w:snapToGrid w:val="0"/>
                <w:color w:val="auto"/>
                <w:kern w:val="0"/>
                <w:sz w:val="21"/>
                <w:szCs w:val="21"/>
                <w:highlight w:val="none"/>
                <w:lang w:eastAsia="zh-CN"/>
              </w:rPr>
              <w:t>个</w:t>
            </w:r>
            <w:r>
              <w:rPr>
                <w:rFonts w:hint="eastAsia" w:ascii="宋体" w:hAnsi="宋体" w:eastAsia="宋体" w:cs="宋体"/>
                <w:snapToGrid w:val="0"/>
                <w:color w:val="auto"/>
                <w:kern w:val="0"/>
                <w:sz w:val="21"/>
                <w:szCs w:val="21"/>
                <w:highlight w:val="none"/>
              </w:rPr>
              <w:t>测点，通道内设1</w:t>
            </w:r>
            <w:r>
              <w:rPr>
                <w:rFonts w:hint="eastAsia" w:ascii="宋体" w:hAnsi="宋体" w:eastAsia="宋体" w:cs="宋体"/>
                <w:snapToGrid w:val="0"/>
                <w:color w:val="auto"/>
                <w:kern w:val="0"/>
                <w:sz w:val="21"/>
                <w:szCs w:val="21"/>
                <w:highlight w:val="none"/>
                <w:lang w:eastAsia="zh-CN"/>
              </w:rPr>
              <w:t>个</w:t>
            </w:r>
            <w:r>
              <w:rPr>
                <w:rFonts w:hint="eastAsia" w:ascii="宋体" w:hAnsi="宋体" w:eastAsia="宋体" w:cs="宋体"/>
                <w:snapToGrid w:val="0"/>
                <w:color w:val="auto"/>
                <w:kern w:val="0"/>
                <w:sz w:val="21"/>
                <w:szCs w:val="21"/>
                <w:highlight w:val="none"/>
                <w:lang w:val="en-US" w:eastAsia="zh-CN"/>
              </w:rPr>
              <w:t>测点</w:t>
            </w:r>
            <w:r>
              <w:rPr>
                <w:rFonts w:hint="eastAsia" w:ascii="宋体" w:hAnsi="宋体" w:eastAsia="宋体" w:cs="宋体"/>
                <w:snapToGrid w:val="0"/>
                <w:color w:val="auto"/>
                <w:kern w:val="0"/>
                <w:sz w:val="21"/>
                <w:szCs w:val="21"/>
                <w:highlight w:val="none"/>
              </w:rPr>
              <w:t>；</w:t>
            </w:r>
          </w:p>
          <w:p>
            <w:pPr>
              <w:keepNext w:val="0"/>
              <w:keepLines w:val="0"/>
              <w:pageBreakBefore w:val="0"/>
              <w:kinsoku/>
              <w:wordWrap/>
              <w:overflowPunct/>
              <w:topLinePunct/>
              <w:autoSpaceDE/>
              <w:autoSpaceDN/>
              <w:bidi w:val="0"/>
              <w:adjustRightInd/>
              <w:snapToGrid w:val="0"/>
              <w:spacing w:line="240" w:lineRule="auto"/>
              <w:ind w:firstLine="0" w:firstLineChars="0"/>
              <w:jc w:val="left"/>
              <w:textAlignment w:val="auto"/>
              <w:rPr>
                <w:rFonts w:hint="eastAsia" w:ascii="宋体" w:hAnsi="宋体" w:eastAsia="宋体" w:cs="宋体"/>
                <w:snapToGrid w:val="0"/>
                <w:color w:val="auto"/>
                <w:kern w:val="0"/>
                <w:sz w:val="21"/>
                <w:szCs w:val="21"/>
                <w:highlight w:val="none"/>
              </w:rPr>
            </w:pPr>
            <w:r>
              <w:rPr>
                <w:rFonts w:hint="default" w:ascii="宋体" w:hAnsi="宋体" w:eastAsia="宋体" w:cs="宋体"/>
                <w:snapToGrid w:val="0"/>
                <w:color w:val="auto"/>
                <w:kern w:val="0"/>
                <w:sz w:val="21"/>
                <w:szCs w:val="21"/>
                <w:highlight w:val="none"/>
                <w:lang w:val="en-US" w:eastAsia="zh-CN" w:bidi="ar-SA"/>
              </w:rPr>
              <w:t>③</w:t>
            </w:r>
            <w:r>
              <w:rPr>
                <w:rFonts w:hint="eastAsia" w:ascii="宋体" w:hAnsi="宋体" w:eastAsia="宋体" w:cs="宋体"/>
                <w:snapToGrid w:val="0"/>
                <w:color w:val="auto"/>
                <w:kern w:val="0"/>
                <w:sz w:val="21"/>
                <w:szCs w:val="21"/>
                <w:highlight w:val="none"/>
              </w:rPr>
              <w:t>特殊情况可适当加密。</w:t>
            </w:r>
          </w:p>
        </w:tc>
        <w:tc>
          <w:tcPr>
            <w:tcW w:w="2242" w:type="dxa"/>
            <w:vMerge w:val="continue"/>
            <w:noWrap w:val="0"/>
            <w:vAlign w:val="center"/>
          </w:tcPr>
          <w:p>
            <w:pPr>
              <w:keepNext w:val="0"/>
              <w:keepLines w:val="0"/>
              <w:pageBreakBefore w:val="0"/>
              <w:kinsoku/>
              <w:wordWrap/>
              <w:overflowPunct/>
              <w:topLinePunct/>
              <w:autoSpaceDE/>
              <w:autoSpaceDN/>
              <w:bidi w:val="0"/>
              <w:adjustRightInd/>
              <w:snapToGrid w:val="0"/>
              <w:spacing w:line="240" w:lineRule="auto"/>
              <w:ind w:firstLine="0" w:firstLineChars="0"/>
              <w:jc w:val="center"/>
              <w:textAlignment w:val="auto"/>
              <w:rPr>
                <w:rFonts w:hint="eastAsia" w:ascii="宋体" w:hAnsi="宋体" w:eastAsia="宋体" w:cs="宋体"/>
                <w:snapToGrid w:val="0"/>
                <w:color w:val="auto"/>
                <w:kern w:val="0"/>
                <w:sz w:val="21"/>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817" w:hRule="atLeast"/>
          <w:jc w:val="center"/>
        </w:trPr>
        <w:tc>
          <w:tcPr>
            <w:tcW w:w="546" w:type="dxa"/>
            <w:vMerge w:val="continue"/>
            <w:noWrap w:val="0"/>
            <w:vAlign w:val="center"/>
          </w:tcPr>
          <w:p>
            <w:pPr>
              <w:keepNext w:val="0"/>
              <w:keepLines w:val="0"/>
              <w:pageBreakBefore w:val="0"/>
              <w:widowControl/>
              <w:suppressLineNumbers w:val="0"/>
              <w:kinsoku/>
              <w:wordWrap/>
              <w:overflowPunct/>
              <w:autoSpaceDE/>
              <w:autoSpaceDN/>
              <w:bidi w:val="0"/>
              <w:adjustRightInd/>
              <w:ind w:left="0" w:leftChars="0" w:firstLine="0" w:firstLineChars="0"/>
              <w:jc w:val="center"/>
              <w:textAlignment w:val="center"/>
              <w:rPr>
                <w:rFonts w:hint="eastAsia" w:ascii="宋体" w:hAnsi="宋体" w:eastAsia="宋体" w:cs="宋体"/>
                <w:i w:val="0"/>
                <w:iCs w:val="0"/>
                <w:color w:val="auto"/>
                <w:sz w:val="21"/>
                <w:szCs w:val="21"/>
                <w:highlight w:val="none"/>
                <w:u w:val="none"/>
              </w:rPr>
            </w:pPr>
          </w:p>
        </w:tc>
        <w:tc>
          <w:tcPr>
            <w:tcW w:w="1149" w:type="dxa"/>
            <w:vMerge w:val="continue"/>
            <w:noWrap w:val="0"/>
            <w:tcMar>
              <w:left w:w="0" w:type="dxa"/>
              <w:right w:w="0" w:type="dxa"/>
            </w:tcMar>
            <w:vAlign w:val="center"/>
          </w:tcPr>
          <w:p>
            <w:pPr>
              <w:keepNext w:val="0"/>
              <w:keepLines w:val="0"/>
              <w:pageBreakBefore w:val="0"/>
              <w:kinsoku/>
              <w:wordWrap/>
              <w:overflowPunct/>
              <w:topLinePunct/>
              <w:autoSpaceDE/>
              <w:autoSpaceDN/>
              <w:bidi w:val="0"/>
              <w:adjustRightInd/>
              <w:snapToGrid w:val="0"/>
              <w:spacing w:line="240" w:lineRule="auto"/>
              <w:ind w:left="0" w:leftChars="0" w:firstLine="0" w:firstLineChars="0"/>
              <w:jc w:val="center"/>
              <w:textAlignment w:val="auto"/>
              <w:rPr>
                <w:rFonts w:hint="eastAsia" w:ascii="宋体" w:hAnsi="宋体" w:eastAsia="宋体" w:cs="宋体"/>
                <w:snapToGrid w:val="0"/>
                <w:color w:val="auto"/>
                <w:kern w:val="0"/>
                <w:sz w:val="21"/>
                <w:szCs w:val="21"/>
                <w:highlight w:val="none"/>
              </w:rPr>
            </w:pPr>
          </w:p>
        </w:tc>
        <w:tc>
          <w:tcPr>
            <w:tcW w:w="1488" w:type="dxa"/>
            <w:noWrap w:val="0"/>
            <w:vAlign w:val="center"/>
          </w:tcPr>
          <w:p>
            <w:pPr>
              <w:keepNext w:val="0"/>
              <w:keepLines w:val="0"/>
              <w:pageBreakBefore w:val="0"/>
              <w:kinsoku/>
              <w:wordWrap/>
              <w:overflowPunct/>
              <w:topLinePunct/>
              <w:autoSpaceDE/>
              <w:autoSpaceDN/>
              <w:bidi w:val="0"/>
              <w:adjustRightInd/>
              <w:snapToGrid w:val="0"/>
              <w:spacing w:line="240" w:lineRule="auto"/>
              <w:ind w:left="0" w:leftChars="0" w:firstLine="0" w:firstLineChars="0"/>
              <w:jc w:val="left"/>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（2）净空收敛</w:t>
            </w:r>
          </w:p>
        </w:tc>
        <w:tc>
          <w:tcPr>
            <w:tcW w:w="2981" w:type="dxa"/>
            <w:noWrap w:val="0"/>
            <w:vAlign w:val="center"/>
          </w:tcPr>
          <w:p>
            <w:pPr>
              <w:keepNext w:val="0"/>
              <w:keepLines w:val="0"/>
              <w:pageBreakBefore w:val="0"/>
              <w:kinsoku/>
              <w:wordWrap/>
              <w:overflowPunct/>
              <w:topLinePunct/>
              <w:autoSpaceDE/>
              <w:autoSpaceDN/>
              <w:bidi w:val="0"/>
              <w:adjustRightInd/>
              <w:snapToGrid w:val="0"/>
              <w:spacing w:line="240" w:lineRule="auto"/>
              <w:ind w:firstLine="0" w:firstLineChars="0"/>
              <w:jc w:val="left"/>
              <w:textAlignment w:val="auto"/>
              <w:rPr>
                <w:rFonts w:hint="eastAsia" w:ascii="宋体" w:hAnsi="宋体" w:eastAsia="宋体" w:cs="宋体"/>
                <w:snapToGrid w:val="0"/>
                <w:color w:val="auto"/>
                <w:kern w:val="0"/>
                <w:sz w:val="21"/>
                <w:szCs w:val="21"/>
                <w:highlight w:val="none"/>
              </w:rPr>
            </w:pPr>
            <w:r>
              <w:rPr>
                <w:rFonts w:hint="default" w:ascii="宋体" w:hAnsi="宋体" w:eastAsia="宋体" w:cs="宋体"/>
                <w:snapToGrid w:val="0"/>
                <w:color w:val="auto"/>
                <w:kern w:val="0"/>
                <w:sz w:val="21"/>
                <w:szCs w:val="21"/>
                <w:highlight w:val="none"/>
                <w:lang w:val="en-US" w:eastAsia="zh-CN" w:bidi="ar-SA"/>
              </w:rPr>
              <w:t>①</w:t>
            </w:r>
            <w:r>
              <w:rPr>
                <w:rFonts w:hint="eastAsia" w:ascii="宋体" w:hAnsi="宋体" w:eastAsia="宋体" w:cs="宋体"/>
                <w:snapToGrid w:val="0"/>
                <w:color w:val="auto"/>
                <w:kern w:val="0"/>
                <w:sz w:val="21"/>
                <w:szCs w:val="21"/>
                <w:highlight w:val="none"/>
              </w:rPr>
              <w:t>每20环设一组对线，</w:t>
            </w:r>
            <w:r>
              <w:rPr>
                <w:rFonts w:hint="eastAsia" w:ascii="宋体" w:hAnsi="宋体" w:eastAsia="宋体" w:cs="宋体"/>
                <w:snapToGrid w:val="0"/>
                <w:color w:val="auto"/>
                <w:kern w:val="0"/>
                <w:sz w:val="21"/>
                <w:szCs w:val="21"/>
                <w:highlight w:val="none"/>
                <w:lang w:val="en-US" w:eastAsia="zh-CN"/>
              </w:rPr>
              <w:t>净空</w:t>
            </w:r>
            <w:r>
              <w:rPr>
                <w:rFonts w:hint="eastAsia" w:ascii="宋体" w:hAnsi="宋体" w:eastAsia="宋体" w:cs="宋体"/>
                <w:snapToGrid w:val="0"/>
                <w:color w:val="auto"/>
                <w:kern w:val="0"/>
                <w:sz w:val="21"/>
                <w:szCs w:val="21"/>
                <w:highlight w:val="none"/>
              </w:rPr>
              <w:t>收敛测点与沉降测点布设在同一断面上；</w:t>
            </w:r>
          </w:p>
          <w:p>
            <w:pPr>
              <w:keepNext w:val="0"/>
              <w:keepLines w:val="0"/>
              <w:pageBreakBefore w:val="0"/>
              <w:kinsoku/>
              <w:wordWrap/>
              <w:overflowPunct/>
              <w:topLinePunct/>
              <w:autoSpaceDE/>
              <w:autoSpaceDN/>
              <w:bidi w:val="0"/>
              <w:adjustRightInd/>
              <w:snapToGrid w:val="0"/>
              <w:spacing w:line="240" w:lineRule="auto"/>
              <w:ind w:firstLine="0" w:firstLineChars="0"/>
              <w:jc w:val="left"/>
              <w:textAlignment w:val="auto"/>
              <w:rPr>
                <w:rFonts w:hint="eastAsia" w:ascii="宋体" w:hAnsi="宋体" w:eastAsia="宋体" w:cs="宋体"/>
                <w:snapToGrid w:val="0"/>
                <w:color w:val="auto"/>
                <w:kern w:val="0"/>
                <w:sz w:val="21"/>
                <w:szCs w:val="21"/>
                <w:highlight w:val="none"/>
              </w:rPr>
            </w:pPr>
            <w:r>
              <w:rPr>
                <w:rFonts w:hint="default" w:ascii="宋体" w:hAnsi="宋体" w:eastAsia="宋体" w:cs="宋体"/>
                <w:snapToGrid w:val="0"/>
                <w:color w:val="auto"/>
                <w:kern w:val="0"/>
                <w:sz w:val="21"/>
                <w:szCs w:val="21"/>
                <w:highlight w:val="none"/>
                <w:lang w:val="en-US" w:eastAsia="zh-CN" w:bidi="ar-SA"/>
              </w:rPr>
              <w:t>②</w:t>
            </w:r>
            <w:r>
              <w:rPr>
                <w:rFonts w:hint="eastAsia" w:ascii="宋体" w:hAnsi="宋体" w:eastAsia="宋体" w:cs="宋体"/>
                <w:snapToGrid w:val="0"/>
                <w:color w:val="auto"/>
                <w:kern w:val="0"/>
                <w:sz w:val="21"/>
                <w:szCs w:val="21"/>
                <w:highlight w:val="none"/>
              </w:rPr>
              <w:t>特殊情况可适当加密。</w:t>
            </w:r>
          </w:p>
        </w:tc>
        <w:tc>
          <w:tcPr>
            <w:tcW w:w="2242" w:type="dxa"/>
            <w:vMerge w:val="continue"/>
            <w:noWrap w:val="0"/>
            <w:vAlign w:val="center"/>
          </w:tcPr>
          <w:p>
            <w:pPr>
              <w:keepNext w:val="0"/>
              <w:keepLines w:val="0"/>
              <w:pageBreakBefore w:val="0"/>
              <w:kinsoku/>
              <w:wordWrap/>
              <w:overflowPunct/>
              <w:topLinePunct/>
              <w:autoSpaceDE/>
              <w:autoSpaceDN/>
              <w:bidi w:val="0"/>
              <w:adjustRightInd/>
              <w:snapToGrid w:val="0"/>
              <w:spacing w:line="240" w:lineRule="auto"/>
              <w:ind w:firstLine="0" w:firstLineChars="0"/>
              <w:jc w:val="center"/>
              <w:textAlignment w:val="auto"/>
              <w:rPr>
                <w:rFonts w:hint="eastAsia" w:ascii="宋体" w:hAnsi="宋体" w:eastAsia="宋体" w:cs="宋体"/>
                <w:snapToGrid w:val="0"/>
                <w:color w:val="auto"/>
                <w:kern w:val="0"/>
                <w:sz w:val="21"/>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58" w:hRule="atLeast"/>
          <w:jc w:val="center"/>
        </w:trPr>
        <w:tc>
          <w:tcPr>
            <w:tcW w:w="546" w:type="dxa"/>
            <w:noWrap w:val="0"/>
            <w:vAlign w:val="center"/>
          </w:tcPr>
          <w:p>
            <w:pPr>
              <w:keepNext w:val="0"/>
              <w:keepLines w:val="0"/>
              <w:pageBreakBefore w:val="0"/>
              <w:widowControl/>
              <w:suppressLineNumbers w:val="0"/>
              <w:kinsoku/>
              <w:wordWrap/>
              <w:overflowPunct/>
              <w:autoSpaceDE/>
              <w:autoSpaceDN/>
              <w:bidi w:val="0"/>
              <w:adjustRightInd/>
              <w:ind w:left="0" w:leftChars="0" w:firstLine="0" w:firstLineChars="0"/>
              <w:jc w:val="center"/>
              <w:textAlignment w:val="center"/>
              <w:rPr>
                <w:rFonts w:hint="eastAsia" w:ascii="宋体" w:hAnsi="宋体" w:eastAsia="宋体" w:cs="宋体"/>
                <w:i w:val="0"/>
                <w:iCs w:val="0"/>
                <w:color w:val="auto"/>
                <w:sz w:val="21"/>
                <w:szCs w:val="21"/>
                <w:highlight w:val="none"/>
                <w:u w:val="none"/>
                <w:lang w:eastAsia="zh-CN"/>
              </w:rPr>
            </w:pPr>
            <w:r>
              <w:rPr>
                <w:rFonts w:hint="eastAsia" w:ascii="宋体" w:hAnsi="宋体" w:eastAsia="宋体" w:cs="宋体"/>
                <w:i w:val="0"/>
                <w:iCs w:val="0"/>
                <w:color w:val="auto"/>
                <w:sz w:val="21"/>
                <w:szCs w:val="21"/>
                <w:highlight w:val="none"/>
                <w:u w:val="none"/>
                <w:lang w:val="en-US" w:eastAsia="zh-CN"/>
              </w:rPr>
              <w:t>4</w:t>
            </w:r>
          </w:p>
        </w:tc>
        <w:tc>
          <w:tcPr>
            <w:tcW w:w="1149" w:type="dxa"/>
            <w:noWrap w:val="0"/>
            <w:tcMar>
              <w:left w:w="0" w:type="dxa"/>
              <w:right w:w="0" w:type="dxa"/>
            </w:tcMar>
            <w:vAlign w:val="center"/>
          </w:tcPr>
          <w:p>
            <w:pPr>
              <w:keepNext w:val="0"/>
              <w:keepLines w:val="0"/>
              <w:pageBreakBefore w:val="0"/>
              <w:kinsoku/>
              <w:wordWrap/>
              <w:overflowPunct/>
              <w:topLinePunct/>
              <w:autoSpaceDE/>
              <w:autoSpaceDN/>
              <w:bidi w:val="0"/>
              <w:adjustRightInd/>
              <w:snapToGrid w:val="0"/>
              <w:spacing w:line="240" w:lineRule="auto"/>
              <w:ind w:left="0" w:leftChars="0" w:firstLine="0" w:firstLineChars="0"/>
              <w:jc w:val="center"/>
              <w:textAlignment w:val="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rPr>
              <w:t>明挖</w:t>
            </w:r>
            <w:r>
              <w:rPr>
                <w:rFonts w:hint="eastAsia" w:ascii="宋体" w:hAnsi="宋体" w:eastAsia="宋体" w:cs="宋体"/>
                <w:snapToGrid w:val="0"/>
                <w:color w:val="auto"/>
                <w:kern w:val="0"/>
                <w:sz w:val="21"/>
                <w:szCs w:val="21"/>
                <w:highlight w:val="none"/>
                <w:lang w:val="en-US" w:eastAsia="zh-CN"/>
              </w:rPr>
              <w:t>结构</w:t>
            </w:r>
          </w:p>
        </w:tc>
        <w:tc>
          <w:tcPr>
            <w:tcW w:w="1488" w:type="dxa"/>
            <w:noWrap w:val="0"/>
            <w:vAlign w:val="center"/>
          </w:tcPr>
          <w:p>
            <w:pPr>
              <w:keepNext w:val="0"/>
              <w:keepLines w:val="0"/>
              <w:pageBreakBefore w:val="0"/>
              <w:kinsoku/>
              <w:wordWrap/>
              <w:overflowPunct/>
              <w:topLinePunct/>
              <w:autoSpaceDE/>
              <w:autoSpaceDN/>
              <w:bidi w:val="0"/>
              <w:adjustRightInd/>
              <w:snapToGrid w:val="0"/>
              <w:spacing w:line="240" w:lineRule="auto"/>
              <w:ind w:left="0" w:leftChars="0" w:firstLine="0" w:firstLineChars="0"/>
              <w:jc w:val="left"/>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（1）沉降监测</w:t>
            </w:r>
          </w:p>
        </w:tc>
        <w:tc>
          <w:tcPr>
            <w:tcW w:w="2981" w:type="dxa"/>
            <w:noWrap w:val="0"/>
            <w:vAlign w:val="center"/>
          </w:tcPr>
          <w:p>
            <w:pPr>
              <w:keepNext w:val="0"/>
              <w:keepLines w:val="0"/>
              <w:pageBreakBefore w:val="0"/>
              <w:kinsoku/>
              <w:wordWrap/>
              <w:overflowPunct/>
              <w:topLinePunct/>
              <w:autoSpaceDE/>
              <w:autoSpaceDN/>
              <w:bidi w:val="0"/>
              <w:adjustRightInd/>
              <w:snapToGrid w:val="0"/>
              <w:spacing w:line="240" w:lineRule="auto"/>
              <w:ind w:firstLine="0" w:firstLineChars="0"/>
              <w:jc w:val="left"/>
              <w:textAlignment w:val="auto"/>
              <w:rPr>
                <w:rFonts w:hint="eastAsia" w:ascii="宋体" w:hAnsi="宋体" w:eastAsia="宋体" w:cs="宋体"/>
                <w:snapToGrid w:val="0"/>
                <w:color w:val="auto"/>
                <w:kern w:val="0"/>
                <w:sz w:val="21"/>
                <w:szCs w:val="21"/>
                <w:highlight w:val="none"/>
              </w:rPr>
            </w:pPr>
            <w:r>
              <w:rPr>
                <w:rFonts w:hint="default" w:ascii="宋体" w:hAnsi="宋体" w:eastAsia="宋体" w:cs="宋体"/>
                <w:snapToGrid w:val="0"/>
                <w:color w:val="auto"/>
                <w:kern w:val="0"/>
                <w:sz w:val="21"/>
                <w:szCs w:val="21"/>
                <w:highlight w:val="none"/>
                <w:lang w:val="en-US" w:eastAsia="zh-CN" w:bidi="ar-SA"/>
              </w:rPr>
              <w:t>①</w:t>
            </w:r>
            <w:r>
              <w:rPr>
                <w:rFonts w:hint="eastAsia" w:ascii="宋体" w:hAnsi="宋体" w:eastAsia="宋体" w:cs="宋体"/>
                <w:snapToGrid w:val="0"/>
                <w:color w:val="auto"/>
                <w:kern w:val="0"/>
                <w:sz w:val="21"/>
                <w:szCs w:val="21"/>
                <w:highlight w:val="none"/>
              </w:rPr>
              <w:t>每30m设定一个</w:t>
            </w:r>
            <w:r>
              <w:rPr>
                <w:rFonts w:hint="eastAsia" w:ascii="宋体" w:hAnsi="宋体" w:eastAsia="宋体" w:cs="宋体"/>
                <w:snapToGrid w:val="0"/>
                <w:color w:val="auto"/>
                <w:kern w:val="0"/>
                <w:sz w:val="21"/>
                <w:szCs w:val="21"/>
                <w:highlight w:val="none"/>
                <w:lang w:val="en-US" w:eastAsia="zh-CN"/>
              </w:rPr>
              <w:t>测</w:t>
            </w:r>
            <w:r>
              <w:rPr>
                <w:rFonts w:hint="eastAsia" w:ascii="宋体" w:hAnsi="宋体" w:eastAsia="宋体" w:cs="宋体"/>
                <w:snapToGrid w:val="0"/>
                <w:color w:val="auto"/>
                <w:kern w:val="0"/>
                <w:sz w:val="21"/>
                <w:szCs w:val="21"/>
                <w:highlight w:val="none"/>
              </w:rPr>
              <w:t>点，测点布设在道床上；</w:t>
            </w:r>
          </w:p>
          <w:p>
            <w:pPr>
              <w:keepNext w:val="0"/>
              <w:keepLines w:val="0"/>
              <w:pageBreakBefore w:val="0"/>
              <w:kinsoku/>
              <w:wordWrap/>
              <w:overflowPunct/>
              <w:topLinePunct/>
              <w:autoSpaceDE/>
              <w:autoSpaceDN/>
              <w:bidi w:val="0"/>
              <w:adjustRightInd/>
              <w:snapToGrid w:val="0"/>
              <w:spacing w:line="240" w:lineRule="auto"/>
              <w:ind w:firstLine="0" w:firstLineChars="0"/>
              <w:jc w:val="left"/>
              <w:textAlignment w:val="auto"/>
              <w:rPr>
                <w:rFonts w:hint="eastAsia" w:ascii="宋体" w:hAnsi="宋体" w:eastAsia="宋体" w:cs="宋体"/>
                <w:snapToGrid w:val="0"/>
                <w:color w:val="auto"/>
                <w:kern w:val="0"/>
                <w:sz w:val="21"/>
                <w:szCs w:val="21"/>
                <w:highlight w:val="none"/>
              </w:rPr>
            </w:pPr>
            <w:r>
              <w:rPr>
                <w:rFonts w:hint="default" w:ascii="宋体" w:hAnsi="宋体" w:eastAsia="宋体" w:cs="宋体"/>
                <w:snapToGrid w:val="0"/>
                <w:color w:val="auto"/>
                <w:kern w:val="0"/>
                <w:sz w:val="21"/>
                <w:szCs w:val="21"/>
                <w:highlight w:val="none"/>
                <w:lang w:val="en-US" w:eastAsia="zh-CN" w:bidi="ar-SA"/>
              </w:rPr>
              <w:t>②</w:t>
            </w:r>
            <w:r>
              <w:rPr>
                <w:rFonts w:hint="eastAsia" w:ascii="宋体" w:hAnsi="宋体" w:eastAsia="宋体" w:cs="宋体"/>
                <w:snapToGrid w:val="0"/>
                <w:color w:val="auto"/>
                <w:kern w:val="0"/>
                <w:sz w:val="21"/>
                <w:szCs w:val="21"/>
                <w:highlight w:val="none"/>
              </w:rPr>
              <w:t>特殊情况可适当加密。</w:t>
            </w:r>
          </w:p>
        </w:tc>
        <w:tc>
          <w:tcPr>
            <w:tcW w:w="2242" w:type="dxa"/>
            <w:vMerge w:val="continue"/>
            <w:noWrap w:val="0"/>
            <w:vAlign w:val="center"/>
          </w:tcPr>
          <w:p>
            <w:pPr>
              <w:keepNext w:val="0"/>
              <w:keepLines w:val="0"/>
              <w:pageBreakBefore w:val="0"/>
              <w:kinsoku/>
              <w:wordWrap/>
              <w:overflowPunct/>
              <w:topLinePunct/>
              <w:autoSpaceDE/>
              <w:autoSpaceDN/>
              <w:bidi w:val="0"/>
              <w:adjustRightInd/>
              <w:snapToGrid w:val="0"/>
              <w:spacing w:line="240" w:lineRule="auto"/>
              <w:ind w:firstLine="0" w:firstLineChars="0"/>
              <w:jc w:val="center"/>
              <w:textAlignment w:val="auto"/>
              <w:rPr>
                <w:rFonts w:hint="eastAsia" w:ascii="宋体" w:hAnsi="宋体" w:eastAsia="宋体" w:cs="宋体"/>
                <w:snapToGrid w:val="0"/>
                <w:color w:val="auto"/>
                <w:kern w:val="0"/>
                <w:sz w:val="21"/>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02" w:hRule="atLeast"/>
          <w:jc w:val="center"/>
        </w:trPr>
        <w:tc>
          <w:tcPr>
            <w:tcW w:w="546" w:type="dxa"/>
            <w:noWrap w:val="0"/>
            <w:vAlign w:val="center"/>
          </w:tcPr>
          <w:p>
            <w:pPr>
              <w:keepNext w:val="0"/>
              <w:keepLines w:val="0"/>
              <w:pageBreakBefore w:val="0"/>
              <w:widowControl/>
              <w:suppressLineNumbers w:val="0"/>
              <w:kinsoku/>
              <w:wordWrap/>
              <w:overflowPunct/>
              <w:autoSpaceDE/>
              <w:autoSpaceDN/>
              <w:bidi w:val="0"/>
              <w:adjustRightInd/>
              <w:ind w:left="0" w:leftChars="0" w:firstLine="0" w:firstLineChars="0"/>
              <w:jc w:val="center"/>
              <w:textAlignment w:val="center"/>
              <w:rPr>
                <w:rFonts w:hint="eastAsia" w:ascii="宋体" w:hAnsi="宋体" w:eastAsia="宋体" w:cs="宋体"/>
                <w:i w:val="0"/>
                <w:iCs w:val="0"/>
                <w:color w:val="auto"/>
                <w:sz w:val="21"/>
                <w:szCs w:val="21"/>
                <w:highlight w:val="none"/>
                <w:u w:val="none"/>
                <w:lang w:eastAsia="zh-CN"/>
              </w:rPr>
            </w:pPr>
            <w:r>
              <w:rPr>
                <w:rFonts w:hint="eastAsia" w:ascii="宋体" w:hAnsi="宋体" w:eastAsia="宋体" w:cs="宋体"/>
                <w:i w:val="0"/>
                <w:iCs w:val="0"/>
                <w:color w:val="auto"/>
                <w:sz w:val="21"/>
                <w:szCs w:val="21"/>
                <w:highlight w:val="none"/>
                <w:u w:val="none"/>
                <w:lang w:val="en-US" w:eastAsia="zh-CN"/>
              </w:rPr>
              <w:t>5</w:t>
            </w:r>
          </w:p>
        </w:tc>
        <w:tc>
          <w:tcPr>
            <w:tcW w:w="1149" w:type="dxa"/>
            <w:noWrap w:val="0"/>
            <w:tcMar>
              <w:left w:w="0" w:type="dxa"/>
              <w:right w:w="0" w:type="dxa"/>
            </w:tcMar>
            <w:vAlign w:val="center"/>
          </w:tcPr>
          <w:p>
            <w:pPr>
              <w:keepNext w:val="0"/>
              <w:keepLines w:val="0"/>
              <w:pageBreakBefore w:val="0"/>
              <w:kinsoku/>
              <w:wordWrap/>
              <w:overflowPunct/>
              <w:topLinePunct/>
              <w:autoSpaceDE/>
              <w:autoSpaceDN/>
              <w:bidi w:val="0"/>
              <w:adjustRightInd/>
              <w:snapToGrid w:val="0"/>
              <w:spacing w:line="240" w:lineRule="auto"/>
              <w:ind w:left="0" w:leftChars="0" w:firstLine="0" w:firstLineChars="0"/>
              <w:jc w:val="center"/>
              <w:textAlignment w:val="auto"/>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单体建筑</w:t>
            </w:r>
          </w:p>
        </w:tc>
        <w:tc>
          <w:tcPr>
            <w:tcW w:w="1488" w:type="dxa"/>
            <w:noWrap w:val="0"/>
            <w:vAlign w:val="center"/>
          </w:tcPr>
          <w:p>
            <w:pPr>
              <w:keepNext w:val="0"/>
              <w:keepLines w:val="0"/>
              <w:pageBreakBefore w:val="0"/>
              <w:kinsoku/>
              <w:wordWrap/>
              <w:overflowPunct/>
              <w:topLinePunct/>
              <w:autoSpaceDE/>
              <w:autoSpaceDN/>
              <w:bidi w:val="0"/>
              <w:adjustRightInd/>
              <w:snapToGrid w:val="0"/>
              <w:spacing w:line="240" w:lineRule="auto"/>
              <w:ind w:left="0" w:leftChars="0" w:firstLine="0" w:firstLineChars="0"/>
              <w:jc w:val="left"/>
              <w:textAlignment w:val="auto"/>
              <w:rPr>
                <w:rFonts w:hint="default"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（1）沉降监测</w:t>
            </w:r>
          </w:p>
        </w:tc>
        <w:tc>
          <w:tcPr>
            <w:tcW w:w="2981" w:type="dxa"/>
            <w:noWrap w:val="0"/>
            <w:vAlign w:val="center"/>
          </w:tcPr>
          <w:p>
            <w:pPr>
              <w:keepNext w:val="0"/>
              <w:keepLines w:val="0"/>
              <w:pageBreakBefore w:val="0"/>
              <w:kinsoku/>
              <w:wordWrap/>
              <w:overflowPunct/>
              <w:topLinePunct/>
              <w:autoSpaceDE/>
              <w:autoSpaceDN/>
              <w:bidi w:val="0"/>
              <w:adjustRightInd/>
              <w:snapToGrid w:val="0"/>
              <w:spacing w:line="240" w:lineRule="auto"/>
              <w:ind w:firstLine="0" w:firstLineChars="0"/>
              <w:jc w:val="left"/>
              <w:textAlignment w:val="auto"/>
              <w:rPr>
                <w:rFonts w:hint="eastAsia" w:ascii="宋体" w:hAnsi="宋体" w:eastAsia="宋体" w:cs="宋体"/>
                <w:strike/>
                <w:dstrike w:val="0"/>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rPr>
              <w:t>沉降测点沿外墙周边每隔30米设置一个沉降测点</w:t>
            </w:r>
            <w:r>
              <w:rPr>
                <w:rFonts w:hint="eastAsia" w:ascii="宋体" w:hAnsi="宋体" w:eastAsia="宋体" w:cs="宋体"/>
                <w:snapToGrid w:val="0"/>
                <w:color w:val="auto"/>
                <w:kern w:val="0"/>
                <w:sz w:val="21"/>
                <w:szCs w:val="21"/>
                <w:highlight w:val="none"/>
                <w:lang w:eastAsia="zh-CN"/>
              </w:rPr>
              <w:t>，测点应布设在主体结构上，测点宜对称布置，遇结构变形缝处加密设置。</w:t>
            </w:r>
          </w:p>
        </w:tc>
        <w:tc>
          <w:tcPr>
            <w:tcW w:w="2242" w:type="dxa"/>
            <w:noWrap w:val="0"/>
            <w:vAlign w:val="center"/>
          </w:tcPr>
          <w:p>
            <w:pPr>
              <w:keepNext w:val="0"/>
              <w:keepLines w:val="0"/>
              <w:pageBreakBefore w:val="0"/>
              <w:kinsoku/>
              <w:wordWrap/>
              <w:overflowPunct/>
              <w:topLinePunct/>
              <w:autoSpaceDE/>
              <w:autoSpaceDN/>
              <w:bidi w:val="0"/>
              <w:adjustRightInd/>
              <w:snapToGrid w:val="0"/>
              <w:spacing w:line="240" w:lineRule="auto"/>
              <w:ind w:firstLine="0" w:firstLineChars="0"/>
              <w:jc w:val="center"/>
              <w:textAlignment w:val="auto"/>
              <w:rPr>
                <w:rFonts w:hint="default" w:ascii="宋体" w:hAnsi="宋体" w:eastAsia="宋体" w:cs="宋体"/>
                <w:strike/>
                <w:dstrike w:val="0"/>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rPr>
              <w:t>监测频率为1次/年</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35" w:hRule="atLeast"/>
          <w:jc w:val="center"/>
        </w:trPr>
        <w:tc>
          <w:tcPr>
            <w:tcW w:w="546" w:type="dxa"/>
            <w:noWrap w:val="0"/>
            <w:vAlign w:val="center"/>
          </w:tcPr>
          <w:p>
            <w:pPr>
              <w:keepNext w:val="0"/>
              <w:keepLines w:val="0"/>
              <w:pageBreakBefore w:val="0"/>
              <w:widowControl/>
              <w:suppressLineNumbers w:val="0"/>
              <w:kinsoku/>
              <w:wordWrap/>
              <w:overflowPunct/>
              <w:autoSpaceDE/>
              <w:autoSpaceDN/>
              <w:bidi w:val="0"/>
              <w:adjustRightInd/>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6</w:t>
            </w:r>
          </w:p>
        </w:tc>
        <w:tc>
          <w:tcPr>
            <w:tcW w:w="1149" w:type="dxa"/>
            <w:noWrap w:val="0"/>
            <w:vAlign w:val="center"/>
          </w:tcPr>
          <w:p>
            <w:pPr>
              <w:keepNext w:val="0"/>
              <w:keepLines w:val="0"/>
              <w:pageBreakBefore w:val="0"/>
              <w:kinsoku/>
              <w:wordWrap/>
              <w:overflowPunct/>
              <w:topLinePunct/>
              <w:autoSpaceDE/>
              <w:autoSpaceDN/>
              <w:bidi w:val="0"/>
              <w:adjustRightInd/>
              <w:snapToGrid w:val="0"/>
              <w:spacing w:line="240" w:lineRule="auto"/>
              <w:ind w:left="0" w:leftChars="0" w:firstLine="0" w:firstLineChars="0"/>
              <w:jc w:val="center"/>
              <w:textAlignment w:val="auto"/>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重点区段</w:t>
            </w:r>
          </w:p>
        </w:tc>
        <w:tc>
          <w:tcPr>
            <w:tcW w:w="1488" w:type="dxa"/>
            <w:noWrap w:val="0"/>
            <w:vAlign w:val="center"/>
          </w:tcPr>
          <w:p>
            <w:pPr>
              <w:keepNext w:val="0"/>
              <w:keepLines w:val="0"/>
              <w:pageBreakBefore w:val="0"/>
              <w:kinsoku/>
              <w:wordWrap/>
              <w:overflowPunct/>
              <w:topLinePunct/>
              <w:autoSpaceDE/>
              <w:autoSpaceDN/>
              <w:bidi w:val="0"/>
              <w:adjustRightInd/>
              <w:snapToGrid w:val="0"/>
              <w:spacing w:line="240" w:lineRule="auto"/>
              <w:ind w:left="0" w:leftChars="0" w:firstLine="0" w:firstLineChars="0"/>
              <w:jc w:val="left"/>
              <w:textAlignment w:val="auto"/>
              <w:rPr>
                <w:rFonts w:hint="default"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（1）沉降监测</w:t>
            </w:r>
          </w:p>
          <w:p>
            <w:pPr>
              <w:keepNext w:val="0"/>
              <w:keepLines w:val="0"/>
              <w:pageBreakBefore w:val="0"/>
              <w:kinsoku/>
              <w:wordWrap/>
              <w:overflowPunct/>
              <w:topLinePunct/>
              <w:autoSpaceDE/>
              <w:autoSpaceDN/>
              <w:bidi w:val="0"/>
              <w:adjustRightInd/>
              <w:snapToGrid w:val="0"/>
              <w:spacing w:line="240" w:lineRule="auto"/>
              <w:ind w:left="0" w:leftChars="0" w:firstLine="0" w:firstLineChars="0"/>
              <w:jc w:val="left"/>
              <w:textAlignment w:val="auto"/>
              <w:rPr>
                <w:rFonts w:hint="default"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（2）净空收敛</w:t>
            </w:r>
          </w:p>
        </w:tc>
        <w:tc>
          <w:tcPr>
            <w:tcW w:w="2981" w:type="dxa"/>
            <w:noWrap w:val="0"/>
            <w:vAlign w:val="center"/>
          </w:tcPr>
          <w:p>
            <w:pPr>
              <w:keepNext w:val="0"/>
              <w:keepLines w:val="0"/>
              <w:pageBreakBefore w:val="0"/>
              <w:kinsoku/>
              <w:wordWrap/>
              <w:overflowPunct/>
              <w:topLinePunct/>
              <w:autoSpaceDE/>
              <w:autoSpaceDN/>
              <w:bidi w:val="0"/>
              <w:adjustRightInd/>
              <w:snapToGrid w:val="0"/>
              <w:spacing w:line="240" w:lineRule="auto"/>
              <w:ind w:firstLine="0" w:firstLineChars="0"/>
              <w:jc w:val="left"/>
              <w:textAlignment w:val="auto"/>
              <w:rPr>
                <w:rFonts w:hint="eastAsia" w:ascii="宋体" w:hAnsi="宋体" w:eastAsia="宋体" w:cs="宋体"/>
                <w:snapToGrid w:val="0"/>
                <w:color w:val="auto"/>
                <w:kern w:val="0"/>
                <w:sz w:val="21"/>
                <w:szCs w:val="21"/>
                <w:highlight w:val="none"/>
                <w:lang w:val="en-US" w:eastAsia="zh-CN"/>
              </w:rPr>
            </w:pPr>
            <w:r>
              <w:rPr>
                <w:rFonts w:hint="default" w:ascii="宋体" w:hAnsi="宋体" w:eastAsia="宋体" w:cs="宋体"/>
                <w:snapToGrid w:val="0"/>
                <w:color w:val="auto"/>
                <w:kern w:val="0"/>
                <w:sz w:val="21"/>
                <w:szCs w:val="21"/>
                <w:highlight w:val="none"/>
                <w:lang w:val="en-US" w:eastAsia="zh-CN" w:bidi="ar-SA"/>
              </w:rPr>
              <w:t>①</w:t>
            </w:r>
            <w:r>
              <w:rPr>
                <w:rFonts w:hint="eastAsia" w:ascii="宋体" w:hAnsi="宋体" w:eastAsia="宋体" w:cs="宋体"/>
                <w:snapToGrid w:val="0"/>
                <w:color w:val="auto"/>
                <w:kern w:val="0"/>
                <w:sz w:val="21"/>
                <w:szCs w:val="21"/>
                <w:highlight w:val="none"/>
                <w:lang w:val="en-US" w:eastAsia="zh-CN"/>
              </w:rPr>
              <w:t>下穿建构筑物、较宽河流以及施工期间异常区域，监测范围在原有下穿或异常区域基础上，双向各延伸10m；</w:t>
            </w:r>
          </w:p>
          <w:p>
            <w:pPr>
              <w:keepNext w:val="0"/>
              <w:keepLines w:val="0"/>
              <w:pageBreakBefore w:val="0"/>
              <w:kinsoku/>
              <w:wordWrap/>
              <w:overflowPunct/>
              <w:topLinePunct/>
              <w:autoSpaceDE/>
              <w:autoSpaceDN/>
              <w:bidi w:val="0"/>
              <w:adjustRightInd/>
              <w:snapToGrid w:val="0"/>
              <w:spacing w:line="240" w:lineRule="auto"/>
              <w:ind w:firstLine="0" w:firstLineChars="0"/>
              <w:jc w:val="left"/>
              <w:textAlignment w:val="auto"/>
              <w:rPr>
                <w:rFonts w:hint="eastAsia" w:ascii="宋体" w:hAnsi="宋体" w:eastAsia="宋体" w:cs="宋体"/>
                <w:snapToGrid w:val="0"/>
                <w:color w:val="auto"/>
                <w:kern w:val="0"/>
                <w:sz w:val="21"/>
                <w:szCs w:val="21"/>
                <w:highlight w:val="none"/>
              </w:rPr>
            </w:pPr>
            <w:r>
              <w:rPr>
                <w:rFonts w:hint="default" w:ascii="宋体" w:hAnsi="宋体" w:eastAsia="宋体" w:cs="宋体"/>
                <w:snapToGrid w:val="0"/>
                <w:color w:val="auto"/>
                <w:kern w:val="0"/>
                <w:sz w:val="21"/>
                <w:szCs w:val="21"/>
                <w:highlight w:val="none"/>
                <w:lang w:val="en-US" w:eastAsia="zh-CN" w:bidi="ar-SA"/>
              </w:rPr>
              <w:t>②</w:t>
            </w:r>
            <w:r>
              <w:rPr>
                <w:rFonts w:hint="eastAsia" w:ascii="宋体" w:hAnsi="宋体" w:eastAsia="宋体" w:cs="宋体"/>
                <w:snapToGrid w:val="0"/>
                <w:color w:val="auto"/>
                <w:kern w:val="0"/>
                <w:sz w:val="21"/>
                <w:szCs w:val="21"/>
                <w:highlight w:val="none"/>
              </w:rPr>
              <w:t>每</w:t>
            </w:r>
            <w:r>
              <w:rPr>
                <w:rFonts w:hint="eastAsia" w:ascii="宋体" w:hAnsi="宋体" w:eastAsia="宋体" w:cs="宋体"/>
                <w:snapToGrid w:val="0"/>
                <w:color w:val="auto"/>
                <w:kern w:val="0"/>
                <w:sz w:val="21"/>
                <w:szCs w:val="21"/>
                <w:highlight w:val="none"/>
                <w:lang w:val="en-US" w:eastAsia="zh-CN"/>
              </w:rPr>
              <w:t>5m</w:t>
            </w:r>
            <w:r>
              <w:rPr>
                <w:rFonts w:hint="eastAsia" w:ascii="宋体" w:hAnsi="宋体" w:eastAsia="宋体" w:cs="宋体"/>
                <w:snapToGrid w:val="0"/>
                <w:color w:val="auto"/>
                <w:kern w:val="0"/>
                <w:sz w:val="21"/>
                <w:szCs w:val="21"/>
                <w:highlight w:val="none"/>
              </w:rPr>
              <w:t>设一个</w:t>
            </w:r>
            <w:r>
              <w:rPr>
                <w:rFonts w:hint="eastAsia" w:ascii="宋体" w:hAnsi="宋体" w:eastAsia="宋体" w:cs="宋体"/>
                <w:snapToGrid w:val="0"/>
                <w:color w:val="auto"/>
                <w:kern w:val="0"/>
                <w:sz w:val="21"/>
                <w:szCs w:val="21"/>
                <w:highlight w:val="none"/>
                <w:lang w:val="en-US" w:eastAsia="zh-CN"/>
              </w:rPr>
              <w:t>监测断面</w:t>
            </w:r>
            <w:r>
              <w:rPr>
                <w:rFonts w:hint="eastAsia" w:ascii="宋体" w:hAnsi="宋体" w:eastAsia="宋体" w:cs="宋体"/>
                <w:snapToGrid w:val="0"/>
                <w:color w:val="auto"/>
                <w:kern w:val="0"/>
                <w:sz w:val="21"/>
                <w:szCs w:val="21"/>
                <w:highlight w:val="none"/>
              </w:rPr>
              <w:t>，</w:t>
            </w:r>
            <w:r>
              <w:rPr>
                <w:rFonts w:hint="eastAsia" w:ascii="宋体" w:hAnsi="宋体" w:eastAsia="宋体" w:cs="宋体"/>
                <w:snapToGrid w:val="0"/>
                <w:color w:val="auto"/>
                <w:kern w:val="0"/>
                <w:sz w:val="21"/>
                <w:szCs w:val="21"/>
                <w:highlight w:val="none"/>
                <w:lang w:val="en-US" w:eastAsia="zh-CN"/>
              </w:rPr>
              <w:t>其中沉降</w:t>
            </w:r>
            <w:r>
              <w:rPr>
                <w:rFonts w:hint="eastAsia" w:ascii="宋体" w:hAnsi="宋体" w:eastAsia="宋体" w:cs="宋体"/>
                <w:snapToGrid w:val="0"/>
                <w:color w:val="auto"/>
                <w:kern w:val="0"/>
                <w:sz w:val="21"/>
                <w:szCs w:val="21"/>
                <w:highlight w:val="none"/>
              </w:rPr>
              <w:t>测点布设在道床上</w:t>
            </w:r>
            <w:r>
              <w:rPr>
                <w:rFonts w:hint="eastAsia" w:ascii="宋体" w:hAnsi="宋体" w:eastAsia="宋体" w:cs="宋体"/>
                <w:snapToGrid w:val="0"/>
                <w:color w:val="auto"/>
                <w:kern w:val="0"/>
                <w:sz w:val="21"/>
                <w:szCs w:val="21"/>
                <w:highlight w:val="none"/>
                <w:lang w:eastAsia="zh-CN"/>
              </w:rPr>
              <w:t>（</w:t>
            </w:r>
            <w:r>
              <w:rPr>
                <w:rFonts w:hint="eastAsia" w:ascii="宋体" w:hAnsi="宋体" w:eastAsia="宋体" w:cs="宋体"/>
                <w:snapToGrid w:val="0"/>
                <w:color w:val="auto"/>
                <w:kern w:val="0"/>
                <w:sz w:val="21"/>
                <w:szCs w:val="21"/>
                <w:highlight w:val="none"/>
                <w:lang w:val="en-US" w:eastAsia="zh-CN"/>
              </w:rPr>
              <w:t>浮置板道床结构的沉降测点布设于隧道壁</w:t>
            </w:r>
            <w:r>
              <w:rPr>
                <w:rFonts w:hint="eastAsia" w:ascii="宋体" w:hAnsi="宋体" w:eastAsia="宋体" w:cs="宋体"/>
                <w:snapToGrid w:val="0"/>
                <w:color w:val="auto"/>
                <w:kern w:val="0"/>
                <w:sz w:val="21"/>
                <w:szCs w:val="21"/>
                <w:highlight w:val="none"/>
                <w:lang w:eastAsia="zh-CN"/>
              </w:rPr>
              <w:t>）、</w:t>
            </w:r>
            <w:r>
              <w:rPr>
                <w:rFonts w:hint="eastAsia" w:ascii="宋体" w:hAnsi="宋体" w:eastAsia="宋体" w:cs="宋体"/>
                <w:snapToGrid w:val="0"/>
                <w:color w:val="auto"/>
                <w:kern w:val="0"/>
                <w:sz w:val="21"/>
                <w:szCs w:val="21"/>
                <w:highlight w:val="none"/>
                <w:lang w:val="en-US" w:eastAsia="zh-CN"/>
              </w:rPr>
              <w:t>净空收敛测点与沉降测点布设于同一断面</w:t>
            </w:r>
            <w:r>
              <w:rPr>
                <w:rFonts w:hint="eastAsia" w:ascii="宋体" w:hAnsi="宋体" w:eastAsia="宋体" w:cs="宋体"/>
                <w:snapToGrid w:val="0"/>
                <w:color w:val="auto"/>
                <w:kern w:val="0"/>
                <w:sz w:val="21"/>
                <w:szCs w:val="21"/>
                <w:highlight w:val="none"/>
              </w:rPr>
              <w:t>；</w:t>
            </w:r>
          </w:p>
          <w:p>
            <w:pPr>
              <w:keepNext w:val="0"/>
              <w:keepLines w:val="0"/>
              <w:pageBreakBefore w:val="0"/>
              <w:kinsoku/>
              <w:wordWrap/>
              <w:overflowPunct/>
              <w:topLinePunct/>
              <w:autoSpaceDE/>
              <w:autoSpaceDN/>
              <w:bidi w:val="0"/>
              <w:adjustRightInd/>
              <w:snapToGrid w:val="0"/>
              <w:spacing w:line="240" w:lineRule="auto"/>
              <w:ind w:firstLine="0" w:firstLineChars="0"/>
              <w:jc w:val="left"/>
              <w:textAlignment w:val="auto"/>
              <w:rPr>
                <w:rFonts w:hint="eastAsia" w:ascii="宋体" w:hAnsi="宋体" w:eastAsia="宋体" w:cs="宋体"/>
                <w:snapToGrid w:val="0"/>
                <w:color w:val="auto"/>
                <w:kern w:val="0"/>
                <w:sz w:val="21"/>
                <w:szCs w:val="21"/>
                <w:highlight w:val="none"/>
              </w:rPr>
            </w:pPr>
            <w:r>
              <w:rPr>
                <w:rFonts w:hint="default" w:ascii="宋体" w:hAnsi="宋体" w:eastAsia="宋体" w:cs="宋体"/>
                <w:snapToGrid w:val="0"/>
                <w:color w:val="auto"/>
                <w:kern w:val="0"/>
                <w:sz w:val="21"/>
                <w:szCs w:val="21"/>
                <w:highlight w:val="none"/>
                <w:lang w:val="en-US" w:eastAsia="zh-CN" w:bidi="ar-SA"/>
              </w:rPr>
              <w:t>③</w:t>
            </w:r>
            <w:r>
              <w:rPr>
                <w:rFonts w:hint="eastAsia" w:ascii="宋体" w:hAnsi="宋体" w:eastAsia="宋体" w:cs="宋体"/>
                <w:snapToGrid w:val="0"/>
                <w:color w:val="auto"/>
                <w:kern w:val="0"/>
                <w:sz w:val="21"/>
                <w:szCs w:val="21"/>
                <w:highlight w:val="none"/>
              </w:rPr>
              <w:t>特殊情况可适当加密。</w:t>
            </w:r>
          </w:p>
        </w:tc>
        <w:tc>
          <w:tcPr>
            <w:tcW w:w="2242" w:type="dxa"/>
            <w:noWrap w:val="0"/>
            <w:vAlign w:val="center"/>
          </w:tcPr>
          <w:p>
            <w:pPr>
              <w:keepNext w:val="0"/>
              <w:keepLines w:val="0"/>
              <w:pageBreakBefore w:val="0"/>
              <w:kinsoku/>
              <w:wordWrap/>
              <w:overflowPunct/>
              <w:topLinePunct/>
              <w:autoSpaceDE/>
              <w:autoSpaceDN/>
              <w:bidi w:val="0"/>
              <w:adjustRightInd/>
              <w:snapToGrid w:val="0"/>
              <w:spacing w:line="240" w:lineRule="auto"/>
              <w:ind w:firstLine="0" w:firstLineChars="0"/>
              <w:jc w:val="center"/>
              <w:textAlignment w:val="auto"/>
              <w:rPr>
                <w:rFonts w:hint="default" w:ascii="宋体" w:hAnsi="宋体" w:eastAsia="宋体" w:cs="宋体"/>
                <w:snapToGrid w:val="0"/>
                <w:color w:val="auto"/>
                <w:kern w:val="0"/>
                <w:sz w:val="21"/>
                <w:szCs w:val="21"/>
                <w:highlight w:val="none"/>
                <w:lang w:val="en-US"/>
              </w:rPr>
            </w:pPr>
            <w:r>
              <w:rPr>
                <w:rFonts w:hint="eastAsia" w:ascii="宋体" w:hAnsi="宋体" w:eastAsia="宋体" w:cs="宋体"/>
                <w:snapToGrid w:val="0"/>
                <w:color w:val="auto"/>
                <w:kern w:val="0"/>
                <w:sz w:val="21"/>
                <w:szCs w:val="21"/>
                <w:highlight w:val="none"/>
                <w:lang w:val="en-US" w:eastAsia="zh-CN"/>
              </w:rPr>
              <w:t>监测频率为1次/季度</w:t>
            </w:r>
          </w:p>
        </w:tc>
      </w:tr>
    </w:tbl>
    <w:p>
      <w:pPr>
        <w:spacing w:line="360" w:lineRule="auto"/>
        <w:ind w:firstLine="420" w:firstLineChars="200"/>
        <w:rPr>
          <w:rFonts w:hint="eastAsia" w:ascii="宋体" w:hAnsi="宋体" w:eastAsia="宋体" w:cs="宋体"/>
          <w:color w:val="auto"/>
          <w:sz w:val="21"/>
          <w:szCs w:val="21"/>
          <w:highlight w:val="none"/>
          <w:lang w:val="en-US" w:eastAsia="zh-CN"/>
        </w:rPr>
      </w:pPr>
    </w:p>
    <w:p>
      <w:pPr>
        <w:tabs>
          <w:tab w:val="left" w:pos="6120"/>
        </w:tabs>
        <w:spacing w:line="360" w:lineRule="auto"/>
        <w:ind w:firstLine="480" w:firstLineChars="20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4.2.2 结构监测工作量</w:t>
      </w:r>
    </w:p>
    <w:p>
      <w:pPr>
        <w:tabs>
          <w:tab w:val="left" w:pos="6120"/>
        </w:tabs>
        <w:spacing w:line="360" w:lineRule="auto"/>
        <w:ind w:firstLine="480" w:firstLineChars="20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结构监测的工作内容须符合国家及行业相关规范规定，结构监测不低于下表规定：（表中测点布设数量仅供参考）</w:t>
      </w:r>
    </w:p>
    <w:tbl>
      <w:tblPr>
        <w:tblStyle w:val="25"/>
        <w:tblW w:w="502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525"/>
        <w:gridCol w:w="2492"/>
        <w:gridCol w:w="831"/>
        <w:gridCol w:w="1256"/>
        <w:gridCol w:w="752"/>
        <w:gridCol w:w="1258"/>
        <w:gridCol w:w="583"/>
        <w:gridCol w:w="10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0" w:hRule="atLeast"/>
          <w:jc w:val="center"/>
        </w:trPr>
        <w:tc>
          <w:tcPr>
            <w:tcW w:w="299" w:type="pct"/>
            <w:noWrap w:val="0"/>
            <w:vAlign w:val="center"/>
          </w:tcPr>
          <w:p>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b/>
                <w:bCs/>
                <w:color w:val="auto"/>
                <w:sz w:val="21"/>
                <w:szCs w:val="21"/>
                <w:highlight w:val="none"/>
                <w:lang w:val="en-US" w:eastAsia="zh-CN"/>
              </w:rPr>
            </w:pPr>
            <w:r>
              <w:rPr>
                <w:rFonts w:hint="eastAsia" w:ascii="宋体" w:hAnsi="宋体" w:eastAsia="宋体" w:cs="宋体"/>
                <w:b/>
                <w:bCs/>
                <w:i w:val="0"/>
                <w:iCs w:val="0"/>
                <w:color w:val="auto"/>
                <w:kern w:val="0"/>
                <w:sz w:val="21"/>
                <w:szCs w:val="21"/>
                <w:highlight w:val="none"/>
                <w:u w:val="none"/>
                <w:lang w:val="en-US" w:eastAsia="zh-CN" w:bidi="ar"/>
              </w:rPr>
              <w:t>序号</w:t>
            </w:r>
          </w:p>
        </w:tc>
        <w:tc>
          <w:tcPr>
            <w:tcW w:w="1418" w:type="pct"/>
            <w:noWrap w:val="0"/>
            <w:vAlign w:val="center"/>
          </w:tcPr>
          <w:p>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项目名称</w:t>
            </w:r>
          </w:p>
        </w:tc>
        <w:tc>
          <w:tcPr>
            <w:tcW w:w="473" w:type="pct"/>
            <w:noWrap w:val="0"/>
            <w:vAlign w:val="center"/>
          </w:tcPr>
          <w:p>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单次工作量</w:t>
            </w:r>
          </w:p>
        </w:tc>
        <w:tc>
          <w:tcPr>
            <w:tcW w:w="715" w:type="pct"/>
            <w:noWrap w:val="0"/>
            <w:vAlign w:val="center"/>
          </w:tcPr>
          <w:p>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监测频次</w:t>
            </w:r>
          </w:p>
        </w:tc>
        <w:tc>
          <w:tcPr>
            <w:tcW w:w="428" w:type="pct"/>
            <w:noWrap w:val="0"/>
            <w:vAlign w:val="center"/>
          </w:tcPr>
          <w:p>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监测</w:t>
            </w:r>
          </w:p>
          <w:p>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次数</w:t>
            </w:r>
          </w:p>
        </w:tc>
        <w:tc>
          <w:tcPr>
            <w:tcW w:w="716" w:type="pct"/>
            <w:noWrap w:val="0"/>
            <w:vAlign w:val="center"/>
          </w:tcPr>
          <w:p>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合计工作量</w:t>
            </w:r>
          </w:p>
        </w:tc>
        <w:tc>
          <w:tcPr>
            <w:tcW w:w="332" w:type="pct"/>
            <w:noWrap w:val="0"/>
            <w:vAlign w:val="center"/>
          </w:tcPr>
          <w:p>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单位</w:t>
            </w:r>
          </w:p>
        </w:tc>
        <w:tc>
          <w:tcPr>
            <w:tcW w:w="614" w:type="pct"/>
            <w:noWrap w:val="0"/>
            <w:vAlign w:val="center"/>
          </w:tcPr>
          <w:p>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计价原则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299" w:type="pc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一</w:t>
            </w:r>
          </w:p>
        </w:tc>
        <w:tc>
          <w:tcPr>
            <w:tcW w:w="1418" w:type="pc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沉降监测</w:t>
            </w:r>
          </w:p>
        </w:tc>
        <w:tc>
          <w:tcPr>
            <w:tcW w:w="473" w:type="pct"/>
            <w:shd w:val="clear" w:color="auto" w:fill="FFFFFF"/>
            <w:noWrap w:val="0"/>
            <w:vAlign w:val="center"/>
          </w:tcPr>
          <w:p>
            <w:pPr>
              <w:keepNext w:val="0"/>
              <w:keepLines w:val="0"/>
              <w:pageBreakBefore w:val="0"/>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auto"/>
                <w:sz w:val="21"/>
                <w:szCs w:val="21"/>
                <w:highlight w:val="none"/>
                <w:u w:val="none"/>
                <w:lang w:val="en-US" w:eastAsia="zh-CN" w:bidi="ar-SA"/>
              </w:rPr>
            </w:pPr>
          </w:p>
        </w:tc>
        <w:tc>
          <w:tcPr>
            <w:tcW w:w="715" w:type="pct"/>
            <w:shd w:val="clear" w:color="auto" w:fill="FFFFFF"/>
            <w:noWrap w:val="0"/>
            <w:vAlign w:val="center"/>
          </w:tcPr>
          <w:p>
            <w:pPr>
              <w:keepNext w:val="0"/>
              <w:keepLines w:val="0"/>
              <w:pageBreakBefore w:val="0"/>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auto"/>
                <w:sz w:val="21"/>
                <w:szCs w:val="21"/>
                <w:highlight w:val="none"/>
                <w:u w:val="none"/>
              </w:rPr>
            </w:pPr>
          </w:p>
        </w:tc>
        <w:tc>
          <w:tcPr>
            <w:tcW w:w="428" w:type="pct"/>
            <w:shd w:val="clear" w:color="auto" w:fill="FFFFFF"/>
            <w:noWrap w:val="0"/>
            <w:vAlign w:val="center"/>
          </w:tcPr>
          <w:p>
            <w:pPr>
              <w:keepNext w:val="0"/>
              <w:keepLines w:val="0"/>
              <w:pageBreakBefore w:val="0"/>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auto"/>
                <w:sz w:val="21"/>
                <w:szCs w:val="21"/>
                <w:highlight w:val="none"/>
                <w:u w:val="none"/>
                <w:lang w:val="en-US" w:eastAsia="zh-CN" w:bidi="ar-SA"/>
              </w:rPr>
            </w:pPr>
          </w:p>
        </w:tc>
        <w:tc>
          <w:tcPr>
            <w:tcW w:w="716" w:type="pct"/>
            <w:shd w:val="clear" w:color="auto" w:fill="FFFFFF"/>
            <w:noWrap w:val="0"/>
            <w:vAlign w:val="center"/>
          </w:tcPr>
          <w:p>
            <w:pPr>
              <w:keepNext w:val="0"/>
              <w:keepLines w:val="0"/>
              <w:pageBreakBefore w:val="0"/>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auto"/>
                <w:sz w:val="21"/>
                <w:szCs w:val="21"/>
                <w:highlight w:val="none"/>
                <w:u w:val="none"/>
              </w:rPr>
            </w:pPr>
          </w:p>
        </w:tc>
        <w:tc>
          <w:tcPr>
            <w:tcW w:w="332" w:type="pct"/>
            <w:shd w:val="clear" w:color="auto" w:fill="FFFFFF"/>
            <w:noWrap w:val="0"/>
            <w:vAlign w:val="center"/>
          </w:tcPr>
          <w:p>
            <w:pPr>
              <w:keepNext w:val="0"/>
              <w:keepLines w:val="0"/>
              <w:pageBreakBefore w:val="0"/>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auto"/>
                <w:sz w:val="21"/>
                <w:szCs w:val="21"/>
                <w:highlight w:val="none"/>
                <w:u w:val="none"/>
                <w:lang w:val="en-US" w:eastAsia="zh-CN" w:bidi="ar-SA"/>
              </w:rPr>
            </w:pPr>
          </w:p>
        </w:tc>
        <w:tc>
          <w:tcPr>
            <w:tcW w:w="614" w:type="pct"/>
            <w:shd w:val="clear" w:color="auto" w:fill="FFFFFF"/>
            <w:noWrap w:val="0"/>
            <w:vAlign w:val="center"/>
          </w:tcPr>
          <w:p>
            <w:pPr>
              <w:keepNext w:val="0"/>
              <w:keepLines w:val="0"/>
              <w:pageBreakBefore w:val="0"/>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auto"/>
                <w:sz w:val="21"/>
                <w:szCs w:val="21"/>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299" w:type="pc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sz w:val="21"/>
                <w:szCs w:val="21"/>
                <w:highlight w:val="none"/>
                <w:u w:val="none"/>
                <w:lang w:val="en-US" w:eastAsia="zh-CN"/>
              </w:rPr>
              <w:t>1</w:t>
            </w:r>
          </w:p>
        </w:tc>
        <w:tc>
          <w:tcPr>
            <w:tcW w:w="1418" w:type="pc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地下车站主体结构</w:t>
            </w:r>
          </w:p>
        </w:tc>
        <w:tc>
          <w:tcPr>
            <w:tcW w:w="473" w:type="pc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240</w:t>
            </w:r>
          </w:p>
        </w:tc>
        <w:tc>
          <w:tcPr>
            <w:tcW w:w="715" w:type="pc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1次/半年</w:t>
            </w:r>
          </w:p>
        </w:tc>
        <w:tc>
          <w:tcPr>
            <w:tcW w:w="428" w:type="pc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6</w:t>
            </w:r>
          </w:p>
        </w:tc>
        <w:tc>
          <w:tcPr>
            <w:tcW w:w="716" w:type="pc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sz w:val="21"/>
                <w:szCs w:val="21"/>
                <w:highlight w:val="none"/>
                <w:u w:val="none"/>
                <w:lang w:val="en-US"/>
              </w:rPr>
            </w:pPr>
            <w:r>
              <w:rPr>
                <w:rFonts w:hint="eastAsia" w:ascii="宋体" w:hAnsi="宋体" w:eastAsia="宋体" w:cs="宋体"/>
                <w:i w:val="0"/>
                <w:iCs w:val="0"/>
                <w:color w:val="auto"/>
                <w:kern w:val="0"/>
                <w:sz w:val="21"/>
                <w:szCs w:val="21"/>
                <w:highlight w:val="none"/>
                <w:u w:val="none"/>
                <w:lang w:val="en-US" w:eastAsia="zh-CN" w:bidi="ar"/>
              </w:rPr>
              <w:t>1440</w:t>
            </w:r>
          </w:p>
        </w:tc>
        <w:tc>
          <w:tcPr>
            <w:tcW w:w="332" w:type="pc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both"/>
              <w:textAlignment w:val="center"/>
              <w:rPr>
                <w:rFonts w:hint="eastAsia" w:ascii="宋体" w:hAnsi="宋体" w:eastAsia="宋体" w:cs="宋体"/>
                <w:i w:val="0"/>
                <w:iCs w:val="0"/>
                <w:color w:val="auto"/>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点</w:t>
            </w:r>
          </w:p>
        </w:tc>
        <w:tc>
          <w:tcPr>
            <w:tcW w:w="614" w:type="pct"/>
            <w:vMerge w:val="restar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总价包干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299" w:type="pc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sz w:val="21"/>
                <w:szCs w:val="21"/>
                <w:highlight w:val="none"/>
                <w:u w:val="none"/>
                <w:lang w:val="en-US" w:eastAsia="zh-CN"/>
              </w:rPr>
              <w:t>2</w:t>
            </w:r>
          </w:p>
        </w:tc>
        <w:tc>
          <w:tcPr>
            <w:tcW w:w="1418" w:type="pc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盾构隧道</w:t>
            </w:r>
          </w:p>
        </w:tc>
        <w:tc>
          <w:tcPr>
            <w:tcW w:w="473" w:type="pc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1376</w:t>
            </w:r>
          </w:p>
        </w:tc>
        <w:tc>
          <w:tcPr>
            <w:tcW w:w="715" w:type="pc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1次/半年</w:t>
            </w:r>
          </w:p>
        </w:tc>
        <w:tc>
          <w:tcPr>
            <w:tcW w:w="428" w:type="pc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6</w:t>
            </w:r>
          </w:p>
        </w:tc>
        <w:tc>
          <w:tcPr>
            <w:tcW w:w="716" w:type="pc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sz w:val="21"/>
                <w:szCs w:val="21"/>
                <w:highlight w:val="none"/>
                <w:u w:val="none"/>
                <w:lang w:val="en-US"/>
              </w:rPr>
            </w:pPr>
            <w:r>
              <w:rPr>
                <w:rFonts w:hint="eastAsia" w:ascii="宋体" w:hAnsi="宋体" w:eastAsia="宋体" w:cs="宋体"/>
                <w:i w:val="0"/>
                <w:iCs w:val="0"/>
                <w:color w:val="auto"/>
                <w:kern w:val="0"/>
                <w:sz w:val="21"/>
                <w:szCs w:val="21"/>
                <w:highlight w:val="none"/>
                <w:u w:val="none"/>
                <w:lang w:val="en-US" w:eastAsia="zh-CN" w:bidi="ar"/>
              </w:rPr>
              <w:t>8256</w:t>
            </w:r>
          </w:p>
        </w:tc>
        <w:tc>
          <w:tcPr>
            <w:tcW w:w="332" w:type="pc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点</w:t>
            </w:r>
          </w:p>
        </w:tc>
        <w:tc>
          <w:tcPr>
            <w:tcW w:w="614" w:type="pct"/>
            <w:vMerge w:val="continue"/>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sz w:val="21"/>
                <w:szCs w:val="21"/>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299" w:type="pc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sz w:val="21"/>
                <w:szCs w:val="21"/>
                <w:highlight w:val="none"/>
                <w:u w:val="none"/>
                <w:lang w:val="en-US" w:eastAsia="zh-CN"/>
              </w:rPr>
              <w:t>3</w:t>
            </w:r>
          </w:p>
        </w:tc>
        <w:tc>
          <w:tcPr>
            <w:tcW w:w="1418" w:type="pc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i w:val="0"/>
                <w:iCs w:val="0"/>
                <w:color w:val="auto"/>
                <w:kern w:val="0"/>
                <w:sz w:val="21"/>
                <w:szCs w:val="21"/>
                <w:highlight w:val="none"/>
                <w:u w:val="none"/>
                <w:lang w:val="en-US" w:eastAsia="zh-CN" w:bidi="ar"/>
              </w:rPr>
              <w:t>车站与隧道交接处结构</w:t>
            </w:r>
          </w:p>
        </w:tc>
        <w:tc>
          <w:tcPr>
            <w:tcW w:w="473" w:type="pc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136</w:t>
            </w:r>
          </w:p>
        </w:tc>
        <w:tc>
          <w:tcPr>
            <w:tcW w:w="715" w:type="pc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1次/半年</w:t>
            </w:r>
          </w:p>
        </w:tc>
        <w:tc>
          <w:tcPr>
            <w:tcW w:w="428" w:type="pc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6</w:t>
            </w:r>
          </w:p>
        </w:tc>
        <w:tc>
          <w:tcPr>
            <w:tcW w:w="716" w:type="pc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sz w:val="21"/>
                <w:szCs w:val="21"/>
                <w:highlight w:val="none"/>
                <w:u w:val="none"/>
                <w:lang w:val="en-US"/>
              </w:rPr>
            </w:pPr>
            <w:r>
              <w:rPr>
                <w:rFonts w:hint="eastAsia" w:ascii="宋体" w:hAnsi="宋体" w:eastAsia="宋体" w:cs="宋体"/>
                <w:i w:val="0"/>
                <w:iCs w:val="0"/>
                <w:color w:val="auto"/>
                <w:kern w:val="0"/>
                <w:sz w:val="21"/>
                <w:szCs w:val="21"/>
                <w:highlight w:val="none"/>
                <w:u w:val="none"/>
                <w:lang w:val="en-US" w:eastAsia="zh-CN" w:bidi="ar"/>
              </w:rPr>
              <w:t>816</w:t>
            </w:r>
          </w:p>
        </w:tc>
        <w:tc>
          <w:tcPr>
            <w:tcW w:w="332" w:type="pc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点</w:t>
            </w:r>
          </w:p>
        </w:tc>
        <w:tc>
          <w:tcPr>
            <w:tcW w:w="614" w:type="pct"/>
            <w:vMerge w:val="continue"/>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sz w:val="21"/>
                <w:szCs w:val="21"/>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299" w:type="pc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sz w:val="21"/>
                <w:szCs w:val="21"/>
                <w:highlight w:val="none"/>
                <w:u w:val="none"/>
                <w:lang w:val="en-US" w:eastAsia="zh-CN"/>
              </w:rPr>
              <w:t>4</w:t>
            </w:r>
          </w:p>
        </w:tc>
        <w:tc>
          <w:tcPr>
            <w:tcW w:w="1418" w:type="pc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联络通道</w:t>
            </w:r>
          </w:p>
        </w:tc>
        <w:tc>
          <w:tcPr>
            <w:tcW w:w="473" w:type="pc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105</w:t>
            </w:r>
          </w:p>
        </w:tc>
        <w:tc>
          <w:tcPr>
            <w:tcW w:w="715" w:type="pc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1次/半年</w:t>
            </w:r>
          </w:p>
        </w:tc>
        <w:tc>
          <w:tcPr>
            <w:tcW w:w="428" w:type="pc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6</w:t>
            </w:r>
          </w:p>
        </w:tc>
        <w:tc>
          <w:tcPr>
            <w:tcW w:w="716" w:type="pc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sz w:val="21"/>
                <w:szCs w:val="21"/>
                <w:highlight w:val="none"/>
                <w:u w:val="none"/>
                <w:lang w:val="en-US"/>
              </w:rPr>
            </w:pPr>
            <w:r>
              <w:rPr>
                <w:rFonts w:hint="eastAsia" w:ascii="宋体" w:hAnsi="宋体" w:eastAsia="宋体" w:cs="宋体"/>
                <w:i w:val="0"/>
                <w:iCs w:val="0"/>
                <w:color w:val="auto"/>
                <w:kern w:val="0"/>
                <w:sz w:val="21"/>
                <w:szCs w:val="21"/>
                <w:highlight w:val="none"/>
                <w:u w:val="none"/>
                <w:lang w:val="en-US" w:eastAsia="zh-CN" w:bidi="ar"/>
              </w:rPr>
              <w:t>630</w:t>
            </w:r>
          </w:p>
        </w:tc>
        <w:tc>
          <w:tcPr>
            <w:tcW w:w="332" w:type="pc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点</w:t>
            </w:r>
          </w:p>
        </w:tc>
        <w:tc>
          <w:tcPr>
            <w:tcW w:w="614" w:type="pct"/>
            <w:vMerge w:val="continue"/>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sz w:val="21"/>
                <w:szCs w:val="21"/>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299" w:type="pc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sz w:val="21"/>
                <w:szCs w:val="21"/>
                <w:highlight w:val="none"/>
                <w:u w:val="none"/>
                <w:lang w:val="en-US" w:eastAsia="zh-CN"/>
              </w:rPr>
              <w:t>二</w:t>
            </w:r>
          </w:p>
        </w:tc>
        <w:tc>
          <w:tcPr>
            <w:tcW w:w="1418" w:type="pc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b/>
                <w:bCs/>
                <w:i w:val="0"/>
                <w:iCs w:val="0"/>
                <w:color w:val="auto"/>
                <w:sz w:val="21"/>
                <w:szCs w:val="21"/>
                <w:highlight w:val="none"/>
                <w:u w:val="none"/>
                <w:lang w:val="en-US"/>
              </w:rPr>
            </w:pPr>
            <w:r>
              <w:rPr>
                <w:rFonts w:hint="eastAsia" w:ascii="宋体" w:hAnsi="宋体" w:eastAsia="宋体" w:cs="宋体"/>
                <w:b/>
                <w:bCs/>
                <w:i w:val="0"/>
                <w:iCs w:val="0"/>
                <w:color w:val="auto"/>
                <w:kern w:val="0"/>
                <w:sz w:val="21"/>
                <w:szCs w:val="21"/>
                <w:highlight w:val="none"/>
                <w:u w:val="none"/>
                <w:lang w:val="en-US" w:eastAsia="zh-CN" w:bidi="ar"/>
              </w:rPr>
              <w:t>净空收敛</w:t>
            </w:r>
          </w:p>
        </w:tc>
        <w:tc>
          <w:tcPr>
            <w:tcW w:w="473" w:type="pct"/>
            <w:shd w:val="clear" w:color="auto" w:fill="FFFFFF"/>
            <w:noWrap w:val="0"/>
            <w:vAlign w:val="center"/>
          </w:tcPr>
          <w:p>
            <w:pPr>
              <w:keepNext w:val="0"/>
              <w:keepLines w:val="0"/>
              <w:pageBreakBefore w:val="0"/>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auto"/>
                <w:sz w:val="21"/>
                <w:szCs w:val="21"/>
                <w:highlight w:val="none"/>
                <w:u w:val="none"/>
                <w:lang w:val="en-US" w:eastAsia="zh-CN" w:bidi="ar-SA"/>
              </w:rPr>
            </w:pPr>
          </w:p>
        </w:tc>
        <w:tc>
          <w:tcPr>
            <w:tcW w:w="715" w:type="pct"/>
            <w:shd w:val="clear" w:color="auto" w:fill="FFFFFF"/>
            <w:noWrap w:val="0"/>
            <w:vAlign w:val="center"/>
          </w:tcPr>
          <w:p>
            <w:pPr>
              <w:keepNext w:val="0"/>
              <w:keepLines w:val="0"/>
              <w:pageBreakBefore w:val="0"/>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auto"/>
                <w:sz w:val="21"/>
                <w:szCs w:val="21"/>
                <w:highlight w:val="none"/>
                <w:u w:val="none"/>
              </w:rPr>
            </w:pPr>
          </w:p>
        </w:tc>
        <w:tc>
          <w:tcPr>
            <w:tcW w:w="428" w:type="pct"/>
            <w:shd w:val="clear" w:color="auto" w:fill="FFFFFF"/>
            <w:noWrap w:val="0"/>
            <w:vAlign w:val="center"/>
          </w:tcPr>
          <w:p>
            <w:pPr>
              <w:keepNext w:val="0"/>
              <w:keepLines w:val="0"/>
              <w:pageBreakBefore w:val="0"/>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auto"/>
                <w:sz w:val="21"/>
                <w:szCs w:val="21"/>
                <w:highlight w:val="none"/>
                <w:u w:val="none"/>
                <w:lang w:val="en-US" w:eastAsia="zh-CN" w:bidi="ar-SA"/>
              </w:rPr>
            </w:pPr>
          </w:p>
        </w:tc>
        <w:tc>
          <w:tcPr>
            <w:tcW w:w="716" w:type="pct"/>
            <w:shd w:val="clear" w:color="auto" w:fill="FFFFFF"/>
            <w:noWrap w:val="0"/>
            <w:vAlign w:val="center"/>
          </w:tcPr>
          <w:p>
            <w:pPr>
              <w:keepNext w:val="0"/>
              <w:keepLines w:val="0"/>
              <w:pageBreakBefore w:val="0"/>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auto"/>
                <w:sz w:val="21"/>
                <w:szCs w:val="21"/>
                <w:highlight w:val="none"/>
                <w:u w:val="none"/>
              </w:rPr>
            </w:pPr>
          </w:p>
        </w:tc>
        <w:tc>
          <w:tcPr>
            <w:tcW w:w="332" w:type="pc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614" w:type="pct"/>
            <w:shd w:val="clear" w:color="auto" w:fill="FFFFFF"/>
            <w:noWrap w:val="0"/>
            <w:vAlign w:val="center"/>
          </w:tcPr>
          <w:p>
            <w:pPr>
              <w:keepNext w:val="0"/>
              <w:keepLines w:val="0"/>
              <w:pageBreakBefore w:val="0"/>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auto"/>
                <w:sz w:val="21"/>
                <w:szCs w:val="21"/>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299" w:type="pc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sz w:val="21"/>
                <w:szCs w:val="21"/>
                <w:highlight w:val="none"/>
                <w:u w:val="none"/>
                <w:lang w:val="en-US" w:eastAsia="zh-CN"/>
              </w:rPr>
              <w:t>1</w:t>
            </w:r>
          </w:p>
        </w:tc>
        <w:tc>
          <w:tcPr>
            <w:tcW w:w="1418" w:type="pc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盾构隧道断面</w:t>
            </w:r>
          </w:p>
        </w:tc>
        <w:tc>
          <w:tcPr>
            <w:tcW w:w="473" w:type="pc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1360</w:t>
            </w:r>
          </w:p>
        </w:tc>
        <w:tc>
          <w:tcPr>
            <w:tcW w:w="715" w:type="pc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1次/半年</w:t>
            </w:r>
          </w:p>
        </w:tc>
        <w:tc>
          <w:tcPr>
            <w:tcW w:w="428" w:type="pc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6</w:t>
            </w:r>
          </w:p>
        </w:tc>
        <w:tc>
          <w:tcPr>
            <w:tcW w:w="716" w:type="pc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sz w:val="21"/>
                <w:szCs w:val="21"/>
                <w:highlight w:val="none"/>
                <w:u w:val="none"/>
                <w:lang w:val="en-US"/>
              </w:rPr>
            </w:pPr>
            <w:r>
              <w:rPr>
                <w:rFonts w:hint="eastAsia" w:ascii="宋体" w:hAnsi="宋体" w:eastAsia="宋体" w:cs="宋体"/>
                <w:i w:val="0"/>
                <w:iCs w:val="0"/>
                <w:color w:val="auto"/>
                <w:kern w:val="0"/>
                <w:sz w:val="21"/>
                <w:szCs w:val="21"/>
                <w:highlight w:val="none"/>
                <w:u w:val="none"/>
                <w:lang w:val="en-US" w:eastAsia="zh-CN" w:bidi="ar"/>
              </w:rPr>
              <w:t>8160</w:t>
            </w:r>
          </w:p>
        </w:tc>
        <w:tc>
          <w:tcPr>
            <w:tcW w:w="332" w:type="pc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点</w:t>
            </w:r>
          </w:p>
        </w:tc>
        <w:tc>
          <w:tcPr>
            <w:tcW w:w="614" w:type="pct"/>
            <w:vMerge w:val="restar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总价包干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299" w:type="pc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sz w:val="21"/>
                <w:szCs w:val="21"/>
                <w:highlight w:val="none"/>
                <w:u w:val="none"/>
                <w:lang w:val="en-US" w:eastAsia="zh-CN"/>
              </w:rPr>
              <w:t>2</w:t>
            </w:r>
          </w:p>
        </w:tc>
        <w:tc>
          <w:tcPr>
            <w:tcW w:w="1418" w:type="pc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地下车站轨顶风道</w:t>
            </w:r>
          </w:p>
        </w:tc>
        <w:tc>
          <w:tcPr>
            <w:tcW w:w="473" w:type="pc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240</w:t>
            </w:r>
          </w:p>
        </w:tc>
        <w:tc>
          <w:tcPr>
            <w:tcW w:w="715" w:type="pc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1次/半年</w:t>
            </w:r>
          </w:p>
        </w:tc>
        <w:tc>
          <w:tcPr>
            <w:tcW w:w="428" w:type="pc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6</w:t>
            </w:r>
          </w:p>
        </w:tc>
        <w:tc>
          <w:tcPr>
            <w:tcW w:w="716" w:type="pc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sz w:val="21"/>
                <w:szCs w:val="21"/>
                <w:highlight w:val="none"/>
                <w:u w:val="none"/>
                <w:lang w:val="en-US"/>
              </w:rPr>
            </w:pPr>
            <w:r>
              <w:rPr>
                <w:rFonts w:hint="eastAsia" w:ascii="宋体" w:hAnsi="宋体" w:eastAsia="宋体" w:cs="宋体"/>
                <w:i w:val="0"/>
                <w:iCs w:val="0"/>
                <w:color w:val="auto"/>
                <w:kern w:val="0"/>
                <w:sz w:val="21"/>
                <w:szCs w:val="21"/>
                <w:highlight w:val="none"/>
                <w:u w:val="none"/>
                <w:lang w:val="en-US" w:eastAsia="zh-CN" w:bidi="ar"/>
              </w:rPr>
              <w:t>1440</w:t>
            </w:r>
          </w:p>
        </w:tc>
        <w:tc>
          <w:tcPr>
            <w:tcW w:w="332" w:type="pc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点</w:t>
            </w:r>
          </w:p>
        </w:tc>
        <w:tc>
          <w:tcPr>
            <w:tcW w:w="614" w:type="pct"/>
            <w:vMerge w:val="continue"/>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sz w:val="21"/>
                <w:szCs w:val="21"/>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299" w:type="pc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sz w:val="21"/>
                <w:szCs w:val="21"/>
                <w:highlight w:val="none"/>
                <w:u w:val="none"/>
                <w:lang w:val="en-US" w:eastAsia="zh-CN"/>
              </w:rPr>
              <w:t>三</w:t>
            </w:r>
          </w:p>
        </w:tc>
        <w:tc>
          <w:tcPr>
            <w:tcW w:w="1418" w:type="pc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建（构）筑物沉降监测</w:t>
            </w:r>
          </w:p>
        </w:tc>
        <w:tc>
          <w:tcPr>
            <w:tcW w:w="473" w:type="pct"/>
            <w:shd w:val="clear" w:color="auto" w:fill="FFFFFF"/>
            <w:noWrap w:val="0"/>
            <w:vAlign w:val="center"/>
          </w:tcPr>
          <w:p>
            <w:pPr>
              <w:keepNext w:val="0"/>
              <w:keepLines w:val="0"/>
              <w:pageBreakBefore w:val="0"/>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auto"/>
                <w:sz w:val="21"/>
                <w:szCs w:val="21"/>
                <w:highlight w:val="none"/>
                <w:u w:val="none"/>
                <w:lang w:val="en-US" w:eastAsia="zh-CN" w:bidi="ar-SA"/>
              </w:rPr>
            </w:pPr>
          </w:p>
        </w:tc>
        <w:tc>
          <w:tcPr>
            <w:tcW w:w="715" w:type="pct"/>
            <w:shd w:val="clear" w:color="auto" w:fill="FFFFFF"/>
            <w:noWrap w:val="0"/>
            <w:vAlign w:val="center"/>
          </w:tcPr>
          <w:p>
            <w:pPr>
              <w:keepNext w:val="0"/>
              <w:keepLines w:val="0"/>
              <w:pageBreakBefore w:val="0"/>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auto"/>
                <w:sz w:val="21"/>
                <w:szCs w:val="21"/>
                <w:highlight w:val="none"/>
                <w:u w:val="none"/>
              </w:rPr>
            </w:pPr>
          </w:p>
        </w:tc>
        <w:tc>
          <w:tcPr>
            <w:tcW w:w="428" w:type="pct"/>
            <w:shd w:val="clear" w:color="auto" w:fill="FFFFFF"/>
            <w:noWrap w:val="0"/>
            <w:vAlign w:val="center"/>
          </w:tcPr>
          <w:p>
            <w:pPr>
              <w:keepNext w:val="0"/>
              <w:keepLines w:val="0"/>
              <w:pageBreakBefore w:val="0"/>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auto"/>
                <w:sz w:val="21"/>
                <w:szCs w:val="21"/>
                <w:highlight w:val="none"/>
                <w:u w:val="none"/>
                <w:lang w:val="en-US" w:eastAsia="zh-CN" w:bidi="ar-SA"/>
              </w:rPr>
            </w:pPr>
          </w:p>
        </w:tc>
        <w:tc>
          <w:tcPr>
            <w:tcW w:w="716" w:type="pct"/>
            <w:shd w:val="clear" w:color="auto" w:fill="FFFFFF"/>
            <w:noWrap w:val="0"/>
            <w:vAlign w:val="center"/>
          </w:tcPr>
          <w:p>
            <w:pPr>
              <w:keepNext w:val="0"/>
              <w:keepLines w:val="0"/>
              <w:pageBreakBefore w:val="0"/>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auto"/>
                <w:sz w:val="21"/>
                <w:szCs w:val="21"/>
                <w:highlight w:val="none"/>
                <w:u w:val="none"/>
              </w:rPr>
            </w:pPr>
          </w:p>
        </w:tc>
        <w:tc>
          <w:tcPr>
            <w:tcW w:w="332" w:type="pc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614" w:type="pct"/>
            <w:shd w:val="clear" w:color="auto" w:fill="FFFFFF"/>
            <w:noWrap w:val="0"/>
            <w:vAlign w:val="center"/>
          </w:tcPr>
          <w:p>
            <w:pPr>
              <w:keepNext w:val="0"/>
              <w:keepLines w:val="0"/>
              <w:pageBreakBefore w:val="0"/>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auto"/>
                <w:sz w:val="21"/>
                <w:szCs w:val="21"/>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299" w:type="pc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sz w:val="21"/>
                <w:szCs w:val="21"/>
                <w:highlight w:val="none"/>
                <w:u w:val="none"/>
                <w:lang w:val="en-US" w:eastAsia="zh-CN"/>
              </w:rPr>
              <w:t>1</w:t>
            </w:r>
          </w:p>
        </w:tc>
        <w:tc>
          <w:tcPr>
            <w:tcW w:w="1418" w:type="pc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sz w:val="21"/>
                <w:szCs w:val="21"/>
                <w:highlight w:val="none"/>
                <w:u w:val="none"/>
                <w:lang w:val="en-US"/>
              </w:rPr>
            </w:pPr>
            <w:r>
              <w:rPr>
                <w:rFonts w:hint="eastAsia" w:ascii="宋体" w:hAnsi="宋体" w:eastAsia="宋体" w:cs="宋体"/>
                <w:i w:val="0"/>
                <w:iCs w:val="0"/>
                <w:color w:val="auto"/>
                <w:kern w:val="0"/>
                <w:sz w:val="21"/>
                <w:szCs w:val="21"/>
                <w:highlight w:val="none"/>
                <w:u w:val="none"/>
                <w:lang w:val="en-US" w:eastAsia="zh-CN" w:bidi="ar"/>
              </w:rPr>
              <w:t>幸福车辆段各单体建筑</w:t>
            </w:r>
          </w:p>
        </w:tc>
        <w:tc>
          <w:tcPr>
            <w:tcW w:w="473" w:type="pc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193</w:t>
            </w:r>
          </w:p>
        </w:tc>
        <w:tc>
          <w:tcPr>
            <w:tcW w:w="715" w:type="pc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1次/年</w:t>
            </w:r>
          </w:p>
        </w:tc>
        <w:tc>
          <w:tcPr>
            <w:tcW w:w="428" w:type="pc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3</w:t>
            </w:r>
          </w:p>
        </w:tc>
        <w:tc>
          <w:tcPr>
            <w:tcW w:w="716" w:type="pc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sz w:val="21"/>
                <w:szCs w:val="21"/>
                <w:highlight w:val="none"/>
                <w:u w:val="none"/>
                <w:lang w:val="en-US"/>
              </w:rPr>
            </w:pPr>
            <w:r>
              <w:rPr>
                <w:rFonts w:hint="eastAsia" w:ascii="宋体" w:hAnsi="宋体" w:eastAsia="宋体" w:cs="宋体"/>
                <w:i w:val="0"/>
                <w:iCs w:val="0"/>
                <w:color w:val="auto"/>
                <w:kern w:val="0"/>
                <w:sz w:val="21"/>
                <w:szCs w:val="21"/>
                <w:highlight w:val="none"/>
                <w:u w:val="none"/>
                <w:lang w:val="en-US" w:eastAsia="zh-CN" w:bidi="ar"/>
              </w:rPr>
              <w:t>579</w:t>
            </w:r>
          </w:p>
        </w:tc>
        <w:tc>
          <w:tcPr>
            <w:tcW w:w="332" w:type="pc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点</w:t>
            </w:r>
          </w:p>
        </w:tc>
        <w:tc>
          <w:tcPr>
            <w:tcW w:w="614" w:type="pct"/>
            <w:vMerge w:val="restar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总价包干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299" w:type="pc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b/>
                <w:bCs/>
                <w:i w:val="0"/>
                <w:iCs w:val="0"/>
                <w:color w:val="auto"/>
                <w:sz w:val="21"/>
                <w:szCs w:val="21"/>
                <w:highlight w:val="none"/>
                <w:u w:val="none"/>
                <w:lang w:val="en-US" w:eastAsia="zh-CN"/>
              </w:rPr>
            </w:pPr>
            <w:r>
              <w:rPr>
                <w:rFonts w:hint="eastAsia" w:ascii="宋体" w:hAnsi="宋体" w:eastAsia="宋体" w:cs="宋体"/>
                <w:b/>
                <w:bCs/>
                <w:i w:val="0"/>
                <w:iCs w:val="0"/>
                <w:color w:val="auto"/>
                <w:sz w:val="21"/>
                <w:szCs w:val="21"/>
                <w:highlight w:val="none"/>
                <w:u w:val="none"/>
                <w:lang w:val="en-US" w:eastAsia="zh-CN"/>
              </w:rPr>
              <w:t>2</w:t>
            </w:r>
          </w:p>
        </w:tc>
        <w:tc>
          <w:tcPr>
            <w:tcW w:w="1418" w:type="pc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南通电视塔</w:t>
            </w:r>
          </w:p>
        </w:tc>
        <w:tc>
          <w:tcPr>
            <w:tcW w:w="473" w:type="pc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16</w:t>
            </w:r>
          </w:p>
        </w:tc>
        <w:tc>
          <w:tcPr>
            <w:tcW w:w="715" w:type="pc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1次/半年</w:t>
            </w:r>
          </w:p>
        </w:tc>
        <w:tc>
          <w:tcPr>
            <w:tcW w:w="428" w:type="pc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6</w:t>
            </w:r>
          </w:p>
        </w:tc>
        <w:tc>
          <w:tcPr>
            <w:tcW w:w="716" w:type="pc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96</w:t>
            </w:r>
          </w:p>
        </w:tc>
        <w:tc>
          <w:tcPr>
            <w:tcW w:w="332" w:type="pc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点</w:t>
            </w:r>
          </w:p>
        </w:tc>
        <w:tc>
          <w:tcPr>
            <w:tcW w:w="614" w:type="pct"/>
            <w:vMerge w:val="continue"/>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299" w:type="pc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sz w:val="21"/>
                <w:szCs w:val="21"/>
                <w:highlight w:val="none"/>
                <w:u w:val="none"/>
                <w:lang w:val="en-US" w:eastAsia="zh-CN"/>
              </w:rPr>
              <w:t>四</w:t>
            </w:r>
          </w:p>
        </w:tc>
        <w:tc>
          <w:tcPr>
            <w:tcW w:w="1418" w:type="pc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地面水准控制网复测</w:t>
            </w:r>
          </w:p>
        </w:tc>
        <w:tc>
          <w:tcPr>
            <w:tcW w:w="473" w:type="pct"/>
            <w:shd w:val="clear" w:color="auto" w:fill="FFFFFF"/>
            <w:noWrap w:val="0"/>
            <w:vAlign w:val="center"/>
          </w:tcPr>
          <w:p>
            <w:pPr>
              <w:keepNext w:val="0"/>
              <w:keepLines w:val="0"/>
              <w:pageBreakBefore w:val="0"/>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auto"/>
                <w:sz w:val="21"/>
                <w:szCs w:val="21"/>
                <w:highlight w:val="none"/>
                <w:u w:val="none"/>
                <w:lang w:val="en-US" w:eastAsia="zh-CN" w:bidi="ar-SA"/>
              </w:rPr>
            </w:pPr>
          </w:p>
        </w:tc>
        <w:tc>
          <w:tcPr>
            <w:tcW w:w="715" w:type="pct"/>
            <w:shd w:val="clear" w:color="auto" w:fill="FFFFFF"/>
            <w:noWrap w:val="0"/>
            <w:vAlign w:val="center"/>
          </w:tcPr>
          <w:p>
            <w:pPr>
              <w:keepNext w:val="0"/>
              <w:keepLines w:val="0"/>
              <w:pageBreakBefore w:val="0"/>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auto"/>
                <w:sz w:val="21"/>
                <w:szCs w:val="21"/>
                <w:highlight w:val="none"/>
                <w:u w:val="none"/>
              </w:rPr>
            </w:pPr>
          </w:p>
        </w:tc>
        <w:tc>
          <w:tcPr>
            <w:tcW w:w="428" w:type="pct"/>
            <w:shd w:val="clear" w:color="auto" w:fill="FFFFFF"/>
            <w:noWrap w:val="0"/>
            <w:vAlign w:val="center"/>
          </w:tcPr>
          <w:p>
            <w:pPr>
              <w:keepNext w:val="0"/>
              <w:keepLines w:val="0"/>
              <w:pageBreakBefore w:val="0"/>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auto"/>
                <w:sz w:val="21"/>
                <w:szCs w:val="21"/>
                <w:highlight w:val="none"/>
                <w:u w:val="none"/>
                <w:lang w:val="en-US" w:eastAsia="zh-CN" w:bidi="ar-SA"/>
              </w:rPr>
            </w:pPr>
          </w:p>
        </w:tc>
        <w:tc>
          <w:tcPr>
            <w:tcW w:w="716" w:type="pct"/>
            <w:shd w:val="clear" w:color="auto" w:fill="FFFFFF"/>
            <w:noWrap w:val="0"/>
            <w:vAlign w:val="center"/>
          </w:tcPr>
          <w:p>
            <w:pPr>
              <w:keepNext w:val="0"/>
              <w:keepLines w:val="0"/>
              <w:pageBreakBefore w:val="0"/>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auto"/>
                <w:sz w:val="21"/>
                <w:szCs w:val="21"/>
                <w:highlight w:val="none"/>
                <w:u w:val="none"/>
              </w:rPr>
            </w:pPr>
          </w:p>
        </w:tc>
        <w:tc>
          <w:tcPr>
            <w:tcW w:w="332" w:type="pc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614" w:type="pct"/>
            <w:shd w:val="clear" w:color="auto" w:fill="FFFFFF"/>
            <w:noWrap w:val="0"/>
            <w:vAlign w:val="center"/>
          </w:tcPr>
          <w:p>
            <w:pPr>
              <w:keepNext w:val="0"/>
              <w:keepLines w:val="0"/>
              <w:pageBreakBefore w:val="0"/>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auto"/>
                <w:sz w:val="21"/>
                <w:szCs w:val="21"/>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299" w:type="pc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sz w:val="21"/>
                <w:szCs w:val="21"/>
                <w:highlight w:val="none"/>
                <w:u w:val="none"/>
                <w:lang w:val="en-US" w:eastAsia="zh-CN"/>
              </w:rPr>
              <w:t>1</w:t>
            </w:r>
          </w:p>
        </w:tc>
        <w:tc>
          <w:tcPr>
            <w:tcW w:w="1418" w:type="pc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控制网复测</w:t>
            </w:r>
          </w:p>
        </w:tc>
        <w:tc>
          <w:tcPr>
            <w:tcW w:w="473" w:type="pc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41</w:t>
            </w:r>
          </w:p>
        </w:tc>
        <w:tc>
          <w:tcPr>
            <w:tcW w:w="715" w:type="pc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1次/年</w:t>
            </w:r>
          </w:p>
        </w:tc>
        <w:tc>
          <w:tcPr>
            <w:tcW w:w="428" w:type="pc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3</w:t>
            </w:r>
          </w:p>
        </w:tc>
        <w:tc>
          <w:tcPr>
            <w:tcW w:w="716" w:type="pc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sz w:val="21"/>
                <w:szCs w:val="21"/>
                <w:highlight w:val="none"/>
                <w:u w:val="none"/>
                <w:lang w:val="en-US"/>
              </w:rPr>
            </w:pPr>
            <w:r>
              <w:rPr>
                <w:rFonts w:hint="eastAsia" w:ascii="宋体" w:hAnsi="宋体" w:eastAsia="宋体" w:cs="宋体"/>
                <w:i w:val="0"/>
                <w:iCs w:val="0"/>
                <w:color w:val="auto"/>
                <w:kern w:val="0"/>
                <w:sz w:val="21"/>
                <w:szCs w:val="21"/>
                <w:highlight w:val="none"/>
                <w:u w:val="none"/>
                <w:lang w:val="en-US" w:eastAsia="zh-CN" w:bidi="ar"/>
              </w:rPr>
              <w:t>123</w:t>
            </w:r>
          </w:p>
        </w:tc>
        <w:tc>
          <w:tcPr>
            <w:tcW w:w="332" w:type="pc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公里</w:t>
            </w:r>
          </w:p>
        </w:tc>
        <w:tc>
          <w:tcPr>
            <w:tcW w:w="614" w:type="pc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总价包干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299" w:type="pc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sz w:val="21"/>
                <w:szCs w:val="21"/>
                <w:highlight w:val="none"/>
                <w:u w:val="none"/>
                <w:lang w:val="en-US" w:eastAsia="zh-CN"/>
              </w:rPr>
              <w:t>五</w:t>
            </w:r>
          </w:p>
        </w:tc>
        <w:tc>
          <w:tcPr>
            <w:tcW w:w="1418" w:type="pc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重点区段监测</w:t>
            </w:r>
          </w:p>
        </w:tc>
        <w:tc>
          <w:tcPr>
            <w:tcW w:w="473" w:type="pct"/>
            <w:shd w:val="clear" w:color="auto" w:fill="FFFFFF"/>
            <w:noWrap w:val="0"/>
            <w:vAlign w:val="center"/>
          </w:tcPr>
          <w:p>
            <w:pPr>
              <w:keepNext w:val="0"/>
              <w:keepLines w:val="0"/>
              <w:pageBreakBefore w:val="0"/>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auto"/>
                <w:sz w:val="21"/>
                <w:szCs w:val="21"/>
                <w:highlight w:val="none"/>
                <w:u w:val="none"/>
                <w:lang w:val="en-US" w:eastAsia="zh-CN" w:bidi="ar-SA"/>
              </w:rPr>
            </w:pPr>
          </w:p>
        </w:tc>
        <w:tc>
          <w:tcPr>
            <w:tcW w:w="715" w:type="pct"/>
            <w:shd w:val="clear" w:color="auto" w:fill="FFFFFF"/>
            <w:noWrap w:val="0"/>
            <w:vAlign w:val="center"/>
          </w:tcPr>
          <w:p>
            <w:pPr>
              <w:keepNext w:val="0"/>
              <w:keepLines w:val="0"/>
              <w:pageBreakBefore w:val="0"/>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auto"/>
                <w:sz w:val="21"/>
                <w:szCs w:val="21"/>
                <w:highlight w:val="none"/>
                <w:u w:val="none"/>
              </w:rPr>
            </w:pPr>
          </w:p>
        </w:tc>
        <w:tc>
          <w:tcPr>
            <w:tcW w:w="428" w:type="pct"/>
            <w:shd w:val="clear" w:color="auto" w:fill="FFFFFF"/>
            <w:noWrap w:val="0"/>
            <w:vAlign w:val="center"/>
          </w:tcPr>
          <w:p>
            <w:pPr>
              <w:keepNext w:val="0"/>
              <w:keepLines w:val="0"/>
              <w:pageBreakBefore w:val="0"/>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auto"/>
                <w:sz w:val="21"/>
                <w:szCs w:val="21"/>
                <w:highlight w:val="none"/>
                <w:u w:val="none"/>
                <w:lang w:val="en-US" w:eastAsia="zh-CN" w:bidi="ar-SA"/>
              </w:rPr>
            </w:pPr>
          </w:p>
        </w:tc>
        <w:tc>
          <w:tcPr>
            <w:tcW w:w="716" w:type="pct"/>
            <w:shd w:val="clear" w:color="auto" w:fill="FFFFFF"/>
            <w:noWrap w:val="0"/>
            <w:vAlign w:val="center"/>
          </w:tcPr>
          <w:p>
            <w:pPr>
              <w:keepNext w:val="0"/>
              <w:keepLines w:val="0"/>
              <w:pageBreakBefore w:val="0"/>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auto"/>
                <w:sz w:val="21"/>
                <w:szCs w:val="21"/>
                <w:highlight w:val="none"/>
                <w:u w:val="none"/>
              </w:rPr>
            </w:pPr>
          </w:p>
        </w:tc>
        <w:tc>
          <w:tcPr>
            <w:tcW w:w="332" w:type="pc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614" w:type="pct"/>
            <w:shd w:val="clear" w:color="auto" w:fill="FFFFFF"/>
            <w:noWrap w:val="0"/>
            <w:vAlign w:val="center"/>
          </w:tcPr>
          <w:p>
            <w:pPr>
              <w:keepNext w:val="0"/>
              <w:keepLines w:val="0"/>
              <w:pageBreakBefore w:val="0"/>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auto"/>
                <w:sz w:val="21"/>
                <w:szCs w:val="21"/>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299" w:type="pc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sz w:val="21"/>
                <w:szCs w:val="21"/>
                <w:highlight w:val="none"/>
                <w:u w:val="none"/>
                <w:lang w:val="en-US" w:eastAsia="zh-CN"/>
              </w:rPr>
              <w:t>1</w:t>
            </w:r>
          </w:p>
        </w:tc>
        <w:tc>
          <w:tcPr>
            <w:tcW w:w="1418" w:type="pc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沉降监测</w:t>
            </w:r>
          </w:p>
        </w:tc>
        <w:tc>
          <w:tcPr>
            <w:tcW w:w="473" w:type="pc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262</w:t>
            </w:r>
          </w:p>
        </w:tc>
        <w:tc>
          <w:tcPr>
            <w:tcW w:w="715" w:type="pc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1次/季度</w:t>
            </w:r>
          </w:p>
        </w:tc>
        <w:tc>
          <w:tcPr>
            <w:tcW w:w="428" w:type="pc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12</w:t>
            </w:r>
          </w:p>
        </w:tc>
        <w:tc>
          <w:tcPr>
            <w:tcW w:w="716" w:type="pc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sz w:val="21"/>
                <w:szCs w:val="21"/>
                <w:highlight w:val="none"/>
                <w:u w:val="none"/>
                <w:lang w:val="en-US"/>
              </w:rPr>
            </w:pPr>
            <w:r>
              <w:rPr>
                <w:rFonts w:hint="eastAsia" w:ascii="宋体" w:hAnsi="宋体" w:eastAsia="宋体" w:cs="宋体"/>
                <w:i w:val="0"/>
                <w:iCs w:val="0"/>
                <w:color w:val="auto"/>
                <w:kern w:val="0"/>
                <w:sz w:val="21"/>
                <w:szCs w:val="21"/>
                <w:highlight w:val="none"/>
                <w:u w:val="none"/>
                <w:lang w:val="en-US" w:eastAsia="zh-CN" w:bidi="ar"/>
              </w:rPr>
              <w:t>3144</w:t>
            </w:r>
          </w:p>
        </w:tc>
        <w:tc>
          <w:tcPr>
            <w:tcW w:w="332" w:type="pc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点</w:t>
            </w:r>
          </w:p>
        </w:tc>
        <w:tc>
          <w:tcPr>
            <w:tcW w:w="614" w:type="pct"/>
            <w:vMerge w:val="restar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总价包干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299" w:type="pc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sz w:val="21"/>
                <w:szCs w:val="21"/>
                <w:highlight w:val="none"/>
                <w:u w:val="none"/>
                <w:lang w:val="en-US" w:eastAsia="zh-CN"/>
              </w:rPr>
              <w:t>2</w:t>
            </w:r>
          </w:p>
        </w:tc>
        <w:tc>
          <w:tcPr>
            <w:tcW w:w="1418" w:type="pc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收敛监测</w:t>
            </w:r>
          </w:p>
        </w:tc>
        <w:tc>
          <w:tcPr>
            <w:tcW w:w="473" w:type="pc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262</w:t>
            </w:r>
          </w:p>
        </w:tc>
        <w:tc>
          <w:tcPr>
            <w:tcW w:w="715" w:type="pc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1次/季度</w:t>
            </w:r>
          </w:p>
        </w:tc>
        <w:tc>
          <w:tcPr>
            <w:tcW w:w="428" w:type="pc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12</w:t>
            </w:r>
          </w:p>
        </w:tc>
        <w:tc>
          <w:tcPr>
            <w:tcW w:w="716" w:type="pc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sz w:val="21"/>
                <w:szCs w:val="21"/>
                <w:highlight w:val="none"/>
                <w:u w:val="none"/>
                <w:lang w:val="en-US"/>
              </w:rPr>
            </w:pPr>
            <w:r>
              <w:rPr>
                <w:rFonts w:hint="eastAsia" w:ascii="宋体" w:hAnsi="宋体" w:eastAsia="宋体" w:cs="宋体"/>
                <w:i w:val="0"/>
                <w:iCs w:val="0"/>
                <w:color w:val="auto"/>
                <w:kern w:val="0"/>
                <w:sz w:val="21"/>
                <w:szCs w:val="21"/>
                <w:highlight w:val="none"/>
                <w:u w:val="none"/>
                <w:lang w:val="en-US" w:eastAsia="zh-CN" w:bidi="ar"/>
              </w:rPr>
              <w:t>3144</w:t>
            </w:r>
          </w:p>
        </w:tc>
        <w:tc>
          <w:tcPr>
            <w:tcW w:w="332" w:type="pc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点</w:t>
            </w:r>
          </w:p>
        </w:tc>
        <w:tc>
          <w:tcPr>
            <w:tcW w:w="614" w:type="pct"/>
            <w:vMerge w:val="continue"/>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sz w:val="21"/>
                <w:szCs w:val="21"/>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299" w:type="pc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b/>
                <w:bCs/>
                <w:i w:val="0"/>
                <w:iCs w:val="0"/>
                <w:color w:val="auto"/>
                <w:sz w:val="21"/>
                <w:szCs w:val="21"/>
                <w:highlight w:val="none"/>
                <w:u w:val="none"/>
                <w:lang w:val="en-US" w:eastAsia="zh-CN"/>
              </w:rPr>
            </w:pPr>
            <w:bookmarkStart w:id="168" w:name="_Toc348894805"/>
            <w:r>
              <w:rPr>
                <w:rFonts w:hint="eastAsia" w:ascii="宋体" w:hAnsi="宋体" w:eastAsia="宋体" w:cs="宋体"/>
                <w:b/>
                <w:bCs/>
                <w:i w:val="0"/>
                <w:iCs w:val="0"/>
                <w:color w:val="auto"/>
                <w:sz w:val="21"/>
                <w:szCs w:val="21"/>
                <w:highlight w:val="none"/>
                <w:u w:val="none"/>
                <w:lang w:val="en-US" w:eastAsia="zh-CN"/>
              </w:rPr>
              <w:t>六</w:t>
            </w:r>
          </w:p>
        </w:tc>
        <w:tc>
          <w:tcPr>
            <w:tcW w:w="1418" w:type="pc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保护区运营施工配合</w:t>
            </w:r>
          </w:p>
        </w:tc>
        <w:tc>
          <w:tcPr>
            <w:tcW w:w="473" w:type="pc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715" w:type="pc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428" w:type="pc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716" w:type="pc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332" w:type="pc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614" w:type="pc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299" w:type="pc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b/>
                <w:bCs/>
                <w:i w:val="0"/>
                <w:iCs w:val="0"/>
                <w:color w:val="auto"/>
                <w:sz w:val="21"/>
                <w:szCs w:val="21"/>
                <w:highlight w:val="none"/>
                <w:u w:val="none"/>
                <w:lang w:val="en-US" w:eastAsia="zh-CN"/>
              </w:rPr>
            </w:pPr>
            <w:r>
              <w:rPr>
                <w:rFonts w:hint="eastAsia" w:ascii="宋体" w:hAnsi="宋体" w:eastAsia="宋体" w:cs="宋体"/>
                <w:b/>
                <w:bCs/>
                <w:i w:val="0"/>
                <w:iCs w:val="0"/>
                <w:color w:val="auto"/>
                <w:sz w:val="21"/>
                <w:szCs w:val="21"/>
                <w:highlight w:val="none"/>
                <w:u w:val="none"/>
                <w:lang w:val="en-US" w:eastAsia="zh-CN"/>
              </w:rPr>
              <w:t>1</w:t>
            </w:r>
          </w:p>
        </w:tc>
        <w:tc>
          <w:tcPr>
            <w:tcW w:w="1418" w:type="pc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施工监管</w:t>
            </w:r>
          </w:p>
        </w:tc>
        <w:tc>
          <w:tcPr>
            <w:tcW w:w="473" w:type="pc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108</w:t>
            </w:r>
          </w:p>
        </w:tc>
        <w:tc>
          <w:tcPr>
            <w:tcW w:w="715" w:type="pc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w:t>
            </w:r>
          </w:p>
        </w:tc>
        <w:tc>
          <w:tcPr>
            <w:tcW w:w="428" w:type="pc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3</w:t>
            </w:r>
          </w:p>
        </w:tc>
        <w:tc>
          <w:tcPr>
            <w:tcW w:w="716" w:type="pc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324</w:t>
            </w:r>
          </w:p>
        </w:tc>
        <w:tc>
          <w:tcPr>
            <w:tcW w:w="332" w:type="pc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人次</w:t>
            </w:r>
          </w:p>
        </w:tc>
        <w:tc>
          <w:tcPr>
            <w:tcW w:w="614" w:type="pc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清单计价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299" w:type="pc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b/>
                <w:bCs/>
                <w:i w:val="0"/>
                <w:iCs w:val="0"/>
                <w:color w:val="auto"/>
                <w:sz w:val="21"/>
                <w:szCs w:val="21"/>
                <w:highlight w:val="none"/>
                <w:u w:val="none"/>
                <w:lang w:val="en-US" w:eastAsia="zh-CN"/>
              </w:rPr>
            </w:pPr>
            <w:r>
              <w:rPr>
                <w:rFonts w:hint="eastAsia" w:ascii="宋体" w:hAnsi="宋体" w:eastAsia="宋体" w:cs="宋体"/>
                <w:b/>
                <w:bCs/>
                <w:i w:val="0"/>
                <w:iCs w:val="0"/>
                <w:color w:val="auto"/>
                <w:sz w:val="21"/>
                <w:szCs w:val="21"/>
                <w:highlight w:val="none"/>
                <w:u w:val="none"/>
                <w:lang w:val="en-US" w:eastAsia="zh-CN"/>
              </w:rPr>
              <w:t>七</w:t>
            </w:r>
          </w:p>
        </w:tc>
        <w:tc>
          <w:tcPr>
            <w:tcW w:w="1418" w:type="pc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隧道结构技术状况评价</w:t>
            </w:r>
          </w:p>
        </w:tc>
        <w:tc>
          <w:tcPr>
            <w:tcW w:w="473" w:type="pc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715" w:type="pc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428" w:type="pc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716" w:type="pc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332" w:type="pc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614" w:type="pc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299" w:type="pc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b/>
                <w:bCs/>
                <w:i w:val="0"/>
                <w:iCs w:val="0"/>
                <w:color w:val="auto"/>
                <w:sz w:val="21"/>
                <w:szCs w:val="21"/>
                <w:highlight w:val="none"/>
                <w:u w:val="none"/>
                <w:lang w:val="en-US" w:eastAsia="zh-CN"/>
              </w:rPr>
            </w:pPr>
            <w:r>
              <w:rPr>
                <w:rFonts w:hint="eastAsia" w:ascii="宋体" w:hAnsi="宋体" w:eastAsia="宋体" w:cs="宋体"/>
                <w:b/>
                <w:bCs/>
                <w:i w:val="0"/>
                <w:iCs w:val="0"/>
                <w:color w:val="auto"/>
                <w:sz w:val="21"/>
                <w:szCs w:val="21"/>
                <w:highlight w:val="none"/>
                <w:u w:val="none"/>
                <w:lang w:val="en-US" w:eastAsia="zh-CN"/>
              </w:rPr>
              <w:t>1</w:t>
            </w:r>
          </w:p>
        </w:tc>
        <w:tc>
          <w:tcPr>
            <w:tcW w:w="1418" w:type="pc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明挖结构</w:t>
            </w:r>
          </w:p>
        </w:tc>
        <w:tc>
          <w:tcPr>
            <w:tcW w:w="473" w:type="pc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4</w:t>
            </w:r>
          </w:p>
        </w:tc>
        <w:tc>
          <w:tcPr>
            <w:tcW w:w="715" w:type="pc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1次/年</w:t>
            </w:r>
          </w:p>
        </w:tc>
        <w:tc>
          <w:tcPr>
            <w:tcW w:w="428" w:type="pc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3</w:t>
            </w:r>
          </w:p>
        </w:tc>
        <w:tc>
          <w:tcPr>
            <w:tcW w:w="716" w:type="pc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12</w:t>
            </w:r>
          </w:p>
        </w:tc>
        <w:tc>
          <w:tcPr>
            <w:tcW w:w="332" w:type="pc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公里</w:t>
            </w:r>
          </w:p>
        </w:tc>
        <w:tc>
          <w:tcPr>
            <w:tcW w:w="614" w:type="pct"/>
            <w:vMerge w:val="restar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总价包干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299" w:type="pc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b/>
                <w:bCs/>
                <w:i w:val="0"/>
                <w:iCs w:val="0"/>
                <w:color w:val="auto"/>
                <w:sz w:val="21"/>
                <w:szCs w:val="21"/>
                <w:highlight w:val="none"/>
                <w:u w:val="none"/>
                <w:lang w:val="en-US" w:eastAsia="zh-CN"/>
              </w:rPr>
            </w:pPr>
            <w:r>
              <w:rPr>
                <w:rFonts w:hint="eastAsia" w:ascii="宋体" w:hAnsi="宋体" w:eastAsia="宋体" w:cs="宋体"/>
                <w:b/>
                <w:bCs/>
                <w:i w:val="0"/>
                <w:iCs w:val="0"/>
                <w:color w:val="auto"/>
                <w:sz w:val="21"/>
                <w:szCs w:val="21"/>
                <w:highlight w:val="none"/>
                <w:u w:val="none"/>
                <w:lang w:val="en-US" w:eastAsia="zh-CN"/>
              </w:rPr>
              <w:t>2</w:t>
            </w:r>
          </w:p>
        </w:tc>
        <w:tc>
          <w:tcPr>
            <w:tcW w:w="1418" w:type="pc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盾构隧道</w:t>
            </w:r>
          </w:p>
        </w:tc>
        <w:tc>
          <w:tcPr>
            <w:tcW w:w="473" w:type="pc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26900</w:t>
            </w:r>
          </w:p>
        </w:tc>
        <w:tc>
          <w:tcPr>
            <w:tcW w:w="715" w:type="pc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1次/年</w:t>
            </w:r>
          </w:p>
        </w:tc>
        <w:tc>
          <w:tcPr>
            <w:tcW w:w="428" w:type="pc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3</w:t>
            </w:r>
          </w:p>
        </w:tc>
        <w:tc>
          <w:tcPr>
            <w:tcW w:w="716" w:type="pc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80700</w:t>
            </w:r>
          </w:p>
        </w:tc>
        <w:tc>
          <w:tcPr>
            <w:tcW w:w="332" w:type="pct"/>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环</w:t>
            </w:r>
          </w:p>
        </w:tc>
        <w:tc>
          <w:tcPr>
            <w:tcW w:w="614" w:type="pct"/>
            <w:vMerge w:val="continue"/>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auto"/>
                <w:kern w:val="0"/>
                <w:sz w:val="18"/>
                <w:szCs w:val="18"/>
                <w:highlight w:val="none"/>
                <w:u w:val="none"/>
                <w:lang w:val="en-US" w:eastAsia="zh-CN" w:bidi="ar"/>
              </w:rPr>
            </w:pPr>
          </w:p>
        </w:tc>
      </w:tr>
    </w:tbl>
    <w:p>
      <w:pPr>
        <w:tabs>
          <w:tab w:val="left" w:pos="6120"/>
        </w:tabs>
        <w:spacing w:line="360" w:lineRule="auto"/>
        <w:ind w:firstLine="420" w:firstLineChars="200"/>
        <w:jc w:val="left"/>
        <w:rPr>
          <w:rFonts w:hint="eastAsia" w:ascii="宋体" w:hAnsi="宋体" w:eastAsia="宋体" w:cs="宋体"/>
          <w:color w:val="auto"/>
          <w:sz w:val="21"/>
          <w:szCs w:val="21"/>
          <w:highlight w:val="none"/>
          <w:lang w:val="en-US" w:eastAsia="zh-CN"/>
        </w:rPr>
      </w:pPr>
    </w:p>
    <w:p>
      <w:pPr>
        <w:tabs>
          <w:tab w:val="left" w:pos="6120"/>
        </w:tabs>
        <w:spacing w:line="360" w:lineRule="auto"/>
        <w:ind w:firstLine="480" w:firstLineChars="20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4.2.3 结构监测成果报告：每期监测工作完成后应于10个工作日内向招标人提交监测成果报告不低于5份，监测成果报告内包含项目概况、监测概况、监测依据及标准、监测方法及技术要求、监测成果及分析、监测成果表及变形曲率表等信息，并从结构安全角度出具专业的分析及建议。</w:t>
      </w:r>
    </w:p>
    <w:p>
      <w:pPr>
        <w:tabs>
          <w:tab w:val="left" w:pos="6120"/>
        </w:tabs>
        <w:spacing w:line="360" w:lineRule="auto"/>
        <w:ind w:firstLine="480" w:firstLineChars="20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4.2.4 结构监测分析报告： 每期监测成果报告完成后5个工作日内向招标人提交监测分析报告不低于5份，监测分析报告内包含监测概况、监测数据统计、监测数据分析、监测结论及建议等信息。</w:t>
      </w:r>
    </w:p>
    <w:p>
      <w:pPr>
        <w:tabs>
          <w:tab w:val="left" w:pos="6120"/>
        </w:tabs>
        <w:spacing w:line="360" w:lineRule="auto"/>
        <w:ind w:firstLine="480" w:firstLineChars="20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4.2.5 隧道结构技术状况评价报告：</w:t>
      </w:r>
      <w:r>
        <w:rPr>
          <w:rFonts w:hint="eastAsia" w:ascii="宋体" w:hAnsi="宋体" w:eastAsia="宋体" w:cs="宋体"/>
          <w:color w:val="auto"/>
          <w:sz w:val="24"/>
          <w:szCs w:val="24"/>
          <w:highlight w:val="none"/>
        </w:rPr>
        <w:t>投标</w:t>
      </w:r>
      <w:r>
        <w:rPr>
          <w:rFonts w:hint="eastAsia" w:ascii="宋体" w:hAnsi="宋体" w:eastAsia="宋体" w:cs="宋体"/>
          <w:color w:val="auto"/>
          <w:sz w:val="24"/>
          <w:szCs w:val="24"/>
          <w:highlight w:val="none"/>
          <w:lang w:eastAsia="zh-CN"/>
        </w:rPr>
        <w:t>人</w:t>
      </w:r>
      <w:r>
        <w:rPr>
          <w:rFonts w:hint="eastAsia" w:ascii="宋体" w:hAnsi="宋体" w:eastAsia="宋体" w:cs="宋体"/>
          <w:color w:val="auto"/>
          <w:sz w:val="24"/>
          <w:szCs w:val="24"/>
          <w:highlight w:val="none"/>
        </w:rPr>
        <w:t>在</w:t>
      </w:r>
      <w:r>
        <w:rPr>
          <w:rFonts w:hint="eastAsia" w:ascii="宋体" w:hAnsi="宋体" w:eastAsia="宋体" w:cs="宋体"/>
          <w:color w:val="auto"/>
          <w:sz w:val="24"/>
          <w:szCs w:val="24"/>
          <w:highlight w:val="none"/>
          <w:lang w:val="en-US" w:eastAsia="zh-CN"/>
        </w:rPr>
        <w:t>周期内</w:t>
      </w:r>
      <w:r>
        <w:rPr>
          <w:rFonts w:hint="eastAsia" w:ascii="宋体" w:hAnsi="宋体" w:eastAsia="宋体" w:cs="宋体"/>
          <w:color w:val="auto"/>
          <w:sz w:val="24"/>
          <w:szCs w:val="24"/>
          <w:highlight w:val="none"/>
        </w:rPr>
        <w:t>开展</w:t>
      </w:r>
      <w:r>
        <w:rPr>
          <w:rFonts w:hint="eastAsia" w:ascii="宋体" w:hAnsi="宋体" w:eastAsia="宋体" w:cs="宋体"/>
          <w:color w:val="auto"/>
          <w:sz w:val="24"/>
          <w:szCs w:val="24"/>
          <w:highlight w:val="none"/>
          <w:lang w:val="en-US" w:eastAsia="zh-CN"/>
        </w:rPr>
        <w:t>隧道结构技术状况评价工作</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采用三维激光扫描技术对区间隧道测量完成后</w:t>
      </w:r>
      <w:r>
        <w:rPr>
          <w:rFonts w:hint="eastAsia" w:ascii="宋体" w:hAnsi="宋体" w:eastAsia="宋体" w:cs="宋体"/>
          <w:color w:val="auto"/>
          <w:sz w:val="24"/>
          <w:szCs w:val="24"/>
          <w:highlight w:val="none"/>
          <w:lang w:eastAsia="zh-CN"/>
        </w:rPr>
        <w:t>的</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0个工作日内</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向</w:t>
      </w:r>
      <w:r>
        <w:rPr>
          <w:rFonts w:hint="eastAsia" w:ascii="宋体" w:hAnsi="宋体" w:eastAsia="宋体" w:cs="宋体"/>
          <w:color w:val="auto"/>
          <w:sz w:val="24"/>
          <w:szCs w:val="24"/>
          <w:highlight w:val="none"/>
          <w:lang w:eastAsia="zh-CN"/>
        </w:rPr>
        <w:t>招标人</w:t>
      </w:r>
      <w:r>
        <w:rPr>
          <w:rFonts w:hint="eastAsia" w:ascii="宋体" w:hAnsi="宋体" w:eastAsia="宋体" w:cs="宋体"/>
          <w:color w:val="auto"/>
          <w:sz w:val="24"/>
          <w:szCs w:val="24"/>
          <w:highlight w:val="none"/>
        </w:rPr>
        <w:t>提交正式纸质及电子</w:t>
      </w:r>
      <w:r>
        <w:rPr>
          <w:rFonts w:hint="eastAsia" w:ascii="宋体" w:hAnsi="宋体" w:eastAsia="宋体" w:cs="宋体"/>
          <w:color w:val="auto"/>
          <w:sz w:val="24"/>
          <w:szCs w:val="24"/>
          <w:highlight w:val="none"/>
          <w:lang w:val="en-US" w:eastAsia="zh-CN"/>
        </w:rPr>
        <w:t>评价</w:t>
      </w:r>
      <w:r>
        <w:rPr>
          <w:rFonts w:hint="eastAsia" w:ascii="宋体" w:hAnsi="宋体" w:eastAsia="宋体" w:cs="宋体"/>
          <w:color w:val="auto"/>
          <w:sz w:val="24"/>
          <w:szCs w:val="24"/>
          <w:highlight w:val="none"/>
        </w:rPr>
        <w:t>报告。</w:t>
      </w:r>
      <w:r>
        <w:rPr>
          <w:rFonts w:hint="eastAsia" w:ascii="宋体" w:hAnsi="宋体" w:eastAsia="宋体" w:cs="宋体"/>
          <w:color w:val="auto"/>
          <w:sz w:val="24"/>
          <w:szCs w:val="24"/>
          <w:highlight w:val="none"/>
          <w:lang w:val="en-US" w:eastAsia="zh-CN"/>
        </w:rPr>
        <w:t>合同期内3次，</w:t>
      </w:r>
      <w:r>
        <w:rPr>
          <w:rFonts w:hint="eastAsia" w:ascii="宋体" w:hAnsi="宋体" w:eastAsia="宋体" w:cs="宋体"/>
          <w:color w:val="auto"/>
          <w:sz w:val="24"/>
          <w:szCs w:val="24"/>
          <w:highlight w:val="none"/>
        </w:rPr>
        <w:t>报告</w:t>
      </w:r>
      <w:r>
        <w:rPr>
          <w:rFonts w:hint="eastAsia" w:ascii="宋体" w:hAnsi="宋体" w:eastAsia="宋体" w:cs="宋体"/>
          <w:color w:val="auto"/>
          <w:sz w:val="24"/>
          <w:szCs w:val="24"/>
          <w:highlight w:val="none"/>
          <w:lang w:val="en-US" w:eastAsia="zh-CN"/>
        </w:rPr>
        <w:t>完成</w:t>
      </w:r>
      <w:r>
        <w:rPr>
          <w:rFonts w:hint="eastAsia" w:ascii="宋体" w:hAnsi="宋体" w:eastAsia="宋体" w:cs="宋体"/>
          <w:color w:val="auto"/>
          <w:sz w:val="24"/>
          <w:szCs w:val="24"/>
          <w:highlight w:val="none"/>
        </w:rPr>
        <w:t>后</w:t>
      </w:r>
      <w:r>
        <w:rPr>
          <w:rFonts w:hint="eastAsia" w:ascii="宋体" w:hAnsi="宋体" w:eastAsia="宋体" w:cs="宋体"/>
          <w:color w:val="auto"/>
          <w:sz w:val="24"/>
          <w:szCs w:val="24"/>
          <w:highlight w:val="none"/>
          <w:lang w:val="en-US" w:eastAsia="zh-CN"/>
        </w:rPr>
        <w:t>投标人组织专家评审</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并对评审修订后的评价报告向</w:t>
      </w:r>
      <w:r>
        <w:rPr>
          <w:rFonts w:hint="eastAsia" w:ascii="宋体" w:hAnsi="宋体" w:eastAsia="宋体" w:cs="宋体"/>
          <w:color w:val="auto"/>
          <w:sz w:val="24"/>
          <w:szCs w:val="24"/>
          <w:highlight w:val="none"/>
          <w:lang w:eastAsia="zh-CN"/>
        </w:rPr>
        <w:t>招标人</w:t>
      </w:r>
      <w:r>
        <w:rPr>
          <w:rFonts w:hint="eastAsia" w:ascii="宋体" w:hAnsi="宋体" w:eastAsia="宋体" w:cs="宋体"/>
          <w:color w:val="auto"/>
          <w:sz w:val="24"/>
          <w:szCs w:val="24"/>
          <w:highlight w:val="none"/>
          <w:lang w:val="en-US" w:eastAsia="zh-CN"/>
        </w:rPr>
        <w:t>总结</w:t>
      </w:r>
      <w:r>
        <w:rPr>
          <w:rFonts w:hint="eastAsia" w:ascii="宋体" w:hAnsi="宋体" w:eastAsia="宋体" w:cs="宋体"/>
          <w:color w:val="auto"/>
          <w:sz w:val="24"/>
          <w:szCs w:val="24"/>
          <w:highlight w:val="none"/>
        </w:rPr>
        <w:t>汇报。</w:t>
      </w:r>
    </w:p>
    <w:p>
      <w:pPr>
        <w:tabs>
          <w:tab w:val="left" w:pos="6120"/>
        </w:tabs>
        <w:spacing w:line="360" w:lineRule="auto"/>
        <w:ind w:firstLine="480" w:firstLineChars="20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4.2.6 通过对现场实际测量的监测数据处理，若发现监测数据超出预警值或控制值时（预警值/控制值标准详见《南通轨道交通集团有限公司运营分公司结构监测规程》），投标人应立即书面通知招标人，同时通过现场勘查、检测，提供相关合理化建议或解决方案报招标人审核。</w:t>
      </w:r>
    </w:p>
    <w:bookmarkEnd w:id="168"/>
    <w:p>
      <w:pPr>
        <w:pStyle w:val="11"/>
        <w:tabs>
          <w:tab w:val="left" w:pos="840"/>
          <w:tab w:val="left" w:pos="2098"/>
        </w:tabs>
        <w:adjustRightInd/>
        <w:spacing w:before="0" w:after="0" w:line="360" w:lineRule="auto"/>
        <w:ind w:left="0" w:firstLine="0"/>
        <w:jc w:val="both"/>
        <w:textAlignment w:val="auto"/>
        <w:rPr>
          <w:rFonts w:hint="eastAsia" w:ascii="宋体" w:hAnsi="宋体" w:eastAsia="宋体" w:cs="宋体"/>
          <w:b/>
          <w:bCs/>
          <w:color w:val="auto"/>
          <w:kern w:val="2"/>
          <w:sz w:val="24"/>
          <w:szCs w:val="24"/>
          <w:highlight w:val="none"/>
          <w:lang w:val="en-US" w:eastAsia="zh-CN"/>
        </w:rPr>
      </w:pPr>
      <w:bookmarkStart w:id="169" w:name="_Toc5509"/>
      <w:bookmarkStart w:id="170" w:name="_Toc533073157"/>
      <w:bookmarkStart w:id="171" w:name="_Toc3551212"/>
      <w:r>
        <w:rPr>
          <w:rFonts w:hint="eastAsia" w:ascii="宋体" w:hAnsi="宋体" w:eastAsia="宋体" w:cs="宋体"/>
          <w:b/>
          <w:bCs/>
          <w:color w:val="auto"/>
          <w:kern w:val="2"/>
          <w:sz w:val="24"/>
          <w:szCs w:val="24"/>
          <w:highlight w:val="none"/>
          <w:lang w:val="en-US" w:eastAsia="zh-CN"/>
        </w:rPr>
        <w:t>5 项目维保要求</w:t>
      </w:r>
      <w:bookmarkEnd w:id="169"/>
    </w:p>
    <w:p>
      <w:pPr>
        <w:pStyle w:val="11"/>
        <w:tabs>
          <w:tab w:val="left" w:pos="840"/>
          <w:tab w:val="left" w:pos="2098"/>
        </w:tabs>
        <w:adjustRightInd/>
        <w:spacing w:before="0" w:after="0" w:line="360" w:lineRule="auto"/>
        <w:ind w:left="0" w:firstLine="0"/>
        <w:jc w:val="both"/>
        <w:textAlignment w:val="auto"/>
        <w:rPr>
          <w:rFonts w:hint="eastAsia" w:ascii="宋体" w:hAnsi="宋体" w:eastAsia="宋体" w:cs="宋体"/>
          <w:b/>
          <w:bCs/>
          <w:color w:val="auto"/>
          <w:kern w:val="2"/>
          <w:sz w:val="24"/>
          <w:szCs w:val="24"/>
          <w:highlight w:val="none"/>
          <w:lang w:val="en-US" w:eastAsia="zh-CN"/>
        </w:rPr>
      </w:pPr>
      <w:bookmarkStart w:id="172" w:name="_Toc7329"/>
      <w:bookmarkStart w:id="173" w:name="_Toc5488"/>
      <w:bookmarkStart w:id="174" w:name="_Toc31677"/>
      <w:bookmarkStart w:id="175" w:name="_Toc3551208"/>
      <w:bookmarkStart w:id="176" w:name="_Toc533073153"/>
      <w:bookmarkStart w:id="177" w:name="_Toc348894807"/>
      <w:r>
        <w:rPr>
          <w:rFonts w:hint="eastAsia" w:ascii="宋体" w:hAnsi="宋体" w:eastAsia="宋体" w:cs="宋体"/>
          <w:b/>
          <w:bCs/>
          <w:color w:val="auto"/>
          <w:kern w:val="2"/>
          <w:sz w:val="24"/>
          <w:szCs w:val="24"/>
          <w:highlight w:val="none"/>
          <w:lang w:val="en-US" w:eastAsia="zh-CN"/>
        </w:rPr>
        <w:t>5.1 投标人的资源要求</w:t>
      </w:r>
      <w:bookmarkEnd w:id="172"/>
      <w:bookmarkEnd w:id="173"/>
      <w:bookmarkEnd w:id="174"/>
    </w:p>
    <w:p>
      <w:pPr>
        <w:spacing w:line="360" w:lineRule="auto"/>
        <w:ind w:firstLine="480" w:firstLineChars="200"/>
        <w:rPr>
          <w:rFonts w:hint="eastAsia" w:ascii="宋体" w:hAnsi="宋体" w:eastAsia="宋体" w:cs="宋体"/>
          <w:color w:val="auto"/>
          <w:sz w:val="24"/>
          <w:szCs w:val="24"/>
          <w:highlight w:val="none"/>
        </w:rPr>
      </w:pPr>
      <w:bookmarkStart w:id="178" w:name="_Toc19415"/>
      <w:bookmarkStart w:id="179" w:name="_Toc7042"/>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 xml:space="preserve">.1 </w:t>
      </w:r>
      <w:r>
        <w:rPr>
          <w:rFonts w:hint="eastAsia" w:ascii="宋体" w:hAnsi="宋体" w:eastAsia="宋体" w:cs="宋体"/>
          <w:color w:val="auto"/>
          <w:sz w:val="24"/>
          <w:szCs w:val="24"/>
          <w:highlight w:val="none"/>
        </w:rPr>
        <w:t>投标人在人员配备</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资质、履历</w:t>
      </w:r>
      <w:r>
        <w:rPr>
          <w:rFonts w:hint="eastAsia" w:ascii="宋体" w:hAnsi="宋体" w:eastAsia="宋体" w:cs="宋体"/>
          <w:color w:val="auto"/>
          <w:sz w:val="24"/>
          <w:szCs w:val="24"/>
          <w:highlight w:val="none"/>
        </w:rPr>
        <w:t>等方面</w:t>
      </w:r>
      <w:r>
        <w:rPr>
          <w:rFonts w:hint="eastAsia" w:ascii="宋体" w:hAnsi="宋体" w:eastAsia="宋体" w:cs="宋体"/>
          <w:color w:val="auto"/>
          <w:sz w:val="24"/>
          <w:szCs w:val="24"/>
          <w:highlight w:val="none"/>
          <w:lang w:val="en-US" w:eastAsia="zh-CN"/>
        </w:rPr>
        <w:t>须</w:t>
      </w:r>
      <w:r>
        <w:rPr>
          <w:rFonts w:hint="eastAsia" w:ascii="宋体" w:hAnsi="宋体" w:eastAsia="宋体" w:cs="宋体"/>
          <w:color w:val="auto"/>
          <w:sz w:val="24"/>
          <w:szCs w:val="24"/>
          <w:highlight w:val="none"/>
        </w:rPr>
        <w:t>满足</w:t>
      </w:r>
      <w:r>
        <w:rPr>
          <w:rFonts w:hint="eastAsia" w:ascii="宋体" w:hAnsi="宋体" w:eastAsia="宋体" w:cs="宋体"/>
          <w:color w:val="auto"/>
          <w:sz w:val="24"/>
          <w:szCs w:val="24"/>
          <w:highlight w:val="none"/>
          <w:lang w:val="en-US" w:eastAsia="zh-CN"/>
        </w:rPr>
        <w:t>招标人</w:t>
      </w:r>
      <w:r>
        <w:rPr>
          <w:rFonts w:hint="eastAsia" w:ascii="宋体" w:hAnsi="宋体" w:eastAsia="宋体" w:cs="宋体"/>
          <w:color w:val="auto"/>
          <w:sz w:val="24"/>
          <w:szCs w:val="24"/>
          <w:highlight w:val="none"/>
        </w:rPr>
        <w:t>要求（见</w:t>
      </w:r>
      <w:r>
        <w:rPr>
          <w:rFonts w:hint="eastAsia" w:ascii="宋体" w:hAnsi="宋体" w:eastAsia="宋体" w:cs="宋体"/>
          <w:color w:val="auto"/>
          <w:sz w:val="24"/>
          <w:szCs w:val="24"/>
          <w:highlight w:val="none"/>
          <w:lang w:val="en-US" w:eastAsia="zh-CN"/>
        </w:rPr>
        <w:t>附录 1</w:t>
      </w:r>
      <w:r>
        <w:rPr>
          <w:rFonts w:hint="eastAsia" w:ascii="宋体" w:hAnsi="宋体" w:eastAsia="宋体" w:cs="宋体"/>
          <w:color w:val="auto"/>
          <w:sz w:val="24"/>
          <w:szCs w:val="24"/>
          <w:highlight w:val="none"/>
        </w:rPr>
        <w:t>）。对投标人配备的资源由投标人承担其使用费、</w:t>
      </w:r>
      <w:r>
        <w:rPr>
          <w:rFonts w:hint="eastAsia" w:ascii="宋体" w:hAnsi="宋体" w:eastAsia="宋体" w:cs="宋体"/>
          <w:color w:val="auto"/>
          <w:sz w:val="24"/>
          <w:szCs w:val="24"/>
          <w:highlight w:val="none"/>
          <w:lang w:val="en-US" w:eastAsia="zh-CN"/>
        </w:rPr>
        <w:t>检定费、</w:t>
      </w:r>
      <w:r>
        <w:rPr>
          <w:rFonts w:hint="eastAsia" w:ascii="宋体" w:hAnsi="宋体" w:eastAsia="宋体" w:cs="宋体"/>
          <w:color w:val="auto"/>
          <w:sz w:val="24"/>
          <w:szCs w:val="24"/>
          <w:highlight w:val="none"/>
        </w:rPr>
        <w:t>修理费，必要时招标人有权调用这些设备。</w:t>
      </w:r>
    </w:p>
    <w:p>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 xml:space="preserve">.2 </w:t>
      </w:r>
      <w:r>
        <w:rPr>
          <w:rFonts w:hint="eastAsia" w:ascii="宋体" w:hAnsi="宋体" w:eastAsia="宋体" w:cs="宋体"/>
          <w:color w:val="auto"/>
          <w:sz w:val="24"/>
          <w:szCs w:val="24"/>
          <w:highlight w:val="none"/>
        </w:rPr>
        <w:t>投标人为完成维保项目所使用的个人工器具</w:t>
      </w:r>
      <w:r>
        <w:rPr>
          <w:rFonts w:hint="eastAsia" w:ascii="宋体" w:hAnsi="宋体" w:eastAsia="宋体" w:cs="宋体"/>
          <w:color w:val="auto"/>
          <w:sz w:val="24"/>
          <w:szCs w:val="24"/>
          <w:highlight w:val="none"/>
          <w:lang w:eastAsia="zh-CN"/>
        </w:rPr>
        <w:t>、仪器、仪表</w:t>
      </w:r>
      <w:r>
        <w:rPr>
          <w:rFonts w:hint="eastAsia" w:ascii="宋体" w:hAnsi="宋体" w:eastAsia="宋体" w:cs="宋体"/>
          <w:color w:val="auto"/>
          <w:sz w:val="24"/>
          <w:szCs w:val="24"/>
          <w:highlight w:val="none"/>
        </w:rPr>
        <w:t>由投标人分别自行配备（包括但不限于</w:t>
      </w:r>
      <w:r>
        <w:rPr>
          <w:rFonts w:hint="eastAsia" w:ascii="宋体" w:hAnsi="宋体" w:eastAsia="宋体" w:cs="宋体"/>
          <w:color w:val="auto"/>
          <w:sz w:val="24"/>
          <w:szCs w:val="24"/>
          <w:highlight w:val="none"/>
          <w:lang w:val="en-US" w:eastAsia="zh-CN"/>
        </w:rPr>
        <w:t>附录 2</w:t>
      </w:r>
      <w:r>
        <w:rPr>
          <w:rFonts w:hint="eastAsia" w:ascii="宋体" w:hAnsi="宋体" w:eastAsia="宋体" w:cs="宋体"/>
          <w:color w:val="auto"/>
          <w:sz w:val="24"/>
          <w:szCs w:val="24"/>
          <w:highlight w:val="none"/>
        </w:rPr>
        <w:t>），涉及应送检的工器具</w:t>
      </w:r>
      <w:r>
        <w:rPr>
          <w:rFonts w:hint="eastAsia" w:ascii="宋体" w:hAnsi="宋体" w:eastAsia="宋体" w:cs="宋体"/>
          <w:color w:val="auto"/>
          <w:sz w:val="24"/>
          <w:szCs w:val="24"/>
          <w:highlight w:val="none"/>
          <w:lang w:eastAsia="zh-CN"/>
        </w:rPr>
        <w:t>、仪器、仪表</w:t>
      </w:r>
      <w:r>
        <w:rPr>
          <w:rFonts w:hint="eastAsia" w:ascii="宋体" w:hAnsi="宋体" w:eastAsia="宋体" w:cs="宋体"/>
          <w:color w:val="auto"/>
          <w:sz w:val="24"/>
          <w:szCs w:val="24"/>
          <w:highlight w:val="none"/>
        </w:rPr>
        <w:t>应按规定进行检定，确保</w:t>
      </w:r>
      <w:r>
        <w:rPr>
          <w:rFonts w:hint="eastAsia" w:ascii="宋体" w:hAnsi="宋体" w:eastAsia="宋体" w:cs="宋体"/>
          <w:color w:val="auto"/>
          <w:sz w:val="24"/>
          <w:szCs w:val="24"/>
          <w:highlight w:val="none"/>
          <w:lang w:val="en-US" w:eastAsia="zh-CN"/>
        </w:rPr>
        <w:t>其有效性</w:t>
      </w:r>
      <w:r>
        <w:rPr>
          <w:rFonts w:hint="eastAsia" w:ascii="宋体" w:hAnsi="宋体" w:eastAsia="宋体" w:cs="宋体"/>
          <w:color w:val="auto"/>
          <w:sz w:val="24"/>
          <w:szCs w:val="24"/>
          <w:highlight w:val="none"/>
        </w:rPr>
        <w:t>，并做好送检记录</w:t>
      </w:r>
      <w:r>
        <w:rPr>
          <w:rFonts w:hint="eastAsia" w:ascii="宋体" w:hAnsi="宋体" w:eastAsia="宋体" w:cs="宋体"/>
          <w:color w:val="auto"/>
          <w:sz w:val="24"/>
          <w:szCs w:val="24"/>
          <w:highlight w:val="none"/>
          <w:lang w:val="en-US" w:eastAsia="zh-CN"/>
        </w:rPr>
        <w:t>留存工作</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相关</w:t>
      </w:r>
      <w:r>
        <w:rPr>
          <w:rFonts w:hint="eastAsia" w:ascii="宋体" w:hAnsi="宋体" w:eastAsia="宋体" w:cs="宋体"/>
          <w:color w:val="auto"/>
          <w:sz w:val="24"/>
          <w:szCs w:val="24"/>
          <w:highlight w:val="none"/>
        </w:rPr>
        <w:t>费</w:t>
      </w:r>
      <w:r>
        <w:rPr>
          <w:rFonts w:hint="eastAsia" w:ascii="宋体" w:hAnsi="宋体" w:eastAsia="宋体" w:cs="宋体"/>
          <w:color w:val="auto"/>
          <w:sz w:val="24"/>
          <w:szCs w:val="24"/>
          <w:highlight w:val="none"/>
          <w:lang w:val="en-US" w:eastAsia="zh-CN"/>
        </w:rPr>
        <w:t>用</w:t>
      </w:r>
      <w:r>
        <w:rPr>
          <w:rFonts w:hint="eastAsia" w:ascii="宋体" w:hAnsi="宋体" w:eastAsia="宋体" w:cs="宋体"/>
          <w:color w:val="auto"/>
          <w:sz w:val="24"/>
          <w:szCs w:val="24"/>
          <w:highlight w:val="none"/>
        </w:rPr>
        <w:t>包含在合同费用中。</w:t>
      </w:r>
    </w:p>
    <w:p>
      <w:pPr>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5.1.3 </w:t>
      </w:r>
      <w:r>
        <w:rPr>
          <w:rFonts w:hint="eastAsia" w:ascii="宋体" w:hAnsi="宋体" w:eastAsia="宋体" w:cs="宋体"/>
          <w:color w:val="auto"/>
          <w:sz w:val="24"/>
          <w:szCs w:val="24"/>
          <w:highlight w:val="none"/>
        </w:rPr>
        <w:t>投标人为完成维保项目所使用的</w:t>
      </w:r>
      <w:r>
        <w:rPr>
          <w:rFonts w:hint="eastAsia" w:ascii="宋体" w:hAnsi="宋体" w:eastAsia="宋体" w:cs="宋体"/>
          <w:color w:val="auto"/>
          <w:sz w:val="24"/>
          <w:szCs w:val="24"/>
          <w:highlight w:val="none"/>
          <w:lang w:val="en-US" w:eastAsia="zh-CN"/>
        </w:rPr>
        <w:t>消耗性材料由投标人自行提供并承担费用。</w:t>
      </w:r>
    </w:p>
    <w:p>
      <w:pPr>
        <w:pStyle w:val="11"/>
        <w:tabs>
          <w:tab w:val="left" w:pos="840"/>
          <w:tab w:val="left" w:pos="2098"/>
        </w:tabs>
        <w:adjustRightInd/>
        <w:spacing w:before="0" w:after="0" w:line="360" w:lineRule="auto"/>
        <w:ind w:left="0" w:firstLine="0"/>
        <w:jc w:val="both"/>
        <w:textAlignment w:val="auto"/>
        <w:rPr>
          <w:rFonts w:hint="eastAsia" w:ascii="宋体" w:hAnsi="宋体" w:eastAsia="宋体" w:cs="宋体"/>
          <w:b/>
          <w:bCs/>
          <w:color w:val="auto"/>
          <w:kern w:val="2"/>
          <w:sz w:val="24"/>
          <w:szCs w:val="24"/>
          <w:highlight w:val="none"/>
          <w:lang w:val="en-US" w:eastAsia="zh-CN"/>
        </w:rPr>
      </w:pPr>
      <w:bookmarkStart w:id="180" w:name="_Toc28326"/>
      <w:r>
        <w:rPr>
          <w:rFonts w:hint="eastAsia" w:ascii="宋体" w:hAnsi="宋体" w:eastAsia="宋体" w:cs="宋体"/>
          <w:b/>
          <w:bCs/>
          <w:color w:val="auto"/>
          <w:kern w:val="2"/>
          <w:sz w:val="24"/>
          <w:szCs w:val="24"/>
          <w:highlight w:val="none"/>
          <w:lang w:val="en-US" w:eastAsia="zh-CN"/>
        </w:rPr>
        <w:t>5.2 对投标人组织架构的要求</w:t>
      </w:r>
      <w:bookmarkEnd w:id="178"/>
      <w:bookmarkEnd w:id="179"/>
      <w:bookmarkEnd w:id="180"/>
    </w:p>
    <w:p>
      <w:pPr>
        <w:spacing w:line="360" w:lineRule="auto"/>
        <w:ind w:firstLine="480" w:firstLineChars="200"/>
        <w:rPr>
          <w:rFonts w:hint="eastAsia" w:ascii="宋体" w:hAnsi="宋体" w:eastAsia="宋体" w:cs="宋体"/>
          <w:color w:val="auto"/>
          <w:sz w:val="24"/>
          <w:szCs w:val="24"/>
          <w:highlight w:val="none"/>
        </w:rPr>
      </w:pPr>
      <w:bookmarkStart w:id="181" w:name="_Toc289521925"/>
      <w:bookmarkStart w:id="182" w:name="_Toc529458718"/>
      <w:bookmarkStart w:id="183" w:name="_Toc529458762"/>
      <w:bookmarkStart w:id="184" w:name="_Toc523492257"/>
      <w:bookmarkStart w:id="185" w:name="_Toc524015289"/>
      <w:bookmarkStart w:id="186" w:name="_Toc294444978"/>
      <w:bookmarkStart w:id="187" w:name="_Toc367094631"/>
      <w:bookmarkStart w:id="188" w:name="_Toc292373152"/>
      <w:bookmarkStart w:id="189" w:name="_Toc290547329"/>
      <w:r>
        <w:rPr>
          <w:rFonts w:hint="eastAsia" w:ascii="宋体" w:hAnsi="宋体" w:eastAsia="宋体" w:cs="宋体"/>
          <w:color w:val="auto"/>
          <w:sz w:val="24"/>
          <w:szCs w:val="24"/>
          <w:highlight w:val="none"/>
          <w:lang w:val="en-US" w:eastAsia="zh-CN"/>
        </w:rPr>
        <w:t xml:space="preserve">5.2.1 </w:t>
      </w:r>
      <w:r>
        <w:rPr>
          <w:rFonts w:hint="eastAsia" w:ascii="宋体" w:hAnsi="宋体" w:eastAsia="宋体" w:cs="宋体"/>
          <w:color w:val="auto"/>
          <w:sz w:val="24"/>
          <w:szCs w:val="24"/>
          <w:highlight w:val="none"/>
        </w:rPr>
        <w:t>投标人</w:t>
      </w:r>
      <w:r>
        <w:rPr>
          <w:rFonts w:hint="eastAsia" w:ascii="宋体" w:hAnsi="宋体" w:eastAsia="宋体" w:cs="宋体"/>
          <w:color w:val="auto"/>
          <w:sz w:val="24"/>
          <w:szCs w:val="24"/>
          <w:highlight w:val="none"/>
          <w:lang w:val="en-US" w:eastAsia="zh-CN"/>
        </w:rPr>
        <w:t>需向招标人报送所有</w:t>
      </w:r>
      <w:r>
        <w:rPr>
          <w:rFonts w:hint="eastAsia" w:ascii="宋体" w:hAnsi="宋体" w:eastAsia="宋体" w:cs="宋体"/>
          <w:color w:val="auto"/>
          <w:sz w:val="24"/>
          <w:szCs w:val="24"/>
          <w:highlight w:val="none"/>
        </w:rPr>
        <w:t>人员的具体名单、人员履历表、技术职称</w:t>
      </w:r>
      <w:r>
        <w:rPr>
          <w:rFonts w:hint="eastAsia" w:ascii="宋体" w:hAnsi="宋体" w:eastAsia="宋体" w:cs="宋体"/>
          <w:color w:val="auto"/>
          <w:sz w:val="24"/>
          <w:szCs w:val="24"/>
          <w:highlight w:val="none"/>
          <w:lang w:val="en-US" w:eastAsia="zh-CN"/>
        </w:rPr>
        <w:t>以及</w:t>
      </w:r>
      <w:r>
        <w:rPr>
          <w:rFonts w:hint="eastAsia" w:ascii="宋体" w:hAnsi="宋体" w:eastAsia="宋体" w:cs="宋体"/>
          <w:color w:val="auto"/>
          <w:sz w:val="24"/>
          <w:szCs w:val="24"/>
          <w:highlight w:val="none"/>
        </w:rPr>
        <w:t>有效证件复印件</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劳动合同复印件</w:t>
      </w:r>
      <w:r>
        <w:rPr>
          <w:rFonts w:hint="eastAsia" w:ascii="宋体" w:hAnsi="宋体" w:eastAsia="宋体" w:cs="宋体"/>
          <w:color w:val="auto"/>
          <w:sz w:val="24"/>
          <w:szCs w:val="24"/>
          <w:highlight w:val="none"/>
        </w:rPr>
        <w:t>等</w:t>
      </w:r>
      <w:r>
        <w:rPr>
          <w:rFonts w:hint="eastAsia" w:ascii="宋体" w:hAnsi="宋体" w:eastAsia="宋体" w:cs="宋体"/>
          <w:color w:val="auto"/>
          <w:sz w:val="24"/>
          <w:szCs w:val="24"/>
          <w:highlight w:val="none"/>
          <w:lang w:val="en-US" w:eastAsia="zh-CN"/>
        </w:rPr>
        <w:t>资料</w:t>
      </w:r>
      <w:r>
        <w:rPr>
          <w:rFonts w:hint="eastAsia" w:ascii="宋体" w:hAnsi="宋体" w:eastAsia="宋体" w:cs="宋体"/>
          <w:color w:val="auto"/>
          <w:sz w:val="24"/>
          <w:szCs w:val="24"/>
          <w:highlight w:val="none"/>
        </w:rPr>
        <w:t>。</w:t>
      </w:r>
    </w:p>
    <w:p>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5.2.2 投标人应保持项目人员稳定，并将项目人员名单报送招标人。原则上，名单上的人员不得更换；若确需更换，应提前 30 日向招标人提出申请，经招标人书面同意后方可进行更换。人员技能、资格证以及专业技术需满足各项监测要求，若投标人人员技术水平低下、责任心差，不符合招标人条件，招标人有权拒绝使用。</w:t>
      </w:r>
    </w:p>
    <w:p>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 xml:space="preserve">5.2.3 </w:t>
      </w:r>
      <w:r>
        <w:rPr>
          <w:rFonts w:hint="eastAsia" w:ascii="宋体" w:hAnsi="宋体" w:eastAsia="宋体" w:cs="宋体"/>
          <w:color w:val="auto"/>
          <w:sz w:val="24"/>
          <w:szCs w:val="24"/>
          <w:highlight w:val="none"/>
        </w:rPr>
        <w:t>投标人应无条件服从招标人</w:t>
      </w:r>
      <w:r>
        <w:rPr>
          <w:rFonts w:hint="eastAsia" w:ascii="宋体" w:hAnsi="宋体" w:eastAsia="宋体" w:cs="宋体"/>
          <w:color w:val="auto"/>
          <w:sz w:val="24"/>
          <w:szCs w:val="24"/>
          <w:highlight w:val="none"/>
          <w:lang w:eastAsia="zh-CN"/>
        </w:rPr>
        <w:t>的</w:t>
      </w:r>
      <w:r>
        <w:rPr>
          <w:rFonts w:hint="eastAsia" w:ascii="宋体" w:hAnsi="宋体" w:eastAsia="宋体" w:cs="宋体"/>
          <w:color w:val="auto"/>
          <w:sz w:val="24"/>
          <w:szCs w:val="24"/>
          <w:highlight w:val="none"/>
        </w:rPr>
        <w:t>生产安排，</w:t>
      </w:r>
      <w:r>
        <w:rPr>
          <w:rFonts w:hint="eastAsia" w:ascii="宋体" w:hAnsi="宋体" w:eastAsia="宋体" w:cs="宋体"/>
          <w:color w:val="auto"/>
          <w:sz w:val="24"/>
          <w:szCs w:val="24"/>
          <w:highlight w:val="none"/>
          <w:lang w:eastAsia="zh-CN"/>
        </w:rPr>
        <w:t>在</w:t>
      </w:r>
      <w:r>
        <w:rPr>
          <w:rFonts w:hint="eastAsia" w:ascii="宋体" w:hAnsi="宋体" w:eastAsia="宋体" w:cs="宋体"/>
          <w:color w:val="auto"/>
          <w:sz w:val="24"/>
          <w:szCs w:val="24"/>
          <w:highlight w:val="none"/>
          <w:lang w:val="en-US" w:eastAsia="zh-CN"/>
        </w:rPr>
        <w:t>正常监测</w:t>
      </w:r>
      <w:r>
        <w:rPr>
          <w:rFonts w:hint="eastAsia" w:ascii="宋体" w:hAnsi="宋体" w:eastAsia="宋体" w:cs="宋体"/>
          <w:color w:val="auto"/>
          <w:sz w:val="24"/>
          <w:szCs w:val="24"/>
          <w:highlight w:val="none"/>
        </w:rPr>
        <w:t>期间，确保人员</w:t>
      </w:r>
      <w:r>
        <w:rPr>
          <w:rFonts w:hint="eastAsia" w:ascii="宋体" w:hAnsi="宋体" w:eastAsia="宋体" w:cs="宋体"/>
          <w:color w:val="auto"/>
          <w:sz w:val="24"/>
          <w:szCs w:val="24"/>
          <w:highlight w:val="none"/>
          <w:lang w:val="en-US" w:eastAsia="zh-CN"/>
        </w:rPr>
        <w:t>按时</w:t>
      </w:r>
      <w:r>
        <w:rPr>
          <w:rFonts w:hint="eastAsia" w:ascii="宋体" w:hAnsi="宋体" w:eastAsia="宋体" w:cs="宋体"/>
          <w:color w:val="auto"/>
          <w:sz w:val="24"/>
          <w:szCs w:val="24"/>
          <w:highlight w:val="none"/>
        </w:rPr>
        <w:t>到岗到位。</w:t>
      </w:r>
    </w:p>
    <w:p>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 xml:space="preserve">5.2.4 </w:t>
      </w:r>
      <w:r>
        <w:rPr>
          <w:rFonts w:hint="eastAsia" w:ascii="宋体" w:hAnsi="宋体" w:eastAsia="宋体" w:cs="宋体"/>
          <w:color w:val="auto"/>
          <w:sz w:val="24"/>
          <w:szCs w:val="24"/>
          <w:highlight w:val="none"/>
        </w:rPr>
        <w:t>投标人应严格遵守合同</w:t>
      </w:r>
      <w:r>
        <w:rPr>
          <w:rFonts w:hint="eastAsia" w:ascii="宋体" w:hAnsi="宋体" w:eastAsia="宋体" w:cs="宋体"/>
          <w:color w:val="auto"/>
          <w:sz w:val="24"/>
          <w:szCs w:val="24"/>
          <w:highlight w:val="none"/>
          <w:lang w:val="en-US" w:eastAsia="zh-CN"/>
        </w:rPr>
        <w:t>约定</w:t>
      </w:r>
      <w:r>
        <w:rPr>
          <w:rFonts w:hint="eastAsia" w:ascii="宋体" w:hAnsi="宋体" w:eastAsia="宋体" w:cs="宋体"/>
          <w:color w:val="auto"/>
          <w:sz w:val="24"/>
          <w:szCs w:val="24"/>
          <w:highlight w:val="none"/>
        </w:rPr>
        <w:t>，组织</w:t>
      </w:r>
      <w:r>
        <w:rPr>
          <w:rFonts w:hint="eastAsia" w:ascii="宋体" w:hAnsi="宋体" w:eastAsia="宋体" w:cs="宋体"/>
          <w:color w:val="auto"/>
          <w:sz w:val="24"/>
          <w:szCs w:val="24"/>
          <w:highlight w:val="none"/>
          <w:lang w:val="en-US" w:eastAsia="zh-CN"/>
        </w:rPr>
        <w:t>充足</w:t>
      </w:r>
      <w:r>
        <w:rPr>
          <w:rFonts w:hint="eastAsia" w:ascii="宋体" w:hAnsi="宋体" w:eastAsia="宋体" w:cs="宋体"/>
          <w:color w:val="auto"/>
          <w:sz w:val="24"/>
          <w:szCs w:val="24"/>
          <w:highlight w:val="none"/>
        </w:rPr>
        <w:t>力量的人员完成日常</w:t>
      </w:r>
      <w:r>
        <w:rPr>
          <w:rFonts w:hint="eastAsia" w:ascii="宋体" w:hAnsi="宋体" w:eastAsia="宋体" w:cs="宋体"/>
          <w:color w:val="auto"/>
          <w:sz w:val="24"/>
          <w:szCs w:val="24"/>
          <w:highlight w:val="none"/>
          <w:lang w:val="en-US" w:eastAsia="zh-CN"/>
        </w:rPr>
        <w:t>监测</w:t>
      </w:r>
      <w:r>
        <w:rPr>
          <w:rFonts w:hint="eastAsia" w:ascii="宋体" w:hAnsi="宋体" w:eastAsia="宋体" w:cs="宋体"/>
          <w:color w:val="auto"/>
          <w:sz w:val="24"/>
          <w:szCs w:val="24"/>
          <w:highlight w:val="none"/>
        </w:rPr>
        <w:t>及</w:t>
      </w:r>
      <w:r>
        <w:rPr>
          <w:rFonts w:hint="eastAsia" w:ascii="宋体" w:hAnsi="宋体" w:eastAsia="宋体" w:cs="宋体"/>
          <w:color w:val="auto"/>
          <w:sz w:val="24"/>
          <w:szCs w:val="24"/>
          <w:highlight w:val="none"/>
          <w:lang w:val="en-US" w:eastAsia="zh-CN"/>
        </w:rPr>
        <w:t>配合</w:t>
      </w:r>
      <w:r>
        <w:rPr>
          <w:rFonts w:hint="eastAsia" w:ascii="宋体" w:hAnsi="宋体" w:eastAsia="宋体" w:cs="宋体"/>
          <w:color w:val="auto"/>
          <w:sz w:val="24"/>
          <w:szCs w:val="24"/>
          <w:highlight w:val="none"/>
        </w:rPr>
        <w:t>工作。</w:t>
      </w:r>
    </w:p>
    <w:p>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 xml:space="preserve">5.2.5 </w:t>
      </w:r>
      <w:r>
        <w:rPr>
          <w:rFonts w:hint="eastAsia" w:ascii="宋体" w:hAnsi="宋体" w:eastAsia="宋体" w:cs="宋体"/>
          <w:color w:val="auto"/>
          <w:sz w:val="24"/>
          <w:szCs w:val="24"/>
          <w:highlight w:val="none"/>
        </w:rPr>
        <w:t>投标人应严格按照招标人</w:t>
      </w:r>
      <w:r>
        <w:rPr>
          <w:rFonts w:hint="eastAsia" w:ascii="宋体" w:hAnsi="宋体" w:eastAsia="宋体" w:cs="宋体"/>
          <w:color w:val="auto"/>
          <w:sz w:val="24"/>
          <w:szCs w:val="24"/>
          <w:highlight w:val="none"/>
          <w:lang w:eastAsia="zh-CN"/>
        </w:rPr>
        <w:t>的</w:t>
      </w:r>
      <w:r>
        <w:rPr>
          <w:rFonts w:hint="eastAsia" w:ascii="宋体" w:hAnsi="宋体" w:eastAsia="宋体" w:cs="宋体"/>
          <w:color w:val="auto"/>
          <w:sz w:val="24"/>
          <w:szCs w:val="24"/>
          <w:highlight w:val="none"/>
        </w:rPr>
        <w:t>维修管理模式及审定的</w:t>
      </w:r>
      <w:r>
        <w:rPr>
          <w:rFonts w:hint="eastAsia" w:ascii="宋体" w:hAnsi="宋体" w:eastAsia="宋体" w:cs="宋体"/>
          <w:color w:val="auto"/>
          <w:sz w:val="24"/>
          <w:szCs w:val="24"/>
          <w:highlight w:val="none"/>
          <w:lang w:val="en-US" w:eastAsia="zh-CN"/>
        </w:rPr>
        <w:t>监测工作</w:t>
      </w:r>
      <w:r>
        <w:rPr>
          <w:rFonts w:hint="eastAsia" w:ascii="宋体" w:hAnsi="宋体" w:eastAsia="宋体" w:cs="宋体"/>
          <w:color w:val="auto"/>
          <w:sz w:val="24"/>
          <w:szCs w:val="24"/>
          <w:highlight w:val="none"/>
        </w:rPr>
        <w:t>计划和方案组织实施。</w:t>
      </w:r>
    </w:p>
    <w:p>
      <w:pPr>
        <w:pStyle w:val="11"/>
        <w:tabs>
          <w:tab w:val="left" w:pos="840"/>
          <w:tab w:val="left" w:pos="2098"/>
        </w:tabs>
        <w:adjustRightInd/>
        <w:spacing w:before="0" w:after="0" w:line="360" w:lineRule="auto"/>
        <w:ind w:left="0" w:firstLine="0"/>
        <w:jc w:val="both"/>
        <w:textAlignment w:val="auto"/>
        <w:rPr>
          <w:rFonts w:hint="eastAsia" w:ascii="宋体" w:hAnsi="宋体" w:eastAsia="宋体" w:cs="宋体"/>
          <w:b/>
          <w:bCs/>
          <w:color w:val="auto"/>
          <w:kern w:val="2"/>
          <w:sz w:val="24"/>
          <w:szCs w:val="24"/>
          <w:highlight w:val="none"/>
          <w:lang w:val="en-US" w:eastAsia="zh-CN"/>
        </w:rPr>
      </w:pPr>
      <w:bookmarkStart w:id="190" w:name="_Toc14995"/>
      <w:r>
        <w:rPr>
          <w:rFonts w:hint="eastAsia" w:ascii="宋体" w:hAnsi="宋体" w:eastAsia="宋体" w:cs="宋体"/>
          <w:b/>
          <w:bCs/>
          <w:color w:val="auto"/>
          <w:kern w:val="2"/>
          <w:sz w:val="24"/>
          <w:szCs w:val="24"/>
          <w:highlight w:val="none"/>
          <w:lang w:val="en-US" w:eastAsia="zh-CN"/>
        </w:rPr>
        <w:t>6 项</w:t>
      </w:r>
      <w:bookmarkEnd w:id="181"/>
      <w:r>
        <w:rPr>
          <w:rFonts w:hint="eastAsia" w:ascii="宋体" w:hAnsi="宋体" w:eastAsia="宋体" w:cs="宋体"/>
          <w:b/>
          <w:bCs/>
          <w:color w:val="auto"/>
          <w:kern w:val="2"/>
          <w:sz w:val="24"/>
          <w:szCs w:val="24"/>
          <w:highlight w:val="none"/>
          <w:lang w:val="en-US" w:eastAsia="zh-CN"/>
        </w:rPr>
        <w:t>目对生产组织的要求</w:t>
      </w:r>
      <w:bookmarkEnd w:id="182"/>
      <w:bookmarkEnd w:id="183"/>
      <w:bookmarkEnd w:id="184"/>
      <w:bookmarkEnd w:id="185"/>
      <w:bookmarkEnd w:id="190"/>
    </w:p>
    <w:bookmarkEnd w:id="186"/>
    <w:bookmarkEnd w:id="187"/>
    <w:bookmarkEnd w:id="188"/>
    <w:bookmarkEnd w:id="189"/>
    <w:p>
      <w:pPr>
        <w:spacing w:line="360" w:lineRule="auto"/>
        <w:ind w:firstLine="480" w:firstLineChars="200"/>
        <w:rPr>
          <w:rFonts w:hint="eastAsia" w:ascii="宋体" w:hAnsi="宋体" w:eastAsia="宋体" w:cs="宋体"/>
          <w:color w:val="auto"/>
          <w:sz w:val="24"/>
          <w:szCs w:val="24"/>
          <w:highlight w:val="none"/>
          <w:lang w:eastAsia="zh-CN"/>
        </w:rPr>
      </w:pPr>
      <w:bookmarkStart w:id="191" w:name="_Toc529458719"/>
      <w:bookmarkStart w:id="192" w:name="_Toc524015290"/>
      <w:bookmarkStart w:id="193" w:name="_Toc523492258"/>
      <w:bookmarkStart w:id="194" w:name="_Toc529458763"/>
      <w:bookmarkStart w:id="195" w:name="_Toc290547330"/>
      <w:bookmarkStart w:id="196" w:name="_Toc367094632"/>
      <w:bookmarkStart w:id="197" w:name="_Toc289521926"/>
      <w:bookmarkStart w:id="198" w:name="_Toc294444979"/>
      <w:bookmarkStart w:id="199" w:name="_Toc292373153"/>
      <w:r>
        <w:rPr>
          <w:rFonts w:hint="eastAsia" w:ascii="宋体" w:hAnsi="宋体" w:eastAsia="宋体" w:cs="宋体"/>
          <w:color w:val="auto"/>
          <w:sz w:val="24"/>
          <w:szCs w:val="24"/>
          <w:highlight w:val="none"/>
          <w:lang w:val="en-US" w:eastAsia="zh-CN"/>
        </w:rPr>
        <w:t>6.1 投标人需安排所有监测人员在监测期开始前至少提前 15 日，着手开展前期交接、监测、配合等工作。</w:t>
      </w:r>
    </w:p>
    <w:p>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 xml:space="preserve">6.2 </w:t>
      </w:r>
      <w:r>
        <w:rPr>
          <w:rFonts w:hint="eastAsia" w:ascii="宋体" w:hAnsi="宋体" w:eastAsia="宋体" w:cs="宋体"/>
          <w:color w:val="auto"/>
          <w:sz w:val="24"/>
          <w:szCs w:val="24"/>
          <w:highlight w:val="none"/>
        </w:rPr>
        <w:t>投标</w:t>
      </w:r>
      <w:r>
        <w:rPr>
          <w:rFonts w:hint="eastAsia" w:ascii="宋体" w:hAnsi="宋体" w:eastAsia="宋体" w:cs="宋体"/>
          <w:color w:val="auto"/>
          <w:sz w:val="24"/>
          <w:szCs w:val="24"/>
          <w:highlight w:val="none"/>
          <w:lang w:eastAsia="zh-CN"/>
        </w:rPr>
        <w:t>人</w:t>
      </w:r>
      <w:r>
        <w:rPr>
          <w:rFonts w:hint="eastAsia" w:ascii="宋体" w:hAnsi="宋体" w:eastAsia="宋体" w:cs="宋体"/>
          <w:color w:val="auto"/>
          <w:sz w:val="24"/>
          <w:szCs w:val="24"/>
          <w:highlight w:val="none"/>
        </w:rPr>
        <w:t>必须保证本项目人员稳定，保证项目</w:t>
      </w:r>
      <w:r>
        <w:rPr>
          <w:rFonts w:hint="eastAsia" w:ascii="宋体" w:hAnsi="宋体" w:eastAsia="宋体" w:cs="宋体"/>
          <w:color w:val="auto"/>
          <w:sz w:val="24"/>
          <w:szCs w:val="24"/>
          <w:highlight w:val="none"/>
          <w:lang w:val="en-US" w:eastAsia="zh-CN"/>
        </w:rPr>
        <w:t>监测</w:t>
      </w:r>
      <w:r>
        <w:rPr>
          <w:rFonts w:hint="eastAsia" w:ascii="宋体" w:hAnsi="宋体" w:eastAsia="宋体" w:cs="宋体"/>
          <w:color w:val="auto"/>
          <w:sz w:val="24"/>
          <w:szCs w:val="24"/>
          <w:highlight w:val="none"/>
        </w:rPr>
        <w:t>工作按期按质按量完成。</w:t>
      </w:r>
    </w:p>
    <w:p>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 xml:space="preserve">6.3 </w:t>
      </w:r>
      <w:r>
        <w:rPr>
          <w:rFonts w:hint="eastAsia" w:ascii="宋体" w:hAnsi="宋体" w:eastAsia="宋体" w:cs="宋体"/>
          <w:color w:val="auto"/>
          <w:sz w:val="24"/>
          <w:szCs w:val="24"/>
          <w:highlight w:val="none"/>
        </w:rPr>
        <w:t>投标人必须严格执行国家相关的法律法规、行业标准及招标人制定的相关规程、规范和管理规定。</w:t>
      </w:r>
    </w:p>
    <w:p>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 xml:space="preserve">6.4 </w:t>
      </w:r>
      <w:r>
        <w:rPr>
          <w:rFonts w:hint="eastAsia" w:ascii="宋体" w:hAnsi="宋体" w:eastAsia="宋体" w:cs="宋体"/>
          <w:color w:val="auto"/>
          <w:sz w:val="24"/>
          <w:szCs w:val="24"/>
          <w:highlight w:val="none"/>
        </w:rPr>
        <w:t>投标人必须按招标人审核的</w:t>
      </w:r>
      <w:r>
        <w:rPr>
          <w:rFonts w:hint="eastAsia" w:ascii="宋体" w:hAnsi="宋体" w:eastAsia="宋体" w:cs="宋体"/>
          <w:color w:val="auto"/>
          <w:sz w:val="24"/>
          <w:szCs w:val="24"/>
          <w:highlight w:val="none"/>
          <w:lang w:val="en-US" w:eastAsia="zh-CN"/>
        </w:rPr>
        <w:t>监测</w:t>
      </w:r>
      <w:r>
        <w:rPr>
          <w:rFonts w:hint="eastAsia" w:ascii="宋体" w:hAnsi="宋体" w:eastAsia="宋体" w:cs="宋体"/>
          <w:color w:val="auto"/>
          <w:sz w:val="24"/>
          <w:szCs w:val="24"/>
          <w:highlight w:val="none"/>
        </w:rPr>
        <w:t>计划</w:t>
      </w:r>
      <w:r>
        <w:rPr>
          <w:rFonts w:hint="eastAsia" w:ascii="宋体" w:hAnsi="宋体" w:eastAsia="宋体" w:cs="宋体"/>
          <w:color w:val="auto"/>
          <w:sz w:val="24"/>
          <w:szCs w:val="24"/>
          <w:highlight w:val="none"/>
          <w:lang w:val="en-US" w:eastAsia="zh-CN"/>
        </w:rPr>
        <w:t>开展监测工作</w:t>
      </w:r>
      <w:r>
        <w:rPr>
          <w:rFonts w:hint="eastAsia" w:ascii="宋体" w:hAnsi="宋体" w:eastAsia="宋体" w:cs="宋体"/>
          <w:color w:val="auto"/>
          <w:sz w:val="24"/>
          <w:szCs w:val="24"/>
          <w:highlight w:val="none"/>
        </w:rPr>
        <w:t>，并接受招标人对</w:t>
      </w:r>
      <w:r>
        <w:rPr>
          <w:rFonts w:hint="eastAsia" w:ascii="宋体" w:hAnsi="宋体" w:eastAsia="宋体" w:cs="宋体"/>
          <w:color w:val="auto"/>
          <w:sz w:val="24"/>
          <w:szCs w:val="24"/>
          <w:highlight w:val="none"/>
          <w:lang w:val="en-US" w:eastAsia="zh-CN"/>
        </w:rPr>
        <w:t>工作</w:t>
      </w:r>
      <w:r>
        <w:rPr>
          <w:rFonts w:hint="eastAsia" w:ascii="宋体" w:hAnsi="宋体" w:eastAsia="宋体" w:cs="宋体"/>
          <w:color w:val="auto"/>
          <w:sz w:val="24"/>
          <w:szCs w:val="24"/>
          <w:highlight w:val="none"/>
        </w:rPr>
        <w:t>进度</w:t>
      </w:r>
      <w:r>
        <w:rPr>
          <w:rFonts w:hint="eastAsia" w:ascii="宋体" w:hAnsi="宋体" w:eastAsia="宋体" w:cs="宋体"/>
          <w:color w:val="auto"/>
          <w:sz w:val="24"/>
          <w:szCs w:val="24"/>
          <w:highlight w:val="none"/>
          <w:lang w:val="en-US" w:eastAsia="zh-CN"/>
        </w:rPr>
        <w:t>和质量</w:t>
      </w:r>
      <w:r>
        <w:rPr>
          <w:rFonts w:hint="eastAsia" w:ascii="宋体" w:hAnsi="宋体" w:eastAsia="宋体" w:cs="宋体"/>
          <w:color w:val="auto"/>
          <w:sz w:val="24"/>
          <w:szCs w:val="24"/>
          <w:highlight w:val="none"/>
        </w:rPr>
        <w:t>的检查、监督。</w:t>
      </w:r>
    </w:p>
    <w:p>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 xml:space="preserve">6.5 </w:t>
      </w:r>
      <w:r>
        <w:rPr>
          <w:rFonts w:hint="eastAsia" w:ascii="宋体" w:hAnsi="宋体" w:eastAsia="宋体" w:cs="宋体"/>
          <w:color w:val="auto"/>
          <w:sz w:val="24"/>
          <w:szCs w:val="24"/>
          <w:highlight w:val="none"/>
        </w:rPr>
        <w:t>当</w:t>
      </w:r>
      <w:r>
        <w:rPr>
          <w:rFonts w:hint="eastAsia" w:ascii="宋体" w:hAnsi="宋体" w:eastAsia="宋体" w:cs="宋体"/>
          <w:color w:val="auto"/>
          <w:sz w:val="24"/>
          <w:szCs w:val="24"/>
          <w:highlight w:val="none"/>
          <w:lang w:val="en-US" w:eastAsia="zh-CN"/>
        </w:rPr>
        <w:t>监测</w:t>
      </w:r>
      <w:r>
        <w:rPr>
          <w:rFonts w:hint="eastAsia" w:ascii="宋体" w:hAnsi="宋体" w:eastAsia="宋体" w:cs="宋体"/>
          <w:color w:val="auto"/>
          <w:sz w:val="24"/>
          <w:szCs w:val="24"/>
          <w:highlight w:val="none"/>
        </w:rPr>
        <w:t>工作按计划完成有困难时，投标人应及时调整人力、物力或采取相应措施，并向招标人报告，否则</w:t>
      </w:r>
      <w:r>
        <w:rPr>
          <w:rFonts w:hint="eastAsia" w:ascii="宋体" w:hAnsi="宋体" w:eastAsia="宋体" w:cs="宋体"/>
          <w:color w:val="auto"/>
          <w:sz w:val="24"/>
          <w:szCs w:val="24"/>
          <w:highlight w:val="none"/>
          <w:lang w:val="en-US" w:eastAsia="zh-CN"/>
        </w:rPr>
        <w:t>按照未</w:t>
      </w:r>
      <w:r>
        <w:rPr>
          <w:rFonts w:hint="eastAsia" w:ascii="宋体" w:hAnsi="宋体" w:eastAsia="宋体" w:cs="宋体"/>
          <w:color w:val="auto"/>
          <w:sz w:val="24"/>
          <w:szCs w:val="24"/>
          <w:highlight w:val="none"/>
        </w:rPr>
        <w:t>完成项目</w:t>
      </w:r>
      <w:r>
        <w:rPr>
          <w:rFonts w:hint="eastAsia" w:ascii="宋体" w:hAnsi="宋体" w:eastAsia="宋体" w:cs="宋体"/>
          <w:color w:val="auto"/>
          <w:sz w:val="24"/>
          <w:szCs w:val="24"/>
          <w:highlight w:val="none"/>
          <w:lang w:val="en-US" w:eastAsia="zh-CN"/>
        </w:rPr>
        <w:t>进行</w:t>
      </w:r>
      <w:r>
        <w:rPr>
          <w:rFonts w:hint="eastAsia" w:ascii="宋体" w:hAnsi="宋体" w:eastAsia="宋体" w:cs="宋体"/>
          <w:color w:val="auto"/>
          <w:sz w:val="24"/>
          <w:szCs w:val="24"/>
          <w:highlight w:val="none"/>
        </w:rPr>
        <w:t>考核。</w:t>
      </w:r>
    </w:p>
    <w:p>
      <w:pPr>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6.6 投标人向招标人提供的隧道结构技术状况评价，评价实施前需提前向招标人报专项实施方案进行审核，待批准后实施。三维激光扫描进场前，相应检测人员、设备仪器需提前报备招标人，报备资料需含各项性能参数，待签字确认无误后方可实施。</w:t>
      </w:r>
    </w:p>
    <w:p>
      <w:pPr>
        <w:pStyle w:val="11"/>
        <w:tabs>
          <w:tab w:val="left" w:pos="840"/>
          <w:tab w:val="left" w:pos="2098"/>
        </w:tabs>
        <w:adjustRightInd/>
        <w:spacing w:before="0" w:after="0" w:line="360" w:lineRule="auto"/>
        <w:ind w:left="0" w:firstLine="0"/>
        <w:jc w:val="both"/>
        <w:textAlignment w:val="auto"/>
        <w:rPr>
          <w:rFonts w:hint="eastAsia" w:ascii="宋体" w:hAnsi="宋体" w:eastAsia="宋体" w:cs="宋体"/>
          <w:b/>
          <w:bCs/>
          <w:color w:val="auto"/>
          <w:kern w:val="2"/>
          <w:sz w:val="24"/>
          <w:szCs w:val="24"/>
          <w:highlight w:val="none"/>
          <w:lang w:val="en-US" w:eastAsia="zh-CN"/>
        </w:rPr>
      </w:pPr>
      <w:bookmarkStart w:id="200" w:name="_Toc26833"/>
      <w:r>
        <w:rPr>
          <w:rFonts w:hint="eastAsia" w:ascii="宋体" w:hAnsi="宋体" w:eastAsia="宋体" w:cs="宋体"/>
          <w:b/>
          <w:bCs/>
          <w:color w:val="auto"/>
          <w:kern w:val="2"/>
          <w:sz w:val="24"/>
          <w:szCs w:val="24"/>
          <w:highlight w:val="none"/>
          <w:lang w:val="en-US" w:eastAsia="zh-CN"/>
        </w:rPr>
        <w:t>7 项目对安全管理的要求</w:t>
      </w:r>
      <w:bookmarkEnd w:id="191"/>
      <w:bookmarkEnd w:id="192"/>
      <w:bookmarkEnd w:id="193"/>
      <w:bookmarkEnd w:id="194"/>
      <w:bookmarkEnd w:id="200"/>
    </w:p>
    <w:bookmarkEnd w:id="175"/>
    <w:bookmarkEnd w:id="176"/>
    <w:bookmarkEnd w:id="177"/>
    <w:bookmarkEnd w:id="195"/>
    <w:bookmarkEnd w:id="196"/>
    <w:bookmarkEnd w:id="197"/>
    <w:bookmarkEnd w:id="198"/>
    <w:bookmarkEnd w:id="199"/>
    <w:p>
      <w:pPr>
        <w:spacing w:line="360" w:lineRule="auto"/>
        <w:ind w:firstLine="480" w:firstLineChars="200"/>
        <w:rPr>
          <w:rFonts w:hint="eastAsia" w:ascii="宋体" w:hAnsi="宋体" w:eastAsia="宋体" w:cs="宋体"/>
          <w:color w:val="auto"/>
          <w:sz w:val="24"/>
          <w:szCs w:val="24"/>
          <w:highlight w:val="none"/>
          <w:lang w:eastAsia="zh-CN"/>
        </w:rPr>
      </w:pPr>
      <w:bookmarkStart w:id="201" w:name="_Toc289521927"/>
      <w:bookmarkStart w:id="202" w:name="_Toc290547331"/>
      <w:bookmarkStart w:id="203" w:name="_Toc367094633"/>
      <w:bookmarkStart w:id="204" w:name="_Toc292373154"/>
      <w:bookmarkStart w:id="205" w:name="_Toc294444980"/>
      <w:bookmarkStart w:id="206" w:name="_Toc348894808"/>
      <w:bookmarkStart w:id="207" w:name="_Toc3551209"/>
      <w:bookmarkStart w:id="208" w:name="_Toc533073154"/>
      <w:r>
        <w:rPr>
          <w:rFonts w:hint="eastAsia" w:ascii="宋体" w:hAnsi="宋体" w:eastAsia="宋体" w:cs="宋体"/>
          <w:color w:val="auto"/>
          <w:sz w:val="24"/>
          <w:szCs w:val="24"/>
          <w:highlight w:val="none"/>
          <w:lang w:eastAsia="zh-CN"/>
        </w:rPr>
        <w:t>投标人应严格</w:t>
      </w:r>
      <w:r>
        <w:rPr>
          <w:rFonts w:hint="eastAsia" w:ascii="宋体" w:hAnsi="宋体" w:eastAsia="宋体" w:cs="宋体"/>
          <w:color w:val="auto"/>
          <w:sz w:val="24"/>
          <w:szCs w:val="24"/>
          <w:highlight w:val="none"/>
          <w:lang w:val="en-US" w:eastAsia="zh-CN"/>
        </w:rPr>
        <w:t>遵守</w:t>
      </w:r>
      <w:r>
        <w:rPr>
          <w:rFonts w:hint="eastAsia" w:ascii="宋体" w:hAnsi="宋体" w:eastAsia="宋体" w:cs="宋体"/>
          <w:color w:val="auto"/>
          <w:sz w:val="24"/>
          <w:szCs w:val="24"/>
          <w:highlight w:val="none"/>
          <w:lang w:eastAsia="zh-CN"/>
        </w:rPr>
        <w:t>现行国家及有关部门颁布的安全法规、规范和规定，对本项目实施安全管理，强化现场作业管理，确保安全施工，杜绝一切人身伤亡事故的发生。</w:t>
      </w:r>
    </w:p>
    <w:p>
      <w:pPr>
        <w:spacing w:line="360" w:lineRule="auto"/>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7.1 投标人必须秉持“安全第一，预防为主，综合治理”的方针，持续开展安全长效教育，将安全理念教育与生产作业环节紧密结合，切实落实南通轨道交通安全风险源防范教育责任，切实履行现场防触电、防误操作、防侵限、防火灾隐患等安全管理职责，确保人身、设备、行车、消防等方面的安全。</w:t>
      </w:r>
    </w:p>
    <w:p>
      <w:pPr>
        <w:spacing w:line="360" w:lineRule="auto"/>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7.2 投标人必须严格依照《中华人民共和国安全生产法》《江苏省安全生产条例》及招标人《南通轨道交通集团有限公司运营分公司安全生产管理办法》等法律法规和规定的要求，层层落实安全生产责任。</w:t>
      </w:r>
    </w:p>
    <w:p>
      <w:pPr>
        <w:spacing w:line="360" w:lineRule="auto"/>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7.3 招标人在进行监督检查时，若发现投标人违反安全管理规定，对人身、设备、行车、消防等安全造成影响的，应予以制止，必要时责令停止作业，由此产生的后果由投标人承担。</w:t>
      </w:r>
    </w:p>
    <w:p>
      <w:pPr>
        <w:spacing w:line="360" w:lineRule="auto"/>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7.4 因维保管理不善导致人员工伤的，由投标人负责办理理赔事宜；造成第三方损失的，由投标人独立应诉并承担相关费用。</w:t>
      </w:r>
    </w:p>
    <w:p>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7.5 因维保管理不善，在安全管理和技术管理方面存在缺陷，导致轨道交通遭受重大损失的，应当进行责任赔偿；构成违法犯罪的，移交公安机关处理。</w:t>
      </w:r>
    </w:p>
    <w:bookmarkEnd w:id="201"/>
    <w:bookmarkEnd w:id="202"/>
    <w:bookmarkEnd w:id="203"/>
    <w:bookmarkEnd w:id="204"/>
    <w:bookmarkEnd w:id="205"/>
    <w:p>
      <w:pPr>
        <w:pStyle w:val="11"/>
        <w:tabs>
          <w:tab w:val="left" w:pos="840"/>
          <w:tab w:val="left" w:pos="2098"/>
        </w:tabs>
        <w:adjustRightInd/>
        <w:spacing w:before="0" w:after="0" w:line="360" w:lineRule="auto"/>
        <w:ind w:left="0" w:firstLine="0"/>
        <w:jc w:val="both"/>
        <w:textAlignment w:val="auto"/>
        <w:rPr>
          <w:rFonts w:hint="eastAsia" w:ascii="宋体" w:hAnsi="宋体" w:eastAsia="宋体" w:cs="宋体"/>
          <w:b/>
          <w:bCs/>
          <w:color w:val="auto"/>
          <w:kern w:val="2"/>
          <w:sz w:val="24"/>
          <w:szCs w:val="24"/>
          <w:highlight w:val="none"/>
          <w:lang w:val="en-US" w:eastAsia="zh-CN"/>
        </w:rPr>
      </w:pPr>
      <w:bookmarkStart w:id="209" w:name="_Toc289521928"/>
      <w:bookmarkStart w:id="210" w:name="_Toc7672"/>
      <w:r>
        <w:rPr>
          <w:rFonts w:hint="eastAsia" w:ascii="宋体" w:hAnsi="宋体" w:eastAsia="宋体" w:cs="宋体"/>
          <w:b/>
          <w:bCs/>
          <w:color w:val="auto"/>
          <w:kern w:val="2"/>
          <w:sz w:val="24"/>
          <w:szCs w:val="24"/>
          <w:highlight w:val="none"/>
          <w:lang w:val="en-US" w:eastAsia="zh-CN"/>
        </w:rPr>
        <w:t>8 项</w:t>
      </w:r>
      <w:bookmarkEnd w:id="209"/>
      <w:r>
        <w:rPr>
          <w:rFonts w:hint="eastAsia" w:ascii="宋体" w:hAnsi="宋体" w:eastAsia="宋体" w:cs="宋体"/>
          <w:b/>
          <w:bCs/>
          <w:color w:val="auto"/>
          <w:kern w:val="2"/>
          <w:sz w:val="24"/>
          <w:szCs w:val="24"/>
          <w:highlight w:val="none"/>
          <w:lang w:val="en-US" w:eastAsia="zh-CN"/>
        </w:rPr>
        <w:t>目对质量管理的要求</w:t>
      </w:r>
      <w:bookmarkEnd w:id="210"/>
    </w:p>
    <w:p>
      <w:pPr>
        <w:pStyle w:val="11"/>
        <w:tabs>
          <w:tab w:val="left" w:pos="840"/>
          <w:tab w:val="left" w:pos="2098"/>
        </w:tabs>
        <w:adjustRightInd/>
        <w:spacing w:before="0" w:after="0" w:line="360" w:lineRule="auto"/>
        <w:ind w:left="0" w:firstLine="0"/>
        <w:jc w:val="both"/>
        <w:textAlignment w:val="auto"/>
        <w:rPr>
          <w:rFonts w:hint="eastAsia" w:ascii="宋体" w:hAnsi="宋体" w:eastAsia="宋体" w:cs="宋体"/>
          <w:b/>
          <w:bCs/>
          <w:color w:val="auto"/>
          <w:kern w:val="2"/>
          <w:sz w:val="24"/>
          <w:szCs w:val="24"/>
          <w:highlight w:val="none"/>
          <w:lang w:val="en-US" w:eastAsia="zh-CN"/>
        </w:rPr>
      </w:pPr>
      <w:bookmarkStart w:id="211" w:name="_Toc7668"/>
      <w:bookmarkStart w:id="212" w:name="_Toc21079"/>
      <w:bookmarkStart w:id="213" w:name="_Toc10447"/>
      <w:bookmarkStart w:id="214" w:name="_Toc7436"/>
      <w:r>
        <w:rPr>
          <w:rFonts w:hint="eastAsia" w:ascii="宋体" w:hAnsi="宋体" w:eastAsia="宋体" w:cs="宋体"/>
          <w:b/>
          <w:bCs/>
          <w:color w:val="auto"/>
          <w:kern w:val="2"/>
          <w:sz w:val="24"/>
          <w:szCs w:val="24"/>
          <w:highlight w:val="none"/>
          <w:lang w:val="en-US" w:eastAsia="zh-CN"/>
        </w:rPr>
        <w:t>8.1 项目质量标准</w:t>
      </w:r>
      <w:bookmarkEnd w:id="211"/>
      <w:bookmarkEnd w:id="212"/>
      <w:bookmarkEnd w:id="213"/>
      <w:bookmarkEnd w:id="214"/>
    </w:p>
    <w:p>
      <w:pPr>
        <w:spacing w:line="360" w:lineRule="auto"/>
        <w:ind w:firstLine="480" w:firstLineChars="200"/>
        <w:rPr>
          <w:rFonts w:hint="eastAsia" w:ascii="宋体" w:hAnsi="宋体" w:eastAsia="宋体" w:cs="宋体"/>
          <w:color w:val="auto"/>
          <w:sz w:val="24"/>
          <w:szCs w:val="24"/>
          <w:highlight w:val="none"/>
        </w:rPr>
      </w:pPr>
      <w:bookmarkStart w:id="215" w:name="_Toc20219"/>
      <w:bookmarkStart w:id="216" w:name="_Toc12328"/>
      <w:bookmarkStart w:id="217" w:name="_Toc20619"/>
      <w:r>
        <w:rPr>
          <w:rFonts w:hint="eastAsia" w:ascii="宋体" w:hAnsi="宋体" w:eastAsia="宋体" w:cs="宋体"/>
          <w:color w:val="auto"/>
          <w:sz w:val="24"/>
          <w:szCs w:val="24"/>
          <w:highlight w:val="none"/>
          <w:lang w:val="en-US" w:eastAsia="zh-CN"/>
        </w:rPr>
        <w:t>8.1.1 投标人不得发生因自身原因导致的故障。</w:t>
      </w:r>
    </w:p>
    <w:p>
      <w:pPr>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8.1.2 月度/年度检修计划兑现率应为 100％（因招标人自身原因造成的情况除外）。</w:t>
      </w:r>
    </w:p>
    <w:p>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8.1.3 不发生捏造监测数据的情况。</w:t>
      </w:r>
    </w:p>
    <w:p>
      <w:pPr>
        <w:pStyle w:val="11"/>
        <w:tabs>
          <w:tab w:val="left" w:pos="840"/>
          <w:tab w:val="left" w:pos="2098"/>
        </w:tabs>
        <w:adjustRightInd/>
        <w:spacing w:before="0" w:after="0" w:line="360" w:lineRule="auto"/>
        <w:ind w:left="0" w:firstLine="0"/>
        <w:jc w:val="both"/>
        <w:textAlignment w:val="auto"/>
        <w:rPr>
          <w:rFonts w:hint="eastAsia" w:ascii="宋体" w:hAnsi="宋体" w:eastAsia="宋体" w:cs="宋体"/>
          <w:b/>
          <w:bCs/>
          <w:color w:val="auto"/>
          <w:kern w:val="2"/>
          <w:sz w:val="24"/>
          <w:szCs w:val="24"/>
          <w:highlight w:val="none"/>
          <w:lang w:val="en-US" w:eastAsia="zh-CN"/>
        </w:rPr>
      </w:pPr>
      <w:bookmarkStart w:id="218" w:name="_Toc27041"/>
      <w:r>
        <w:rPr>
          <w:rFonts w:hint="eastAsia" w:ascii="宋体" w:hAnsi="宋体" w:eastAsia="宋体" w:cs="宋体"/>
          <w:b/>
          <w:bCs/>
          <w:color w:val="auto"/>
          <w:kern w:val="2"/>
          <w:sz w:val="24"/>
          <w:szCs w:val="24"/>
          <w:highlight w:val="none"/>
          <w:lang w:val="en-US" w:eastAsia="zh-CN"/>
        </w:rPr>
        <w:t>8.2 项目其他管理要求</w:t>
      </w:r>
      <w:bookmarkEnd w:id="215"/>
      <w:bookmarkEnd w:id="216"/>
      <w:bookmarkEnd w:id="217"/>
      <w:bookmarkEnd w:id="218"/>
    </w:p>
    <w:p>
      <w:pPr>
        <w:spacing w:line="360" w:lineRule="auto"/>
        <w:ind w:firstLine="480" w:firstLineChars="200"/>
        <w:rPr>
          <w:rFonts w:hint="eastAsia" w:ascii="宋体" w:hAnsi="宋体" w:eastAsia="宋体" w:cs="宋体"/>
          <w:color w:val="auto"/>
          <w:sz w:val="24"/>
          <w:szCs w:val="24"/>
          <w:highlight w:val="none"/>
        </w:rPr>
      </w:pPr>
      <w:bookmarkStart w:id="219" w:name="_Toc367094635"/>
      <w:bookmarkStart w:id="220" w:name="_Toc290547333"/>
      <w:bookmarkStart w:id="221" w:name="_Toc292373156"/>
      <w:bookmarkStart w:id="222" w:name="_Toc294444982"/>
      <w:r>
        <w:rPr>
          <w:rFonts w:hint="eastAsia" w:ascii="宋体" w:hAnsi="宋体" w:eastAsia="宋体" w:cs="宋体"/>
          <w:color w:val="auto"/>
          <w:sz w:val="24"/>
          <w:szCs w:val="24"/>
          <w:highlight w:val="none"/>
          <w:lang w:val="en-US" w:eastAsia="zh-CN"/>
        </w:rPr>
        <w:t xml:space="preserve">8.2.1 </w:t>
      </w: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必须认真贯彻执行</w:t>
      </w:r>
      <w:r>
        <w:rPr>
          <w:rFonts w:hint="eastAsia" w:ascii="宋体" w:hAnsi="宋体" w:eastAsia="宋体" w:cs="宋体"/>
          <w:color w:val="auto"/>
          <w:sz w:val="24"/>
          <w:szCs w:val="24"/>
          <w:highlight w:val="none"/>
          <w:lang w:eastAsia="zh-CN"/>
        </w:rPr>
        <w:t>招标人</w:t>
      </w:r>
      <w:r>
        <w:rPr>
          <w:rFonts w:hint="eastAsia" w:ascii="宋体" w:hAnsi="宋体" w:eastAsia="宋体" w:cs="宋体"/>
          <w:color w:val="auto"/>
          <w:sz w:val="24"/>
          <w:szCs w:val="24"/>
          <w:highlight w:val="none"/>
        </w:rPr>
        <w:t>质量保证体系。以完整的质量管理体系对待每一项</w:t>
      </w:r>
      <w:r>
        <w:rPr>
          <w:rFonts w:hint="eastAsia" w:ascii="宋体" w:hAnsi="宋体" w:eastAsia="宋体" w:cs="宋体"/>
          <w:color w:val="auto"/>
          <w:sz w:val="24"/>
          <w:szCs w:val="24"/>
          <w:highlight w:val="none"/>
          <w:lang w:val="en-US" w:eastAsia="zh-CN"/>
        </w:rPr>
        <w:t>维保</w:t>
      </w:r>
      <w:r>
        <w:rPr>
          <w:rFonts w:hint="eastAsia" w:ascii="宋体" w:hAnsi="宋体" w:eastAsia="宋体" w:cs="宋体"/>
          <w:color w:val="auto"/>
          <w:sz w:val="24"/>
          <w:szCs w:val="24"/>
          <w:highlight w:val="none"/>
        </w:rPr>
        <w:t>工作，对</w:t>
      </w:r>
      <w:r>
        <w:rPr>
          <w:rFonts w:hint="eastAsia" w:ascii="宋体" w:hAnsi="宋体" w:eastAsia="宋体" w:cs="宋体"/>
          <w:color w:val="auto"/>
          <w:sz w:val="24"/>
          <w:szCs w:val="24"/>
          <w:highlight w:val="none"/>
          <w:lang w:val="en-US" w:eastAsia="zh-CN"/>
        </w:rPr>
        <w:t>维保</w:t>
      </w:r>
      <w:r>
        <w:rPr>
          <w:rFonts w:hint="eastAsia" w:ascii="宋体" w:hAnsi="宋体" w:eastAsia="宋体" w:cs="宋体"/>
          <w:color w:val="auto"/>
          <w:sz w:val="24"/>
          <w:szCs w:val="24"/>
          <w:highlight w:val="none"/>
        </w:rPr>
        <w:t>质量严格</w:t>
      </w:r>
      <w:r>
        <w:rPr>
          <w:rFonts w:hint="eastAsia" w:ascii="宋体" w:hAnsi="宋体" w:eastAsia="宋体" w:cs="宋体"/>
          <w:color w:val="auto"/>
          <w:sz w:val="24"/>
          <w:szCs w:val="24"/>
          <w:highlight w:val="none"/>
          <w:lang w:val="en-US" w:eastAsia="zh-CN"/>
        </w:rPr>
        <w:t>把关</w:t>
      </w:r>
      <w:r>
        <w:rPr>
          <w:rFonts w:hint="eastAsia" w:ascii="宋体" w:hAnsi="宋体" w:eastAsia="宋体" w:cs="宋体"/>
          <w:color w:val="auto"/>
          <w:sz w:val="24"/>
          <w:szCs w:val="24"/>
          <w:highlight w:val="none"/>
        </w:rPr>
        <w:t>。</w:t>
      </w:r>
    </w:p>
    <w:p>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 xml:space="preserve">8.2.2 </w:t>
      </w: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必须加强对员工的质量意识教育，充分调动所有人员的积极性，增强人的责任感，抓好作业过程中的质量控制，加大质量管理和质量检验力度，接受</w:t>
      </w:r>
      <w:r>
        <w:rPr>
          <w:rFonts w:hint="eastAsia" w:ascii="宋体" w:hAnsi="宋体" w:eastAsia="宋体" w:cs="宋体"/>
          <w:color w:val="auto"/>
          <w:sz w:val="24"/>
          <w:szCs w:val="24"/>
          <w:highlight w:val="none"/>
          <w:lang w:eastAsia="zh-CN"/>
        </w:rPr>
        <w:t>招标人</w:t>
      </w:r>
      <w:r>
        <w:rPr>
          <w:rFonts w:hint="eastAsia" w:ascii="宋体" w:hAnsi="宋体" w:eastAsia="宋体" w:cs="宋体"/>
          <w:color w:val="auto"/>
          <w:sz w:val="24"/>
          <w:szCs w:val="24"/>
          <w:highlight w:val="none"/>
        </w:rPr>
        <w:t>的检查</w:t>
      </w:r>
      <w:r>
        <w:rPr>
          <w:rFonts w:hint="eastAsia" w:ascii="宋体" w:hAnsi="宋体" w:eastAsia="宋体" w:cs="宋体"/>
          <w:color w:val="auto"/>
          <w:sz w:val="24"/>
          <w:szCs w:val="24"/>
          <w:highlight w:val="none"/>
          <w:lang w:val="en-US" w:eastAsia="zh-CN"/>
        </w:rPr>
        <w:t>与</w:t>
      </w:r>
      <w:r>
        <w:rPr>
          <w:rFonts w:hint="eastAsia" w:ascii="宋体" w:hAnsi="宋体" w:eastAsia="宋体" w:cs="宋体"/>
          <w:color w:val="auto"/>
          <w:sz w:val="24"/>
          <w:szCs w:val="24"/>
          <w:highlight w:val="none"/>
        </w:rPr>
        <w:t>监督。</w:t>
      </w:r>
    </w:p>
    <w:p>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 xml:space="preserve">8.2.3 </w:t>
      </w: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必须保证所填资料真实、完整、规范、及时</w:t>
      </w:r>
      <w:r>
        <w:rPr>
          <w:rFonts w:hint="eastAsia" w:ascii="宋体" w:hAnsi="宋体" w:eastAsia="宋体" w:cs="宋体"/>
          <w:color w:val="auto"/>
          <w:sz w:val="24"/>
          <w:szCs w:val="24"/>
          <w:highlight w:val="none"/>
          <w:lang w:val="en-US" w:eastAsia="zh-CN"/>
        </w:rPr>
        <w:t>且</w:t>
      </w:r>
      <w:r>
        <w:rPr>
          <w:rFonts w:hint="eastAsia" w:ascii="宋体" w:hAnsi="宋体" w:eastAsia="宋体" w:cs="宋体"/>
          <w:color w:val="auto"/>
          <w:sz w:val="24"/>
          <w:szCs w:val="24"/>
          <w:highlight w:val="none"/>
        </w:rPr>
        <w:t>满足要求。</w:t>
      </w:r>
    </w:p>
    <w:p>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8.2.4 维保</w:t>
      </w:r>
      <w:r>
        <w:rPr>
          <w:rFonts w:hint="eastAsia" w:ascii="宋体" w:hAnsi="宋体" w:eastAsia="宋体" w:cs="宋体"/>
          <w:color w:val="auto"/>
          <w:sz w:val="24"/>
          <w:szCs w:val="24"/>
          <w:highlight w:val="none"/>
        </w:rPr>
        <w:t>过程中</w:t>
      </w:r>
      <w:r>
        <w:rPr>
          <w:rFonts w:hint="eastAsia" w:ascii="宋体" w:hAnsi="宋体" w:eastAsia="宋体" w:cs="宋体"/>
          <w:color w:val="auto"/>
          <w:sz w:val="24"/>
          <w:szCs w:val="24"/>
          <w:highlight w:val="none"/>
          <w:lang w:val="en-US" w:eastAsia="zh-CN"/>
        </w:rPr>
        <w:t>若</w:t>
      </w:r>
      <w:r>
        <w:rPr>
          <w:rFonts w:hint="eastAsia" w:ascii="宋体" w:hAnsi="宋体" w:eastAsia="宋体" w:cs="宋体"/>
          <w:color w:val="auto"/>
          <w:sz w:val="24"/>
          <w:szCs w:val="24"/>
          <w:highlight w:val="none"/>
        </w:rPr>
        <w:t>发生质量问题或质量事故，</w:t>
      </w: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lang w:val="en-US" w:eastAsia="zh-CN"/>
        </w:rPr>
        <w:t>应</w:t>
      </w:r>
      <w:r>
        <w:rPr>
          <w:rFonts w:hint="eastAsia" w:ascii="宋体" w:hAnsi="宋体" w:eastAsia="宋体" w:cs="宋体"/>
          <w:color w:val="auto"/>
          <w:sz w:val="24"/>
          <w:szCs w:val="24"/>
          <w:highlight w:val="none"/>
        </w:rPr>
        <w:t>及时报告</w:t>
      </w:r>
      <w:r>
        <w:rPr>
          <w:rFonts w:hint="eastAsia" w:ascii="宋体" w:hAnsi="宋体" w:eastAsia="宋体" w:cs="宋体"/>
          <w:color w:val="auto"/>
          <w:sz w:val="24"/>
          <w:szCs w:val="24"/>
          <w:highlight w:val="none"/>
          <w:lang w:eastAsia="zh-CN"/>
        </w:rPr>
        <w:t>招标人</w:t>
      </w:r>
      <w:r>
        <w:rPr>
          <w:rFonts w:hint="eastAsia" w:ascii="宋体" w:hAnsi="宋体" w:eastAsia="宋体" w:cs="宋体"/>
          <w:color w:val="auto"/>
          <w:sz w:val="24"/>
          <w:szCs w:val="24"/>
          <w:highlight w:val="none"/>
        </w:rPr>
        <w:t>。</w:t>
      </w:r>
    </w:p>
    <w:p>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 xml:space="preserve">8.2.5 </w:t>
      </w: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lang w:val="en-US" w:eastAsia="zh-CN"/>
        </w:rPr>
        <w:t>必须</w:t>
      </w:r>
      <w:r>
        <w:rPr>
          <w:rFonts w:hint="eastAsia" w:ascii="宋体" w:hAnsi="宋体" w:eastAsia="宋体" w:cs="宋体"/>
          <w:color w:val="auto"/>
          <w:sz w:val="24"/>
          <w:szCs w:val="24"/>
          <w:highlight w:val="none"/>
        </w:rPr>
        <w:t>保证给予</w:t>
      </w:r>
      <w:r>
        <w:rPr>
          <w:rFonts w:hint="eastAsia" w:ascii="宋体" w:hAnsi="宋体" w:eastAsia="宋体" w:cs="宋体"/>
          <w:color w:val="auto"/>
          <w:sz w:val="24"/>
          <w:szCs w:val="24"/>
          <w:highlight w:val="none"/>
          <w:lang w:eastAsia="zh-CN"/>
        </w:rPr>
        <w:t>招标人</w:t>
      </w:r>
      <w:r>
        <w:rPr>
          <w:rFonts w:hint="eastAsia" w:ascii="宋体" w:hAnsi="宋体" w:eastAsia="宋体" w:cs="宋体"/>
          <w:color w:val="auto"/>
          <w:sz w:val="24"/>
          <w:szCs w:val="24"/>
          <w:highlight w:val="none"/>
        </w:rPr>
        <w:t>人员在检查其服务管理体系和</w:t>
      </w:r>
      <w:r>
        <w:rPr>
          <w:rFonts w:hint="eastAsia" w:ascii="宋体" w:hAnsi="宋体" w:eastAsia="宋体" w:cs="宋体"/>
          <w:color w:val="auto"/>
          <w:sz w:val="24"/>
          <w:szCs w:val="24"/>
          <w:highlight w:val="none"/>
          <w:lang w:val="en-US" w:eastAsia="zh-CN"/>
        </w:rPr>
        <w:t>维保</w:t>
      </w:r>
      <w:r>
        <w:rPr>
          <w:rFonts w:hint="eastAsia" w:ascii="宋体" w:hAnsi="宋体" w:eastAsia="宋体" w:cs="宋体"/>
          <w:color w:val="auto"/>
          <w:sz w:val="24"/>
          <w:szCs w:val="24"/>
          <w:highlight w:val="none"/>
        </w:rPr>
        <w:t>的任一环节提供方便。</w:t>
      </w:r>
    </w:p>
    <w:p>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 xml:space="preserve">8.2.6 </w:t>
      </w: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必须保证对</w:t>
      </w:r>
      <w:r>
        <w:rPr>
          <w:rFonts w:hint="eastAsia" w:ascii="宋体" w:hAnsi="宋体" w:eastAsia="宋体" w:cs="宋体"/>
          <w:color w:val="auto"/>
          <w:sz w:val="24"/>
          <w:szCs w:val="24"/>
          <w:highlight w:val="none"/>
          <w:lang w:val="en-US" w:eastAsia="zh-CN"/>
        </w:rPr>
        <w:t>维保</w:t>
      </w:r>
      <w:r>
        <w:rPr>
          <w:rFonts w:hint="eastAsia" w:ascii="宋体" w:hAnsi="宋体" w:eastAsia="宋体" w:cs="宋体"/>
          <w:color w:val="auto"/>
          <w:sz w:val="24"/>
          <w:szCs w:val="24"/>
          <w:highlight w:val="none"/>
        </w:rPr>
        <w:t>工作使用的机具、设备、计量器具</w:t>
      </w:r>
      <w:r>
        <w:rPr>
          <w:rFonts w:hint="eastAsia" w:ascii="宋体" w:hAnsi="宋体" w:eastAsia="宋体" w:cs="宋体"/>
          <w:color w:val="auto"/>
          <w:sz w:val="24"/>
          <w:szCs w:val="24"/>
          <w:highlight w:val="none"/>
          <w:lang w:val="en-US" w:eastAsia="zh-CN"/>
        </w:rPr>
        <w:t>进行</w:t>
      </w:r>
      <w:r>
        <w:rPr>
          <w:rFonts w:hint="eastAsia" w:ascii="宋体" w:hAnsi="宋体" w:eastAsia="宋体" w:cs="宋体"/>
          <w:color w:val="auto"/>
          <w:sz w:val="24"/>
          <w:szCs w:val="24"/>
          <w:highlight w:val="none"/>
        </w:rPr>
        <w:t>严格管理，对施工用检验、测量</w:t>
      </w:r>
      <w:r>
        <w:rPr>
          <w:rFonts w:hint="eastAsia" w:ascii="宋体" w:hAnsi="宋体" w:eastAsia="宋体" w:cs="宋体"/>
          <w:color w:val="auto"/>
          <w:sz w:val="24"/>
          <w:szCs w:val="24"/>
          <w:highlight w:val="none"/>
          <w:lang w:val="en-US" w:eastAsia="zh-CN"/>
        </w:rPr>
        <w:t>和试验</w:t>
      </w:r>
      <w:r>
        <w:rPr>
          <w:rFonts w:hint="eastAsia" w:ascii="宋体" w:hAnsi="宋体" w:eastAsia="宋体" w:cs="宋体"/>
          <w:color w:val="auto"/>
          <w:sz w:val="24"/>
          <w:szCs w:val="24"/>
          <w:highlight w:val="none"/>
        </w:rPr>
        <w:t>设备在使用前进行仔细检查，</w:t>
      </w:r>
      <w:r>
        <w:rPr>
          <w:rFonts w:hint="eastAsia" w:ascii="宋体" w:hAnsi="宋体" w:eastAsia="宋体" w:cs="宋体"/>
          <w:color w:val="auto"/>
          <w:sz w:val="24"/>
          <w:szCs w:val="24"/>
          <w:highlight w:val="none"/>
          <w:lang w:val="en-US" w:eastAsia="zh-CN"/>
        </w:rPr>
        <w:t>确保</w:t>
      </w:r>
      <w:r>
        <w:rPr>
          <w:rFonts w:hint="eastAsia" w:ascii="宋体" w:hAnsi="宋体" w:eastAsia="宋体" w:cs="宋体"/>
          <w:color w:val="auto"/>
          <w:sz w:val="24"/>
          <w:szCs w:val="24"/>
          <w:highlight w:val="none"/>
        </w:rPr>
        <w:t>使用合格的计量器具。</w:t>
      </w: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对自行配备的工器具、设备等，需按要求进行送检，相关费用包含在</w:t>
      </w:r>
      <w:r>
        <w:rPr>
          <w:rFonts w:hint="eastAsia" w:ascii="宋体" w:hAnsi="宋体" w:eastAsia="宋体" w:cs="宋体"/>
          <w:color w:val="auto"/>
          <w:sz w:val="24"/>
          <w:szCs w:val="24"/>
          <w:highlight w:val="none"/>
          <w:lang w:val="en-US" w:eastAsia="zh-CN"/>
        </w:rPr>
        <w:t>维保</w:t>
      </w:r>
      <w:r>
        <w:rPr>
          <w:rFonts w:hint="eastAsia" w:ascii="宋体" w:hAnsi="宋体" w:eastAsia="宋体" w:cs="宋体"/>
          <w:color w:val="auto"/>
          <w:sz w:val="24"/>
          <w:szCs w:val="24"/>
          <w:highlight w:val="none"/>
        </w:rPr>
        <w:t>费用内。</w:t>
      </w:r>
    </w:p>
    <w:p>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8.2.7 投标人均须持有符合国家法律法规及行业规定的资格证书。</w:t>
      </w:r>
      <w:r>
        <w:rPr>
          <w:rFonts w:hint="eastAsia" w:ascii="宋体" w:hAnsi="宋体" w:eastAsia="宋体" w:cs="宋体"/>
          <w:color w:val="auto"/>
          <w:sz w:val="24"/>
          <w:szCs w:val="24"/>
          <w:highlight w:val="none"/>
        </w:rPr>
        <w:t>如遇国家</w:t>
      </w:r>
      <w:r>
        <w:rPr>
          <w:rFonts w:hint="eastAsia" w:ascii="宋体" w:hAnsi="宋体" w:eastAsia="宋体" w:cs="宋体"/>
          <w:color w:val="auto"/>
          <w:sz w:val="24"/>
          <w:szCs w:val="24"/>
          <w:highlight w:val="none"/>
          <w:lang w:eastAsia="zh-CN"/>
        </w:rPr>
        <w:t>法律法规</w:t>
      </w:r>
      <w:r>
        <w:rPr>
          <w:rFonts w:hint="eastAsia" w:ascii="宋体" w:hAnsi="宋体" w:eastAsia="宋体" w:cs="宋体"/>
          <w:color w:val="auto"/>
          <w:sz w:val="24"/>
          <w:szCs w:val="24"/>
          <w:highlight w:val="none"/>
        </w:rPr>
        <w:t>及行业规定调整，维保项目人员</w:t>
      </w:r>
      <w:r>
        <w:rPr>
          <w:rFonts w:hint="eastAsia" w:ascii="宋体" w:hAnsi="宋体" w:eastAsia="宋体" w:cs="宋体"/>
          <w:color w:val="auto"/>
          <w:sz w:val="24"/>
          <w:szCs w:val="24"/>
          <w:highlight w:val="none"/>
          <w:lang w:eastAsia="zh-CN"/>
        </w:rPr>
        <w:t>的</w:t>
      </w:r>
      <w:r>
        <w:rPr>
          <w:rFonts w:hint="eastAsia" w:ascii="宋体" w:hAnsi="宋体" w:eastAsia="宋体" w:cs="宋体"/>
          <w:color w:val="auto"/>
          <w:sz w:val="24"/>
          <w:szCs w:val="24"/>
          <w:highlight w:val="none"/>
        </w:rPr>
        <w:t>持证情况应相应调整，相关费用包含在维保费用内。</w:t>
      </w:r>
    </w:p>
    <w:p>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8.2.8 鉴于</w:t>
      </w:r>
      <w:r>
        <w:rPr>
          <w:rFonts w:hint="eastAsia" w:ascii="宋体" w:hAnsi="宋体" w:eastAsia="宋体" w:cs="宋体"/>
          <w:color w:val="auto"/>
          <w:sz w:val="24"/>
          <w:szCs w:val="24"/>
          <w:highlight w:val="none"/>
        </w:rPr>
        <w:t>轨道交通行业的特殊性，主要</w:t>
      </w:r>
      <w:r>
        <w:rPr>
          <w:rFonts w:hint="eastAsia" w:ascii="宋体" w:hAnsi="宋体" w:eastAsia="宋体" w:cs="宋体"/>
          <w:color w:val="auto"/>
          <w:sz w:val="24"/>
          <w:szCs w:val="24"/>
          <w:highlight w:val="none"/>
          <w:lang w:val="en-US" w:eastAsia="zh-CN"/>
        </w:rPr>
        <w:t>监测</w:t>
      </w:r>
      <w:r>
        <w:rPr>
          <w:rFonts w:hint="eastAsia" w:ascii="宋体" w:hAnsi="宋体" w:eastAsia="宋体" w:cs="宋体"/>
          <w:color w:val="auto"/>
          <w:sz w:val="24"/>
          <w:szCs w:val="24"/>
          <w:highlight w:val="none"/>
        </w:rPr>
        <w:t>工作均需在夜间停运</w:t>
      </w:r>
      <w:r>
        <w:rPr>
          <w:rFonts w:hint="eastAsia" w:ascii="宋体" w:hAnsi="宋体" w:eastAsia="宋体" w:cs="宋体"/>
          <w:color w:val="auto"/>
          <w:sz w:val="24"/>
          <w:szCs w:val="24"/>
          <w:highlight w:val="none"/>
          <w:lang w:val="en-US" w:eastAsia="zh-CN"/>
        </w:rPr>
        <w:t>后</w:t>
      </w:r>
      <w:r>
        <w:rPr>
          <w:rFonts w:hint="eastAsia" w:ascii="宋体" w:hAnsi="宋体" w:eastAsia="宋体" w:cs="宋体"/>
          <w:color w:val="auto"/>
          <w:sz w:val="24"/>
          <w:szCs w:val="24"/>
          <w:highlight w:val="none"/>
        </w:rPr>
        <w:t>进行。</w:t>
      </w:r>
    </w:p>
    <w:p>
      <w:pPr>
        <w:pStyle w:val="11"/>
        <w:tabs>
          <w:tab w:val="left" w:pos="840"/>
          <w:tab w:val="left" w:pos="2098"/>
        </w:tabs>
        <w:adjustRightInd/>
        <w:spacing w:before="0" w:after="0" w:line="360" w:lineRule="auto"/>
        <w:ind w:left="0" w:firstLine="0"/>
        <w:jc w:val="both"/>
        <w:textAlignment w:val="auto"/>
        <w:rPr>
          <w:rFonts w:hint="eastAsia" w:ascii="宋体" w:hAnsi="宋体" w:eastAsia="宋体" w:cs="宋体"/>
          <w:b/>
          <w:bCs/>
          <w:color w:val="auto"/>
          <w:kern w:val="2"/>
          <w:sz w:val="24"/>
          <w:szCs w:val="24"/>
          <w:highlight w:val="none"/>
          <w:lang w:val="en-US" w:eastAsia="zh-CN"/>
        </w:rPr>
      </w:pPr>
      <w:bookmarkStart w:id="223" w:name="_Toc30244"/>
      <w:r>
        <w:rPr>
          <w:rFonts w:hint="eastAsia" w:ascii="宋体" w:hAnsi="宋体" w:eastAsia="宋体" w:cs="宋体"/>
          <w:b/>
          <w:bCs/>
          <w:color w:val="auto"/>
          <w:kern w:val="2"/>
          <w:sz w:val="24"/>
          <w:szCs w:val="24"/>
          <w:highlight w:val="none"/>
          <w:lang w:val="en-US" w:eastAsia="zh-CN"/>
        </w:rPr>
        <w:t>9 项目对材料物资管理的要求</w:t>
      </w:r>
      <w:bookmarkEnd w:id="223"/>
    </w:p>
    <w:bookmarkEnd w:id="219"/>
    <w:bookmarkEnd w:id="220"/>
    <w:bookmarkEnd w:id="221"/>
    <w:bookmarkEnd w:id="222"/>
    <w:p>
      <w:pPr>
        <w:spacing w:line="360" w:lineRule="auto"/>
        <w:ind w:firstLine="480" w:firstLineChars="200"/>
        <w:rPr>
          <w:rFonts w:hint="eastAsia" w:ascii="宋体" w:hAnsi="宋体" w:eastAsia="宋体" w:cs="宋体"/>
          <w:color w:val="auto"/>
          <w:sz w:val="24"/>
          <w:szCs w:val="24"/>
          <w:highlight w:val="none"/>
        </w:rPr>
      </w:pPr>
      <w:bookmarkStart w:id="224" w:name="_Toc290547334"/>
      <w:bookmarkStart w:id="225" w:name="_Toc294444983"/>
      <w:bookmarkStart w:id="226" w:name="_Toc292373157"/>
      <w:bookmarkStart w:id="227" w:name="_Toc289521931"/>
      <w:bookmarkStart w:id="228" w:name="_Toc367094636"/>
      <w:r>
        <w:rPr>
          <w:rFonts w:hint="eastAsia" w:ascii="宋体" w:hAnsi="宋体" w:eastAsia="宋体" w:cs="宋体"/>
          <w:color w:val="auto"/>
          <w:sz w:val="24"/>
          <w:szCs w:val="24"/>
          <w:highlight w:val="none"/>
          <w:lang w:val="en-US" w:eastAsia="zh-CN"/>
        </w:rPr>
        <w:t xml:space="preserve">9.1 </w:t>
      </w: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应严格执行</w:t>
      </w:r>
      <w:r>
        <w:rPr>
          <w:rFonts w:hint="eastAsia" w:ascii="宋体" w:hAnsi="宋体" w:eastAsia="宋体" w:cs="宋体"/>
          <w:color w:val="auto"/>
          <w:sz w:val="24"/>
          <w:szCs w:val="24"/>
          <w:highlight w:val="none"/>
          <w:lang w:eastAsia="zh-CN"/>
        </w:rPr>
        <w:t>招标人</w:t>
      </w:r>
      <w:r>
        <w:rPr>
          <w:rFonts w:hint="eastAsia" w:ascii="宋体" w:hAnsi="宋体" w:eastAsia="宋体" w:cs="宋体"/>
          <w:color w:val="auto"/>
          <w:sz w:val="24"/>
          <w:szCs w:val="24"/>
          <w:highlight w:val="none"/>
        </w:rPr>
        <w:t>物资管理规定。</w:t>
      </w:r>
    </w:p>
    <w:p>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9.2 投标人应在维保项目启动前10日提交工器具一览表报招标人审核。该一览表应涵盖工器具的品种、规格、型号、数量、质量标准、检定证书以及有效期等。</w:t>
      </w:r>
    </w:p>
    <w:p>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 xml:space="preserve">9.3 </w:t>
      </w: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lang w:val="en-US" w:eastAsia="zh-CN"/>
        </w:rPr>
        <w:t>若</w:t>
      </w:r>
      <w:r>
        <w:rPr>
          <w:rFonts w:hint="eastAsia" w:ascii="宋体" w:hAnsi="宋体" w:eastAsia="宋体" w:cs="宋体"/>
          <w:color w:val="auto"/>
          <w:sz w:val="24"/>
          <w:szCs w:val="24"/>
          <w:highlight w:val="none"/>
        </w:rPr>
        <w:t>需使用</w:t>
      </w:r>
      <w:r>
        <w:rPr>
          <w:rFonts w:hint="eastAsia" w:ascii="宋体" w:hAnsi="宋体" w:eastAsia="宋体" w:cs="宋体"/>
          <w:color w:val="auto"/>
          <w:sz w:val="24"/>
          <w:szCs w:val="24"/>
          <w:highlight w:val="none"/>
          <w:lang w:eastAsia="zh-CN"/>
        </w:rPr>
        <w:t>招标人</w:t>
      </w:r>
      <w:r>
        <w:rPr>
          <w:rFonts w:hint="eastAsia" w:ascii="宋体" w:hAnsi="宋体" w:eastAsia="宋体" w:cs="宋体"/>
          <w:color w:val="auto"/>
          <w:sz w:val="24"/>
          <w:szCs w:val="24"/>
          <w:highlight w:val="none"/>
        </w:rPr>
        <w:t>的物资，</w:t>
      </w:r>
      <w:r>
        <w:rPr>
          <w:rFonts w:hint="eastAsia" w:ascii="宋体" w:hAnsi="宋体" w:eastAsia="宋体" w:cs="宋体"/>
          <w:color w:val="auto"/>
          <w:sz w:val="24"/>
          <w:szCs w:val="24"/>
          <w:highlight w:val="none"/>
          <w:lang w:val="en-US" w:eastAsia="zh-CN"/>
        </w:rPr>
        <w:t>应</w:t>
      </w:r>
      <w:r>
        <w:rPr>
          <w:rFonts w:hint="eastAsia" w:ascii="宋体" w:hAnsi="宋体" w:eastAsia="宋体" w:cs="宋体"/>
          <w:color w:val="auto"/>
          <w:sz w:val="24"/>
          <w:szCs w:val="24"/>
          <w:highlight w:val="none"/>
        </w:rPr>
        <w:t>履行借还手续</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在使用过程中，不得出现浪费和人为损坏的情况，使用完毕后应确保物资状态良好，若有损坏，投标人需负责维修或赔偿。</w:t>
      </w:r>
    </w:p>
    <w:p>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 xml:space="preserve">9.4 </w:t>
      </w: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应按国家相应标准、规范对使用的仪器</w:t>
      </w:r>
      <w:r>
        <w:rPr>
          <w:rFonts w:hint="eastAsia" w:ascii="宋体" w:hAnsi="宋体" w:eastAsia="宋体" w:cs="宋体"/>
          <w:color w:val="auto"/>
          <w:sz w:val="24"/>
          <w:szCs w:val="24"/>
          <w:highlight w:val="none"/>
          <w:lang w:val="en-US" w:eastAsia="zh-CN"/>
        </w:rPr>
        <w:t>进</w:t>
      </w:r>
      <w:r>
        <w:rPr>
          <w:rFonts w:hint="eastAsia" w:ascii="宋体" w:hAnsi="宋体" w:eastAsia="宋体" w:cs="宋体"/>
          <w:color w:val="auto"/>
          <w:sz w:val="24"/>
          <w:szCs w:val="24"/>
          <w:highlight w:val="none"/>
        </w:rPr>
        <w:t>行检测，以确保其能够达到应用标准。</w:t>
      </w:r>
    </w:p>
    <w:p>
      <w:pPr>
        <w:pStyle w:val="11"/>
        <w:tabs>
          <w:tab w:val="left" w:pos="840"/>
          <w:tab w:val="left" w:pos="2098"/>
        </w:tabs>
        <w:adjustRightInd/>
        <w:spacing w:before="0" w:after="0" w:line="360" w:lineRule="auto"/>
        <w:ind w:left="0" w:firstLine="0"/>
        <w:jc w:val="both"/>
        <w:textAlignment w:val="auto"/>
        <w:rPr>
          <w:rFonts w:hint="eastAsia" w:ascii="宋体" w:hAnsi="宋体" w:eastAsia="宋体" w:cs="宋体"/>
          <w:b/>
          <w:bCs/>
          <w:color w:val="auto"/>
          <w:kern w:val="2"/>
          <w:sz w:val="24"/>
          <w:szCs w:val="24"/>
          <w:highlight w:val="none"/>
          <w:lang w:val="en-US" w:eastAsia="zh-CN"/>
        </w:rPr>
      </w:pPr>
      <w:bookmarkStart w:id="229" w:name="_Toc19148"/>
      <w:r>
        <w:rPr>
          <w:rFonts w:hint="eastAsia" w:ascii="宋体" w:hAnsi="宋体" w:eastAsia="宋体" w:cs="宋体"/>
          <w:b/>
          <w:bCs/>
          <w:color w:val="auto"/>
          <w:kern w:val="2"/>
          <w:sz w:val="24"/>
          <w:szCs w:val="24"/>
          <w:highlight w:val="none"/>
          <w:lang w:val="en-US" w:eastAsia="zh-CN"/>
        </w:rPr>
        <w:t>10 项目对文明管理的要求</w:t>
      </w:r>
      <w:bookmarkEnd w:id="229"/>
    </w:p>
    <w:bookmarkEnd w:id="224"/>
    <w:bookmarkEnd w:id="225"/>
    <w:bookmarkEnd w:id="226"/>
    <w:bookmarkEnd w:id="227"/>
    <w:bookmarkEnd w:id="228"/>
    <w:p>
      <w:pPr>
        <w:spacing w:line="360" w:lineRule="auto"/>
        <w:ind w:firstLine="480" w:firstLineChars="200"/>
        <w:rPr>
          <w:rFonts w:hint="eastAsia" w:ascii="宋体" w:hAnsi="宋体" w:eastAsia="宋体" w:cs="宋体"/>
          <w:color w:val="auto"/>
          <w:sz w:val="24"/>
          <w:szCs w:val="24"/>
          <w:highlight w:val="none"/>
        </w:rPr>
      </w:pPr>
      <w:bookmarkStart w:id="230" w:name="_Toc290547335"/>
      <w:bookmarkStart w:id="231" w:name="_Toc292373158"/>
      <w:bookmarkStart w:id="232" w:name="_Toc289521936"/>
      <w:bookmarkStart w:id="233" w:name="_Toc294444984"/>
      <w:bookmarkStart w:id="234" w:name="_Toc367094637"/>
      <w:r>
        <w:rPr>
          <w:rFonts w:hint="eastAsia" w:ascii="宋体" w:hAnsi="宋体" w:eastAsia="宋体" w:cs="宋体"/>
          <w:color w:val="auto"/>
          <w:sz w:val="24"/>
          <w:szCs w:val="24"/>
          <w:highlight w:val="none"/>
          <w:lang w:val="en-US" w:eastAsia="zh-CN"/>
        </w:rPr>
        <w:t xml:space="preserve">10.1 </w:t>
      </w: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lang w:val="en-US" w:eastAsia="zh-CN"/>
        </w:rPr>
        <w:t>须对监测</w:t>
      </w:r>
      <w:r>
        <w:rPr>
          <w:rFonts w:hint="eastAsia" w:ascii="宋体" w:hAnsi="宋体" w:eastAsia="宋体" w:cs="宋体"/>
          <w:color w:val="auto"/>
          <w:sz w:val="24"/>
          <w:szCs w:val="24"/>
          <w:highlight w:val="none"/>
        </w:rPr>
        <w:t>区域内</w:t>
      </w:r>
      <w:r>
        <w:rPr>
          <w:rFonts w:hint="eastAsia" w:ascii="宋体" w:hAnsi="宋体" w:eastAsia="宋体" w:cs="宋体"/>
          <w:color w:val="auto"/>
          <w:sz w:val="24"/>
          <w:szCs w:val="24"/>
          <w:highlight w:val="none"/>
          <w:lang w:eastAsia="zh-CN"/>
        </w:rPr>
        <w:t>的</w:t>
      </w:r>
      <w:r>
        <w:rPr>
          <w:rFonts w:hint="eastAsia" w:ascii="宋体" w:hAnsi="宋体" w:eastAsia="宋体" w:cs="宋体"/>
          <w:color w:val="auto"/>
          <w:sz w:val="24"/>
          <w:szCs w:val="24"/>
          <w:highlight w:val="none"/>
        </w:rPr>
        <w:t>各种管线、配电及通信线路、控制开关、生产通道、测量</w:t>
      </w:r>
      <w:r>
        <w:rPr>
          <w:rFonts w:hint="eastAsia" w:ascii="宋体" w:hAnsi="宋体" w:eastAsia="宋体" w:cs="宋体"/>
          <w:color w:val="auto"/>
          <w:sz w:val="24"/>
          <w:szCs w:val="24"/>
          <w:highlight w:val="none"/>
          <w:lang w:eastAsia="zh-CN"/>
        </w:rPr>
        <w:t>标线</w:t>
      </w:r>
      <w:r>
        <w:rPr>
          <w:rFonts w:hint="eastAsia" w:ascii="宋体" w:hAnsi="宋体" w:eastAsia="宋体" w:cs="宋体"/>
          <w:color w:val="auto"/>
          <w:sz w:val="24"/>
          <w:szCs w:val="24"/>
          <w:highlight w:val="none"/>
        </w:rPr>
        <w:t>、消防设施等</w:t>
      </w:r>
      <w:r>
        <w:rPr>
          <w:rFonts w:hint="eastAsia" w:ascii="宋体" w:hAnsi="宋体" w:eastAsia="宋体" w:cs="宋体"/>
          <w:color w:val="auto"/>
          <w:sz w:val="24"/>
          <w:szCs w:val="24"/>
          <w:highlight w:val="none"/>
          <w:lang w:val="en-US" w:eastAsia="zh-CN"/>
        </w:rPr>
        <w:t>予以保护</w:t>
      </w:r>
      <w:r>
        <w:rPr>
          <w:rFonts w:hint="eastAsia" w:ascii="宋体" w:hAnsi="宋体" w:eastAsia="宋体" w:cs="宋体"/>
          <w:color w:val="auto"/>
          <w:sz w:val="24"/>
          <w:szCs w:val="24"/>
          <w:highlight w:val="none"/>
        </w:rPr>
        <w:t>，不得随意破坏、操作</w:t>
      </w:r>
      <w:r>
        <w:rPr>
          <w:rFonts w:hint="eastAsia" w:ascii="宋体" w:hAnsi="宋体" w:eastAsia="宋体" w:cs="宋体"/>
          <w:color w:val="auto"/>
          <w:sz w:val="24"/>
          <w:szCs w:val="24"/>
          <w:highlight w:val="none"/>
          <w:lang w:val="en-US" w:eastAsia="zh-CN"/>
        </w:rPr>
        <w:t>或</w:t>
      </w:r>
      <w:r>
        <w:rPr>
          <w:rFonts w:hint="eastAsia" w:ascii="宋体" w:hAnsi="宋体" w:eastAsia="宋体" w:cs="宋体"/>
          <w:color w:val="auto"/>
          <w:sz w:val="24"/>
          <w:szCs w:val="24"/>
          <w:highlight w:val="none"/>
        </w:rPr>
        <w:t>占用。</w:t>
      </w:r>
      <w:r>
        <w:rPr>
          <w:rFonts w:hint="eastAsia" w:ascii="宋体" w:hAnsi="宋体" w:eastAsia="宋体" w:cs="宋体"/>
          <w:color w:val="auto"/>
          <w:sz w:val="24"/>
          <w:szCs w:val="24"/>
          <w:highlight w:val="none"/>
          <w:lang w:val="en-US" w:eastAsia="zh-CN"/>
        </w:rPr>
        <w:t>若</w:t>
      </w:r>
      <w:r>
        <w:rPr>
          <w:rFonts w:hint="eastAsia" w:ascii="宋体" w:hAnsi="宋体" w:eastAsia="宋体" w:cs="宋体"/>
          <w:color w:val="auto"/>
          <w:sz w:val="24"/>
          <w:szCs w:val="24"/>
          <w:highlight w:val="none"/>
        </w:rPr>
        <w:t>与其他维修</w:t>
      </w:r>
      <w:r>
        <w:rPr>
          <w:rFonts w:hint="eastAsia" w:ascii="宋体" w:hAnsi="宋体" w:eastAsia="宋体" w:cs="宋体"/>
          <w:color w:val="auto"/>
          <w:sz w:val="24"/>
          <w:szCs w:val="24"/>
          <w:highlight w:val="none"/>
          <w:lang w:val="en-US" w:eastAsia="zh-CN"/>
        </w:rPr>
        <w:t>区域产生冲突</w:t>
      </w:r>
      <w:r>
        <w:rPr>
          <w:rFonts w:hint="eastAsia" w:ascii="宋体" w:hAnsi="宋体" w:eastAsia="宋体" w:cs="宋体"/>
          <w:color w:val="auto"/>
          <w:sz w:val="24"/>
          <w:szCs w:val="24"/>
          <w:highlight w:val="none"/>
        </w:rPr>
        <w:t>，应</w:t>
      </w:r>
      <w:r>
        <w:rPr>
          <w:rFonts w:hint="eastAsia" w:ascii="宋体" w:hAnsi="宋体" w:eastAsia="宋体" w:cs="宋体"/>
          <w:color w:val="auto"/>
          <w:sz w:val="24"/>
          <w:szCs w:val="24"/>
          <w:highlight w:val="none"/>
          <w:lang w:val="en-US" w:eastAsia="zh-CN"/>
        </w:rPr>
        <w:t>提前向</w:t>
      </w:r>
      <w:r>
        <w:rPr>
          <w:rFonts w:hint="eastAsia" w:ascii="宋体" w:hAnsi="宋体" w:eastAsia="宋体" w:cs="宋体"/>
          <w:color w:val="auto"/>
          <w:sz w:val="24"/>
          <w:szCs w:val="24"/>
          <w:highlight w:val="none"/>
          <w:lang w:eastAsia="zh-CN"/>
        </w:rPr>
        <w:t>招标人</w:t>
      </w:r>
      <w:r>
        <w:rPr>
          <w:rFonts w:hint="eastAsia" w:ascii="宋体" w:hAnsi="宋体" w:eastAsia="宋体" w:cs="宋体"/>
          <w:color w:val="auto"/>
          <w:sz w:val="24"/>
          <w:szCs w:val="24"/>
          <w:highlight w:val="none"/>
        </w:rPr>
        <w:t>通报，由</w:t>
      </w:r>
      <w:r>
        <w:rPr>
          <w:rFonts w:hint="eastAsia" w:ascii="宋体" w:hAnsi="宋体" w:eastAsia="宋体" w:cs="宋体"/>
          <w:color w:val="auto"/>
          <w:sz w:val="24"/>
          <w:szCs w:val="24"/>
          <w:highlight w:val="none"/>
          <w:lang w:eastAsia="zh-CN"/>
        </w:rPr>
        <w:t>招标人</w:t>
      </w:r>
      <w:r>
        <w:rPr>
          <w:rFonts w:hint="eastAsia" w:ascii="宋体" w:hAnsi="宋体" w:eastAsia="宋体" w:cs="宋体"/>
          <w:color w:val="auto"/>
          <w:sz w:val="24"/>
          <w:szCs w:val="24"/>
          <w:highlight w:val="none"/>
        </w:rPr>
        <w:t>负责协调与其他部门的关系。如发现未经</w:t>
      </w:r>
      <w:r>
        <w:rPr>
          <w:rFonts w:hint="eastAsia" w:ascii="宋体" w:hAnsi="宋体" w:eastAsia="宋体" w:cs="宋体"/>
          <w:color w:val="auto"/>
          <w:sz w:val="24"/>
          <w:szCs w:val="24"/>
          <w:highlight w:val="none"/>
          <w:lang w:val="en-US" w:eastAsia="zh-CN"/>
        </w:rPr>
        <w:t>批准</w:t>
      </w:r>
      <w:r>
        <w:rPr>
          <w:rFonts w:hint="eastAsia" w:ascii="宋体" w:hAnsi="宋体" w:eastAsia="宋体" w:cs="宋体"/>
          <w:color w:val="auto"/>
          <w:sz w:val="24"/>
          <w:szCs w:val="24"/>
          <w:highlight w:val="none"/>
        </w:rPr>
        <w:t>而擅自</w:t>
      </w:r>
      <w:r>
        <w:rPr>
          <w:rFonts w:hint="eastAsia" w:ascii="宋体" w:hAnsi="宋体" w:eastAsia="宋体" w:cs="宋体"/>
          <w:color w:val="auto"/>
          <w:sz w:val="24"/>
          <w:szCs w:val="24"/>
          <w:highlight w:val="none"/>
          <w:lang w:val="en-US" w:eastAsia="zh-CN"/>
        </w:rPr>
        <w:t>行动的情况</w:t>
      </w:r>
      <w:r>
        <w:rPr>
          <w:rFonts w:hint="eastAsia" w:ascii="宋体" w:hAnsi="宋体" w:eastAsia="宋体" w:cs="宋体"/>
          <w:color w:val="auto"/>
          <w:sz w:val="24"/>
          <w:szCs w:val="24"/>
          <w:highlight w:val="none"/>
        </w:rPr>
        <w:t>，将</w:t>
      </w:r>
      <w:r>
        <w:rPr>
          <w:rFonts w:hint="eastAsia" w:ascii="宋体" w:hAnsi="宋体" w:eastAsia="宋体" w:cs="宋体"/>
          <w:color w:val="auto"/>
          <w:sz w:val="24"/>
          <w:szCs w:val="24"/>
          <w:highlight w:val="none"/>
          <w:lang w:val="en-US" w:eastAsia="zh-CN"/>
        </w:rPr>
        <w:t>依据</w:t>
      </w:r>
      <w:r>
        <w:rPr>
          <w:rFonts w:hint="eastAsia" w:ascii="宋体" w:hAnsi="宋体" w:eastAsia="宋体" w:cs="宋体"/>
          <w:color w:val="auto"/>
          <w:sz w:val="24"/>
          <w:szCs w:val="24"/>
          <w:highlight w:val="none"/>
        </w:rPr>
        <w:t>具体</w:t>
      </w:r>
      <w:r>
        <w:rPr>
          <w:rFonts w:hint="eastAsia" w:ascii="宋体" w:hAnsi="宋体" w:eastAsia="宋体" w:cs="宋体"/>
          <w:color w:val="auto"/>
          <w:sz w:val="24"/>
          <w:szCs w:val="24"/>
          <w:highlight w:val="none"/>
          <w:lang w:val="en-US" w:eastAsia="zh-CN"/>
        </w:rPr>
        <w:t>情形</w:t>
      </w:r>
      <w:r>
        <w:rPr>
          <w:rFonts w:hint="eastAsia" w:ascii="宋体" w:hAnsi="宋体" w:eastAsia="宋体" w:cs="宋体"/>
          <w:color w:val="auto"/>
          <w:sz w:val="24"/>
          <w:szCs w:val="24"/>
          <w:highlight w:val="none"/>
        </w:rPr>
        <w:t>给予</w:t>
      </w:r>
      <w:r>
        <w:rPr>
          <w:rFonts w:hint="eastAsia" w:ascii="宋体" w:hAnsi="宋体" w:eastAsia="宋体" w:cs="宋体"/>
          <w:color w:val="auto"/>
          <w:sz w:val="24"/>
          <w:szCs w:val="24"/>
          <w:highlight w:val="none"/>
          <w:lang w:val="en-US" w:eastAsia="zh-CN"/>
        </w:rPr>
        <w:t>考核</w:t>
      </w:r>
      <w:r>
        <w:rPr>
          <w:rFonts w:hint="eastAsia" w:ascii="宋体" w:hAnsi="宋体" w:eastAsia="宋体" w:cs="宋体"/>
          <w:color w:val="auto"/>
          <w:sz w:val="24"/>
          <w:szCs w:val="24"/>
          <w:highlight w:val="none"/>
        </w:rPr>
        <w:t>处理。</w:t>
      </w:r>
    </w:p>
    <w:p>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 xml:space="preserve">10.2 </w:t>
      </w: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员工在</w:t>
      </w:r>
      <w:r>
        <w:rPr>
          <w:rFonts w:hint="eastAsia" w:ascii="宋体" w:hAnsi="宋体" w:eastAsia="宋体" w:cs="宋体"/>
          <w:color w:val="auto"/>
          <w:sz w:val="24"/>
          <w:szCs w:val="24"/>
          <w:highlight w:val="none"/>
          <w:lang w:val="en-US" w:eastAsia="zh-CN"/>
        </w:rPr>
        <w:t>维保</w:t>
      </w:r>
      <w:r>
        <w:rPr>
          <w:rFonts w:hint="eastAsia" w:ascii="宋体" w:hAnsi="宋体" w:eastAsia="宋体" w:cs="宋体"/>
          <w:color w:val="auto"/>
          <w:sz w:val="24"/>
          <w:szCs w:val="24"/>
          <w:highlight w:val="none"/>
        </w:rPr>
        <w:t>现场应</w:t>
      </w:r>
      <w:r>
        <w:rPr>
          <w:rFonts w:hint="eastAsia" w:ascii="宋体" w:hAnsi="宋体" w:eastAsia="宋体" w:cs="宋体"/>
          <w:color w:val="auto"/>
          <w:sz w:val="24"/>
          <w:szCs w:val="24"/>
          <w:highlight w:val="none"/>
          <w:lang w:val="en-US" w:eastAsia="zh-CN"/>
        </w:rPr>
        <w:t>注重文明礼貌，遇事应协商解决，严禁发生打架斗殴行为。</w:t>
      </w:r>
    </w:p>
    <w:p>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 xml:space="preserve">10.3 </w:t>
      </w: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员工必须</w:t>
      </w:r>
      <w:r>
        <w:rPr>
          <w:rFonts w:hint="eastAsia" w:ascii="宋体" w:hAnsi="宋体" w:eastAsia="宋体" w:cs="宋体"/>
          <w:color w:val="auto"/>
          <w:sz w:val="24"/>
          <w:szCs w:val="24"/>
          <w:highlight w:val="none"/>
          <w:lang w:val="en-US" w:eastAsia="zh-CN"/>
        </w:rPr>
        <w:t>遵循</w:t>
      </w:r>
      <w:r>
        <w:rPr>
          <w:rFonts w:hint="eastAsia" w:ascii="宋体" w:hAnsi="宋体" w:eastAsia="宋体" w:cs="宋体"/>
          <w:color w:val="auto"/>
          <w:sz w:val="24"/>
          <w:szCs w:val="24"/>
          <w:highlight w:val="none"/>
          <w:lang w:eastAsia="zh-CN"/>
        </w:rPr>
        <w:t>招标人的</w:t>
      </w:r>
      <w:r>
        <w:rPr>
          <w:rFonts w:hint="eastAsia" w:ascii="宋体" w:hAnsi="宋体" w:eastAsia="宋体" w:cs="宋体"/>
          <w:color w:val="auto"/>
          <w:sz w:val="24"/>
          <w:szCs w:val="24"/>
          <w:highlight w:val="none"/>
        </w:rPr>
        <w:t>“6S”管理要求。</w:t>
      </w:r>
    </w:p>
    <w:p>
      <w:pPr>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10.4 若投标人员工的行为对招标人的声誉造成影响，投标人需承担全部责任及公关费用。</w:t>
      </w:r>
    </w:p>
    <w:p>
      <w:pPr>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10.5 投标人有义务对项目内的各项技术资料、监测数据、质量安全事件及方案，以及本项目相关的生产数据、平台数据予以保密，未经招标人书面同意，不得向第三方透露，也不得用于本项目以外的其他用途。</w:t>
      </w:r>
    </w:p>
    <w:p>
      <w:pPr>
        <w:spacing w:line="360" w:lineRule="auto"/>
        <w:ind w:firstLine="480" w:firstLineChars="200"/>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rPr>
        <w:t xml:space="preserve">10.6 </w:t>
      </w:r>
      <w:r>
        <w:rPr>
          <w:rFonts w:hint="eastAsia" w:ascii="宋体" w:hAnsi="宋体" w:eastAsia="宋体" w:cs="宋体"/>
          <w:color w:val="auto"/>
          <w:sz w:val="24"/>
          <w:szCs w:val="24"/>
          <w:highlight w:val="none"/>
          <w:lang w:val="en-US" w:eastAsia="zh-CN" w:bidi="ar-SA"/>
        </w:rPr>
        <w:t>未经招标人书面许可，投标人不得使用南通轨道交通 LOGO，LOGO 的使用需遵循招标人的管理规定。</w:t>
      </w:r>
    </w:p>
    <w:p>
      <w:pPr>
        <w:spacing w:line="360" w:lineRule="auto"/>
        <w:outlineLvl w:val="0"/>
        <w:rPr>
          <w:rFonts w:hint="eastAsia" w:ascii="宋体" w:hAnsi="宋体" w:eastAsia="宋体" w:cs="宋体"/>
          <w:b/>
          <w:bCs w:val="0"/>
          <w:color w:val="auto"/>
          <w:sz w:val="24"/>
          <w:szCs w:val="24"/>
          <w:highlight w:val="none"/>
          <w:lang w:val="en-US" w:eastAsia="zh-CN"/>
        </w:rPr>
      </w:pPr>
      <w:bookmarkStart w:id="235" w:name="_Toc14627"/>
      <w:bookmarkStart w:id="236" w:name="_Toc11117"/>
      <w:bookmarkStart w:id="237" w:name="_Toc2661"/>
      <w:bookmarkStart w:id="238" w:name="_Toc12801"/>
      <w:bookmarkStart w:id="239" w:name="_Toc3530"/>
      <w:r>
        <w:rPr>
          <w:rFonts w:hint="eastAsia" w:ascii="宋体" w:hAnsi="宋体" w:eastAsia="宋体" w:cs="宋体"/>
          <w:b/>
          <w:bCs w:val="0"/>
          <w:color w:val="auto"/>
          <w:sz w:val="24"/>
          <w:szCs w:val="24"/>
          <w:highlight w:val="none"/>
          <w:lang w:val="en-US" w:eastAsia="zh-CN"/>
        </w:rPr>
        <w:t>11 项目的其他要求</w:t>
      </w:r>
      <w:bookmarkEnd w:id="235"/>
      <w:bookmarkEnd w:id="236"/>
      <w:bookmarkEnd w:id="237"/>
      <w:bookmarkEnd w:id="238"/>
      <w:bookmarkEnd w:id="239"/>
    </w:p>
    <w:p>
      <w:pPr>
        <w:spacing w:line="360" w:lineRule="auto"/>
        <w:ind w:firstLine="480" w:firstLineChars="200"/>
        <w:jc w:val="lef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11.1 投标人需按照国家规定为员工缴纳养老、工伤、医疗等社会保险，为员工提供防暑经费，并落实防暑、防寒措施。</w:t>
      </w:r>
    </w:p>
    <w:p>
      <w:pPr>
        <w:spacing w:line="360" w:lineRule="auto"/>
        <w:ind w:firstLine="480" w:firstLineChars="20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11.2 投标人应持续完善安全管理和质量管理，加强形势教育、安全教育和业务培训。上岗所需的相关证件的取证、复审工作应在进入本项目前完成（必须在南通本地取得的证件除外）。</w:t>
      </w:r>
    </w:p>
    <w:p>
      <w:pPr>
        <w:spacing w:line="360" w:lineRule="auto"/>
        <w:ind w:firstLine="480" w:firstLineChars="20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11.3 投标人负责其员工所使用证件的取证、复审工作，并承担相关费用。</w:t>
      </w:r>
    </w:p>
    <w:p>
      <w:pPr>
        <w:spacing w:line="360" w:lineRule="auto"/>
        <w:ind w:firstLine="480" w:firstLineChars="20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11.4 投标人应签订安全生产协议，并缴纳安全管理风险抵押金。</w:t>
      </w:r>
    </w:p>
    <w:p>
      <w:pPr>
        <w:spacing w:line="360" w:lineRule="auto"/>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11.5 投标人应每年签订岗位安全生产责任状并组织履职培训，此培训适用于全体员工。</w:t>
      </w:r>
    </w:p>
    <w:p>
      <w:pPr>
        <w:spacing w:line="360" w:lineRule="auto"/>
        <w:ind w:firstLine="480" w:firstLineChars="200"/>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rPr>
        <w:t xml:space="preserve">11.6 </w:t>
      </w:r>
      <w:r>
        <w:rPr>
          <w:rFonts w:hint="eastAsia" w:ascii="宋体" w:hAnsi="宋体" w:eastAsia="宋体" w:cs="宋体"/>
          <w:color w:val="auto"/>
          <w:sz w:val="24"/>
          <w:szCs w:val="24"/>
          <w:highlight w:val="none"/>
          <w:lang w:eastAsia="zh-CN"/>
        </w:rPr>
        <w:t>投标人应主动开展</w:t>
      </w:r>
      <w:r>
        <w:rPr>
          <w:rFonts w:hint="eastAsia" w:ascii="宋体" w:hAnsi="宋体" w:eastAsia="宋体" w:cs="宋体"/>
          <w:color w:val="auto"/>
          <w:sz w:val="24"/>
          <w:szCs w:val="24"/>
          <w:highlight w:val="none"/>
          <w:lang w:val="en-US" w:eastAsia="zh-CN"/>
        </w:rPr>
        <w:t>轨道公司相关证件的复审</w:t>
      </w:r>
      <w:r>
        <w:rPr>
          <w:rFonts w:hint="eastAsia" w:ascii="宋体" w:hAnsi="宋体" w:eastAsia="宋体" w:cs="宋体"/>
          <w:color w:val="auto"/>
          <w:sz w:val="24"/>
          <w:szCs w:val="24"/>
          <w:highlight w:val="none"/>
          <w:lang w:eastAsia="zh-CN"/>
        </w:rPr>
        <w:t>培训，确保人员持证上岗。</w:t>
      </w:r>
    </w:p>
    <w:p>
      <w:pPr>
        <w:spacing w:line="360" w:lineRule="auto"/>
        <w:outlineLvl w:val="0"/>
        <w:rPr>
          <w:rFonts w:hint="eastAsia" w:ascii="宋体" w:hAnsi="宋体" w:eastAsia="宋体" w:cs="宋体"/>
          <w:b/>
          <w:bCs w:val="0"/>
          <w:color w:val="auto"/>
          <w:sz w:val="21"/>
          <w:szCs w:val="21"/>
          <w:highlight w:val="none"/>
          <w:lang w:val="en-US" w:eastAsia="zh-CN"/>
        </w:rPr>
      </w:pPr>
      <w:bookmarkStart w:id="240" w:name="_Toc11184"/>
      <w:bookmarkStart w:id="241" w:name="_Toc17961"/>
      <w:r>
        <w:rPr>
          <w:rFonts w:hint="eastAsia" w:ascii="宋体" w:hAnsi="宋体" w:eastAsia="宋体" w:cs="宋体"/>
          <w:b/>
          <w:bCs w:val="0"/>
          <w:color w:val="auto"/>
          <w:sz w:val="21"/>
          <w:szCs w:val="21"/>
          <w:highlight w:val="none"/>
          <w:lang w:val="en-US" w:eastAsia="zh-CN"/>
        </w:rPr>
        <w:br w:type="page"/>
      </w:r>
      <w:r>
        <w:rPr>
          <w:rFonts w:hint="eastAsia" w:ascii="宋体" w:hAnsi="宋体" w:eastAsia="宋体" w:cs="宋体"/>
          <w:b/>
          <w:bCs w:val="0"/>
          <w:color w:val="auto"/>
          <w:sz w:val="21"/>
          <w:szCs w:val="21"/>
          <w:highlight w:val="none"/>
          <w:lang w:val="en-US" w:eastAsia="zh-CN"/>
        </w:rPr>
        <w:t>12 附录</w:t>
      </w:r>
      <w:bookmarkEnd w:id="240"/>
      <w:bookmarkEnd w:id="241"/>
    </w:p>
    <w:p>
      <w:pPr>
        <w:spacing w:beforeLines="50" w:afterLines="100"/>
        <w:jc w:val="left"/>
        <w:outlineLvl w:val="0"/>
        <w:rPr>
          <w:rFonts w:hint="eastAsia" w:ascii="宋体" w:hAnsi="宋体" w:eastAsia="宋体" w:cs="宋体"/>
          <w:b/>
          <w:bCs/>
          <w:snapToGrid w:val="0"/>
          <w:color w:val="auto"/>
          <w:kern w:val="0"/>
          <w:sz w:val="21"/>
          <w:szCs w:val="21"/>
          <w:highlight w:val="none"/>
        </w:rPr>
      </w:pPr>
      <w:bookmarkStart w:id="242" w:name="_Toc26051"/>
      <w:bookmarkStart w:id="243" w:name="_Toc6720"/>
      <w:bookmarkStart w:id="244" w:name="_Toc30413"/>
      <w:bookmarkStart w:id="245" w:name="_Toc27216"/>
      <w:bookmarkStart w:id="246" w:name="_Toc26904"/>
      <w:r>
        <w:rPr>
          <w:rFonts w:hint="eastAsia" w:ascii="宋体" w:hAnsi="宋体" w:eastAsia="宋体" w:cs="宋体"/>
          <w:b/>
          <w:bCs/>
          <w:snapToGrid w:val="0"/>
          <w:color w:val="auto"/>
          <w:kern w:val="0"/>
          <w:sz w:val="21"/>
          <w:szCs w:val="21"/>
          <w:highlight w:val="none"/>
        </w:rPr>
        <w:t>附</w:t>
      </w:r>
      <w:r>
        <w:rPr>
          <w:rFonts w:hint="eastAsia" w:ascii="宋体" w:hAnsi="宋体" w:eastAsia="宋体" w:cs="宋体"/>
          <w:b/>
          <w:bCs/>
          <w:snapToGrid w:val="0"/>
          <w:color w:val="auto"/>
          <w:kern w:val="0"/>
          <w:sz w:val="21"/>
          <w:szCs w:val="21"/>
          <w:highlight w:val="none"/>
          <w:lang w:val="en-US" w:eastAsia="zh-CN"/>
        </w:rPr>
        <w:t>录1</w:t>
      </w:r>
      <w:r>
        <w:rPr>
          <w:rFonts w:hint="eastAsia" w:ascii="宋体" w:hAnsi="宋体" w:eastAsia="宋体" w:cs="宋体"/>
          <w:b/>
          <w:bCs/>
          <w:snapToGrid w:val="0"/>
          <w:color w:val="auto"/>
          <w:kern w:val="0"/>
          <w:sz w:val="21"/>
          <w:szCs w:val="21"/>
          <w:highlight w:val="none"/>
        </w:rPr>
        <w:t>：</w:t>
      </w:r>
      <w:r>
        <w:rPr>
          <w:rFonts w:hint="eastAsia" w:ascii="宋体" w:hAnsi="宋体" w:eastAsia="宋体" w:cs="宋体"/>
          <w:b/>
          <w:bCs/>
          <w:snapToGrid w:val="0"/>
          <w:color w:val="auto"/>
          <w:kern w:val="0"/>
          <w:sz w:val="21"/>
          <w:szCs w:val="21"/>
          <w:highlight w:val="none"/>
          <w:lang w:eastAsia="zh-CN"/>
        </w:rPr>
        <w:t>投标人</w:t>
      </w:r>
      <w:r>
        <w:rPr>
          <w:rFonts w:hint="eastAsia" w:ascii="宋体" w:hAnsi="宋体" w:eastAsia="宋体" w:cs="宋体"/>
          <w:b/>
          <w:bCs/>
          <w:snapToGrid w:val="0"/>
          <w:color w:val="auto"/>
          <w:kern w:val="0"/>
          <w:sz w:val="21"/>
          <w:szCs w:val="21"/>
          <w:highlight w:val="none"/>
        </w:rPr>
        <w:t>人员配备需求表</w:t>
      </w:r>
      <w:bookmarkEnd w:id="242"/>
      <w:bookmarkEnd w:id="243"/>
      <w:bookmarkEnd w:id="244"/>
      <w:bookmarkEnd w:id="245"/>
      <w:bookmarkEnd w:id="246"/>
    </w:p>
    <w:tbl>
      <w:tblPr>
        <w:tblStyle w:val="25"/>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3"/>
        <w:gridCol w:w="673"/>
        <w:gridCol w:w="3839"/>
        <w:gridCol w:w="37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36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snapToGrid/>
              <w:ind w:left="0" w:leftChars="0" w:firstLine="0" w:firstLineChars="0"/>
              <w:jc w:val="center"/>
              <w:rPr>
                <w:rFonts w:hint="eastAsia" w:ascii="宋体" w:hAnsi="宋体" w:eastAsia="宋体" w:cs="宋体"/>
                <w:b/>
                <w:bCs/>
                <w:color w:val="auto"/>
                <w:kern w:val="2"/>
                <w:sz w:val="21"/>
                <w:szCs w:val="21"/>
                <w:highlight w:val="none"/>
              </w:rPr>
            </w:pPr>
            <w:r>
              <w:rPr>
                <w:rFonts w:hint="eastAsia" w:ascii="宋体" w:hAnsi="宋体" w:eastAsia="宋体" w:cs="宋体"/>
                <w:b/>
                <w:bCs/>
                <w:color w:val="auto"/>
                <w:kern w:val="2"/>
                <w:sz w:val="21"/>
                <w:szCs w:val="21"/>
                <w:highlight w:val="none"/>
              </w:rPr>
              <w:t>序号</w:t>
            </w:r>
          </w:p>
        </w:tc>
        <w:tc>
          <w:tcPr>
            <w:tcW w:w="37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snapToGrid/>
              <w:ind w:left="0" w:leftChars="0" w:firstLine="0" w:firstLineChars="0"/>
              <w:jc w:val="center"/>
              <w:rPr>
                <w:rFonts w:hint="eastAsia" w:ascii="宋体" w:hAnsi="宋体" w:eastAsia="宋体" w:cs="宋体"/>
                <w:b/>
                <w:bCs/>
                <w:color w:val="auto"/>
                <w:kern w:val="2"/>
                <w:sz w:val="21"/>
                <w:szCs w:val="21"/>
                <w:highlight w:val="none"/>
              </w:rPr>
            </w:pPr>
            <w:r>
              <w:rPr>
                <w:rFonts w:hint="eastAsia" w:ascii="宋体" w:hAnsi="宋体" w:eastAsia="宋体" w:cs="宋体"/>
                <w:b/>
                <w:bCs/>
                <w:color w:val="auto"/>
                <w:kern w:val="2"/>
                <w:sz w:val="21"/>
                <w:szCs w:val="21"/>
                <w:highlight w:val="none"/>
              </w:rPr>
              <w:t>项目</w:t>
            </w:r>
          </w:p>
        </w:tc>
        <w:tc>
          <w:tcPr>
            <w:tcW w:w="214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snapToGrid/>
              <w:ind w:left="0" w:leftChars="0" w:firstLine="0" w:firstLineChars="0"/>
              <w:jc w:val="center"/>
              <w:rPr>
                <w:rFonts w:hint="eastAsia" w:ascii="宋体" w:hAnsi="宋体" w:eastAsia="宋体" w:cs="宋体"/>
                <w:b/>
                <w:bCs/>
                <w:color w:val="auto"/>
                <w:kern w:val="2"/>
                <w:sz w:val="21"/>
                <w:szCs w:val="21"/>
                <w:highlight w:val="none"/>
              </w:rPr>
            </w:pPr>
            <w:r>
              <w:rPr>
                <w:rFonts w:hint="eastAsia" w:ascii="宋体" w:hAnsi="宋体" w:eastAsia="宋体" w:cs="宋体"/>
                <w:b/>
                <w:bCs/>
                <w:color w:val="auto"/>
                <w:kern w:val="2"/>
                <w:sz w:val="21"/>
                <w:szCs w:val="21"/>
                <w:highlight w:val="none"/>
              </w:rPr>
              <w:t>要求</w:t>
            </w:r>
          </w:p>
        </w:tc>
        <w:tc>
          <w:tcPr>
            <w:tcW w:w="211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snapToGrid/>
              <w:ind w:firstLine="0" w:firstLineChars="0"/>
              <w:jc w:val="center"/>
              <w:rPr>
                <w:rFonts w:hint="eastAsia" w:ascii="宋体" w:hAnsi="宋体" w:eastAsia="宋体" w:cs="宋体"/>
                <w:b/>
                <w:bCs/>
                <w:color w:val="auto"/>
                <w:kern w:val="2"/>
                <w:sz w:val="21"/>
                <w:szCs w:val="21"/>
                <w:highlight w:val="none"/>
                <w:lang w:val="en-US" w:eastAsia="zh-CN"/>
              </w:rPr>
            </w:pPr>
            <w:r>
              <w:rPr>
                <w:rFonts w:hint="eastAsia" w:ascii="宋体" w:hAnsi="宋体" w:eastAsia="宋体" w:cs="宋体"/>
                <w:b/>
                <w:bCs/>
                <w:color w:val="auto"/>
                <w:kern w:val="2"/>
                <w:sz w:val="21"/>
                <w:szCs w:val="21"/>
                <w:highlight w:val="none"/>
                <w:lang w:val="en-US" w:eastAsia="zh-CN"/>
              </w:rPr>
              <w:t>岗位职责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9" w:hRule="atLeast"/>
          <w:jc w:val="center"/>
        </w:trPr>
        <w:tc>
          <w:tcPr>
            <w:tcW w:w="36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snapToGrid/>
              <w:ind w:left="0" w:leftChars="0" w:firstLine="0" w:firstLineChars="0"/>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1</w:t>
            </w:r>
          </w:p>
        </w:tc>
        <w:tc>
          <w:tcPr>
            <w:tcW w:w="37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snapToGrid/>
              <w:ind w:left="0" w:leftChars="0" w:firstLine="0" w:firstLineChars="0"/>
              <w:jc w:val="center"/>
              <w:rPr>
                <w:rFonts w:hint="eastAsia" w:ascii="宋体" w:hAnsi="宋体" w:eastAsia="宋体" w:cs="宋体"/>
                <w:color w:val="auto"/>
                <w:kern w:val="2"/>
                <w:sz w:val="21"/>
                <w:szCs w:val="21"/>
                <w:highlight w:val="none"/>
                <w:lang w:eastAsia="zh-CN"/>
              </w:rPr>
            </w:pPr>
            <w:r>
              <w:rPr>
                <w:rFonts w:hint="eastAsia" w:ascii="宋体" w:hAnsi="宋体" w:eastAsia="宋体" w:cs="宋体"/>
                <w:color w:val="auto"/>
                <w:kern w:val="2"/>
                <w:sz w:val="21"/>
                <w:szCs w:val="21"/>
                <w:highlight w:val="none"/>
              </w:rPr>
              <w:t>项目</w:t>
            </w:r>
            <w:r>
              <w:rPr>
                <w:rFonts w:hint="eastAsia" w:ascii="宋体" w:hAnsi="宋体" w:eastAsia="宋体" w:cs="宋体"/>
                <w:color w:val="auto"/>
                <w:kern w:val="2"/>
                <w:sz w:val="21"/>
                <w:szCs w:val="21"/>
                <w:highlight w:val="none"/>
                <w:lang w:val="en-US" w:eastAsia="zh-CN"/>
              </w:rPr>
              <w:t>经理</w:t>
            </w:r>
          </w:p>
        </w:tc>
        <w:tc>
          <w:tcPr>
            <w:tcW w:w="214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snapToGrid/>
              <w:ind w:firstLine="0" w:firstLineChars="0"/>
              <w:rPr>
                <w:rFonts w:hint="default"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项目经理1人。</w:t>
            </w:r>
            <w:r>
              <w:rPr>
                <w:rFonts w:hint="eastAsia" w:ascii="宋体" w:hAnsi="宋体" w:eastAsia="宋体" w:cs="宋体"/>
                <w:color w:val="auto"/>
                <w:sz w:val="21"/>
                <w:szCs w:val="21"/>
                <w:highlight w:val="none"/>
                <w:lang w:val="en-US" w:eastAsia="zh-CN"/>
              </w:rPr>
              <w:t>年龄不大于50周岁，测量相关专业本科及以上学历，具有</w:t>
            </w:r>
            <w:r>
              <w:rPr>
                <w:rFonts w:hint="eastAsia" w:ascii="宋体" w:hAnsi="宋体" w:eastAsia="宋体" w:cs="宋体"/>
                <w:color w:val="auto"/>
                <w:kern w:val="2"/>
                <w:sz w:val="21"/>
                <w:szCs w:val="21"/>
                <w:highlight w:val="none"/>
                <w:lang w:val="en-US" w:eastAsia="zh-CN"/>
              </w:rPr>
              <w:t>中级工程师及以上职称，</w:t>
            </w:r>
            <w:r>
              <w:rPr>
                <w:rFonts w:hint="eastAsia" w:ascii="宋体" w:hAnsi="宋体" w:cs="宋体"/>
                <w:color w:val="auto"/>
                <w:kern w:val="2"/>
                <w:sz w:val="21"/>
                <w:szCs w:val="21"/>
                <w:highlight w:val="none"/>
                <w:lang w:val="en-US" w:eastAsia="zh-CN"/>
              </w:rPr>
              <w:t>5</w:t>
            </w:r>
            <w:r>
              <w:rPr>
                <w:rFonts w:hint="eastAsia" w:ascii="宋体" w:hAnsi="宋体" w:eastAsia="宋体" w:cs="宋体"/>
                <w:color w:val="auto"/>
                <w:kern w:val="2"/>
                <w:sz w:val="21"/>
                <w:szCs w:val="21"/>
                <w:highlight w:val="none"/>
                <w:lang w:val="en-US" w:eastAsia="zh-CN"/>
              </w:rPr>
              <w:t>年以上轨道交通结构监测项目管理工作经验。无违法犯罪记录。</w:t>
            </w:r>
          </w:p>
        </w:tc>
        <w:tc>
          <w:tcPr>
            <w:tcW w:w="2116" w:type="pct"/>
            <w:tcBorders>
              <w:top w:val="single" w:color="auto" w:sz="4" w:space="0"/>
              <w:left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spacing w:line="240" w:lineRule="auto"/>
              <w:ind w:firstLine="0" w:firstLineChars="0"/>
              <w:textAlignment w:val="baseline"/>
              <w:rPr>
                <w:rFonts w:hint="eastAsia"/>
                <w:color w:val="auto"/>
                <w:sz w:val="21"/>
                <w:szCs w:val="21"/>
                <w:highlight w:val="none"/>
              </w:rPr>
            </w:pPr>
            <w:r>
              <w:rPr>
                <w:rFonts w:hint="eastAsia"/>
                <w:color w:val="auto"/>
                <w:sz w:val="21"/>
                <w:szCs w:val="21"/>
                <w:highlight w:val="none"/>
              </w:rPr>
              <w:t>1.负责本项目所管辖范围内</w:t>
            </w:r>
            <w:r>
              <w:rPr>
                <w:rFonts w:hint="eastAsia"/>
                <w:color w:val="auto"/>
                <w:sz w:val="21"/>
                <w:szCs w:val="21"/>
                <w:highlight w:val="none"/>
                <w:lang w:val="en-US" w:eastAsia="zh-CN"/>
              </w:rPr>
              <w:t>监测</w:t>
            </w:r>
            <w:r>
              <w:rPr>
                <w:rFonts w:hint="eastAsia"/>
                <w:color w:val="auto"/>
                <w:sz w:val="21"/>
                <w:szCs w:val="21"/>
                <w:highlight w:val="none"/>
              </w:rPr>
              <w:t>工作的组织与实施，工作中必须严格按照检修计划及各项技术要求开展</w:t>
            </w:r>
            <w:r>
              <w:rPr>
                <w:rFonts w:hint="eastAsia"/>
                <w:color w:val="auto"/>
                <w:sz w:val="21"/>
                <w:szCs w:val="21"/>
                <w:highlight w:val="none"/>
                <w:lang w:val="en-US" w:eastAsia="zh-CN"/>
              </w:rPr>
              <w:t>维保</w:t>
            </w:r>
            <w:r>
              <w:rPr>
                <w:rFonts w:hint="eastAsia"/>
                <w:color w:val="auto"/>
                <w:sz w:val="21"/>
                <w:szCs w:val="21"/>
                <w:highlight w:val="none"/>
              </w:rPr>
              <w:t>工作，并确保</w:t>
            </w:r>
            <w:r>
              <w:rPr>
                <w:rFonts w:hint="eastAsia"/>
                <w:color w:val="auto"/>
                <w:sz w:val="21"/>
                <w:szCs w:val="21"/>
                <w:highlight w:val="none"/>
                <w:lang w:val="en-US" w:eastAsia="zh-CN"/>
              </w:rPr>
              <w:t>监测数据的真实性</w:t>
            </w:r>
            <w:r>
              <w:rPr>
                <w:rFonts w:hint="eastAsia"/>
                <w:color w:val="auto"/>
                <w:sz w:val="21"/>
                <w:szCs w:val="21"/>
                <w:highlight w:val="none"/>
              </w:rPr>
              <w:t>；</w:t>
            </w:r>
          </w:p>
          <w:p>
            <w:pPr>
              <w:keepNext w:val="0"/>
              <w:keepLines w:val="0"/>
              <w:pageBreakBefore w:val="0"/>
              <w:widowControl w:val="0"/>
              <w:kinsoku/>
              <w:wordWrap/>
              <w:overflowPunct/>
              <w:topLinePunct w:val="0"/>
              <w:autoSpaceDE/>
              <w:autoSpaceDN/>
              <w:bidi w:val="0"/>
              <w:adjustRightInd w:val="0"/>
              <w:snapToGrid/>
              <w:spacing w:line="240" w:lineRule="auto"/>
              <w:ind w:firstLine="0" w:firstLineChars="0"/>
              <w:textAlignment w:val="baseline"/>
              <w:rPr>
                <w:rFonts w:hint="eastAsia"/>
                <w:color w:val="auto"/>
                <w:sz w:val="21"/>
                <w:szCs w:val="21"/>
                <w:highlight w:val="none"/>
              </w:rPr>
            </w:pPr>
            <w:r>
              <w:rPr>
                <w:rFonts w:hint="eastAsia"/>
                <w:color w:val="auto"/>
                <w:sz w:val="21"/>
                <w:szCs w:val="21"/>
                <w:highlight w:val="none"/>
              </w:rPr>
              <w:t>2.服从</w:t>
            </w:r>
            <w:r>
              <w:rPr>
                <w:rFonts w:hint="eastAsia"/>
                <w:color w:val="auto"/>
                <w:sz w:val="21"/>
                <w:szCs w:val="21"/>
                <w:highlight w:val="none"/>
                <w:lang w:val="en-US" w:eastAsia="zh-CN"/>
              </w:rPr>
              <w:t>招标人</w:t>
            </w:r>
            <w:r>
              <w:rPr>
                <w:rFonts w:hint="eastAsia"/>
                <w:color w:val="auto"/>
                <w:sz w:val="21"/>
                <w:szCs w:val="21"/>
                <w:highlight w:val="none"/>
              </w:rPr>
              <w:t>的业务指导；</w:t>
            </w:r>
          </w:p>
          <w:p>
            <w:pPr>
              <w:keepNext w:val="0"/>
              <w:keepLines w:val="0"/>
              <w:pageBreakBefore w:val="0"/>
              <w:widowControl w:val="0"/>
              <w:kinsoku/>
              <w:wordWrap/>
              <w:overflowPunct/>
              <w:topLinePunct w:val="0"/>
              <w:autoSpaceDE/>
              <w:autoSpaceDN/>
              <w:bidi w:val="0"/>
              <w:adjustRightInd w:val="0"/>
              <w:snapToGrid/>
              <w:spacing w:line="240" w:lineRule="auto"/>
              <w:ind w:firstLine="0" w:firstLineChars="0"/>
              <w:textAlignment w:val="baseline"/>
              <w:rPr>
                <w:rFonts w:hint="eastAsia"/>
                <w:color w:val="auto"/>
                <w:sz w:val="21"/>
                <w:szCs w:val="21"/>
                <w:highlight w:val="none"/>
              </w:rPr>
            </w:pPr>
            <w:r>
              <w:rPr>
                <w:rFonts w:hint="eastAsia"/>
                <w:color w:val="auto"/>
                <w:sz w:val="21"/>
                <w:szCs w:val="21"/>
                <w:highlight w:val="none"/>
              </w:rPr>
              <w:t>3.负责填报、收集</w:t>
            </w:r>
            <w:r>
              <w:rPr>
                <w:rFonts w:hint="eastAsia"/>
                <w:color w:val="auto"/>
                <w:sz w:val="21"/>
                <w:szCs w:val="21"/>
                <w:highlight w:val="none"/>
                <w:lang w:val="en-US" w:eastAsia="zh-CN"/>
              </w:rPr>
              <w:t>和</w:t>
            </w:r>
            <w:r>
              <w:rPr>
                <w:rFonts w:hint="eastAsia"/>
                <w:color w:val="auto"/>
                <w:sz w:val="21"/>
                <w:szCs w:val="21"/>
                <w:highlight w:val="none"/>
              </w:rPr>
              <w:t>上报各种</w:t>
            </w:r>
            <w:r>
              <w:rPr>
                <w:rFonts w:hint="eastAsia"/>
                <w:color w:val="auto"/>
                <w:sz w:val="21"/>
                <w:szCs w:val="21"/>
                <w:highlight w:val="none"/>
                <w:lang w:val="en-US" w:eastAsia="zh-CN"/>
              </w:rPr>
              <w:t>监测</w:t>
            </w:r>
            <w:r>
              <w:rPr>
                <w:rFonts w:hint="eastAsia"/>
                <w:color w:val="auto"/>
                <w:sz w:val="21"/>
                <w:szCs w:val="21"/>
                <w:highlight w:val="none"/>
              </w:rPr>
              <w:t>报告等工作记录；</w:t>
            </w:r>
          </w:p>
          <w:p>
            <w:pPr>
              <w:keepNext w:val="0"/>
              <w:keepLines w:val="0"/>
              <w:pageBreakBefore w:val="0"/>
              <w:widowControl w:val="0"/>
              <w:kinsoku/>
              <w:wordWrap/>
              <w:overflowPunct/>
              <w:topLinePunct w:val="0"/>
              <w:autoSpaceDE/>
              <w:autoSpaceDN/>
              <w:bidi w:val="0"/>
              <w:adjustRightInd w:val="0"/>
              <w:snapToGrid/>
              <w:spacing w:line="240" w:lineRule="auto"/>
              <w:ind w:firstLine="0" w:firstLineChars="0"/>
              <w:textAlignment w:val="baseline"/>
              <w:rPr>
                <w:rFonts w:hint="default"/>
                <w:color w:val="auto"/>
                <w:sz w:val="21"/>
                <w:szCs w:val="21"/>
                <w:highlight w:val="none"/>
                <w:lang w:val="en-US" w:eastAsia="zh-CN"/>
              </w:rPr>
            </w:pPr>
            <w:r>
              <w:rPr>
                <w:rFonts w:hint="eastAsia"/>
                <w:color w:val="auto"/>
                <w:sz w:val="21"/>
                <w:szCs w:val="21"/>
                <w:highlight w:val="none"/>
                <w:lang w:val="en-US" w:eastAsia="zh-CN"/>
              </w:rPr>
              <w:t>4</w:t>
            </w:r>
            <w:r>
              <w:rPr>
                <w:rFonts w:hint="eastAsia"/>
                <w:color w:val="auto"/>
                <w:sz w:val="21"/>
                <w:szCs w:val="21"/>
                <w:highlight w:val="none"/>
              </w:rPr>
              <w:t>.</w:t>
            </w:r>
            <w:r>
              <w:rPr>
                <w:rFonts w:hint="eastAsia" w:ascii="宋体" w:hAnsi="宋体" w:eastAsia="宋体" w:cs="宋体"/>
                <w:color w:val="auto"/>
                <w:sz w:val="21"/>
                <w:szCs w:val="21"/>
                <w:highlight w:val="none"/>
              </w:rPr>
              <w:t>做好</w:t>
            </w:r>
            <w:r>
              <w:rPr>
                <w:rFonts w:hint="eastAsia" w:ascii="宋体" w:hAnsi="宋体" w:eastAsia="宋体" w:cs="宋体"/>
                <w:color w:val="auto"/>
                <w:sz w:val="21"/>
                <w:szCs w:val="21"/>
                <w:highlight w:val="none"/>
                <w:lang w:val="en-US" w:eastAsia="zh-CN"/>
              </w:rPr>
              <w:t>招标人</w:t>
            </w:r>
            <w:r>
              <w:rPr>
                <w:rFonts w:hint="eastAsia" w:ascii="宋体" w:hAnsi="宋体" w:eastAsia="宋体" w:cs="宋体"/>
                <w:color w:val="auto"/>
                <w:sz w:val="21"/>
                <w:szCs w:val="21"/>
                <w:highlight w:val="none"/>
              </w:rPr>
              <w:t>安排的其他工作</w:t>
            </w:r>
            <w:r>
              <w:rPr>
                <w:rFonts w:hint="eastAsia"/>
                <w:color w:val="auto"/>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36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snapToGrid/>
              <w:ind w:left="0" w:leftChars="0" w:firstLine="0" w:firstLineChars="0"/>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2</w:t>
            </w:r>
          </w:p>
        </w:tc>
        <w:tc>
          <w:tcPr>
            <w:tcW w:w="37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snapToGrid/>
              <w:ind w:left="0" w:leftChars="0" w:firstLine="0" w:firstLineChars="0"/>
              <w:jc w:val="center"/>
              <w:rPr>
                <w:rFonts w:hint="default"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测量工程师</w:t>
            </w:r>
          </w:p>
        </w:tc>
        <w:tc>
          <w:tcPr>
            <w:tcW w:w="214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snapToGrid/>
              <w:ind w:firstLine="0" w:firstLineChars="0"/>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测量工程师1人。</w:t>
            </w:r>
            <w:r>
              <w:rPr>
                <w:rFonts w:hint="eastAsia" w:ascii="宋体" w:hAnsi="宋体" w:eastAsia="宋体" w:cs="宋体"/>
                <w:color w:val="auto"/>
                <w:sz w:val="21"/>
                <w:szCs w:val="21"/>
                <w:highlight w:val="none"/>
                <w:lang w:val="en-US" w:eastAsia="zh-CN"/>
              </w:rPr>
              <w:t>年龄不大于50周岁，</w:t>
            </w:r>
            <w:bookmarkStart w:id="247" w:name="OLE_LINK12"/>
            <w:r>
              <w:rPr>
                <w:rFonts w:hint="eastAsia" w:ascii="宋体" w:hAnsi="宋体" w:eastAsia="宋体" w:cs="宋体"/>
                <w:color w:val="auto"/>
                <w:sz w:val="21"/>
                <w:szCs w:val="21"/>
                <w:highlight w:val="none"/>
                <w:lang w:val="en-US" w:eastAsia="zh-CN"/>
              </w:rPr>
              <w:t>测量相关专业本科及以上学历，具有</w:t>
            </w:r>
            <w:r>
              <w:rPr>
                <w:rFonts w:hint="eastAsia" w:ascii="宋体" w:hAnsi="宋体" w:eastAsia="宋体" w:cs="宋体"/>
                <w:color w:val="auto"/>
                <w:kern w:val="2"/>
                <w:sz w:val="21"/>
                <w:szCs w:val="21"/>
                <w:highlight w:val="none"/>
              </w:rPr>
              <w:t>中级</w:t>
            </w:r>
            <w:r>
              <w:rPr>
                <w:rFonts w:hint="eastAsia" w:ascii="宋体" w:hAnsi="宋体" w:eastAsia="宋体" w:cs="宋体"/>
                <w:color w:val="auto"/>
                <w:kern w:val="2"/>
                <w:sz w:val="21"/>
                <w:szCs w:val="21"/>
                <w:highlight w:val="none"/>
                <w:lang w:val="en-US" w:eastAsia="zh-CN"/>
              </w:rPr>
              <w:t>工程师</w:t>
            </w:r>
            <w:r>
              <w:rPr>
                <w:rFonts w:hint="eastAsia" w:ascii="宋体" w:hAnsi="宋体" w:eastAsia="宋体" w:cs="宋体"/>
                <w:color w:val="auto"/>
                <w:kern w:val="2"/>
                <w:sz w:val="21"/>
                <w:szCs w:val="21"/>
                <w:highlight w:val="none"/>
              </w:rPr>
              <w:t>及以上职称</w:t>
            </w:r>
            <w:bookmarkEnd w:id="247"/>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kern w:val="2"/>
                <w:sz w:val="21"/>
                <w:szCs w:val="21"/>
                <w:highlight w:val="none"/>
                <w:lang w:val="en-US" w:eastAsia="zh-CN"/>
              </w:rPr>
              <w:t>5年以上轨道交通结构监测技术管理工作经验</w:t>
            </w: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kern w:val="2"/>
                <w:sz w:val="21"/>
                <w:szCs w:val="21"/>
                <w:highlight w:val="none"/>
              </w:rPr>
              <w:t>从事过重点工程的结构变形监测工作</w:t>
            </w: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kern w:val="2"/>
                <w:sz w:val="21"/>
                <w:szCs w:val="21"/>
                <w:highlight w:val="none"/>
                <w:lang w:val="en-US" w:eastAsia="zh-CN"/>
              </w:rPr>
              <w:t>无违法犯罪记录。</w:t>
            </w:r>
          </w:p>
        </w:tc>
        <w:tc>
          <w:tcPr>
            <w:tcW w:w="2116" w:type="pct"/>
            <w:tcBorders>
              <w:left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spacing w:line="240" w:lineRule="auto"/>
              <w:ind w:firstLine="0" w:firstLineChars="0"/>
              <w:textAlignment w:val="baseline"/>
              <w:rPr>
                <w:rFonts w:hint="eastAsia"/>
                <w:color w:val="auto"/>
                <w:sz w:val="21"/>
                <w:szCs w:val="21"/>
                <w:highlight w:val="none"/>
              </w:rPr>
            </w:pPr>
            <w:r>
              <w:rPr>
                <w:rFonts w:hint="eastAsia"/>
                <w:color w:val="auto"/>
                <w:sz w:val="21"/>
                <w:szCs w:val="21"/>
                <w:highlight w:val="none"/>
              </w:rPr>
              <w:t>1.</w:t>
            </w:r>
            <w:r>
              <w:rPr>
                <w:rFonts w:hint="eastAsia"/>
                <w:color w:val="auto"/>
                <w:sz w:val="21"/>
                <w:szCs w:val="21"/>
                <w:highlight w:val="none"/>
                <w:lang w:val="en-US" w:eastAsia="zh-CN"/>
              </w:rPr>
              <w:t>根据维保要求安排施工计划提报</w:t>
            </w:r>
            <w:r>
              <w:rPr>
                <w:rFonts w:hint="eastAsia"/>
                <w:color w:val="auto"/>
                <w:sz w:val="21"/>
                <w:szCs w:val="21"/>
                <w:highlight w:val="none"/>
              </w:rPr>
              <w:t>，遵守各类规程及检修规定，严格执行</w:t>
            </w:r>
            <w:r>
              <w:rPr>
                <w:rFonts w:hint="eastAsia"/>
                <w:color w:val="auto"/>
                <w:sz w:val="21"/>
                <w:szCs w:val="21"/>
                <w:highlight w:val="none"/>
                <w:lang w:val="en-US" w:eastAsia="zh-CN"/>
              </w:rPr>
              <w:t>相关管理</w:t>
            </w:r>
            <w:r>
              <w:rPr>
                <w:rFonts w:hint="eastAsia"/>
                <w:color w:val="auto"/>
                <w:sz w:val="21"/>
                <w:szCs w:val="21"/>
                <w:highlight w:val="none"/>
              </w:rPr>
              <w:t>制度；</w:t>
            </w:r>
          </w:p>
          <w:p>
            <w:pPr>
              <w:keepNext w:val="0"/>
              <w:keepLines w:val="0"/>
              <w:pageBreakBefore w:val="0"/>
              <w:widowControl w:val="0"/>
              <w:kinsoku/>
              <w:wordWrap/>
              <w:overflowPunct/>
              <w:topLinePunct w:val="0"/>
              <w:autoSpaceDE/>
              <w:autoSpaceDN/>
              <w:bidi w:val="0"/>
              <w:adjustRightInd w:val="0"/>
              <w:snapToGrid/>
              <w:spacing w:line="240" w:lineRule="auto"/>
              <w:ind w:firstLine="0" w:firstLineChars="0"/>
              <w:textAlignment w:val="baseline"/>
              <w:rPr>
                <w:rFonts w:hint="eastAsia"/>
                <w:color w:val="auto"/>
                <w:sz w:val="21"/>
                <w:szCs w:val="21"/>
                <w:highlight w:val="none"/>
              </w:rPr>
            </w:pPr>
            <w:r>
              <w:rPr>
                <w:rFonts w:hint="eastAsia"/>
                <w:color w:val="auto"/>
                <w:sz w:val="21"/>
                <w:szCs w:val="21"/>
                <w:highlight w:val="none"/>
              </w:rPr>
              <w:t>2.服从</w:t>
            </w:r>
            <w:r>
              <w:rPr>
                <w:rFonts w:hint="eastAsia"/>
                <w:color w:val="auto"/>
                <w:sz w:val="21"/>
                <w:szCs w:val="21"/>
                <w:highlight w:val="none"/>
                <w:lang w:val="en-US" w:eastAsia="zh-CN"/>
              </w:rPr>
              <w:t>招标人</w:t>
            </w:r>
            <w:r>
              <w:rPr>
                <w:rFonts w:hint="eastAsia"/>
                <w:color w:val="auto"/>
                <w:sz w:val="21"/>
                <w:szCs w:val="21"/>
                <w:highlight w:val="none"/>
              </w:rPr>
              <w:t>的业务指导；</w:t>
            </w:r>
          </w:p>
          <w:p>
            <w:pPr>
              <w:keepNext w:val="0"/>
              <w:keepLines w:val="0"/>
              <w:pageBreakBefore w:val="0"/>
              <w:widowControl w:val="0"/>
              <w:kinsoku/>
              <w:wordWrap/>
              <w:overflowPunct/>
              <w:topLinePunct w:val="0"/>
              <w:autoSpaceDE/>
              <w:autoSpaceDN/>
              <w:bidi w:val="0"/>
              <w:adjustRightInd w:val="0"/>
              <w:snapToGrid/>
              <w:spacing w:line="240" w:lineRule="auto"/>
              <w:ind w:firstLine="0" w:firstLineChars="0"/>
              <w:textAlignment w:val="baseline"/>
              <w:rPr>
                <w:rFonts w:hint="eastAsia"/>
                <w:color w:val="auto"/>
                <w:sz w:val="21"/>
                <w:szCs w:val="21"/>
                <w:highlight w:val="none"/>
              </w:rPr>
            </w:pPr>
            <w:r>
              <w:rPr>
                <w:rFonts w:hint="eastAsia"/>
                <w:color w:val="auto"/>
                <w:sz w:val="21"/>
                <w:szCs w:val="21"/>
                <w:highlight w:val="none"/>
                <w:lang w:val="en-US" w:eastAsia="zh-CN"/>
              </w:rPr>
              <w:t>3</w:t>
            </w:r>
            <w:r>
              <w:rPr>
                <w:rFonts w:hint="eastAsia"/>
                <w:color w:val="auto"/>
                <w:sz w:val="21"/>
                <w:szCs w:val="21"/>
                <w:highlight w:val="none"/>
              </w:rPr>
              <w:t>.认真</w:t>
            </w:r>
            <w:r>
              <w:rPr>
                <w:rFonts w:hint="eastAsia"/>
                <w:color w:val="auto"/>
                <w:sz w:val="21"/>
                <w:szCs w:val="21"/>
                <w:highlight w:val="none"/>
                <w:lang w:val="en-US" w:eastAsia="zh-CN"/>
              </w:rPr>
              <w:t>整理并分析监测数据</w:t>
            </w:r>
            <w:r>
              <w:rPr>
                <w:rFonts w:hint="eastAsia"/>
                <w:color w:val="auto"/>
                <w:sz w:val="21"/>
                <w:szCs w:val="21"/>
                <w:highlight w:val="none"/>
              </w:rPr>
              <w:t>，做到数据真实、可靠</w:t>
            </w:r>
            <w:r>
              <w:rPr>
                <w:rFonts w:hint="eastAsia"/>
                <w:color w:val="auto"/>
                <w:sz w:val="21"/>
                <w:szCs w:val="21"/>
                <w:highlight w:val="none"/>
                <w:lang w:eastAsia="zh-CN"/>
              </w:rPr>
              <w:t>，</w:t>
            </w:r>
            <w:r>
              <w:rPr>
                <w:rFonts w:hint="eastAsia"/>
                <w:color w:val="auto"/>
                <w:sz w:val="21"/>
                <w:szCs w:val="21"/>
                <w:highlight w:val="none"/>
                <w:lang w:val="en-US" w:eastAsia="zh-CN"/>
              </w:rPr>
              <w:t>按要求形成相关报告</w:t>
            </w:r>
            <w:r>
              <w:rPr>
                <w:rFonts w:hint="eastAsia"/>
                <w:color w:val="auto"/>
                <w:sz w:val="21"/>
                <w:szCs w:val="21"/>
                <w:highlight w:val="none"/>
              </w:rPr>
              <w:t>；</w:t>
            </w:r>
          </w:p>
          <w:p>
            <w:pPr>
              <w:keepNext w:val="0"/>
              <w:keepLines w:val="0"/>
              <w:pageBreakBefore w:val="0"/>
              <w:widowControl w:val="0"/>
              <w:kinsoku/>
              <w:wordWrap/>
              <w:overflowPunct/>
              <w:topLinePunct w:val="0"/>
              <w:autoSpaceDE/>
              <w:autoSpaceDN/>
              <w:bidi w:val="0"/>
              <w:adjustRightInd w:val="0"/>
              <w:snapToGrid/>
              <w:spacing w:line="240" w:lineRule="auto"/>
              <w:ind w:firstLine="0" w:firstLineChars="0"/>
              <w:textAlignment w:val="baseline"/>
              <w:rPr>
                <w:rFonts w:hint="eastAsia" w:ascii="宋体" w:hAnsi="宋体" w:eastAsia="宋体" w:cs="宋体"/>
                <w:color w:val="auto"/>
                <w:kern w:val="2"/>
                <w:sz w:val="21"/>
                <w:szCs w:val="21"/>
                <w:highlight w:val="none"/>
              </w:rPr>
            </w:pPr>
            <w:r>
              <w:rPr>
                <w:rFonts w:hint="eastAsia" w:ascii="Times New Roman" w:hAnsi="Times New Roman" w:eastAsia="宋体" w:cs="Times New Roman"/>
                <w:color w:val="auto"/>
                <w:sz w:val="21"/>
                <w:szCs w:val="21"/>
                <w:highlight w:val="none"/>
                <w:lang w:val="en-US" w:eastAsia="zh-CN"/>
              </w:rPr>
              <w:t>4</w:t>
            </w:r>
            <w:r>
              <w:rPr>
                <w:rFonts w:hint="eastAsia" w:ascii="Times New Roman" w:hAnsi="Times New Roman" w:eastAsia="宋体" w:cs="Times New Roman"/>
                <w:color w:val="auto"/>
                <w:sz w:val="21"/>
                <w:szCs w:val="21"/>
                <w:highlight w:val="none"/>
              </w:rPr>
              <w:t>.做好</w:t>
            </w:r>
            <w:r>
              <w:rPr>
                <w:rFonts w:hint="eastAsia" w:ascii="Times New Roman" w:hAnsi="Times New Roman" w:eastAsia="宋体" w:cs="Times New Roman"/>
                <w:color w:val="auto"/>
                <w:sz w:val="21"/>
                <w:szCs w:val="21"/>
                <w:highlight w:val="none"/>
                <w:lang w:val="en-US" w:eastAsia="zh-CN"/>
              </w:rPr>
              <w:t>招标人</w:t>
            </w:r>
            <w:r>
              <w:rPr>
                <w:rFonts w:hint="eastAsia" w:ascii="Times New Roman" w:hAnsi="Times New Roman" w:eastAsia="宋体" w:cs="Times New Roman"/>
                <w:color w:val="auto"/>
                <w:sz w:val="21"/>
                <w:szCs w:val="21"/>
                <w:highlight w:val="none"/>
              </w:rPr>
              <w:t>安排的其他工作。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36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snapToGrid/>
              <w:ind w:left="0" w:leftChars="0" w:firstLine="0" w:firstLineChars="0"/>
              <w:jc w:val="center"/>
              <w:rPr>
                <w:rFonts w:hint="eastAsia" w:ascii="宋体" w:hAnsi="宋体" w:eastAsia="宋体" w:cs="宋体"/>
                <w:color w:val="auto"/>
                <w:kern w:val="2"/>
                <w:sz w:val="21"/>
                <w:szCs w:val="21"/>
                <w:highlight w:val="none"/>
                <w:lang w:val="en-US" w:eastAsia="zh-CN"/>
              </w:rPr>
            </w:pPr>
            <w:bookmarkStart w:id="248" w:name="_Toc2011"/>
            <w:r>
              <w:rPr>
                <w:rFonts w:hint="eastAsia" w:ascii="宋体" w:hAnsi="宋体" w:eastAsia="宋体" w:cs="宋体"/>
                <w:color w:val="auto"/>
                <w:kern w:val="2"/>
                <w:sz w:val="21"/>
                <w:szCs w:val="21"/>
                <w:highlight w:val="none"/>
                <w:lang w:val="en-US" w:eastAsia="zh-CN"/>
              </w:rPr>
              <w:t>3</w:t>
            </w:r>
          </w:p>
        </w:tc>
        <w:tc>
          <w:tcPr>
            <w:tcW w:w="37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snapToGrid/>
              <w:ind w:left="0" w:leftChars="0" w:firstLine="0" w:firstLineChars="0"/>
              <w:jc w:val="center"/>
              <w:rPr>
                <w:rFonts w:hint="default"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结构分析工程师</w:t>
            </w:r>
          </w:p>
        </w:tc>
        <w:tc>
          <w:tcPr>
            <w:tcW w:w="214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snapToGrid/>
              <w:ind w:firstLine="0" w:firstLineChars="0"/>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结构分析工程师1人。土木工程或结构工程或地质工程专业</w:t>
            </w:r>
            <w:r>
              <w:rPr>
                <w:rFonts w:hint="eastAsia" w:ascii="宋体" w:hAnsi="宋体" w:eastAsia="宋体" w:cs="宋体"/>
                <w:color w:val="auto"/>
                <w:kern w:val="2"/>
                <w:sz w:val="21"/>
                <w:szCs w:val="21"/>
                <w:highlight w:val="none"/>
              </w:rPr>
              <w:t>本科</w:t>
            </w:r>
            <w:r>
              <w:rPr>
                <w:rFonts w:hint="eastAsia" w:ascii="宋体" w:hAnsi="宋体" w:eastAsia="宋体" w:cs="宋体"/>
                <w:color w:val="auto"/>
                <w:kern w:val="2"/>
                <w:sz w:val="21"/>
                <w:szCs w:val="21"/>
                <w:highlight w:val="none"/>
                <w:lang w:val="en-US" w:eastAsia="zh-CN"/>
              </w:rPr>
              <w:t>及以上</w:t>
            </w:r>
            <w:r>
              <w:rPr>
                <w:rFonts w:hint="eastAsia" w:ascii="宋体" w:hAnsi="宋体" w:eastAsia="宋体" w:cs="宋体"/>
                <w:color w:val="auto"/>
                <w:kern w:val="2"/>
                <w:sz w:val="21"/>
                <w:szCs w:val="21"/>
                <w:highlight w:val="none"/>
              </w:rPr>
              <w:t>学历</w:t>
            </w: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kern w:val="2"/>
                <w:sz w:val="21"/>
                <w:szCs w:val="21"/>
                <w:highlight w:val="none"/>
                <w:lang w:val="en-US" w:eastAsia="zh-CN"/>
              </w:rPr>
              <w:t>具有高级工程师</w:t>
            </w:r>
            <w:r>
              <w:rPr>
                <w:rFonts w:hint="eastAsia" w:ascii="宋体" w:hAnsi="宋体" w:eastAsia="宋体" w:cs="宋体"/>
                <w:color w:val="auto"/>
                <w:kern w:val="2"/>
                <w:sz w:val="21"/>
                <w:szCs w:val="21"/>
                <w:highlight w:val="none"/>
              </w:rPr>
              <w:t>及以上职称</w:t>
            </w: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kern w:val="2"/>
                <w:sz w:val="21"/>
                <w:szCs w:val="21"/>
                <w:highlight w:val="none"/>
                <w:lang w:val="en-US" w:eastAsia="zh-CN"/>
              </w:rPr>
              <w:t>5年以上轨道交通结构</w:t>
            </w:r>
            <w:r>
              <w:rPr>
                <w:rFonts w:hint="eastAsia" w:ascii="宋体" w:hAnsi="宋体" w:eastAsia="宋体" w:cs="宋体"/>
                <w:color w:val="auto"/>
                <w:kern w:val="2"/>
                <w:sz w:val="21"/>
                <w:szCs w:val="21"/>
                <w:highlight w:val="none"/>
              </w:rPr>
              <w:t>监测</w:t>
            </w:r>
            <w:r>
              <w:rPr>
                <w:rFonts w:hint="eastAsia" w:ascii="宋体" w:hAnsi="宋体" w:eastAsia="宋体" w:cs="宋体"/>
                <w:color w:val="auto"/>
                <w:kern w:val="2"/>
                <w:sz w:val="21"/>
                <w:szCs w:val="21"/>
                <w:highlight w:val="none"/>
                <w:lang w:val="en-US" w:eastAsia="zh-CN"/>
              </w:rPr>
              <w:t>数据分析相关工作经验。无违法犯罪记录。</w:t>
            </w:r>
          </w:p>
        </w:tc>
        <w:tc>
          <w:tcPr>
            <w:tcW w:w="2116" w:type="pct"/>
            <w:tcBorders>
              <w:left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spacing w:line="240" w:lineRule="auto"/>
              <w:ind w:firstLine="0" w:firstLineChars="0"/>
              <w:textAlignment w:val="baseline"/>
              <w:rPr>
                <w:rFonts w:hint="eastAsia"/>
                <w:color w:val="auto"/>
                <w:sz w:val="21"/>
                <w:szCs w:val="21"/>
                <w:highlight w:val="none"/>
              </w:rPr>
            </w:pPr>
            <w:r>
              <w:rPr>
                <w:rFonts w:hint="eastAsia"/>
                <w:color w:val="auto"/>
                <w:sz w:val="21"/>
                <w:szCs w:val="21"/>
                <w:highlight w:val="none"/>
              </w:rPr>
              <w:t>1.</w:t>
            </w:r>
            <w:r>
              <w:rPr>
                <w:rFonts w:hint="eastAsia"/>
                <w:color w:val="auto"/>
                <w:sz w:val="21"/>
                <w:szCs w:val="21"/>
                <w:highlight w:val="none"/>
                <w:lang w:val="en-US" w:eastAsia="zh-CN"/>
              </w:rPr>
              <w:t>对监测数据进行相关结构分析</w:t>
            </w:r>
            <w:r>
              <w:rPr>
                <w:rFonts w:hint="eastAsia"/>
                <w:color w:val="auto"/>
                <w:sz w:val="21"/>
                <w:szCs w:val="21"/>
                <w:highlight w:val="none"/>
              </w:rPr>
              <w:t>，遵守各类规程及检修规定，严格执行</w:t>
            </w:r>
            <w:r>
              <w:rPr>
                <w:rFonts w:hint="eastAsia"/>
                <w:color w:val="auto"/>
                <w:sz w:val="21"/>
                <w:szCs w:val="21"/>
                <w:highlight w:val="none"/>
                <w:lang w:val="en-US" w:eastAsia="zh-CN"/>
              </w:rPr>
              <w:t>相关管理</w:t>
            </w:r>
            <w:r>
              <w:rPr>
                <w:rFonts w:hint="eastAsia"/>
                <w:color w:val="auto"/>
                <w:sz w:val="21"/>
                <w:szCs w:val="21"/>
                <w:highlight w:val="none"/>
              </w:rPr>
              <w:t>制度；</w:t>
            </w:r>
          </w:p>
          <w:p>
            <w:pPr>
              <w:keepNext w:val="0"/>
              <w:keepLines w:val="0"/>
              <w:pageBreakBefore w:val="0"/>
              <w:widowControl w:val="0"/>
              <w:kinsoku/>
              <w:wordWrap/>
              <w:overflowPunct/>
              <w:topLinePunct w:val="0"/>
              <w:autoSpaceDE/>
              <w:autoSpaceDN/>
              <w:bidi w:val="0"/>
              <w:adjustRightInd w:val="0"/>
              <w:snapToGrid/>
              <w:spacing w:line="240" w:lineRule="auto"/>
              <w:ind w:firstLine="0" w:firstLineChars="0"/>
              <w:textAlignment w:val="baseline"/>
              <w:rPr>
                <w:rFonts w:hint="eastAsia"/>
                <w:color w:val="auto"/>
                <w:sz w:val="21"/>
                <w:szCs w:val="21"/>
                <w:highlight w:val="none"/>
              </w:rPr>
            </w:pPr>
            <w:r>
              <w:rPr>
                <w:rFonts w:hint="eastAsia"/>
                <w:color w:val="auto"/>
                <w:sz w:val="21"/>
                <w:szCs w:val="21"/>
                <w:highlight w:val="none"/>
              </w:rPr>
              <w:t>2.服从</w:t>
            </w:r>
            <w:r>
              <w:rPr>
                <w:rFonts w:hint="eastAsia"/>
                <w:color w:val="auto"/>
                <w:sz w:val="21"/>
                <w:szCs w:val="21"/>
                <w:highlight w:val="none"/>
                <w:lang w:val="en-US" w:eastAsia="zh-CN"/>
              </w:rPr>
              <w:t>招标人</w:t>
            </w:r>
            <w:r>
              <w:rPr>
                <w:rFonts w:hint="eastAsia"/>
                <w:color w:val="auto"/>
                <w:sz w:val="21"/>
                <w:szCs w:val="21"/>
                <w:highlight w:val="none"/>
              </w:rPr>
              <w:t>的业务指导；</w:t>
            </w:r>
          </w:p>
          <w:p>
            <w:pPr>
              <w:keepNext w:val="0"/>
              <w:keepLines w:val="0"/>
              <w:pageBreakBefore w:val="0"/>
              <w:widowControl w:val="0"/>
              <w:kinsoku/>
              <w:wordWrap/>
              <w:overflowPunct/>
              <w:topLinePunct w:val="0"/>
              <w:autoSpaceDE/>
              <w:autoSpaceDN/>
              <w:bidi w:val="0"/>
              <w:adjustRightInd w:val="0"/>
              <w:snapToGrid/>
              <w:spacing w:line="240" w:lineRule="auto"/>
              <w:ind w:firstLine="0" w:firstLineChars="0"/>
              <w:textAlignment w:val="baseline"/>
              <w:rPr>
                <w:rFonts w:hint="eastAsia"/>
                <w:color w:val="auto"/>
                <w:sz w:val="21"/>
                <w:szCs w:val="21"/>
                <w:highlight w:val="none"/>
              </w:rPr>
            </w:pPr>
            <w:r>
              <w:rPr>
                <w:rFonts w:hint="eastAsia"/>
                <w:color w:val="auto"/>
                <w:sz w:val="21"/>
                <w:szCs w:val="21"/>
                <w:highlight w:val="none"/>
                <w:lang w:val="en-US" w:eastAsia="zh-CN"/>
              </w:rPr>
              <w:t>3</w:t>
            </w:r>
            <w:r>
              <w:rPr>
                <w:rFonts w:hint="eastAsia"/>
                <w:color w:val="auto"/>
                <w:sz w:val="21"/>
                <w:szCs w:val="21"/>
                <w:highlight w:val="none"/>
              </w:rPr>
              <w:t>.认真</w:t>
            </w:r>
            <w:r>
              <w:rPr>
                <w:rFonts w:hint="eastAsia"/>
                <w:color w:val="auto"/>
                <w:sz w:val="21"/>
                <w:szCs w:val="21"/>
                <w:highlight w:val="none"/>
                <w:lang w:val="en-US" w:eastAsia="zh-CN"/>
              </w:rPr>
              <w:t>整理并分析监测数据</w:t>
            </w:r>
            <w:r>
              <w:rPr>
                <w:rFonts w:hint="eastAsia"/>
                <w:color w:val="auto"/>
                <w:sz w:val="21"/>
                <w:szCs w:val="21"/>
                <w:highlight w:val="none"/>
              </w:rPr>
              <w:t>，做到数据真实、可靠</w:t>
            </w:r>
            <w:r>
              <w:rPr>
                <w:rFonts w:hint="eastAsia"/>
                <w:color w:val="auto"/>
                <w:sz w:val="21"/>
                <w:szCs w:val="21"/>
                <w:highlight w:val="none"/>
                <w:lang w:eastAsia="zh-CN"/>
              </w:rPr>
              <w:t>，</w:t>
            </w:r>
            <w:r>
              <w:rPr>
                <w:rFonts w:hint="eastAsia"/>
                <w:color w:val="auto"/>
                <w:sz w:val="21"/>
                <w:szCs w:val="21"/>
                <w:highlight w:val="none"/>
                <w:lang w:val="en-US" w:eastAsia="zh-CN"/>
              </w:rPr>
              <w:t>按要求形成相关报告</w:t>
            </w:r>
            <w:r>
              <w:rPr>
                <w:rFonts w:hint="eastAsia"/>
                <w:color w:val="auto"/>
                <w:sz w:val="21"/>
                <w:szCs w:val="21"/>
                <w:highlight w:val="none"/>
              </w:rPr>
              <w:t>；</w:t>
            </w:r>
          </w:p>
          <w:p>
            <w:pPr>
              <w:keepNext w:val="0"/>
              <w:keepLines w:val="0"/>
              <w:pageBreakBefore w:val="0"/>
              <w:widowControl w:val="0"/>
              <w:kinsoku/>
              <w:wordWrap/>
              <w:overflowPunct/>
              <w:topLinePunct w:val="0"/>
              <w:autoSpaceDE/>
              <w:autoSpaceDN/>
              <w:bidi w:val="0"/>
              <w:adjustRightInd w:val="0"/>
              <w:snapToGrid/>
              <w:spacing w:line="240" w:lineRule="auto"/>
              <w:ind w:firstLine="0" w:firstLineChars="0"/>
              <w:textAlignment w:val="baseline"/>
              <w:rPr>
                <w:rFonts w:hint="eastAsia" w:ascii="宋体" w:hAnsi="宋体" w:eastAsia="宋体" w:cs="宋体"/>
                <w:color w:val="auto"/>
                <w:kern w:val="2"/>
                <w:sz w:val="21"/>
                <w:szCs w:val="21"/>
                <w:highlight w:val="none"/>
              </w:rPr>
            </w:pPr>
            <w:r>
              <w:rPr>
                <w:rFonts w:hint="eastAsia" w:ascii="Times New Roman" w:hAnsi="Times New Roman" w:eastAsia="宋体" w:cs="Times New Roman"/>
                <w:color w:val="auto"/>
                <w:sz w:val="21"/>
                <w:szCs w:val="21"/>
                <w:highlight w:val="none"/>
                <w:lang w:val="en-US" w:eastAsia="zh-CN"/>
              </w:rPr>
              <w:t>4</w:t>
            </w:r>
            <w:r>
              <w:rPr>
                <w:rFonts w:hint="eastAsia" w:ascii="Times New Roman" w:hAnsi="Times New Roman" w:eastAsia="宋体" w:cs="Times New Roman"/>
                <w:color w:val="auto"/>
                <w:sz w:val="21"/>
                <w:szCs w:val="21"/>
                <w:highlight w:val="none"/>
              </w:rPr>
              <w:t>.做好</w:t>
            </w:r>
            <w:r>
              <w:rPr>
                <w:rFonts w:hint="eastAsia" w:ascii="Times New Roman" w:hAnsi="Times New Roman" w:eastAsia="宋体" w:cs="Times New Roman"/>
                <w:color w:val="auto"/>
                <w:sz w:val="21"/>
                <w:szCs w:val="21"/>
                <w:highlight w:val="none"/>
                <w:lang w:val="en-US" w:eastAsia="zh-CN"/>
              </w:rPr>
              <w:t>招标人</w:t>
            </w:r>
            <w:r>
              <w:rPr>
                <w:rFonts w:hint="eastAsia" w:ascii="Times New Roman" w:hAnsi="Times New Roman" w:eastAsia="宋体" w:cs="Times New Roman"/>
                <w:color w:val="auto"/>
                <w:sz w:val="21"/>
                <w:szCs w:val="21"/>
                <w:highlight w:val="none"/>
              </w:rPr>
              <w:t>安排的其他工作。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36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snapToGrid/>
              <w:ind w:left="0" w:leftChars="0" w:firstLine="0" w:firstLineChars="0"/>
              <w:jc w:val="center"/>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4</w:t>
            </w:r>
          </w:p>
        </w:tc>
        <w:tc>
          <w:tcPr>
            <w:tcW w:w="37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snapToGrid/>
              <w:ind w:left="0" w:leftChars="0" w:firstLine="0" w:firstLineChars="0"/>
              <w:jc w:val="center"/>
              <w:rPr>
                <w:rFonts w:hint="default"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监测人员</w:t>
            </w:r>
          </w:p>
        </w:tc>
        <w:tc>
          <w:tcPr>
            <w:tcW w:w="214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snapToGrid/>
              <w:ind w:firstLine="0" w:firstLineChars="0"/>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对监测人员数量不作具体要求，以满足现场生产即可</w:t>
            </w: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sz w:val="21"/>
                <w:szCs w:val="21"/>
                <w:highlight w:val="none"/>
                <w:lang w:val="en-US" w:eastAsia="zh-CN"/>
              </w:rPr>
              <w:t>年龄不大于50周岁，</w:t>
            </w:r>
            <w:r>
              <w:rPr>
                <w:rFonts w:hint="eastAsia" w:ascii="宋体" w:hAnsi="宋体" w:eastAsia="宋体" w:cs="宋体"/>
                <w:color w:val="auto"/>
                <w:kern w:val="2"/>
                <w:sz w:val="21"/>
                <w:szCs w:val="21"/>
                <w:highlight w:val="none"/>
              </w:rPr>
              <w:t>测量相关专业中专</w:t>
            </w:r>
            <w:r>
              <w:rPr>
                <w:rFonts w:hint="eastAsia" w:ascii="宋体" w:hAnsi="宋体" w:eastAsia="宋体" w:cs="宋体"/>
                <w:color w:val="auto"/>
                <w:kern w:val="2"/>
                <w:sz w:val="21"/>
                <w:szCs w:val="21"/>
                <w:highlight w:val="none"/>
                <w:lang w:val="en-US" w:eastAsia="zh-CN"/>
              </w:rPr>
              <w:t>及</w:t>
            </w:r>
            <w:r>
              <w:rPr>
                <w:rFonts w:hint="eastAsia" w:ascii="宋体" w:hAnsi="宋体" w:eastAsia="宋体" w:cs="宋体"/>
                <w:color w:val="auto"/>
                <w:kern w:val="2"/>
                <w:sz w:val="21"/>
                <w:szCs w:val="21"/>
                <w:highlight w:val="none"/>
              </w:rPr>
              <w:t>以上学历</w:t>
            </w:r>
            <w:r>
              <w:rPr>
                <w:rFonts w:hint="eastAsia" w:ascii="宋体" w:hAnsi="宋体" w:eastAsia="宋体" w:cs="宋体"/>
                <w:color w:val="auto"/>
                <w:kern w:val="2"/>
                <w:sz w:val="21"/>
                <w:szCs w:val="21"/>
                <w:highlight w:val="none"/>
                <w:lang w:eastAsia="zh-CN"/>
              </w:rPr>
              <w:t>，具</w:t>
            </w:r>
            <w:r>
              <w:rPr>
                <w:rFonts w:hint="eastAsia" w:ascii="宋体" w:hAnsi="宋体" w:eastAsia="宋体" w:cs="宋体"/>
                <w:color w:val="auto"/>
                <w:kern w:val="2"/>
                <w:sz w:val="21"/>
                <w:szCs w:val="21"/>
                <w:highlight w:val="none"/>
              </w:rPr>
              <w:t>有测量工证书</w:t>
            </w: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kern w:val="2"/>
                <w:sz w:val="21"/>
                <w:szCs w:val="21"/>
                <w:highlight w:val="none"/>
                <w:lang w:val="en-US" w:eastAsia="zh-CN"/>
              </w:rPr>
              <w:t>3年以上轨道交通结构监测测量工作经验。无违法犯罪记录。</w:t>
            </w:r>
          </w:p>
        </w:tc>
        <w:tc>
          <w:tcPr>
            <w:tcW w:w="2116" w:type="pct"/>
            <w:tcBorders>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spacing w:line="240" w:lineRule="auto"/>
              <w:ind w:firstLine="0" w:firstLineChars="0"/>
              <w:textAlignment w:val="baseline"/>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1.按维保计划完成监测工作，做好数据真实可靠；</w:t>
            </w:r>
          </w:p>
          <w:p>
            <w:pPr>
              <w:keepNext w:val="0"/>
              <w:keepLines w:val="0"/>
              <w:pageBreakBefore w:val="0"/>
              <w:widowControl w:val="0"/>
              <w:kinsoku/>
              <w:wordWrap/>
              <w:overflowPunct/>
              <w:topLinePunct w:val="0"/>
              <w:autoSpaceDE/>
              <w:autoSpaceDN/>
              <w:bidi w:val="0"/>
              <w:adjustRightInd w:val="0"/>
              <w:snapToGrid/>
              <w:spacing w:line="240" w:lineRule="auto"/>
              <w:ind w:firstLine="0" w:firstLineChars="0"/>
              <w:textAlignment w:val="baseline"/>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2.做好现场点位布设和成品保护；</w:t>
            </w:r>
          </w:p>
          <w:p>
            <w:pPr>
              <w:keepNext w:val="0"/>
              <w:keepLines w:val="0"/>
              <w:pageBreakBefore w:val="0"/>
              <w:widowControl w:val="0"/>
              <w:kinsoku/>
              <w:wordWrap/>
              <w:overflowPunct/>
              <w:topLinePunct w:val="0"/>
              <w:autoSpaceDE/>
              <w:autoSpaceDN/>
              <w:bidi w:val="0"/>
              <w:adjustRightInd w:val="0"/>
              <w:snapToGrid/>
              <w:spacing w:line="240" w:lineRule="auto"/>
              <w:ind w:firstLine="0" w:firstLineChars="0"/>
              <w:textAlignment w:val="baseline"/>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3.汇总现场监测数据，做好原始数据资料的收集保护；</w:t>
            </w:r>
          </w:p>
          <w:p>
            <w:pPr>
              <w:keepNext w:val="0"/>
              <w:keepLines w:val="0"/>
              <w:pageBreakBefore w:val="0"/>
              <w:widowControl w:val="0"/>
              <w:kinsoku/>
              <w:wordWrap/>
              <w:overflowPunct/>
              <w:topLinePunct w:val="0"/>
              <w:autoSpaceDE/>
              <w:autoSpaceDN/>
              <w:bidi w:val="0"/>
              <w:adjustRightInd w:val="0"/>
              <w:snapToGrid/>
              <w:spacing w:line="240" w:lineRule="auto"/>
              <w:ind w:firstLine="0" w:firstLineChars="0"/>
              <w:textAlignment w:val="baseline"/>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4.做好相关台账整理工作；</w:t>
            </w:r>
          </w:p>
          <w:p>
            <w:pPr>
              <w:keepNext w:val="0"/>
              <w:keepLines w:val="0"/>
              <w:pageBreakBefore w:val="0"/>
              <w:widowControl w:val="0"/>
              <w:kinsoku/>
              <w:wordWrap/>
              <w:overflowPunct/>
              <w:topLinePunct w:val="0"/>
              <w:autoSpaceDE/>
              <w:autoSpaceDN/>
              <w:bidi w:val="0"/>
              <w:adjustRightInd w:val="0"/>
              <w:snapToGrid/>
              <w:spacing w:line="240" w:lineRule="auto"/>
              <w:ind w:firstLine="0" w:firstLineChars="0"/>
              <w:textAlignment w:val="baseline"/>
              <w:rPr>
                <w:rFonts w:hint="eastAsia" w:eastAsia="宋体"/>
                <w:color w:val="auto"/>
                <w:highlight w:val="none"/>
                <w:lang w:val="en-US" w:eastAsia="zh-CN"/>
              </w:rPr>
            </w:pPr>
            <w:r>
              <w:rPr>
                <w:rFonts w:hint="eastAsia" w:ascii="Times New Roman" w:hAnsi="Times New Roman" w:eastAsia="宋体" w:cs="Times New Roman"/>
                <w:color w:val="auto"/>
                <w:sz w:val="21"/>
                <w:szCs w:val="21"/>
                <w:highlight w:val="none"/>
                <w:lang w:val="en-US" w:eastAsia="zh-CN"/>
              </w:rPr>
              <w:t>5.</w:t>
            </w:r>
            <w:r>
              <w:rPr>
                <w:rFonts w:hint="eastAsia" w:ascii="Times New Roman" w:hAnsi="Times New Roman" w:eastAsia="宋体" w:cs="Times New Roman"/>
                <w:color w:val="auto"/>
                <w:sz w:val="21"/>
                <w:szCs w:val="21"/>
                <w:highlight w:val="none"/>
              </w:rPr>
              <w:t>做好</w:t>
            </w:r>
            <w:r>
              <w:rPr>
                <w:rFonts w:hint="eastAsia" w:ascii="Times New Roman" w:hAnsi="Times New Roman" w:eastAsia="宋体" w:cs="Times New Roman"/>
                <w:color w:val="auto"/>
                <w:sz w:val="21"/>
                <w:szCs w:val="21"/>
                <w:highlight w:val="none"/>
                <w:lang w:val="en-US" w:eastAsia="zh-CN"/>
              </w:rPr>
              <w:t>招标人</w:t>
            </w:r>
            <w:r>
              <w:rPr>
                <w:rFonts w:hint="eastAsia" w:ascii="Times New Roman" w:hAnsi="Times New Roman" w:eastAsia="宋体" w:cs="Times New Roman"/>
                <w:color w:val="auto"/>
                <w:sz w:val="21"/>
                <w:szCs w:val="21"/>
                <w:highlight w:val="none"/>
              </w:rPr>
              <w:t>安排的其他工作</w:t>
            </w:r>
            <w:r>
              <w:rPr>
                <w:rFonts w:hint="eastAsia" w:ascii="Times New Roman" w:hAnsi="Times New Roman" w:eastAsia="宋体" w:cs="Times New Roman"/>
                <w:color w:val="auto"/>
                <w:sz w:val="21"/>
                <w:szCs w:val="21"/>
                <w:highlight w:val="none"/>
                <w:lang w:eastAsia="zh-CN"/>
              </w:rPr>
              <w:t>。</w:t>
            </w:r>
          </w:p>
        </w:tc>
      </w:tr>
    </w:tbl>
    <w:p>
      <w:pPr>
        <w:spacing w:beforeLines="50" w:afterLines="100"/>
        <w:jc w:val="left"/>
        <w:outlineLvl w:val="0"/>
        <w:rPr>
          <w:rFonts w:hint="eastAsia"/>
          <w:color w:val="auto"/>
          <w:highlight w:val="none"/>
        </w:rPr>
      </w:pPr>
      <w:bookmarkStart w:id="249" w:name="_Toc32334"/>
      <w:r>
        <w:rPr>
          <w:rFonts w:hint="eastAsia" w:ascii="宋体" w:hAnsi="宋体" w:eastAsia="宋体" w:cs="宋体"/>
          <w:b/>
          <w:bCs/>
          <w:snapToGrid w:val="0"/>
          <w:color w:val="auto"/>
          <w:kern w:val="0"/>
          <w:sz w:val="21"/>
          <w:szCs w:val="21"/>
          <w:highlight w:val="none"/>
        </w:rPr>
        <w:br w:type="page"/>
      </w:r>
      <w:r>
        <w:rPr>
          <w:rFonts w:hint="eastAsia" w:ascii="宋体" w:hAnsi="宋体" w:eastAsia="宋体" w:cs="宋体"/>
          <w:b/>
          <w:bCs/>
          <w:snapToGrid w:val="0"/>
          <w:color w:val="auto"/>
          <w:kern w:val="0"/>
          <w:sz w:val="21"/>
          <w:szCs w:val="21"/>
          <w:highlight w:val="none"/>
        </w:rPr>
        <w:t>附</w:t>
      </w:r>
      <w:r>
        <w:rPr>
          <w:rFonts w:hint="eastAsia" w:ascii="宋体" w:hAnsi="宋体" w:eastAsia="宋体" w:cs="宋体"/>
          <w:b/>
          <w:bCs/>
          <w:snapToGrid w:val="0"/>
          <w:color w:val="auto"/>
          <w:kern w:val="0"/>
          <w:sz w:val="21"/>
          <w:szCs w:val="21"/>
          <w:highlight w:val="none"/>
          <w:lang w:val="en-US" w:eastAsia="zh-CN"/>
        </w:rPr>
        <w:t>录2</w:t>
      </w:r>
      <w:r>
        <w:rPr>
          <w:rFonts w:hint="eastAsia" w:ascii="宋体" w:hAnsi="宋体" w:eastAsia="宋体" w:cs="宋体"/>
          <w:b/>
          <w:bCs/>
          <w:snapToGrid w:val="0"/>
          <w:color w:val="auto"/>
          <w:kern w:val="0"/>
          <w:sz w:val="21"/>
          <w:szCs w:val="21"/>
          <w:highlight w:val="none"/>
        </w:rPr>
        <w:t>：</w:t>
      </w:r>
      <w:r>
        <w:rPr>
          <w:rFonts w:hint="eastAsia" w:ascii="宋体" w:hAnsi="宋体" w:eastAsia="宋体" w:cs="宋体"/>
          <w:b/>
          <w:bCs/>
          <w:snapToGrid w:val="0"/>
          <w:color w:val="auto"/>
          <w:kern w:val="0"/>
          <w:sz w:val="21"/>
          <w:szCs w:val="21"/>
          <w:highlight w:val="none"/>
          <w:lang w:eastAsia="zh-CN"/>
        </w:rPr>
        <w:t>投标人</w:t>
      </w:r>
      <w:r>
        <w:rPr>
          <w:rFonts w:hint="eastAsia" w:ascii="宋体" w:hAnsi="宋体" w:eastAsia="宋体" w:cs="宋体"/>
          <w:b/>
          <w:bCs/>
          <w:snapToGrid w:val="0"/>
          <w:color w:val="auto"/>
          <w:kern w:val="0"/>
          <w:sz w:val="21"/>
          <w:szCs w:val="21"/>
          <w:highlight w:val="none"/>
        </w:rPr>
        <w:t>提供维保资源清单（包括但不限于下表所列）</w:t>
      </w:r>
      <w:bookmarkEnd w:id="248"/>
      <w:bookmarkEnd w:id="249"/>
    </w:p>
    <w:tbl>
      <w:tblPr>
        <w:tblStyle w:val="25"/>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81"/>
        <w:gridCol w:w="1356"/>
        <w:gridCol w:w="657"/>
        <w:gridCol w:w="689"/>
        <w:gridCol w:w="1991"/>
        <w:gridCol w:w="27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828" w:type="pct"/>
            <w:tcBorders>
              <w:top w:val="single" w:color="auto" w:sz="4" w:space="0"/>
              <w:left w:val="single" w:color="auto" w:sz="4" w:space="0"/>
              <w:bottom w:val="single" w:color="auto" w:sz="4" w:space="0"/>
              <w:right w:val="single" w:color="auto" w:sz="4" w:space="0"/>
            </w:tcBorders>
            <w:noWrap w:val="0"/>
            <w:vAlign w:val="center"/>
          </w:tcPr>
          <w:p>
            <w:pPr>
              <w:ind w:left="0" w:leftChars="0" w:firstLine="0" w:firstLineChars="0"/>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仪器名称</w:t>
            </w:r>
          </w:p>
        </w:tc>
        <w:tc>
          <w:tcPr>
            <w:tcW w:w="758" w:type="pct"/>
            <w:tcBorders>
              <w:top w:val="single" w:color="auto" w:sz="4" w:space="0"/>
              <w:left w:val="single" w:color="auto" w:sz="4" w:space="0"/>
              <w:bottom w:val="single" w:color="auto" w:sz="4" w:space="0"/>
              <w:right w:val="single" w:color="auto" w:sz="4" w:space="0"/>
            </w:tcBorders>
            <w:noWrap w:val="0"/>
            <w:vAlign w:val="center"/>
          </w:tcPr>
          <w:p>
            <w:pPr>
              <w:ind w:left="0" w:leftChars="0" w:firstLine="0" w:firstLineChars="0"/>
              <w:jc w:val="center"/>
              <w:rPr>
                <w:rFonts w:hint="default"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精度要求</w:t>
            </w:r>
          </w:p>
        </w:tc>
        <w:tc>
          <w:tcPr>
            <w:tcW w:w="367" w:type="pct"/>
            <w:tcBorders>
              <w:top w:val="single" w:color="auto" w:sz="4" w:space="0"/>
              <w:left w:val="single" w:color="auto" w:sz="4" w:space="0"/>
              <w:bottom w:val="single" w:color="auto" w:sz="4" w:space="0"/>
              <w:right w:val="single" w:color="auto" w:sz="4" w:space="0"/>
            </w:tcBorders>
            <w:noWrap w:val="0"/>
            <w:vAlign w:val="center"/>
          </w:tcPr>
          <w:p>
            <w:pPr>
              <w:ind w:left="0" w:leftChars="0" w:firstLine="0" w:firstLineChars="0"/>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单位</w:t>
            </w:r>
          </w:p>
        </w:tc>
        <w:tc>
          <w:tcPr>
            <w:tcW w:w="385" w:type="pct"/>
            <w:tcBorders>
              <w:top w:val="single" w:color="auto" w:sz="4" w:space="0"/>
              <w:left w:val="single" w:color="auto" w:sz="4" w:space="0"/>
              <w:bottom w:val="single" w:color="auto" w:sz="4" w:space="0"/>
              <w:right w:val="single" w:color="auto" w:sz="4" w:space="0"/>
            </w:tcBorders>
            <w:noWrap w:val="0"/>
            <w:vAlign w:val="center"/>
          </w:tcPr>
          <w:p>
            <w:pPr>
              <w:ind w:left="0" w:leftChars="0" w:firstLine="0" w:firstLineChars="0"/>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数量</w:t>
            </w:r>
          </w:p>
        </w:tc>
        <w:tc>
          <w:tcPr>
            <w:tcW w:w="1113" w:type="pct"/>
            <w:tcBorders>
              <w:top w:val="single" w:color="auto" w:sz="4" w:space="0"/>
              <w:left w:val="single" w:color="auto" w:sz="4" w:space="0"/>
              <w:bottom w:val="single" w:color="auto" w:sz="4" w:space="0"/>
              <w:right w:val="single" w:color="auto" w:sz="4" w:space="0"/>
            </w:tcBorders>
            <w:noWrap w:val="0"/>
            <w:vAlign w:val="center"/>
          </w:tcPr>
          <w:p>
            <w:pPr>
              <w:ind w:left="0" w:leftChars="0" w:firstLine="0" w:firstLineChars="0"/>
              <w:jc w:val="center"/>
              <w:rPr>
                <w:rFonts w:hint="default"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参考品牌</w:t>
            </w:r>
          </w:p>
        </w:tc>
        <w:tc>
          <w:tcPr>
            <w:tcW w:w="1546" w:type="pct"/>
            <w:tcBorders>
              <w:top w:val="single" w:color="auto" w:sz="4" w:space="0"/>
              <w:left w:val="single" w:color="auto" w:sz="4" w:space="0"/>
              <w:bottom w:val="single" w:color="auto" w:sz="4" w:space="0"/>
              <w:right w:val="single" w:color="auto" w:sz="4" w:space="0"/>
            </w:tcBorders>
            <w:noWrap w:val="0"/>
            <w:vAlign w:val="center"/>
          </w:tcPr>
          <w:p>
            <w:pPr>
              <w:ind w:left="0" w:leftChars="0" w:firstLine="0" w:firstLineChars="0"/>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4" w:hRule="exact"/>
          <w:jc w:val="center"/>
        </w:trPr>
        <w:tc>
          <w:tcPr>
            <w:tcW w:w="828" w:type="pct"/>
            <w:tcBorders>
              <w:top w:val="single" w:color="auto" w:sz="4" w:space="0"/>
              <w:left w:val="single" w:color="auto" w:sz="4" w:space="0"/>
              <w:bottom w:val="single" w:color="auto" w:sz="4" w:space="0"/>
              <w:right w:val="single" w:color="auto" w:sz="4" w:space="0"/>
            </w:tcBorders>
            <w:noWrap w:val="0"/>
            <w:vAlign w:val="center"/>
          </w:tcPr>
          <w:p>
            <w:pPr>
              <w:ind w:left="0" w:leftChars="0" w:firstLine="0" w:firstLineChars="0"/>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水准仪</w:t>
            </w:r>
          </w:p>
        </w:tc>
        <w:tc>
          <w:tcPr>
            <w:tcW w:w="758" w:type="pct"/>
            <w:tcBorders>
              <w:top w:val="single" w:color="auto" w:sz="4" w:space="0"/>
              <w:left w:val="single" w:color="auto" w:sz="4" w:space="0"/>
              <w:bottom w:val="single" w:color="auto" w:sz="4" w:space="0"/>
              <w:right w:val="single" w:color="auto" w:sz="4" w:space="0"/>
            </w:tcBorders>
            <w:noWrap w:val="0"/>
            <w:vAlign w:val="center"/>
          </w:tcPr>
          <w:p>
            <w:pPr>
              <w:spacing w:line="240" w:lineRule="auto"/>
              <w:ind w:left="0" w:leftChars="0" w:firstLine="0" w:firstLineChars="0"/>
              <w:jc w:val="center"/>
              <w:rPr>
                <w:rFonts w:hint="default"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0.3 mm/km</w:t>
            </w:r>
          </w:p>
        </w:tc>
        <w:tc>
          <w:tcPr>
            <w:tcW w:w="367" w:type="pct"/>
            <w:tcBorders>
              <w:top w:val="single" w:color="auto" w:sz="4" w:space="0"/>
              <w:left w:val="single" w:color="auto" w:sz="4" w:space="0"/>
              <w:bottom w:val="single" w:color="auto" w:sz="4" w:space="0"/>
              <w:right w:val="single" w:color="auto" w:sz="4" w:space="0"/>
            </w:tcBorders>
            <w:noWrap w:val="0"/>
            <w:vAlign w:val="center"/>
          </w:tcPr>
          <w:p>
            <w:pPr>
              <w:ind w:left="0" w:leftChars="0" w:firstLine="0" w:firstLineChars="0"/>
              <w:jc w:val="center"/>
              <w:rPr>
                <w:rFonts w:hint="eastAsia" w:ascii="宋体" w:hAnsi="宋体" w:eastAsia="宋体" w:cs="宋体"/>
                <w:color w:val="auto"/>
                <w:kern w:val="2"/>
                <w:sz w:val="21"/>
                <w:szCs w:val="21"/>
                <w:highlight w:val="none"/>
                <w:lang w:eastAsia="zh-CN"/>
              </w:rPr>
            </w:pPr>
            <w:r>
              <w:rPr>
                <w:rFonts w:hint="eastAsia" w:ascii="宋体" w:hAnsi="宋体" w:eastAsia="宋体" w:cs="宋体"/>
                <w:color w:val="auto"/>
                <w:kern w:val="2"/>
                <w:sz w:val="21"/>
                <w:szCs w:val="21"/>
                <w:highlight w:val="none"/>
                <w:lang w:val="en-US" w:eastAsia="zh-CN"/>
              </w:rPr>
              <w:t>套</w:t>
            </w:r>
          </w:p>
        </w:tc>
        <w:tc>
          <w:tcPr>
            <w:tcW w:w="385" w:type="pct"/>
            <w:tcBorders>
              <w:top w:val="single" w:color="auto" w:sz="4" w:space="0"/>
              <w:left w:val="single" w:color="auto" w:sz="4" w:space="0"/>
              <w:bottom w:val="single" w:color="auto" w:sz="4" w:space="0"/>
              <w:right w:val="single" w:color="auto" w:sz="4" w:space="0"/>
            </w:tcBorders>
            <w:noWrap w:val="0"/>
            <w:vAlign w:val="center"/>
          </w:tcPr>
          <w:p>
            <w:pPr>
              <w:ind w:left="0" w:leftChars="0" w:firstLine="0" w:firstLineChars="0"/>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2</w:t>
            </w:r>
          </w:p>
        </w:tc>
        <w:tc>
          <w:tcPr>
            <w:tcW w:w="1113" w:type="pct"/>
            <w:tcBorders>
              <w:top w:val="single" w:color="auto" w:sz="4" w:space="0"/>
              <w:left w:val="single" w:color="auto" w:sz="4" w:space="0"/>
              <w:bottom w:val="single" w:color="auto" w:sz="4" w:space="0"/>
              <w:right w:val="single" w:color="auto" w:sz="4" w:space="0"/>
            </w:tcBorders>
            <w:noWrap w:val="0"/>
            <w:vAlign w:val="center"/>
          </w:tcPr>
          <w:p>
            <w:pPr>
              <w:ind w:left="0" w:leftChars="0" w:firstLine="0" w:firstLineChars="0"/>
              <w:jc w:val="center"/>
              <w:rPr>
                <w:rFonts w:hint="default"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rPr>
              <w:t>徕卡</w:t>
            </w: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kern w:val="2"/>
                <w:sz w:val="21"/>
                <w:szCs w:val="21"/>
                <w:highlight w:val="none"/>
                <w:lang w:val="en-US" w:eastAsia="zh-CN"/>
              </w:rPr>
              <w:t>天宝、博士</w:t>
            </w:r>
          </w:p>
        </w:tc>
        <w:tc>
          <w:tcPr>
            <w:tcW w:w="1546" w:type="pct"/>
            <w:tcBorders>
              <w:top w:val="single" w:color="auto" w:sz="4" w:space="0"/>
              <w:left w:val="single" w:color="auto" w:sz="4" w:space="0"/>
              <w:bottom w:val="single" w:color="auto" w:sz="4" w:space="0"/>
              <w:right w:val="single" w:color="auto" w:sz="4" w:space="0"/>
            </w:tcBorders>
            <w:noWrap w:val="0"/>
            <w:vAlign w:val="center"/>
          </w:tcPr>
          <w:p>
            <w:pPr>
              <w:ind w:left="0" w:leftChars="0" w:firstLine="0" w:firstLineChars="0"/>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用于沉降</w:t>
            </w:r>
            <w:r>
              <w:rPr>
                <w:rFonts w:hint="eastAsia" w:ascii="宋体" w:hAnsi="宋体" w:eastAsia="宋体" w:cs="宋体"/>
                <w:color w:val="auto"/>
                <w:kern w:val="2"/>
                <w:sz w:val="21"/>
                <w:szCs w:val="21"/>
                <w:highlight w:val="none"/>
                <w:lang w:val="en-US" w:eastAsia="zh-CN"/>
              </w:rPr>
              <w:t>监测</w:t>
            </w:r>
            <w:r>
              <w:rPr>
                <w:rFonts w:hint="eastAsia" w:ascii="宋体" w:hAnsi="宋体" w:eastAsia="宋体" w:cs="宋体"/>
                <w:color w:val="auto"/>
                <w:kern w:val="2"/>
                <w:sz w:val="21"/>
                <w:szCs w:val="21"/>
                <w:highlight w:val="none"/>
              </w:rPr>
              <w:t>及控制网复测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exact"/>
          <w:jc w:val="center"/>
        </w:trPr>
        <w:tc>
          <w:tcPr>
            <w:tcW w:w="828" w:type="pct"/>
            <w:tcBorders>
              <w:top w:val="single" w:color="auto" w:sz="4" w:space="0"/>
              <w:left w:val="single" w:color="auto" w:sz="4" w:space="0"/>
              <w:bottom w:val="single" w:color="auto" w:sz="4" w:space="0"/>
              <w:right w:val="single" w:color="auto" w:sz="4" w:space="0"/>
            </w:tcBorders>
            <w:noWrap w:val="0"/>
            <w:vAlign w:val="center"/>
          </w:tcPr>
          <w:p>
            <w:pPr>
              <w:ind w:left="0" w:leftChars="0" w:firstLine="0" w:firstLineChars="0"/>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激光</w:t>
            </w:r>
            <w:r>
              <w:rPr>
                <w:rFonts w:hint="eastAsia" w:ascii="宋体" w:hAnsi="宋体" w:eastAsia="宋体" w:cs="宋体"/>
                <w:color w:val="auto"/>
                <w:kern w:val="2"/>
                <w:sz w:val="21"/>
                <w:szCs w:val="21"/>
                <w:highlight w:val="none"/>
              </w:rPr>
              <w:t>测距仪</w:t>
            </w:r>
          </w:p>
        </w:tc>
        <w:tc>
          <w:tcPr>
            <w:tcW w:w="758" w:type="pct"/>
            <w:tcBorders>
              <w:top w:val="single" w:color="auto" w:sz="4" w:space="0"/>
              <w:left w:val="single" w:color="auto" w:sz="4" w:space="0"/>
              <w:bottom w:val="single" w:color="auto" w:sz="4" w:space="0"/>
              <w:right w:val="single" w:color="auto" w:sz="4" w:space="0"/>
            </w:tcBorders>
            <w:noWrap w:val="0"/>
            <w:vAlign w:val="center"/>
          </w:tcPr>
          <w:p>
            <w:pPr>
              <w:ind w:left="0" w:leftChars="0" w:firstLine="0" w:firstLineChars="0"/>
              <w:jc w:val="center"/>
              <w:rPr>
                <w:rFonts w:hint="default"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±1.0 mm</w:t>
            </w:r>
          </w:p>
        </w:tc>
        <w:tc>
          <w:tcPr>
            <w:tcW w:w="367" w:type="pct"/>
            <w:tcBorders>
              <w:top w:val="single" w:color="auto" w:sz="4" w:space="0"/>
              <w:left w:val="single" w:color="auto" w:sz="4" w:space="0"/>
              <w:bottom w:val="single" w:color="auto" w:sz="4" w:space="0"/>
              <w:right w:val="single" w:color="auto" w:sz="4" w:space="0"/>
            </w:tcBorders>
            <w:noWrap w:val="0"/>
            <w:vAlign w:val="center"/>
          </w:tcPr>
          <w:p>
            <w:pPr>
              <w:ind w:left="0" w:leftChars="0" w:firstLine="0" w:firstLineChars="0"/>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台</w:t>
            </w:r>
          </w:p>
        </w:tc>
        <w:tc>
          <w:tcPr>
            <w:tcW w:w="385" w:type="pct"/>
            <w:tcBorders>
              <w:top w:val="single" w:color="auto" w:sz="4" w:space="0"/>
              <w:left w:val="single" w:color="auto" w:sz="4" w:space="0"/>
              <w:bottom w:val="single" w:color="auto" w:sz="4" w:space="0"/>
              <w:right w:val="single" w:color="auto" w:sz="4" w:space="0"/>
            </w:tcBorders>
            <w:noWrap w:val="0"/>
            <w:vAlign w:val="center"/>
          </w:tcPr>
          <w:p>
            <w:pPr>
              <w:ind w:left="0" w:leftChars="0" w:firstLine="0" w:firstLineChars="0"/>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2</w:t>
            </w:r>
          </w:p>
        </w:tc>
        <w:tc>
          <w:tcPr>
            <w:tcW w:w="1113" w:type="pct"/>
            <w:tcBorders>
              <w:top w:val="single" w:color="auto" w:sz="4" w:space="0"/>
              <w:left w:val="single" w:color="auto" w:sz="4" w:space="0"/>
              <w:bottom w:val="single" w:color="auto" w:sz="4" w:space="0"/>
              <w:right w:val="single" w:color="auto" w:sz="4" w:space="0"/>
            </w:tcBorders>
            <w:noWrap w:val="0"/>
            <w:vAlign w:val="center"/>
          </w:tcPr>
          <w:p>
            <w:pPr>
              <w:ind w:left="0" w:leftChars="0" w:firstLine="0" w:firstLineChars="0"/>
              <w:jc w:val="center"/>
              <w:rPr>
                <w:rFonts w:hint="eastAsia" w:ascii="宋体" w:hAnsi="宋体" w:eastAsia="宋体" w:cs="宋体"/>
                <w:color w:val="auto"/>
                <w:kern w:val="2"/>
                <w:sz w:val="21"/>
                <w:szCs w:val="21"/>
                <w:highlight w:val="none"/>
                <w:lang w:eastAsia="zh-CN"/>
              </w:rPr>
            </w:pPr>
            <w:r>
              <w:rPr>
                <w:rFonts w:hint="eastAsia" w:ascii="宋体" w:hAnsi="宋体" w:eastAsia="宋体" w:cs="宋体"/>
                <w:color w:val="auto"/>
                <w:kern w:val="2"/>
                <w:sz w:val="21"/>
                <w:szCs w:val="21"/>
                <w:highlight w:val="none"/>
              </w:rPr>
              <w:t>徕卡</w:t>
            </w:r>
            <w:r>
              <w:rPr>
                <w:rFonts w:hint="eastAsia" w:ascii="宋体" w:hAnsi="宋体" w:eastAsia="宋体" w:cs="宋体"/>
                <w:color w:val="auto"/>
                <w:kern w:val="2"/>
                <w:sz w:val="21"/>
                <w:szCs w:val="21"/>
                <w:highlight w:val="none"/>
                <w:lang w:eastAsia="zh-CN"/>
              </w:rPr>
              <w:t>、海克斯康、誉煊电子</w:t>
            </w:r>
          </w:p>
        </w:tc>
        <w:tc>
          <w:tcPr>
            <w:tcW w:w="1546" w:type="pct"/>
            <w:tcBorders>
              <w:top w:val="single" w:color="auto" w:sz="4" w:space="0"/>
              <w:left w:val="single" w:color="auto" w:sz="4" w:space="0"/>
              <w:bottom w:val="single" w:color="auto" w:sz="4" w:space="0"/>
              <w:right w:val="single" w:color="auto" w:sz="4" w:space="0"/>
            </w:tcBorders>
            <w:noWrap w:val="0"/>
            <w:vAlign w:val="center"/>
          </w:tcPr>
          <w:p>
            <w:pPr>
              <w:ind w:left="0" w:leftChars="0" w:firstLine="0" w:firstLineChars="0"/>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用于</w:t>
            </w:r>
            <w:r>
              <w:rPr>
                <w:rFonts w:hint="eastAsia" w:ascii="宋体" w:hAnsi="宋体" w:eastAsia="宋体" w:cs="宋体"/>
                <w:color w:val="auto"/>
                <w:kern w:val="2"/>
                <w:sz w:val="21"/>
                <w:szCs w:val="21"/>
                <w:highlight w:val="none"/>
                <w:lang w:val="en-US" w:eastAsia="zh-CN"/>
              </w:rPr>
              <w:t>净空</w:t>
            </w:r>
            <w:r>
              <w:rPr>
                <w:rFonts w:hint="eastAsia" w:ascii="宋体" w:hAnsi="宋体" w:eastAsia="宋体" w:cs="宋体"/>
                <w:color w:val="auto"/>
                <w:kern w:val="2"/>
                <w:sz w:val="21"/>
                <w:szCs w:val="21"/>
                <w:highlight w:val="none"/>
              </w:rPr>
              <w:t>收敛监测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exact"/>
          <w:jc w:val="center"/>
        </w:trPr>
        <w:tc>
          <w:tcPr>
            <w:tcW w:w="828" w:type="pct"/>
            <w:tcBorders>
              <w:top w:val="single" w:color="auto" w:sz="4" w:space="0"/>
              <w:left w:val="single" w:color="auto" w:sz="4" w:space="0"/>
              <w:bottom w:val="single" w:color="auto" w:sz="4" w:space="0"/>
              <w:right w:val="single" w:color="auto" w:sz="4" w:space="0"/>
            </w:tcBorders>
            <w:noWrap w:val="0"/>
            <w:vAlign w:val="center"/>
          </w:tcPr>
          <w:p>
            <w:pPr>
              <w:ind w:left="0" w:leftChars="0" w:firstLine="0" w:firstLineChars="0"/>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裂缝观测仪</w:t>
            </w:r>
          </w:p>
        </w:tc>
        <w:tc>
          <w:tcPr>
            <w:tcW w:w="758" w:type="pct"/>
            <w:tcBorders>
              <w:top w:val="single" w:color="auto" w:sz="4" w:space="0"/>
              <w:left w:val="single" w:color="auto" w:sz="4" w:space="0"/>
              <w:bottom w:val="single" w:color="auto" w:sz="4" w:space="0"/>
              <w:right w:val="single" w:color="auto" w:sz="4" w:space="0"/>
            </w:tcBorders>
            <w:noWrap w:val="0"/>
            <w:vAlign w:val="center"/>
          </w:tcPr>
          <w:p>
            <w:pPr>
              <w:ind w:left="0" w:leftChars="0" w:firstLine="0" w:firstLineChars="0"/>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±0.1 mm</w:t>
            </w:r>
          </w:p>
        </w:tc>
        <w:tc>
          <w:tcPr>
            <w:tcW w:w="367" w:type="pct"/>
            <w:tcBorders>
              <w:top w:val="single" w:color="auto" w:sz="4" w:space="0"/>
              <w:left w:val="single" w:color="auto" w:sz="4" w:space="0"/>
              <w:bottom w:val="single" w:color="auto" w:sz="4" w:space="0"/>
              <w:right w:val="single" w:color="auto" w:sz="4" w:space="0"/>
            </w:tcBorders>
            <w:noWrap w:val="0"/>
            <w:vAlign w:val="center"/>
          </w:tcPr>
          <w:p>
            <w:pPr>
              <w:ind w:left="0" w:leftChars="0" w:firstLine="0" w:firstLineChars="0"/>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台</w:t>
            </w:r>
          </w:p>
        </w:tc>
        <w:tc>
          <w:tcPr>
            <w:tcW w:w="385" w:type="pct"/>
            <w:tcBorders>
              <w:top w:val="single" w:color="auto" w:sz="4" w:space="0"/>
              <w:left w:val="single" w:color="auto" w:sz="4" w:space="0"/>
              <w:bottom w:val="single" w:color="auto" w:sz="4" w:space="0"/>
              <w:right w:val="single" w:color="auto" w:sz="4" w:space="0"/>
            </w:tcBorders>
            <w:noWrap w:val="0"/>
            <w:vAlign w:val="center"/>
          </w:tcPr>
          <w:p>
            <w:pPr>
              <w:ind w:left="0" w:leftChars="0" w:firstLine="0" w:firstLineChars="0"/>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1</w:t>
            </w:r>
          </w:p>
        </w:tc>
        <w:tc>
          <w:tcPr>
            <w:tcW w:w="1113" w:type="pct"/>
            <w:tcBorders>
              <w:top w:val="single" w:color="auto" w:sz="4" w:space="0"/>
              <w:left w:val="single" w:color="auto" w:sz="4" w:space="0"/>
              <w:bottom w:val="single" w:color="auto" w:sz="4" w:space="0"/>
              <w:right w:val="single" w:color="auto" w:sz="4" w:space="0"/>
            </w:tcBorders>
            <w:noWrap w:val="0"/>
            <w:vAlign w:val="center"/>
          </w:tcPr>
          <w:p>
            <w:pPr>
              <w:ind w:left="0" w:leftChars="0" w:firstLine="0" w:firstLineChars="0"/>
              <w:jc w:val="center"/>
              <w:rPr>
                <w:rFonts w:hint="eastAsia" w:ascii="宋体" w:hAnsi="宋体" w:eastAsia="宋体" w:cs="宋体"/>
                <w:color w:val="auto"/>
                <w:kern w:val="2"/>
                <w:sz w:val="21"/>
                <w:szCs w:val="21"/>
                <w:highlight w:val="none"/>
                <w:lang w:eastAsia="zh-CN"/>
              </w:rPr>
            </w:pPr>
            <w:r>
              <w:rPr>
                <w:rFonts w:hint="eastAsia" w:ascii="宋体" w:hAnsi="宋体" w:eastAsia="宋体" w:cs="宋体"/>
                <w:color w:val="auto"/>
                <w:kern w:val="2"/>
                <w:sz w:val="21"/>
                <w:szCs w:val="21"/>
                <w:highlight w:val="none"/>
                <w:lang w:val="en-US" w:eastAsia="zh-CN"/>
              </w:rPr>
              <w:t>海康威视</w:t>
            </w: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kern w:val="2"/>
                <w:sz w:val="21"/>
                <w:szCs w:val="21"/>
                <w:highlight w:val="none"/>
              </w:rPr>
              <w:t>智博联</w:t>
            </w: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kern w:val="2"/>
                <w:sz w:val="21"/>
                <w:szCs w:val="21"/>
                <w:highlight w:val="none"/>
                <w:lang w:val="en-US" w:eastAsia="zh-CN"/>
              </w:rPr>
              <w:t>中拓科仪</w:t>
            </w:r>
          </w:p>
        </w:tc>
        <w:tc>
          <w:tcPr>
            <w:tcW w:w="1546" w:type="pct"/>
            <w:tcBorders>
              <w:top w:val="single" w:color="auto" w:sz="4" w:space="0"/>
              <w:left w:val="single" w:color="auto" w:sz="4" w:space="0"/>
              <w:bottom w:val="single" w:color="auto" w:sz="4" w:space="0"/>
              <w:right w:val="single" w:color="auto" w:sz="4" w:space="0"/>
            </w:tcBorders>
            <w:noWrap w:val="0"/>
            <w:vAlign w:val="center"/>
          </w:tcPr>
          <w:p>
            <w:pPr>
              <w:ind w:left="0" w:leftChars="0" w:firstLine="0" w:firstLineChars="0"/>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用于裂缝观测</w:t>
            </w:r>
          </w:p>
        </w:tc>
      </w:tr>
    </w:tbl>
    <w:p>
      <w:pPr>
        <w:pStyle w:val="11"/>
        <w:tabs>
          <w:tab w:val="left" w:pos="840"/>
          <w:tab w:val="left" w:pos="2098"/>
        </w:tabs>
        <w:adjustRightInd/>
        <w:spacing w:before="0" w:after="0" w:line="360" w:lineRule="auto"/>
        <w:ind w:left="0" w:firstLine="0"/>
        <w:jc w:val="both"/>
        <w:textAlignment w:val="auto"/>
        <w:rPr>
          <w:rFonts w:hint="eastAsia" w:ascii="宋体" w:hAnsi="宋体" w:eastAsia="宋体" w:cs="宋体"/>
          <w:b/>
          <w:bCs/>
          <w:color w:val="auto"/>
          <w:kern w:val="2"/>
          <w:sz w:val="24"/>
          <w:szCs w:val="24"/>
          <w:highlight w:val="none"/>
          <w:lang w:val="en-US" w:eastAsia="zh-CN"/>
        </w:rPr>
      </w:pPr>
      <w:bookmarkStart w:id="250" w:name="_Toc1970"/>
      <w:r>
        <w:rPr>
          <w:rFonts w:hint="eastAsia" w:ascii="宋体" w:hAnsi="宋体" w:eastAsia="宋体" w:cs="宋体"/>
          <w:b/>
          <w:bCs w:val="0"/>
          <w:color w:val="auto"/>
          <w:sz w:val="21"/>
          <w:szCs w:val="21"/>
          <w:highlight w:val="none"/>
          <w:lang w:val="en-US" w:eastAsia="zh-CN"/>
        </w:rPr>
        <w:br w:type="page"/>
      </w:r>
      <w:r>
        <w:rPr>
          <w:rFonts w:hint="eastAsia" w:ascii="宋体" w:hAnsi="宋体" w:eastAsia="宋体" w:cs="宋体"/>
          <w:b/>
          <w:bCs w:val="0"/>
          <w:color w:val="auto"/>
          <w:sz w:val="24"/>
          <w:szCs w:val="24"/>
          <w:highlight w:val="none"/>
          <w:lang w:val="en-US" w:eastAsia="zh-CN"/>
        </w:rPr>
        <w:t>附录3：</w:t>
      </w:r>
      <w:r>
        <w:rPr>
          <w:rFonts w:hint="eastAsia" w:ascii="宋体" w:hAnsi="宋体" w:eastAsia="宋体" w:cs="宋体"/>
          <w:b/>
          <w:bCs/>
          <w:color w:val="auto"/>
          <w:kern w:val="2"/>
          <w:sz w:val="24"/>
          <w:szCs w:val="24"/>
          <w:highlight w:val="none"/>
          <w:lang w:val="en-US" w:eastAsia="zh-CN"/>
        </w:rPr>
        <w:t>项目考核与评价的要求</w:t>
      </w:r>
      <w:bookmarkEnd w:id="250"/>
    </w:p>
    <w:bookmarkEnd w:id="230"/>
    <w:bookmarkEnd w:id="231"/>
    <w:bookmarkEnd w:id="232"/>
    <w:bookmarkEnd w:id="233"/>
    <w:bookmarkEnd w:id="234"/>
    <w:p>
      <w:pPr>
        <w:pStyle w:val="11"/>
        <w:tabs>
          <w:tab w:val="left" w:pos="840"/>
          <w:tab w:val="left" w:pos="2098"/>
        </w:tabs>
        <w:adjustRightInd/>
        <w:spacing w:before="0" w:after="0" w:line="360" w:lineRule="auto"/>
        <w:ind w:left="0" w:firstLine="0"/>
        <w:jc w:val="both"/>
        <w:textAlignment w:val="auto"/>
        <w:rPr>
          <w:rFonts w:hint="eastAsia" w:ascii="宋体" w:hAnsi="宋体" w:eastAsia="宋体" w:cs="宋体"/>
          <w:b/>
          <w:bCs/>
          <w:color w:val="auto"/>
          <w:kern w:val="2"/>
          <w:sz w:val="24"/>
          <w:szCs w:val="24"/>
          <w:highlight w:val="none"/>
          <w:lang w:val="en-US" w:eastAsia="zh-CN"/>
        </w:rPr>
      </w:pPr>
      <w:bookmarkStart w:id="251" w:name="_Toc1853"/>
      <w:bookmarkStart w:id="252" w:name="_Toc19346"/>
      <w:bookmarkStart w:id="253" w:name="_Toc23596"/>
      <w:bookmarkStart w:id="254" w:name="_Toc290547336"/>
      <w:bookmarkStart w:id="255" w:name="_Toc294444985"/>
      <w:bookmarkStart w:id="256" w:name="_Toc289521937"/>
      <w:bookmarkStart w:id="257" w:name="_Toc292373159"/>
      <w:bookmarkStart w:id="258" w:name="_Toc367094638"/>
      <w:r>
        <w:rPr>
          <w:rFonts w:hint="eastAsia" w:ascii="宋体" w:hAnsi="宋体" w:eastAsia="宋体" w:cs="宋体"/>
          <w:b/>
          <w:bCs/>
          <w:color w:val="auto"/>
          <w:kern w:val="2"/>
          <w:sz w:val="24"/>
          <w:szCs w:val="24"/>
          <w:highlight w:val="none"/>
          <w:lang w:val="en-US" w:eastAsia="zh-CN"/>
        </w:rPr>
        <w:t>3.1 总则：</w:t>
      </w:r>
      <w:bookmarkEnd w:id="251"/>
      <w:bookmarkEnd w:id="252"/>
      <w:bookmarkEnd w:id="253"/>
    </w:p>
    <w:p>
      <w:pPr>
        <w:snapToGrid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3.1.1 投标人须严格遵守招标人各项管理制度，招标人有权依据本公司规章制度及附录3.2项目考核细则对投标人的违约行为进行考核并追究相关责任。项目维保费用支付及考核违约金按季度进行结算，三个月的平均分数与季度支付费用比例挂钩。考核评价等级分为四档，具体标准如下：80分（不含）以下为不合格，80分（含）至90分（不含）为合格，90分（含）至95分（不含）为良好，95分（含）及以上为优秀。具体如下所示：</w:t>
      </w:r>
    </w:p>
    <w:tbl>
      <w:tblPr>
        <w:tblStyle w:val="55"/>
        <w:tblW w:w="451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05"/>
        <w:gridCol w:w="1843"/>
        <w:gridCol w:w="1561"/>
        <w:gridCol w:w="1699"/>
        <w:gridCol w:w="13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jc w:val="center"/>
        </w:trPr>
        <w:tc>
          <w:tcPr>
            <w:tcW w:w="992" w:type="pct"/>
            <w:noWrap w:val="0"/>
            <w:vAlign w:val="center"/>
          </w:tcPr>
          <w:p>
            <w:pPr>
              <w:keepNext w:val="0"/>
              <w:keepLines w:val="0"/>
              <w:suppressLineNumbers w:val="0"/>
              <w:adjustRightInd w:val="0"/>
              <w:spacing w:before="0" w:beforeAutospacing="0" w:after="0" w:afterAutospacing="0"/>
              <w:ind w:left="0" w:right="0" w:firstLine="0" w:firstLineChars="0"/>
              <w:jc w:val="center"/>
              <w:textAlignment w:val="baseline"/>
              <w:rPr>
                <w:rFonts w:hint="default" w:ascii="宋体" w:hAnsi="宋体" w:cs="宋体"/>
                <w:b/>
                <w:bCs/>
                <w:color w:val="auto"/>
                <w:kern w:val="0"/>
                <w:sz w:val="21"/>
                <w:szCs w:val="21"/>
                <w:highlight w:val="none"/>
              </w:rPr>
            </w:pPr>
            <w:r>
              <w:rPr>
                <w:rFonts w:hint="eastAsia" w:ascii="宋体" w:hAnsi="宋体" w:cs="宋体"/>
                <w:b/>
                <w:bCs/>
                <w:color w:val="auto"/>
                <w:kern w:val="0"/>
                <w:sz w:val="21"/>
                <w:szCs w:val="21"/>
                <w:highlight w:val="none"/>
              </w:rPr>
              <w:t>考核得分</w:t>
            </w:r>
          </w:p>
        </w:tc>
        <w:tc>
          <w:tcPr>
            <w:tcW w:w="1139" w:type="pct"/>
            <w:noWrap w:val="0"/>
            <w:vAlign w:val="center"/>
          </w:tcPr>
          <w:p>
            <w:pPr>
              <w:keepNext w:val="0"/>
              <w:keepLines w:val="0"/>
              <w:suppressLineNumbers w:val="0"/>
              <w:adjustRightInd w:val="0"/>
              <w:spacing w:before="0" w:beforeAutospacing="0" w:after="0" w:afterAutospacing="0"/>
              <w:ind w:left="0" w:right="0" w:firstLine="0" w:firstLineChars="0"/>
              <w:jc w:val="center"/>
              <w:textAlignment w:val="baseline"/>
              <w:rPr>
                <w:rFonts w:hint="default" w:ascii="宋体" w:hAnsi="宋体" w:cs="宋体"/>
                <w:b/>
                <w:bCs/>
                <w:color w:val="auto"/>
                <w:kern w:val="0"/>
                <w:sz w:val="21"/>
                <w:szCs w:val="21"/>
                <w:highlight w:val="none"/>
              </w:rPr>
            </w:pPr>
            <w:r>
              <w:rPr>
                <w:rFonts w:hint="eastAsia" w:ascii="宋体" w:hAnsi="宋体" w:cs="宋体"/>
                <w:b/>
                <w:bCs/>
                <w:color w:val="auto"/>
                <w:kern w:val="0"/>
                <w:sz w:val="21"/>
                <w:szCs w:val="21"/>
                <w:highlight w:val="none"/>
              </w:rPr>
              <w:t>100-9</w:t>
            </w:r>
            <w:r>
              <w:rPr>
                <w:rFonts w:hint="eastAsia" w:ascii="宋体" w:hAnsi="宋体" w:cs="宋体"/>
                <w:b/>
                <w:bCs/>
                <w:color w:val="auto"/>
                <w:kern w:val="0"/>
                <w:sz w:val="21"/>
                <w:szCs w:val="21"/>
                <w:highlight w:val="none"/>
                <w:lang w:val="en-US" w:eastAsia="zh-CN"/>
              </w:rPr>
              <w:t>5</w:t>
            </w:r>
            <w:r>
              <w:rPr>
                <w:rFonts w:hint="eastAsia" w:ascii="宋体" w:hAnsi="宋体" w:cs="宋体"/>
                <w:b/>
                <w:bCs/>
                <w:color w:val="auto"/>
                <w:kern w:val="0"/>
                <w:sz w:val="21"/>
                <w:szCs w:val="21"/>
                <w:highlight w:val="none"/>
              </w:rPr>
              <w:t>（含）</w:t>
            </w:r>
          </w:p>
        </w:tc>
        <w:tc>
          <w:tcPr>
            <w:tcW w:w="965" w:type="pct"/>
            <w:noWrap w:val="0"/>
            <w:vAlign w:val="center"/>
          </w:tcPr>
          <w:p>
            <w:pPr>
              <w:keepNext w:val="0"/>
              <w:keepLines w:val="0"/>
              <w:suppressLineNumbers w:val="0"/>
              <w:adjustRightInd w:val="0"/>
              <w:spacing w:before="0" w:beforeAutospacing="0" w:after="0" w:afterAutospacing="0"/>
              <w:ind w:left="0" w:right="0" w:firstLine="0" w:firstLineChars="0"/>
              <w:jc w:val="center"/>
              <w:textAlignment w:val="baseline"/>
              <w:rPr>
                <w:rFonts w:hint="default" w:ascii="宋体" w:hAnsi="宋体" w:cs="宋体"/>
                <w:b/>
                <w:bCs/>
                <w:color w:val="auto"/>
                <w:kern w:val="0"/>
                <w:sz w:val="21"/>
                <w:szCs w:val="21"/>
                <w:highlight w:val="none"/>
              </w:rPr>
            </w:pPr>
            <w:r>
              <w:rPr>
                <w:rFonts w:hint="eastAsia" w:ascii="宋体" w:hAnsi="宋体" w:cs="宋体"/>
                <w:b/>
                <w:bCs/>
                <w:color w:val="auto"/>
                <w:kern w:val="0"/>
                <w:sz w:val="21"/>
                <w:szCs w:val="21"/>
                <w:highlight w:val="none"/>
              </w:rPr>
              <w:t>9</w:t>
            </w:r>
            <w:r>
              <w:rPr>
                <w:rFonts w:hint="eastAsia" w:ascii="宋体" w:hAnsi="宋体" w:cs="宋体"/>
                <w:b/>
                <w:bCs/>
                <w:color w:val="auto"/>
                <w:kern w:val="0"/>
                <w:sz w:val="21"/>
                <w:szCs w:val="21"/>
                <w:highlight w:val="none"/>
                <w:lang w:val="en-US" w:eastAsia="zh-CN"/>
              </w:rPr>
              <w:t>5</w:t>
            </w:r>
            <w:r>
              <w:rPr>
                <w:rFonts w:hint="eastAsia" w:ascii="宋体" w:hAnsi="宋体" w:cs="宋体"/>
                <w:b/>
                <w:bCs/>
                <w:color w:val="auto"/>
                <w:kern w:val="0"/>
                <w:sz w:val="21"/>
                <w:szCs w:val="21"/>
                <w:highlight w:val="none"/>
              </w:rPr>
              <w:t>-</w:t>
            </w:r>
            <w:r>
              <w:rPr>
                <w:rFonts w:hint="eastAsia" w:ascii="宋体" w:hAnsi="宋体" w:cs="宋体"/>
                <w:b/>
                <w:bCs/>
                <w:color w:val="auto"/>
                <w:kern w:val="0"/>
                <w:sz w:val="21"/>
                <w:szCs w:val="21"/>
                <w:highlight w:val="none"/>
                <w:lang w:val="en-US" w:eastAsia="zh-CN"/>
              </w:rPr>
              <w:t>90</w:t>
            </w:r>
            <w:r>
              <w:rPr>
                <w:rFonts w:hint="eastAsia" w:ascii="宋体" w:hAnsi="宋体" w:cs="宋体"/>
                <w:b/>
                <w:bCs/>
                <w:color w:val="auto"/>
                <w:kern w:val="0"/>
                <w:sz w:val="21"/>
                <w:szCs w:val="21"/>
                <w:highlight w:val="none"/>
              </w:rPr>
              <w:t>（含）</w:t>
            </w:r>
          </w:p>
        </w:tc>
        <w:tc>
          <w:tcPr>
            <w:tcW w:w="1051" w:type="pct"/>
            <w:noWrap w:val="0"/>
            <w:vAlign w:val="center"/>
          </w:tcPr>
          <w:p>
            <w:pPr>
              <w:keepNext w:val="0"/>
              <w:keepLines w:val="0"/>
              <w:suppressLineNumbers w:val="0"/>
              <w:adjustRightInd w:val="0"/>
              <w:spacing w:before="0" w:beforeAutospacing="0" w:after="0" w:afterAutospacing="0"/>
              <w:ind w:left="0" w:right="0" w:firstLine="0" w:firstLineChars="0"/>
              <w:jc w:val="center"/>
              <w:textAlignment w:val="baseline"/>
              <w:rPr>
                <w:rFonts w:hint="default" w:ascii="宋体" w:hAnsi="宋体" w:cs="宋体"/>
                <w:b/>
                <w:bCs/>
                <w:color w:val="auto"/>
                <w:kern w:val="0"/>
                <w:sz w:val="21"/>
                <w:szCs w:val="21"/>
                <w:highlight w:val="none"/>
              </w:rPr>
            </w:pPr>
            <w:r>
              <w:rPr>
                <w:rFonts w:hint="eastAsia" w:ascii="宋体" w:hAnsi="宋体" w:cs="宋体"/>
                <w:b/>
                <w:bCs/>
                <w:color w:val="auto"/>
                <w:kern w:val="0"/>
                <w:sz w:val="21"/>
                <w:szCs w:val="21"/>
                <w:highlight w:val="none"/>
                <w:lang w:val="en-US" w:eastAsia="zh-CN"/>
              </w:rPr>
              <w:t>90</w:t>
            </w:r>
            <w:r>
              <w:rPr>
                <w:rFonts w:hint="eastAsia" w:ascii="宋体" w:hAnsi="宋体" w:cs="宋体"/>
                <w:b/>
                <w:bCs/>
                <w:color w:val="auto"/>
                <w:kern w:val="0"/>
                <w:sz w:val="21"/>
                <w:szCs w:val="21"/>
                <w:highlight w:val="none"/>
              </w:rPr>
              <w:t>-80（含）</w:t>
            </w:r>
          </w:p>
        </w:tc>
        <w:tc>
          <w:tcPr>
            <w:tcW w:w="852" w:type="pct"/>
            <w:noWrap w:val="0"/>
            <w:vAlign w:val="center"/>
          </w:tcPr>
          <w:p>
            <w:pPr>
              <w:keepNext w:val="0"/>
              <w:keepLines w:val="0"/>
              <w:suppressLineNumbers w:val="0"/>
              <w:adjustRightInd w:val="0"/>
              <w:spacing w:before="0" w:beforeAutospacing="0" w:after="0" w:afterAutospacing="0"/>
              <w:ind w:left="0" w:right="0" w:firstLine="0" w:firstLineChars="0"/>
              <w:jc w:val="center"/>
              <w:textAlignment w:val="baseline"/>
              <w:rPr>
                <w:rFonts w:hint="default" w:ascii="宋体" w:hAnsi="宋体" w:cs="宋体"/>
                <w:b/>
                <w:bCs/>
                <w:color w:val="auto"/>
                <w:kern w:val="0"/>
                <w:sz w:val="21"/>
                <w:szCs w:val="21"/>
                <w:highlight w:val="none"/>
              </w:rPr>
            </w:pPr>
            <w:r>
              <w:rPr>
                <w:rFonts w:hint="eastAsia" w:ascii="宋体" w:hAnsi="宋体" w:cs="宋体"/>
                <w:b/>
                <w:bCs/>
                <w:color w:val="auto"/>
                <w:kern w:val="0"/>
                <w:sz w:val="21"/>
                <w:szCs w:val="21"/>
                <w:highlight w:val="none"/>
              </w:rPr>
              <w:t>80以下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pct"/>
            <w:noWrap w:val="0"/>
            <w:vAlign w:val="center"/>
          </w:tcPr>
          <w:p>
            <w:pPr>
              <w:keepNext w:val="0"/>
              <w:keepLines w:val="0"/>
              <w:suppressLineNumbers w:val="0"/>
              <w:adjustRightInd w:val="0"/>
              <w:spacing w:before="0" w:beforeAutospacing="0" w:after="0" w:afterAutospacing="0"/>
              <w:ind w:left="0" w:right="0" w:firstLine="0" w:firstLineChars="0"/>
              <w:jc w:val="center"/>
              <w:textAlignment w:val="baseline"/>
              <w:rPr>
                <w:rFonts w:hint="eastAsia" w:ascii="宋体" w:hAnsi="宋体" w:eastAsia="宋体" w:cs="宋体"/>
                <w:color w:val="auto"/>
                <w:kern w:val="0"/>
                <w:sz w:val="21"/>
                <w:szCs w:val="21"/>
                <w:highlight w:val="none"/>
                <w:lang w:eastAsia="zh-CN"/>
              </w:rPr>
            </w:pPr>
            <w:r>
              <w:rPr>
                <w:rFonts w:hint="eastAsia" w:ascii="宋体" w:hAnsi="宋体" w:cs="宋体"/>
                <w:color w:val="auto"/>
                <w:kern w:val="0"/>
                <w:sz w:val="21"/>
                <w:szCs w:val="21"/>
                <w:highlight w:val="none"/>
              </w:rPr>
              <w:t>支付</w:t>
            </w:r>
            <w:r>
              <w:rPr>
                <w:rFonts w:hint="eastAsia" w:ascii="宋体" w:hAnsi="宋体" w:cs="宋体"/>
                <w:color w:val="auto"/>
                <w:kern w:val="0"/>
                <w:sz w:val="21"/>
                <w:szCs w:val="21"/>
                <w:highlight w:val="none"/>
                <w:lang w:val="en-US" w:eastAsia="zh-CN"/>
              </w:rPr>
              <w:t>比例</w:t>
            </w:r>
          </w:p>
        </w:tc>
        <w:tc>
          <w:tcPr>
            <w:tcW w:w="1139" w:type="pct"/>
            <w:noWrap w:val="0"/>
            <w:vAlign w:val="center"/>
          </w:tcPr>
          <w:p>
            <w:pPr>
              <w:keepNext w:val="0"/>
              <w:keepLines w:val="0"/>
              <w:suppressLineNumbers w:val="0"/>
              <w:adjustRightInd w:val="0"/>
              <w:spacing w:before="0" w:beforeAutospacing="0" w:after="0" w:afterAutospacing="0"/>
              <w:ind w:left="0" w:right="0" w:firstLine="0" w:firstLineChars="0"/>
              <w:jc w:val="center"/>
              <w:textAlignment w:val="baseline"/>
              <w:rPr>
                <w:rFonts w:hint="default" w:ascii="宋体" w:hAnsi="宋体" w:cs="宋体"/>
                <w:color w:val="auto"/>
                <w:kern w:val="0"/>
                <w:sz w:val="21"/>
                <w:szCs w:val="21"/>
                <w:highlight w:val="none"/>
              </w:rPr>
            </w:pPr>
            <w:r>
              <w:rPr>
                <w:rFonts w:hint="eastAsia" w:ascii="宋体" w:hAnsi="宋体" w:cs="宋体"/>
                <w:color w:val="auto"/>
                <w:kern w:val="0"/>
                <w:sz w:val="21"/>
                <w:szCs w:val="21"/>
                <w:highlight w:val="none"/>
              </w:rPr>
              <w:t>100%</w:t>
            </w:r>
          </w:p>
        </w:tc>
        <w:tc>
          <w:tcPr>
            <w:tcW w:w="965" w:type="pct"/>
            <w:noWrap w:val="0"/>
            <w:vAlign w:val="center"/>
          </w:tcPr>
          <w:p>
            <w:pPr>
              <w:keepNext w:val="0"/>
              <w:keepLines w:val="0"/>
              <w:suppressLineNumbers w:val="0"/>
              <w:adjustRightInd w:val="0"/>
              <w:spacing w:before="0" w:beforeAutospacing="0" w:after="0" w:afterAutospacing="0"/>
              <w:ind w:left="0" w:right="0" w:firstLine="0" w:firstLineChars="0"/>
              <w:jc w:val="center"/>
              <w:textAlignment w:val="baseline"/>
              <w:rPr>
                <w:rFonts w:hint="default" w:ascii="宋体" w:hAnsi="宋体" w:cs="宋体"/>
                <w:color w:val="auto"/>
                <w:kern w:val="0"/>
                <w:sz w:val="21"/>
                <w:szCs w:val="21"/>
                <w:highlight w:val="none"/>
              </w:rPr>
            </w:pPr>
            <w:r>
              <w:rPr>
                <w:rFonts w:hint="eastAsia" w:ascii="宋体" w:hAnsi="宋体" w:cs="宋体"/>
                <w:color w:val="auto"/>
                <w:kern w:val="0"/>
                <w:sz w:val="21"/>
                <w:szCs w:val="21"/>
                <w:highlight w:val="none"/>
              </w:rPr>
              <w:t>95%</w:t>
            </w:r>
          </w:p>
        </w:tc>
        <w:tc>
          <w:tcPr>
            <w:tcW w:w="1051" w:type="pct"/>
            <w:noWrap w:val="0"/>
            <w:vAlign w:val="center"/>
          </w:tcPr>
          <w:p>
            <w:pPr>
              <w:keepNext w:val="0"/>
              <w:keepLines w:val="0"/>
              <w:suppressLineNumbers w:val="0"/>
              <w:adjustRightInd w:val="0"/>
              <w:spacing w:before="0" w:beforeAutospacing="0" w:after="0" w:afterAutospacing="0"/>
              <w:ind w:left="0" w:right="0" w:firstLine="0" w:firstLineChars="0"/>
              <w:jc w:val="center"/>
              <w:textAlignment w:val="baseline"/>
              <w:rPr>
                <w:rFonts w:hint="default" w:ascii="宋体" w:hAnsi="宋体" w:cs="宋体"/>
                <w:color w:val="auto"/>
                <w:kern w:val="0"/>
                <w:sz w:val="21"/>
                <w:szCs w:val="21"/>
                <w:highlight w:val="none"/>
              </w:rPr>
            </w:pPr>
            <w:r>
              <w:rPr>
                <w:rFonts w:hint="eastAsia" w:ascii="宋体" w:hAnsi="宋体" w:cs="宋体"/>
                <w:color w:val="auto"/>
                <w:kern w:val="0"/>
                <w:sz w:val="21"/>
                <w:szCs w:val="21"/>
                <w:highlight w:val="none"/>
              </w:rPr>
              <w:t>90%</w:t>
            </w:r>
          </w:p>
        </w:tc>
        <w:tc>
          <w:tcPr>
            <w:tcW w:w="852" w:type="pct"/>
            <w:noWrap w:val="0"/>
            <w:vAlign w:val="center"/>
          </w:tcPr>
          <w:p>
            <w:pPr>
              <w:keepNext w:val="0"/>
              <w:keepLines w:val="0"/>
              <w:suppressLineNumbers w:val="0"/>
              <w:adjustRightInd w:val="0"/>
              <w:spacing w:before="0" w:beforeAutospacing="0" w:after="0" w:afterAutospacing="0"/>
              <w:ind w:left="0" w:right="0" w:firstLine="0" w:firstLineChars="0"/>
              <w:jc w:val="center"/>
              <w:textAlignment w:val="baseline"/>
              <w:rPr>
                <w:rFonts w:hint="default" w:ascii="宋体" w:hAnsi="宋体" w:cs="宋体"/>
                <w:color w:val="auto"/>
                <w:kern w:val="0"/>
                <w:sz w:val="21"/>
                <w:szCs w:val="21"/>
                <w:highlight w:val="none"/>
              </w:rPr>
            </w:pPr>
            <w:r>
              <w:rPr>
                <w:rFonts w:hint="eastAsia" w:ascii="宋体" w:hAnsi="宋体" w:cs="宋体"/>
                <w:color w:val="auto"/>
                <w:kern w:val="0"/>
                <w:sz w:val="21"/>
                <w:szCs w:val="21"/>
                <w:highlight w:val="none"/>
              </w:rPr>
              <w:t>80%</w:t>
            </w:r>
          </w:p>
        </w:tc>
      </w:tr>
    </w:tbl>
    <w:p>
      <w:pPr>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考核分数有小数位时，按照四舍五入至小数点后2位的原则办理。</w:t>
      </w:r>
    </w:p>
    <w:p>
      <w:pPr>
        <w:snapToGrid w:val="0"/>
        <w:spacing w:line="360" w:lineRule="auto"/>
        <w:ind w:firstLine="480" w:firstLineChars="200"/>
        <w:rPr>
          <w:rFonts w:hint="default"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lang w:val="en-US" w:eastAsia="zh-CN"/>
        </w:rPr>
        <w:t>3.1.2 考核细则涵盖但不限于以下所列内容。首次发生给予扣除违约金处理，同类问题发生两次及以上给予扣分及扣除违约金处理。如遇特殊情形，招标人将组织召开专项分析会，依据相关管理办法拟定具体考核措施。</w:t>
      </w:r>
    </w:p>
    <w:p>
      <w:pPr>
        <w:spacing w:line="360" w:lineRule="auto"/>
        <w:outlineLvl w:val="1"/>
        <w:rPr>
          <w:rFonts w:hint="eastAsia" w:ascii="宋体" w:hAnsi="宋体" w:eastAsia="宋体" w:cs="宋体"/>
          <w:b/>
          <w:bCs/>
          <w:color w:val="auto"/>
          <w:sz w:val="24"/>
          <w:szCs w:val="24"/>
          <w:highlight w:val="none"/>
          <w:lang w:val="en-US" w:eastAsia="zh-CN"/>
        </w:rPr>
      </w:pPr>
      <w:bookmarkStart w:id="259" w:name="_Toc5918"/>
      <w:bookmarkStart w:id="260" w:name="_Toc1435"/>
      <w:bookmarkStart w:id="261" w:name="_Toc9063"/>
      <w:r>
        <w:rPr>
          <w:rFonts w:hint="eastAsia" w:ascii="宋体" w:hAnsi="宋体" w:eastAsia="宋体" w:cs="宋体"/>
          <w:b/>
          <w:bCs/>
          <w:color w:val="auto"/>
          <w:sz w:val="24"/>
          <w:szCs w:val="24"/>
          <w:highlight w:val="none"/>
          <w:lang w:val="en-US" w:eastAsia="zh-CN"/>
        </w:rPr>
        <w:t>3.2 项目考核细则：</w:t>
      </w:r>
      <w:bookmarkEnd w:id="259"/>
      <w:bookmarkEnd w:id="260"/>
      <w:bookmarkEnd w:id="261"/>
    </w:p>
    <w:tbl>
      <w:tblPr>
        <w:tblStyle w:val="25"/>
        <w:tblW w:w="94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449"/>
        <w:gridCol w:w="550"/>
        <w:gridCol w:w="5520"/>
        <w:gridCol w:w="1090"/>
        <w:gridCol w:w="18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449" w:type="dxa"/>
            <w:tcBorders>
              <w:top w:val="single" w:color="auto" w:sz="4" w:space="0"/>
              <w:left w:val="single" w:color="auto" w:sz="4" w:space="0"/>
              <w:bottom w:val="single" w:color="auto" w:sz="4" w:space="0"/>
              <w:right w:val="single" w:color="auto" w:sz="4" w:space="0"/>
              <w:tl2br w:val="nil"/>
              <w:tr2bl w:val="nil"/>
            </w:tcBorders>
            <w:noWrap/>
            <w:tcMar>
              <w:top w:w="12" w:type="dxa"/>
              <w:left w:w="12" w:type="dxa"/>
              <w:right w:w="12" w:type="dxa"/>
            </w:tcMar>
            <w:vAlign w:val="center"/>
          </w:tcPr>
          <w:p>
            <w:pPr>
              <w:keepNext w:val="0"/>
              <w:keepLines w:val="0"/>
              <w:widowControl/>
              <w:suppressLineNumbers w:val="0"/>
              <w:adjustRightInd w:val="0"/>
              <w:spacing w:before="0" w:beforeAutospacing="0" w:after="0" w:afterAutospacing="0" w:line="240" w:lineRule="auto"/>
              <w:ind w:left="0" w:right="0" w:firstLine="0" w:firstLineChars="0"/>
              <w:jc w:val="center"/>
              <w:textAlignment w:val="center"/>
              <w:rPr>
                <w:rFonts w:hint="default" w:cs="Times New Roman"/>
                <w:color w:val="auto"/>
                <w:kern w:val="0"/>
                <w:sz w:val="21"/>
                <w:szCs w:val="21"/>
                <w:highlight w:val="none"/>
                <w:lang w:val="en-US" w:eastAsia="zh-CN"/>
              </w:rPr>
            </w:pPr>
          </w:p>
          <w:p>
            <w:pPr>
              <w:keepNext w:val="0"/>
              <w:keepLines w:val="0"/>
              <w:widowControl/>
              <w:suppressLineNumbers w:val="0"/>
              <w:adjustRightInd w:val="0"/>
              <w:spacing w:before="0" w:beforeAutospacing="0" w:after="0" w:afterAutospacing="0" w:line="240" w:lineRule="auto"/>
              <w:ind w:left="0" w:right="0" w:firstLine="0" w:firstLineChars="0"/>
              <w:jc w:val="center"/>
              <w:textAlignment w:val="center"/>
              <w:rPr>
                <w:rFonts w:hint="default" w:cs="Times New Roman"/>
                <w:color w:val="auto"/>
                <w:kern w:val="0"/>
                <w:sz w:val="21"/>
                <w:szCs w:val="21"/>
                <w:highlight w:val="none"/>
                <w:lang w:val="en-US" w:eastAsia="zh-CN"/>
              </w:rPr>
            </w:pPr>
          </w:p>
        </w:tc>
        <w:tc>
          <w:tcPr>
            <w:tcW w:w="550" w:type="dxa"/>
            <w:tcBorders>
              <w:top w:val="single" w:color="auto" w:sz="4" w:space="0"/>
              <w:left w:val="single" w:color="auto" w:sz="4" w:space="0"/>
              <w:bottom w:val="single" w:color="auto" w:sz="4" w:space="0"/>
              <w:right w:val="single" w:color="auto" w:sz="4" w:space="0"/>
              <w:tl2br w:val="nil"/>
              <w:tr2bl w:val="nil"/>
            </w:tcBorders>
            <w:noWrap w:val="0"/>
            <w:tcMar>
              <w:top w:w="12" w:type="dxa"/>
              <w:left w:w="12" w:type="dxa"/>
              <w:right w:w="12" w:type="dxa"/>
            </w:tcMar>
            <w:vAlign w:val="center"/>
          </w:tcPr>
          <w:p>
            <w:pPr>
              <w:keepNext w:val="0"/>
              <w:keepLines w:val="0"/>
              <w:widowControl/>
              <w:suppressLineNumbers w:val="0"/>
              <w:adjustRightInd w:val="0"/>
              <w:spacing w:before="0" w:beforeAutospacing="0" w:after="0" w:afterAutospacing="0" w:line="240" w:lineRule="auto"/>
              <w:ind w:left="0" w:right="0" w:firstLine="0" w:firstLineChars="0"/>
              <w:jc w:val="center"/>
              <w:textAlignment w:val="center"/>
              <w:rPr>
                <w:rFonts w:hint="default" w:cs="Times New Roman"/>
                <w:color w:val="auto"/>
                <w:kern w:val="0"/>
                <w:sz w:val="21"/>
                <w:szCs w:val="21"/>
                <w:highlight w:val="none"/>
              </w:rPr>
            </w:pPr>
            <w:r>
              <w:rPr>
                <w:rFonts w:hint="eastAsia" w:cs="Times New Roman"/>
                <w:color w:val="auto"/>
                <w:kern w:val="0"/>
                <w:sz w:val="21"/>
                <w:szCs w:val="21"/>
                <w:highlight w:val="none"/>
              </w:rPr>
              <w:t>项目</w:t>
            </w:r>
          </w:p>
        </w:tc>
        <w:tc>
          <w:tcPr>
            <w:tcW w:w="5520" w:type="dxa"/>
            <w:tcBorders>
              <w:top w:val="single" w:color="auto" w:sz="4" w:space="0"/>
              <w:left w:val="single" w:color="auto" w:sz="4" w:space="0"/>
              <w:bottom w:val="single" w:color="auto" w:sz="4" w:space="0"/>
              <w:right w:val="single" w:color="auto" w:sz="4" w:space="0"/>
              <w:tl2br w:val="nil"/>
              <w:tr2bl w:val="nil"/>
            </w:tcBorders>
            <w:noWrap w:val="0"/>
            <w:tcMar>
              <w:top w:w="12" w:type="dxa"/>
              <w:left w:w="12" w:type="dxa"/>
              <w:right w:w="12" w:type="dxa"/>
            </w:tcMar>
            <w:vAlign w:val="center"/>
          </w:tcPr>
          <w:p>
            <w:pPr>
              <w:keepNext w:val="0"/>
              <w:keepLines w:val="0"/>
              <w:widowControl/>
              <w:suppressLineNumbers w:val="0"/>
              <w:adjustRightInd w:val="0"/>
              <w:spacing w:before="0" w:beforeAutospacing="0" w:after="0" w:afterAutospacing="0" w:line="240" w:lineRule="auto"/>
              <w:ind w:left="0" w:right="0" w:firstLine="0" w:firstLineChars="0"/>
              <w:jc w:val="center"/>
              <w:textAlignment w:val="center"/>
              <w:rPr>
                <w:rFonts w:hint="default" w:cs="Times New Roman"/>
                <w:color w:val="auto"/>
                <w:kern w:val="0"/>
                <w:sz w:val="21"/>
                <w:szCs w:val="21"/>
                <w:highlight w:val="none"/>
              </w:rPr>
            </w:pPr>
            <w:r>
              <w:rPr>
                <w:rFonts w:hint="eastAsia" w:cs="Times New Roman"/>
                <w:color w:val="auto"/>
                <w:kern w:val="0"/>
                <w:sz w:val="21"/>
                <w:szCs w:val="21"/>
                <w:highlight w:val="none"/>
              </w:rPr>
              <w:t>检查内容</w:t>
            </w:r>
          </w:p>
        </w:tc>
        <w:tc>
          <w:tcPr>
            <w:tcW w:w="1090" w:type="dxa"/>
            <w:tcBorders>
              <w:top w:val="single" w:color="auto" w:sz="4" w:space="0"/>
              <w:left w:val="single" w:color="auto" w:sz="4" w:space="0"/>
              <w:bottom w:val="single" w:color="auto" w:sz="4" w:space="0"/>
              <w:right w:val="single" w:color="auto" w:sz="4" w:space="0"/>
              <w:tl2br w:val="nil"/>
              <w:tr2bl w:val="nil"/>
            </w:tcBorders>
            <w:noWrap/>
            <w:tcMar>
              <w:top w:w="12" w:type="dxa"/>
              <w:left w:w="12" w:type="dxa"/>
              <w:right w:w="12" w:type="dxa"/>
            </w:tcMar>
            <w:vAlign w:val="center"/>
          </w:tcPr>
          <w:p>
            <w:pPr>
              <w:keepNext w:val="0"/>
              <w:keepLines w:val="0"/>
              <w:widowControl/>
              <w:suppressLineNumbers w:val="0"/>
              <w:adjustRightInd w:val="0"/>
              <w:spacing w:before="0" w:beforeAutospacing="0" w:after="0" w:afterAutospacing="0" w:line="240" w:lineRule="auto"/>
              <w:ind w:left="0" w:right="0" w:firstLine="0" w:firstLineChars="0"/>
              <w:jc w:val="center"/>
              <w:textAlignment w:val="center"/>
              <w:rPr>
                <w:rFonts w:hint="default" w:cs="Times New Roman"/>
                <w:color w:val="auto"/>
                <w:kern w:val="0"/>
                <w:sz w:val="21"/>
                <w:szCs w:val="21"/>
                <w:highlight w:val="none"/>
              </w:rPr>
            </w:pPr>
            <w:r>
              <w:rPr>
                <w:rFonts w:hint="eastAsia" w:cs="Times New Roman"/>
                <w:color w:val="auto"/>
                <w:kern w:val="0"/>
                <w:sz w:val="21"/>
                <w:szCs w:val="21"/>
                <w:highlight w:val="none"/>
              </w:rPr>
              <w:t>扣分</w:t>
            </w:r>
          </w:p>
        </w:tc>
        <w:tc>
          <w:tcPr>
            <w:tcW w:w="1804" w:type="dxa"/>
            <w:tcBorders>
              <w:top w:val="single" w:color="auto" w:sz="4" w:space="0"/>
              <w:left w:val="single" w:color="auto" w:sz="4" w:space="0"/>
              <w:bottom w:val="single" w:color="auto" w:sz="4" w:space="0"/>
              <w:right w:val="single" w:color="auto" w:sz="4" w:space="0"/>
              <w:tl2br w:val="nil"/>
              <w:tr2bl w:val="nil"/>
            </w:tcBorders>
            <w:noWrap/>
            <w:tcMar>
              <w:top w:w="12" w:type="dxa"/>
              <w:left w:w="12" w:type="dxa"/>
              <w:right w:w="12" w:type="dxa"/>
            </w:tcMar>
            <w:vAlign w:val="center"/>
          </w:tcPr>
          <w:p>
            <w:pPr>
              <w:keepNext w:val="0"/>
              <w:keepLines w:val="0"/>
              <w:widowControl/>
              <w:suppressLineNumbers w:val="0"/>
              <w:adjustRightInd w:val="0"/>
              <w:spacing w:before="0" w:beforeAutospacing="0" w:after="0" w:afterAutospacing="0" w:line="240" w:lineRule="auto"/>
              <w:ind w:left="0" w:right="0" w:firstLine="0" w:firstLineChars="0"/>
              <w:jc w:val="center"/>
              <w:textAlignment w:val="center"/>
              <w:rPr>
                <w:rFonts w:hint="eastAsia" w:eastAsia="宋体" w:cs="Times New Roman"/>
                <w:color w:val="auto"/>
                <w:kern w:val="0"/>
                <w:sz w:val="21"/>
                <w:szCs w:val="21"/>
                <w:highlight w:val="none"/>
                <w:lang w:eastAsia="zh-CN"/>
              </w:rPr>
            </w:pPr>
            <w:r>
              <w:rPr>
                <w:rFonts w:hint="eastAsia" w:cs="Times New Roman"/>
                <w:color w:val="auto"/>
                <w:kern w:val="0"/>
                <w:sz w:val="21"/>
                <w:szCs w:val="21"/>
                <w:highlight w:val="none"/>
                <w:lang w:val="en-US" w:eastAsia="zh-CN"/>
              </w:rPr>
              <w:t>违约金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5" w:hRule="atLeast"/>
          <w:jc w:val="center"/>
        </w:trPr>
        <w:tc>
          <w:tcPr>
            <w:tcW w:w="449" w:type="dxa"/>
            <w:tcBorders>
              <w:top w:val="single" w:color="auto" w:sz="4" w:space="0"/>
              <w:left w:val="single" w:color="auto" w:sz="4" w:space="0"/>
              <w:bottom w:val="single" w:color="auto" w:sz="4" w:space="0"/>
              <w:right w:val="single" w:color="auto" w:sz="4" w:space="0"/>
              <w:tl2br w:val="nil"/>
              <w:tr2bl w:val="nil"/>
            </w:tcBorders>
            <w:noWrap/>
            <w:tcMar>
              <w:top w:w="12" w:type="dxa"/>
              <w:left w:w="12" w:type="dxa"/>
              <w:right w:w="12" w:type="dxa"/>
            </w:tcMar>
            <w:vAlign w:val="center"/>
          </w:tcPr>
          <w:p>
            <w:pPr>
              <w:keepNext w:val="0"/>
              <w:keepLines w:val="0"/>
              <w:widowControl/>
              <w:suppressLineNumbers w:val="0"/>
              <w:spacing w:line="240" w:lineRule="auto"/>
              <w:jc w:val="center"/>
              <w:textAlignment w:val="center"/>
              <w:rPr>
                <w:rFonts w:hint="eastAsia" w:cs="Times New Roman"/>
                <w:color w:val="auto"/>
                <w:kern w:val="0"/>
                <w:sz w:val="21"/>
                <w:szCs w:val="21"/>
                <w:highlight w:val="none"/>
                <w:lang w:val="en-US" w:eastAsia="zh-CN"/>
              </w:rPr>
            </w:pPr>
            <w:r>
              <w:rPr>
                <w:rFonts w:hint="eastAsia" w:ascii="宋体" w:hAnsi="宋体" w:eastAsia="宋体" w:cs="宋体"/>
                <w:i w:val="0"/>
                <w:iCs w:val="0"/>
                <w:color w:val="auto"/>
                <w:kern w:val="0"/>
                <w:sz w:val="22"/>
                <w:szCs w:val="22"/>
                <w:highlight w:val="none"/>
                <w:u w:val="none"/>
                <w:lang w:val="en-US" w:eastAsia="zh-CN" w:bidi="ar"/>
              </w:rPr>
              <w:t>1</w:t>
            </w:r>
          </w:p>
        </w:tc>
        <w:tc>
          <w:tcPr>
            <w:tcW w:w="550" w:type="dxa"/>
            <w:vMerge w:val="restart"/>
            <w:tcBorders>
              <w:left w:val="single" w:color="auto" w:sz="4" w:space="0"/>
              <w:right w:val="single" w:color="auto" w:sz="4" w:space="0"/>
              <w:tl2br w:val="nil"/>
              <w:tr2bl w:val="nil"/>
            </w:tcBorders>
            <w:noWrap w:val="0"/>
            <w:tcMar>
              <w:top w:w="12" w:type="dxa"/>
              <w:left w:w="12" w:type="dxa"/>
              <w:right w:w="12" w:type="dxa"/>
            </w:tcMar>
            <w:vAlign w:val="center"/>
          </w:tcPr>
          <w:p>
            <w:pPr>
              <w:keepNext w:val="0"/>
              <w:keepLines w:val="0"/>
              <w:widowControl/>
              <w:suppressLineNumbers w:val="0"/>
              <w:adjustRightInd w:val="0"/>
              <w:spacing w:before="0" w:beforeAutospacing="0" w:after="0" w:afterAutospacing="0" w:line="240" w:lineRule="auto"/>
              <w:ind w:left="0" w:right="0" w:firstLine="0" w:firstLineChars="0"/>
              <w:jc w:val="center"/>
              <w:textAlignment w:val="center"/>
              <w:rPr>
                <w:rFonts w:hint="default" w:cs="Times New Roman"/>
                <w:color w:val="auto"/>
                <w:kern w:val="0"/>
                <w:sz w:val="21"/>
                <w:szCs w:val="21"/>
                <w:highlight w:val="none"/>
              </w:rPr>
            </w:pPr>
            <w:r>
              <w:rPr>
                <w:rFonts w:hint="eastAsia" w:cs="Times New Roman"/>
                <w:color w:val="auto"/>
                <w:kern w:val="0"/>
                <w:sz w:val="21"/>
                <w:szCs w:val="21"/>
                <w:highlight w:val="none"/>
              </w:rPr>
              <w:t>安全管理</w:t>
            </w:r>
          </w:p>
        </w:tc>
        <w:tc>
          <w:tcPr>
            <w:tcW w:w="5520" w:type="dxa"/>
            <w:tcBorders>
              <w:top w:val="single" w:color="auto" w:sz="4" w:space="0"/>
              <w:left w:val="single" w:color="auto" w:sz="4" w:space="0"/>
              <w:bottom w:val="single" w:color="auto" w:sz="4" w:space="0"/>
              <w:right w:val="single" w:color="auto" w:sz="4" w:space="0"/>
              <w:tl2br w:val="nil"/>
              <w:tr2bl w:val="nil"/>
            </w:tcBorders>
            <w:noWrap w:val="0"/>
            <w:tcMar>
              <w:top w:w="12" w:type="dxa"/>
              <w:left w:w="12" w:type="dxa"/>
              <w:right w:w="12" w:type="dxa"/>
            </w:tcMar>
            <w:vAlign w:val="center"/>
          </w:tcPr>
          <w:p>
            <w:pPr>
              <w:spacing w:before="120" w:after="120" w:line="240" w:lineRule="auto"/>
              <w:ind w:left="0" w:leftChars="0"/>
              <w:jc w:val="left"/>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sz w:val="21"/>
                <w:szCs w:val="21"/>
                <w:highlight w:val="none"/>
              </w:rPr>
              <w:t>未开展安全生产会、未做好相关记录或</w:t>
            </w:r>
            <w:r>
              <w:rPr>
                <w:rFonts w:hint="eastAsia" w:ascii="宋体" w:hAnsi="宋体" w:eastAsia="宋体" w:cs="宋体"/>
                <w:color w:val="auto"/>
                <w:sz w:val="21"/>
                <w:szCs w:val="21"/>
                <w:highlight w:val="none"/>
                <w:lang w:val="en-US" w:eastAsia="zh-CN"/>
              </w:rPr>
              <w:t>文件</w:t>
            </w:r>
            <w:r>
              <w:rPr>
                <w:rFonts w:hint="eastAsia" w:ascii="宋体" w:hAnsi="宋体" w:eastAsia="宋体" w:cs="宋体"/>
                <w:color w:val="auto"/>
                <w:sz w:val="21"/>
                <w:szCs w:val="21"/>
                <w:highlight w:val="none"/>
              </w:rPr>
              <w:t>传达签字不及时</w:t>
            </w:r>
            <w:r>
              <w:rPr>
                <w:rFonts w:hint="eastAsia" w:ascii="宋体" w:hAnsi="宋体" w:eastAsia="宋体" w:cs="宋体"/>
                <w:color w:val="auto"/>
                <w:sz w:val="21"/>
                <w:szCs w:val="21"/>
                <w:highlight w:val="none"/>
                <w:lang w:eastAsia="zh-CN"/>
              </w:rPr>
              <w:t>。</w:t>
            </w:r>
          </w:p>
        </w:tc>
        <w:tc>
          <w:tcPr>
            <w:tcW w:w="1090" w:type="dxa"/>
            <w:tcBorders>
              <w:top w:val="single" w:color="auto" w:sz="4" w:space="0"/>
              <w:left w:val="single" w:color="auto" w:sz="4" w:space="0"/>
              <w:bottom w:val="single" w:color="auto" w:sz="4" w:space="0"/>
              <w:right w:val="single" w:color="auto" w:sz="4" w:space="0"/>
              <w:tl2br w:val="nil"/>
              <w:tr2bl w:val="nil"/>
            </w:tcBorders>
            <w:noWrap/>
            <w:tcMar>
              <w:top w:w="12" w:type="dxa"/>
              <w:left w:w="12" w:type="dxa"/>
              <w:right w:w="12" w:type="dxa"/>
            </w:tcMar>
            <w:vAlign w:val="center"/>
          </w:tcPr>
          <w:p>
            <w:pPr>
              <w:keepNext w:val="0"/>
              <w:keepLines w:val="0"/>
              <w:widowControl/>
              <w:suppressLineNumbers w:val="0"/>
              <w:adjustRightIn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rPr>
              <w:t>1—2分/次</w:t>
            </w:r>
          </w:p>
        </w:tc>
        <w:tc>
          <w:tcPr>
            <w:tcW w:w="1804" w:type="dxa"/>
            <w:tcBorders>
              <w:top w:val="single" w:color="auto" w:sz="4" w:space="0"/>
              <w:left w:val="single" w:color="auto" w:sz="4" w:space="0"/>
              <w:bottom w:val="single" w:color="auto" w:sz="4" w:space="0"/>
              <w:right w:val="single" w:color="auto" w:sz="4" w:space="0"/>
              <w:tl2br w:val="nil"/>
              <w:tr2bl w:val="nil"/>
            </w:tcBorders>
            <w:noWrap/>
            <w:tcMar>
              <w:top w:w="12" w:type="dxa"/>
              <w:left w:w="12" w:type="dxa"/>
              <w:right w:w="12" w:type="dxa"/>
            </w:tcMar>
            <w:vAlign w:val="center"/>
          </w:tcPr>
          <w:p>
            <w:pPr>
              <w:keepNext w:val="0"/>
              <w:keepLines w:val="0"/>
              <w:widowControl/>
              <w:suppressLineNumbers w:val="0"/>
              <w:adjustRightIn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rPr>
              <w:t>200元/次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449" w:type="dxa"/>
            <w:tcBorders>
              <w:top w:val="single" w:color="auto" w:sz="4" w:space="0"/>
              <w:left w:val="single" w:color="auto" w:sz="4" w:space="0"/>
              <w:bottom w:val="single" w:color="auto" w:sz="4" w:space="0"/>
              <w:right w:val="single" w:color="auto" w:sz="4" w:space="0"/>
              <w:tl2br w:val="nil"/>
              <w:tr2bl w:val="nil"/>
            </w:tcBorders>
            <w:noWrap/>
            <w:tcMar>
              <w:top w:w="12" w:type="dxa"/>
              <w:left w:w="12" w:type="dxa"/>
              <w:right w:w="12" w:type="dxa"/>
            </w:tcMar>
            <w:vAlign w:val="center"/>
          </w:tcPr>
          <w:p>
            <w:pPr>
              <w:keepNext w:val="0"/>
              <w:keepLines w:val="0"/>
              <w:widowControl/>
              <w:suppressLineNumbers w:val="0"/>
              <w:spacing w:line="240" w:lineRule="auto"/>
              <w:jc w:val="center"/>
              <w:textAlignment w:val="center"/>
              <w:rPr>
                <w:rFonts w:hint="eastAsia" w:cs="Times New Roman"/>
                <w:color w:val="auto"/>
                <w:kern w:val="0"/>
                <w:sz w:val="21"/>
                <w:szCs w:val="21"/>
                <w:highlight w:val="none"/>
                <w:lang w:val="en-US" w:eastAsia="zh-CN"/>
              </w:rPr>
            </w:pPr>
            <w:r>
              <w:rPr>
                <w:rFonts w:hint="eastAsia" w:ascii="宋体" w:hAnsi="宋体" w:eastAsia="宋体" w:cs="宋体"/>
                <w:i w:val="0"/>
                <w:iCs w:val="0"/>
                <w:color w:val="auto"/>
                <w:kern w:val="0"/>
                <w:sz w:val="22"/>
                <w:szCs w:val="22"/>
                <w:highlight w:val="none"/>
                <w:u w:val="none"/>
                <w:lang w:val="en-US" w:eastAsia="zh-CN" w:bidi="ar"/>
              </w:rPr>
              <w:t>2</w:t>
            </w:r>
          </w:p>
        </w:tc>
        <w:tc>
          <w:tcPr>
            <w:tcW w:w="550" w:type="dxa"/>
            <w:vMerge w:val="continue"/>
            <w:tcBorders>
              <w:left w:val="single" w:color="auto" w:sz="4" w:space="0"/>
              <w:right w:val="single" w:color="auto" w:sz="4" w:space="0"/>
              <w:tl2br w:val="nil"/>
              <w:tr2bl w:val="nil"/>
            </w:tcBorders>
            <w:noWrap w:val="0"/>
            <w:tcMar>
              <w:top w:w="12" w:type="dxa"/>
              <w:left w:w="12" w:type="dxa"/>
              <w:right w:w="12" w:type="dxa"/>
            </w:tcMar>
            <w:vAlign w:val="center"/>
          </w:tcPr>
          <w:p>
            <w:pPr>
              <w:keepNext w:val="0"/>
              <w:keepLines w:val="0"/>
              <w:widowControl/>
              <w:suppressLineNumbers w:val="0"/>
              <w:adjustRightInd w:val="0"/>
              <w:spacing w:before="0" w:beforeAutospacing="0" w:after="0" w:afterAutospacing="0" w:line="240" w:lineRule="auto"/>
              <w:ind w:left="0" w:right="0" w:firstLine="0" w:firstLineChars="0"/>
              <w:jc w:val="center"/>
              <w:textAlignment w:val="center"/>
              <w:rPr>
                <w:rFonts w:hint="eastAsia" w:cs="Times New Roman"/>
                <w:color w:val="auto"/>
                <w:kern w:val="0"/>
                <w:sz w:val="21"/>
                <w:szCs w:val="21"/>
                <w:highlight w:val="none"/>
              </w:rPr>
            </w:pPr>
          </w:p>
        </w:tc>
        <w:tc>
          <w:tcPr>
            <w:tcW w:w="5520" w:type="dxa"/>
            <w:tcBorders>
              <w:top w:val="single" w:color="auto" w:sz="4" w:space="0"/>
              <w:left w:val="single" w:color="auto" w:sz="4" w:space="0"/>
              <w:bottom w:val="single" w:color="auto" w:sz="4" w:space="0"/>
              <w:right w:val="single" w:color="auto" w:sz="4" w:space="0"/>
              <w:tl2br w:val="nil"/>
              <w:tr2bl w:val="nil"/>
            </w:tcBorders>
            <w:noWrap w:val="0"/>
            <w:tcMar>
              <w:top w:w="12" w:type="dxa"/>
              <w:left w:w="12" w:type="dxa"/>
              <w:right w:w="12" w:type="dxa"/>
            </w:tcMar>
            <w:vAlign w:val="center"/>
          </w:tcPr>
          <w:p>
            <w:pPr>
              <w:spacing w:before="120" w:after="120" w:line="240" w:lineRule="auto"/>
              <w:ind w:left="0" w:leftChars="0"/>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sz w:val="21"/>
                <w:szCs w:val="21"/>
                <w:highlight w:val="none"/>
              </w:rPr>
              <w:t>使用的</w:t>
            </w:r>
            <w:r>
              <w:rPr>
                <w:rFonts w:hint="eastAsia" w:ascii="宋体" w:hAnsi="宋体" w:eastAsia="宋体" w:cs="宋体"/>
                <w:color w:val="auto"/>
                <w:sz w:val="21"/>
                <w:szCs w:val="21"/>
                <w:highlight w:val="none"/>
                <w:lang w:val="en-US" w:eastAsia="zh-CN"/>
              </w:rPr>
              <w:t>仪器</w:t>
            </w:r>
            <w:r>
              <w:rPr>
                <w:rFonts w:hint="eastAsia" w:ascii="宋体" w:hAnsi="宋体" w:eastAsia="宋体" w:cs="宋体"/>
                <w:color w:val="auto"/>
                <w:sz w:val="21"/>
                <w:szCs w:val="21"/>
                <w:highlight w:val="none"/>
              </w:rPr>
              <w:t>或其他作业设备带病工作，不满足安全要求</w:t>
            </w:r>
            <w:r>
              <w:rPr>
                <w:rFonts w:hint="eastAsia" w:ascii="宋体" w:hAnsi="宋体" w:eastAsia="宋体" w:cs="宋体"/>
                <w:color w:val="auto"/>
                <w:sz w:val="21"/>
                <w:szCs w:val="21"/>
                <w:highlight w:val="none"/>
                <w:lang w:eastAsia="zh-CN"/>
              </w:rPr>
              <w:t>。</w:t>
            </w:r>
          </w:p>
        </w:tc>
        <w:tc>
          <w:tcPr>
            <w:tcW w:w="1090" w:type="dxa"/>
            <w:tcBorders>
              <w:top w:val="single" w:color="auto" w:sz="4" w:space="0"/>
              <w:left w:val="single" w:color="auto" w:sz="4" w:space="0"/>
              <w:bottom w:val="single" w:color="auto" w:sz="4" w:space="0"/>
              <w:right w:val="single" w:color="auto" w:sz="4" w:space="0"/>
              <w:tl2br w:val="nil"/>
              <w:tr2bl w:val="nil"/>
            </w:tcBorders>
            <w:noWrap/>
            <w:tcMar>
              <w:top w:w="12" w:type="dxa"/>
              <w:left w:w="12" w:type="dxa"/>
              <w:right w:w="12" w:type="dxa"/>
            </w:tcMar>
            <w:vAlign w:val="center"/>
          </w:tcPr>
          <w:p>
            <w:pPr>
              <w:keepNext w:val="0"/>
              <w:keepLines w:val="0"/>
              <w:widowControl/>
              <w:suppressLineNumbers w:val="0"/>
              <w:adjustRightInd w:val="0"/>
              <w:spacing w:before="0" w:beforeAutospacing="0" w:after="0" w:afterAutospacing="0" w:line="240" w:lineRule="auto"/>
              <w:ind w:left="0" w:right="0" w:firstLine="0" w:firstLineChars="0"/>
              <w:jc w:val="center"/>
              <w:textAlignment w:val="center"/>
              <w:rPr>
                <w:rFonts w:hint="default"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1—2分/次</w:t>
            </w:r>
          </w:p>
        </w:tc>
        <w:tc>
          <w:tcPr>
            <w:tcW w:w="1804" w:type="dxa"/>
            <w:tcBorders>
              <w:top w:val="single" w:color="auto" w:sz="4" w:space="0"/>
              <w:left w:val="single" w:color="auto" w:sz="4" w:space="0"/>
              <w:bottom w:val="single" w:color="auto" w:sz="4" w:space="0"/>
              <w:right w:val="single" w:color="auto" w:sz="4" w:space="0"/>
              <w:tl2br w:val="nil"/>
              <w:tr2bl w:val="nil"/>
            </w:tcBorders>
            <w:noWrap/>
            <w:tcMar>
              <w:top w:w="12" w:type="dxa"/>
              <w:left w:w="12" w:type="dxa"/>
              <w:right w:w="12" w:type="dxa"/>
            </w:tcMar>
            <w:vAlign w:val="center"/>
          </w:tcPr>
          <w:p>
            <w:pPr>
              <w:keepNext w:val="0"/>
              <w:keepLines w:val="0"/>
              <w:widowControl/>
              <w:suppressLineNumbers w:val="0"/>
              <w:adjustRightInd w:val="0"/>
              <w:spacing w:before="0" w:beforeAutospacing="0" w:after="0" w:afterAutospacing="0" w:line="240" w:lineRule="auto"/>
              <w:ind w:left="0" w:right="0" w:firstLine="0" w:firstLineChars="0"/>
              <w:jc w:val="center"/>
              <w:textAlignment w:val="center"/>
              <w:rPr>
                <w:rFonts w:hint="default"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1000-1500元/次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449" w:type="dxa"/>
            <w:tcBorders>
              <w:top w:val="single" w:color="auto" w:sz="4" w:space="0"/>
              <w:left w:val="single" w:color="auto" w:sz="4" w:space="0"/>
              <w:bottom w:val="single" w:color="auto" w:sz="4" w:space="0"/>
              <w:right w:val="single" w:color="auto" w:sz="4" w:space="0"/>
              <w:tl2br w:val="nil"/>
              <w:tr2bl w:val="nil"/>
            </w:tcBorders>
            <w:noWrap/>
            <w:tcMar>
              <w:top w:w="12" w:type="dxa"/>
              <w:left w:w="12" w:type="dxa"/>
              <w:right w:w="12" w:type="dxa"/>
            </w:tcMar>
            <w:vAlign w:val="center"/>
          </w:tcPr>
          <w:p>
            <w:pPr>
              <w:keepNext w:val="0"/>
              <w:keepLines w:val="0"/>
              <w:widowControl/>
              <w:suppressLineNumbers w:val="0"/>
              <w:spacing w:line="240" w:lineRule="auto"/>
              <w:jc w:val="center"/>
              <w:textAlignment w:val="center"/>
              <w:rPr>
                <w:rFonts w:hint="eastAsia" w:cs="Times New Roman"/>
                <w:color w:val="auto"/>
                <w:kern w:val="0"/>
                <w:sz w:val="21"/>
                <w:szCs w:val="21"/>
                <w:highlight w:val="none"/>
                <w:lang w:val="en-US" w:eastAsia="zh-CN"/>
              </w:rPr>
            </w:pPr>
            <w:r>
              <w:rPr>
                <w:rFonts w:hint="eastAsia" w:ascii="宋体" w:hAnsi="宋体" w:eastAsia="宋体" w:cs="宋体"/>
                <w:i w:val="0"/>
                <w:iCs w:val="0"/>
                <w:color w:val="auto"/>
                <w:kern w:val="0"/>
                <w:sz w:val="22"/>
                <w:szCs w:val="22"/>
                <w:highlight w:val="none"/>
                <w:u w:val="none"/>
                <w:lang w:val="en-US" w:eastAsia="zh-CN" w:bidi="ar"/>
              </w:rPr>
              <w:t>3</w:t>
            </w:r>
          </w:p>
        </w:tc>
        <w:tc>
          <w:tcPr>
            <w:tcW w:w="550" w:type="dxa"/>
            <w:vMerge w:val="continue"/>
            <w:tcBorders>
              <w:left w:val="single" w:color="auto" w:sz="4" w:space="0"/>
              <w:right w:val="single" w:color="auto" w:sz="4" w:space="0"/>
              <w:tl2br w:val="nil"/>
              <w:tr2bl w:val="nil"/>
            </w:tcBorders>
            <w:noWrap w:val="0"/>
            <w:tcMar>
              <w:top w:w="12" w:type="dxa"/>
              <w:left w:w="12" w:type="dxa"/>
              <w:right w:w="12" w:type="dxa"/>
            </w:tcMar>
            <w:vAlign w:val="center"/>
          </w:tcPr>
          <w:p>
            <w:pPr>
              <w:keepNext w:val="0"/>
              <w:keepLines w:val="0"/>
              <w:widowControl/>
              <w:suppressLineNumbers w:val="0"/>
              <w:adjustRightInd w:val="0"/>
              <w:spacing w:before="0" w:beforeAutospacing="0" w:after="0" w:afterAutospacing="0" w:line="240" w:lineRule="auto"/>
              <w:ind w:left="0" w:right="0" w:firstLine="0" w:firstLineChars="0"/>
              <w:jc w:val="center"/>
              <w:textAlignment w:val="center"/>
              <w:rPr>
                <w:rFonts w:hint="eastAsia" w:cs="Times New Roman"/>
                <w:color w:val="auto"/>
                <w:kern w:val="0"/>
                <w:sz w:val="21"/>
                <w:szCs w:val="21"/>
                <w:highlight w:val="none"/>
              </w:rPr>
            </w:pPr>
          </w:p>
        </w:tc>
        <w:tc>
          <w:tcPr>
            <w:tcW w:w="5520" w:type="dxa"/>
            <w:tcBorders>
              <w:top w:val="single" w:color="auto" w:sz="4" w:space="0"/>
              <w:left w:val="single" w:color="auto" w:sz="4" w:space="0"/>
              <w:bottom w:val="single" w:color="auto" w:sz="4" w:space="0"/>
              <w:right w:val="single" w:color="auto" w:sz="4" w:space="0"/>
              <w:tl2br w:val="nil"/>
              <w:tr2bl w:val="nil"/>
            </w:tcBorders>
            <w:noWrap w:val="0"/>
            <w:tcMar>
              <w:top w:w="12" w:type="dxa"/>
              <w:left w:w="12" w:type="dxa"/>
              <w:right w:w="12" w:type="dxa"/>
            </w:tcMar>
            <w:vAlign w:val="center"/>
          </w:tcPr>
          <w:p>
            <w:pPr>
              <w:spacing w:before="120" w:after="120" w:line="240" w:lineRule="auto"/>
              <w:ind w:left="0" w:leftChars="0"/>
              <w:jc w:val="left"/>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sz w:val="21"/>
                <w:szCs w:val="21"/>
                <w:highlight w:val="none"/>
              </w:rPr>
              <w:t>对外单位施工作业的旁站监督流于形式，现场安全管控措施落实不</w:t>
            </w:r>
            <w:r>
              <w:rPr>
                <w:rFonts w:hint="eastAsia" w:ascii="宋体" w:hAnsi="宋体" w:eastAsia="宋体" w:cs="宋体"/>
                <w:color w:val="auto"/>
                <w:sz w:val="21"/>
                <w:szCs w:val="21"/>
                <w:highlight w:val="none"/>
                <w:lang w:val="en-US" w:eastAsia="zh-CN"/>
              </w:rPr>
              <w:t>到位</w:t>
            </w:r>
            <w:r>
              <w:rPr>
                <w:rFonts w:hint="eastAsia" w:ascii="宋体" w:hAnsi="宋体" w:eastAsia="宋体" w:cs="宋体"/>
                <w:color w:val="auto"/>
                <w:sz w:val="21"/>
                <w:szCs w:val="21"/>
                <w:highlight w:val="none"/>
                <w:lang w:eastAsia="zh-CN"/>
              </w:rPr>
              <w:t>。</w:t>
            </w:r>
          </w:p>
        </w:tc>
        <w:tc>
          <w:tcPr>
            <w:tcW w:w="1090" w:type="dxa"/>
            <w:tcBorders>
              <w:top w:val="single" w:color="auto" w:sz="4" w:space="0"/>
              <w:left w:val="single" w:color="auto" w:sz="4" w:space="0"/>
              <w:bottom w:val="single" w:color="auto" w:sz="4" w:space="0"/>
              <w:right w:val="single" w:color="auto" w:sz="4" w:space="0"/>
              <w:tl2br w:val="nil"/>
              <w:tr2bl w:val="nil"/>
            </w:tcBorders>
            <w:noWrap/>
            <w:tcMar>
              <w:top w:w="12" w:type="dxa"/>
              <w:left w:w="12" w:type="dxa"/>
              <w:right w:w="12" w:type="dxa"/>
            </w:tcMar>
            <w:vAlign w:val="center"/>
          </w:tcPr>
          <w:p>
            <w:pPr>
              <w:keepNext w:val="0"/>
              <w:keepLines w:val="0"/>
              <w:widowControl/>
              <w:suppressLineNumbers w:val="0"/>
              <w:adjustRightIn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rPr>
              <w:t>1—3分/次</w:t>
            </w:r>
          </w:p>
        </w:tc>
        <w:tc>
          <w:tcPr>
            <w:tcW w:w="1804" w:type="dxa"/>
            <w:tcBorders>
              <w:top w:val="single" w:color="auto" w:sz="4" w:space="0"/>
              <w:left w:val="single" w:color="auto" w:sz="4" w:space="0"/>
              <w:bottom w:val="single" w:color="auto" w:sz="4" w:space="0"/>
              <w:right w:val="single" w:color="auto" w:sz="4" w:space="0"/>
              <w:tl2br w:val="nil"/>
              <w:tr2bl w:val="nil"/>
            </w:tcBorders>
            <w:noWrap/>
            <w:tcMar>
              <w:top w:w="12" w:type="dxa"/>
              <w:left w:w="12" w:type="dxa"/>
              <w:right w:w="12" w:type="dxa"/>
            </w:tcMar>
            <w:vAlign w:val="center"/>
          </w:tcPr>
          <w:p>
            <w:pPr>
              <w:keepNext w:val="0"/>
              <w:keepLines w:val="0"/>
              <w:widowControl/>
              <w:suppressLineNumbers w:val="0"/>
              <w:adjustRightIn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rPr>
              <w:t>1000-2000元/次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449" w:type="dxa"/>
            <w:tcBorders>
              <w:top w:val="single" w:color="auto" w:sz="4" w:space="0"/>
              <w:left w:val="single" w:color="auto" w:sz="4" w:space="0"/>
              <w:bottom w:val="single" w:color="auto" w:sz="4" w:space="0"/>
              <w:right w:val="single" w:color="auto" w:sz="4" w:space="0"/>
              <w:tl2br w:val="nil"/>
              <w:tr2bl w:val="nil"/>
            </w:tcBorders>
            <w:noWrap/>
            <w:tcMar>
              <w:top w:w="12" w:type="dxa"/>
              <w:left w:w="12" w:type="dxa"/>
              <w:right w:w="12" w:type="dxa"/>
            </w:tcMar>
            <w:vAlign w:val="center"/>
          </w:tcPr>
          <w:p>
            <w:pPr>
              <w:keepNext w:val="0"/>
              <w:keepLines w:val="0"/>
              <w:widowControl/>
              <w:suppressLineNumbers w:val="0"/>
              <w:spacing w:line="240" w:lineRule="auto"/>
              <w:jc w:val="center"/>
              <w:textAlignment w:val="center"/>
              <w:rPr>
                <w:rFonts w:hint="eastAsia" w:cs="Times New Roman"/>
                <w:color w:val="auto"/>
                <w:kern w:val="0"/>
                <w:sz w:val="21"/>
                <w:szCs w:val="21"/>
                <w:highlight w:val="none"/>
                <w:lang w:val="en-US" w:eastAsia="zh-CN"/>
              </w:rPr>
            </w:pPr>
            <w:r>
              <w:rPr>
                <w:rFonts w:hint="eastAsia" w:ascii="宋体" w:hAnsi="宋体" w:eastAsia="宋体" w:cs="宋体"/>
                <w:i w:val="0"/>
                <w:iCs w:val="0"/>
                <w:color w:val="auto"/>
                <w:kern w:val="0"/>
                <w:sz w:val="22"/>
                <w:szCs w:val="22"/>
                <w:highlight w:val="none"/>
                <w:u w:val="none"/>
                <w:lang w:val="en-US" w:eastAsia="zh-CN" w:bidi="ar"/>
              </w:rPr>
              <w:t>4</w:t>
            </w:r>
          </w:p>
        </w:tc>
        <w:tc>
          <w:tcPr>
            <w:tcW w:w="550" w:type="dxa"/>
            <w:vMerge w:val="continue"/>
            <w:tcBorders>
              <w:left w:val="single" w:color="auto" w:sz="4" w:space="0"/>
              <w:right w:val="single" w:color="auto" w:sz="4" w:space="0"/>
              <w:tl2br w:val="nil"/>
              <w:tr2bl w:val="nil"/>
            </w:tcBorders>
            <w:noWrap w:val="0"/>
            <w:tcMar>
              <w:top w:w="12" w:type="dxa"/>
              <w:left w:w="12" w:type="dxa"/>
              <w:right w:w="12" w:type="dxa"/>
            </w:tcMar>
            <w:vAlign w:val="center"/>
          </w:tcPr>
          <w:p>
            <w:pPr>
              <w:keepNext w:val="0"/>
              <w:keepLines w:val="0"/>
              <w:widowControl/>
              <w:suppressLineNumbers w:val="0"/>
              <w:adjustRightInd w:val="0"/>
              <w:spacing w:before="0" w:beforeAutospacing="0" w:after="0" w:afterAutospacing="0" w:line="240" w:lineRule="auto"/>
              <w:ind w:left="0" w:right="0" w:firstLine="0" w:firstLineChars="0"/>
              <w:jc w:val="center"/>
              <w:textAlignment w:val="center"/>
              <w:rPr>
                <w:rFonts w:hint="eastAsia" w:cs="Times New Roman"/>
                <w:color w:val="auto"/>
                <w:kern w:val="0"/>
                <w:sz w:val="21"/>
                <w:szCs w:val="21"/>
                <w:highlight w:val="none"/>
              </w:rPr>
            </w:pPr>
          </w:p>
        </w:tc>
        <w:tc>
          <w:tcPr>
            <w:tcW w:w="5520" w:type="dxa"/>
            <w:tcBorders>
              <w:top w:val="single" w:color="auto" w:sz="4" w:space="0"/>
              <w:left w:val="single" w:color="auto" w:sz="4" w:space="0"/>
              <w:bottom w:val="single" w:color="auto" w:sz="4" w:space="0"/>
              <w:right w:val="single" w:color="auto" w:sz="4" w:space="0"/>
              <w:tl2br w:val="nil"/>
              <w:tr2bl w:val="nil"/>
            </w:tcBorders>
            <w:noWrap w:val="0"/>
            <w:tcMar>
              <w:top w:w="12" w:type="dxa"/>
              <w:left w:w="12" w:type="dxa"/>
              <w:right w:w="12" w:type="dxa"/>
            </w:tcMar>
            <w:vAlign w:val="center"/>
          </w:tcPr>
          <w:p>
            <w:pPr>
              <w:spacing w:before="120" w:after="120" w:line="240" w:lineRule="auto"/>
              <w:ind w:left="0" w:leftChars="0"/>
              <w:jc w:val="left"/>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sz w:val="21"/>
                <w:szCs w:val="21"/>
                <w:highlight w:val="none"/>
              </w:rPr>
              <w:t>施工结束后，遗留工器具或施工垃圾于</w:t>
            </w:r>
            <w:r>
              <w:rPr>
                <w:rFonts w:hint="eastAsia" w:ascii="宋体" w:hAnsi="宋体" w:eastAsia="宋体" w:cs="宋体"/>
                <w:color w:val="auto"/>
                <w:sz w:val="21"/>
                <w:szCs w:val="21"/>
                <w:highlight w:val="none"/>
                <w:lang w:val="en-US" w:eastAsia="zh-CN"/>
              </w:rPr>
              <w:t>现场</w:t>
            </w:r>
            <w:r>
              <w:rPr>
                <w:rFonts w:hint="eastAsia" w:ascii="宋体" w:hAnsi="宋体" w:eastAsia="宋体" w:cs="宋体"/>
                <w:color w:val="auto"/>
                <w:sz w:val="21"/>
                <w:szCs w:val="21"/>
                <w:highlight w:val="none"/>
                <w:lang w:eastAsia="zh-CN"/>
              </w:rPr>
              <w:t>。</w:t>
            </w:r>
          </w:p>
        </w:tc>
        <w:tc>
          <w:tcPr>
            <w:tcW w:w="1090" w:type="dxa"/>
            <w:tcBorders>
              <w:top w:val="single" w:color="auto" w:sz="4" w:space="0"/>
              <w:left w:val="single" w:color="auto" w:sz="4" w:space="0"/>
              <w:bottom w:val="single" w:color="auto" w:sz="4" w:space="0"/>
              <w:right w:val="single" w:color="auto" w:sz="4" w:space="0"/>
              <w:tl2br w:val="nil"/>
              <w:tr2bl w:val="nil"/>
            </w:tcBorders>
            <w:noWrap/>
            <w:tcMar>
              <w:top w:w="12" w:type="dxa"/>
              <w:left w:w="12" w:type="dxa"/>
              <w:right w:w="12" w:type="dxa"/>
            </w:tcMar>
            <w:vAlign w:val="center"/>
          </w:tcPr>
          <w:p>
            <w:pPr>
              <w:keepNext w:val="0"/>
              <w:keepLines w:val="0"/>
              <w:widowControl/>
              <w:suppressLineNumbers w:val="0"/>
              <w:adjustRightInd w:val="0"/>
              <w:spacing w:before="0" w:beforeAutospacing="0" w:after="0" w:afterAutospacing="0" w:line="240" w:lineRule="auto"/>
              <w:ind w:left="0" w:leftChars="0" w:right="0" w:rightChars="0" w:firstLine="0" w:firstLineChars="0"/>
              <w:jc w:val="center"/>
              <w:textAlignment w:val="center"/>
              <w:rPr>
                <w:rFonts w:hint="eastAsia"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rPr>
              <w:t>5分/次</w:t>
            </w:r>
          </w:p>
        </w:tc>
        <w:tc>
          <w:tcPr>
            <w:tcW w:w="1804" w:type="dxa"/>
            <w:tcBorders>
              <w:top w:val="single" w:color="auto" w:sz="4" w:space="0"/>
              <w:left w:val="single" w:color="auto" w:sz="4" w:space="0"/>
              <w:bottom w:val="single" w:color="auto" w:sz="4" w:space="0"/>
              <w:right w:val="single" w:color="auto" w:sz="4" w:space="0"/>
              <w:tl2br w:val="nil"/>
              <w:tr2bl w:val="nil"/>
            </w:tcBorders>
            <w:noWrap/>
            <w:tcMar>
              <w:top w:w="12" w:type="dxa"/>
              <w:left w:w="12" w:type="dxa"/>
              <w:right w:w="12" w:type="dxa"/>
            </w:tcMar>
            <w:vAlign w:val="center"/>
          </w:tcPr>
          <w:p>
            <w:pPr>
              <w:keepNext w:val="0"/>
              <w:keepLines w:val="0"/>
              <w:widowControl/>
              <w:suppressLineNumbers w:val="0"/>
              <w:adjustRightInd w:val="0"/>
              <w:spacing w:before="0" w:beforeAutospacing="0" w:after="0" w:afterAutospacing="0" w:line="240" w:lineRule="auto"/>
              <w:ind w:left="0" w:leftChars="0" w:right="0" w:rightChars="0" w:firstLine="0" w:firstLineChars="0"/>
              <w:jc w:val="center"/>
              <w:textAlignment w:val="center"/>
              <w:rPr>
                <w:rFonts w:hint="eastAsia"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rPr>
              <w:t>2000-5000元/次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5" w:hRule="atLeast"/>
          <w:jc w:val="center"/>
        </w:trPr>
        <w:tc>
          <w:tcPr>
            <w:tcW w:w="449" w:type="dxa"/>
            <w:tcBorders>
              <w:top w:val="single" w:color="auto" w:sz="4" w:space="0"/>
              <w:left w:val="single" w:color="auto" w:sz="4" w:space="0"/>
              <w:bottom w:val="single" w:color="auto" w:sz="4" w:space="0"/>
              <w:right w:val="single" w:color="auto" w:sz="4" w:space="0"/>
              <w:tl2br w:val="nil"/>
              <w:tr2bl w:val="nil"/>
            </w:tcBorders>
            <w:noWrap/>
            <w:tcMar>
              <w:top w:w="12" w:type="dxa"/>
              <w:left w:w="12" w:type="dxa"/>
              <w:right w:w="12" w:type="dxa"/>
            </w:tcMar>
            <w:vAlign w:val="center"/>
          </w:tcPr>
          <w:p>
            <w:pPr>
              <w:keepNext w:val="0"/>
              <w:keepLines w:val="0"/>
              <w:widowControl/>
              <w:suppressLineNumbers w:val="0"/>
              <w:spacing w:line="240" w:lineRule="auto"/>
              <w:jc w:val="center"/>
              <w:textAlignment w:val="center"/>
              <w:rPr>
                <w:rFonts w:hint="eastAsia" w:cs="Times New Roman"/>
                <w:color w:val="auto"/>
                <w:kern w:val="0"/>
                <w:sz w:val="21"/>
                <w:szCs w:val="21"/>
                <w:highlight w:val="none"/>
                <w:lang w:val="en-US" w:eastAsia="zh-CN"/>
              </w:rPr>
            </w:pPr>
            <w:r>
              <w:rPr>
                <w:rFonts w:hint="eastAsia" w:ascii="宋体" w:hAnsi="宋体" w:eastAsia="宋体" w:cs="宋体"/>
                <w:i w:val="0"/>
                <w:iCs w:val="0"/>
                <w:color w:val="auto"/>
                <w:kern w:val="0"/>
                <w:sz w:val="22"/>
                <w:szCs w:val="22"/>
                <w:highlight w:val="none"/>
                <w:u w:val="none"/>
                <w:lang w:val="en-US" w:eastAsia="zh-CN" w:bidi="ar"/>
              </w:rPr>
              <w:t>5</w:t>
            </w:r>
          </w:p>
        </w:tc>
        <w:tc>
          <w:tcPr>
            <w:tcW w:w="550" w:type="dxa"/>
            <w:vMerge w:val="continue"/>
            <w:tcBorders>
              <w:left w:val="single" w:color="auto" w:sz="4" w:space="0"/>
              <w:right w:val="single" w:color="auto" w:sz="4" w:space="0"/>
              <w:tl2br w:val="nil"/>
              <w:tr2bl w:val="nil"/>
            </w:tcBorders>
            <w:noWrap w:val="0"/>
            <w:tcMar>
              <w:top w:w="12" w:type="dxa"/>
              <w:left w:w="12" w:type="dxa"/>
              <w:right w:w="12" w:type="dxa"/>
            </w:tcMar>
            <w:vAlign w:val="center"/>
          </w:tcPr>
          <w:p>
            <w:pPr>
              <w:keepNext w:val="0"/>
              <w:keepLines w:val="0"/>
              <w:widowControl/>
              <w:suppressLineNumbers w:val="0"/>
              <w:adjustRightInd w:val="0"/>
              <w:spacing w:before="0" w:beforeAutospacing="0" w:after="0" w:afterAutospacing="0" w:line="240" w:lineRule="auto"/>
              <w:ind w:left="0" w:right="0" w:firstLine="0" w:firstLineChars="0"/>
              <w:jc w:val="center"/>
              <w:textAlignment w:val="center"/>
              <w:rPr>
                <w:rFonts w:hint="eastAsia" w:cs="Times New Roman"/>
                <w:color w:val="auto"/>
                <w:kern w:val="0"/>
                <w:sz w:val="21"/>
                <w:szCs w:val="21"/>
                <w:highlight w:val="none"/>
              </w:rPr>
            </w:pPr>
          </w:p>
        </w:tc>
        <w:tc>
          <w:tcPr>
            <w:tcW w:w="5520" w:type="dxa"/>
            <w:tcBorders>
              <w:top w:val="single" w:color="auto" w:sz="4" w:space="0"/>
              <w:left w:val="single" w:color="auto" w:sz="4" w:space="0"/>
              <w:bottom w:val="single" w:color="auto" w:sz="4" w:space="0"/>
              <w:right w:val="single" w:color="auto" w:sz="4" w:space="0"/>
              <w:tl2br w:val="nil"/>
              <w:tr2bl w:val="nil"/>
            </w:tcBorders>
            <w:noWrap w:val="0"/>
            <w:tcMar>
              <w:top w:w="12" w:type="dxa"/>
              <w:left w:w="12" w:type="dxa"/>
              <w:right w:w="12" w:type="dxa"/>
            </w:tcMar>
            <w:vAlign w:val="center"/>
          </w:tcPr>
          <w:p>
            <w:pPr>
              <w:spacing w:before="120" w:after="120" w:line="240" w:lineRule="auto"/>
              <w:ind w:left="0" w:leftChars="0"/>
              <w:jc w:val="left"/>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sz w:val="21"/>
                <w:szCs w:val="21"/>
                <w:highlight w:val="none"/>
              </w:rPr>
              <w:t>未开展人员安全教育培训，或未经运营</w:t>
            </w:r>
            <w:r>
              <w:rPr>
                <w:rFonts w:hint="eastAsia" w:ascii="宋体" w:hAnsi="宋体" w:eastAsia="宋体" w:cs="宋体"/>
                <w:color w:val="auto"/>
                <w:sz w:val="21"/>
                <w:szCs w:val="21"/>
                <w:highlight w:val="none"/>
                <w:lang w:val="en-US" w:eastAsia="zh-CN"/>
              </w:rPr>
              <w:t>分</w:t>
            </w:r>
            <w:r>
              <w:rPr>
                <w:rFonts w:hint="eastAsia" w:ascii="宋体" w:hAnsi="宋体" w:eastAsia="宋体" w:cs="宋体"/>
                <w:color w:val="auto"/>
                <w:sz w:val="21"/>
                <w:szCs w:val="21"/>
                <w:highlight w:val="none"/>
              </w:rPr>
              <w:t>公司安全教育培训、考试擅自安排人员上岗</w:t>
            </w:r>
            <w:r>
              <w:rPr>
                <w:rFonts w:hint="eastAsia" w:ascii="宋体" w:hAnsi="宋体" w:eastAsia="宋体" w:cs="宋体"/>
                <w:color w:val="auto"/>
                <w:sz w:val="21"/>
                <w:szCs w:val="21"/>
                <w:highlight w:val="none"/>
                <w:lang w:eastAsia="zh-CN"/>
              </w:rPr>
              <w:t>。</w:t>
            </w:r>
          </w:p>
        </w:tc>
        <w:tc>
          <w:tcPr>
            <w:tcW w:w="1090" w:type="dxa"/>
            <w:tcBorders>
              <w:top w:val="single" w:color="auto" w:sz="4" w:space="0"/>
              <w:left w:val="single" w:color="auto" w:sz="4" w:space="0"/>
              <w:bottom w:val="single" w:color="auto" w:sz="4" w:space="0"/>
              <w:right w:val="single" w:color="auto" w:sz="4" w:space="0"/>
              <w:tl2br w:val="nil"/>
              <w:tr2bl w:val="nil"/>
            </w:tcBorders>
            <w:noWrap/>
            <w:tcMar>
              <w:top w:w="12" w:type="dxa"/>
              <w:left w:w="12" w:type="dxa"/>
              <w:right w:w="12" w:type="dxa"/>
            </w:tcMar>
            <w:vAlign w:val="center"/>
          </w:tcPr>
          <w:p>
            <w:pPr>
              <w:keepNext w:val="0"/>
              <w:keepLines w:val="0"/>
              <w:widowControl/>
              <w:suppressLineNumbers w:val="0"/>
              <w:adjustRightIn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rPr>
              <w:t>1—3分/次</w:t>
            </w:r>
          </w:p>
        </w:tc>
        <w:tc>
          <w:tcPr>
            <w:tcW w:w="1804" w:type="dxa"/>
            <w:tcBorders>
              <w:top w:val="single" w:color="auto" w:sz="4" w:space="0"/>
              <w:left w:val="single" w:color="auto" w:sz="4" w:space="0"/>
              <w:bottom w:val="single" w:color="auto" w:sz="4" w:space="0"/>
              <w:right w:val="single" w:color="auto" w:sz="4" w:space="0"/>
              <w:tl2br w:val="nil"/>
              <w:tr2bl w:val="nil"/>
            </w:tcBorders>
            <w:noWrap/>
            <w:tcMar>
              <w:top w:w="12" w:type="dxa"/>
              <w:left w:w="12" w:type="dxa"/>
              <w:right w:w="12" w:type="dxa"/>
            </w:tcMar>
            <w:vAlign w:val="center"/>
          </w:tcPr>
          <w:p>
            <w:pPr>
              <w:keepNext w:val="0"/>
              <w:keepLines w:val="0"/>
              <w:widowControl/>
              <w:suppressLineNumbers w:val="0"/>
              <w:adjustRightInd w:val="0"/>
              <w:spacing w:before="0" w:beforeAutospacing="0" w:after="0" w:afterAutospacing="0" w:line="240" w:lineRule="auto"/>
              <w:ind w:left="0" w:leftChars="0" w:right="0" w:rightChars="0" w:firstLine="0" w:firstLineChars="0"/>
              <w:jc w:val="center"/>
              <w:textAlignment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500-1000元/</w:t>
            </w:r>
          </w:p>
          <w:p>
            <w:pPr>
              <w:keepNext w:val="0"/>
              <w:keepLines w:val="0"/>
              <w:widowControl/>
              <w:suppressLineNumbers w:val="0"/>
              <w:adjustRightIn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rPr>
              <w:t>人次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1" w:hRule="atLeast"/>
          <w:jc w:val="center"/>
        </w:trPr>
        <w:tc>
          <w:tcPr>
            <w:tcW w:w="449" w:type="dxa"/>
            <w:tcBorders>
              <w:top w:val="single" w:color="auto" w:sz="4" w:space="0"/>
              <w:left w:val="single" w:color="auto" w:sz="4" w:space="0"/>
              <w:bottom w:val="single" w:color="auto" w:sz="4" w:space="0"/>
              <w:right w:val="single" w:color="auto" w:sz="4" w:space="0"/>
              <w:tl2br w:val="nil"/>
              <w:tr2bl w:val="nil"/>
            </w:tcBorders>
            <w:noWrap/>
            <w:tcMar>
              <w:top w:w="12" w:type="dxa"/>
              <w:left w:w="12" w:type="dxa"/>
              <w:right w:w="12" w:type="dxa"/>
            </w:tcMar>
            <w:vAlign w:val="center"/>
          </w:tcPr>
          <w:p>
            <w:pPr>
              <w:keepNext w:val="0"/>
              <w:keepLines w:val="0"/>
              <w:widowControl/>
              <w:suppressLineNumbers w:val="0"/>
              <w:spacing w:line="240" w:lineRule="auto"/>
              <w:jc w:val="center"/>
              <w:textAlignment w:val="center"/>
              <w:rPr>
                <w:rFonts w:hint="eastAsia" w:ascii="Times New Roman" w:hAnsi="Times New Roman" w:cs="Times New Roman"/>
                <w:color w:val="auto"/>
                <w:kern w:val="0"/>
                <w:sz w:val="21"/>
                <w:szCs w:val="21"/>
                <w:highlight w:val="none"/>
                <w:lang w:val="en-US" w:eastAsia="zh-CN" w:bidi="ar-SA"/>
              </w:rPr>
            </w:pPr>
            <w:r>
              <w:rPr>
                <w:rFonts w:hint="eastAsia" w:ascii="宋体" w:hAnsi="宋体" w:eastAsia="宋体" w:cs="宋体"/>
                <w:i w:val="0"/>
                <w:iCs w:val="0"/>
                <w:color w:val="auto"/>
                <w:kern w:val="0"/>
                <w:sz w:val="22"/>
                <w:szCs w:val="22"/>
                <w:highlight w:val="none"/>
                <w:u w:val="none"/>
                <w:lang w:val="en-US" w:eastAsia="zh-CN" w:bidi="ar"/>
              </w:rPr>
              <w:t>6</w:t>
            </w:r>
          </w:p>
        </w:tc>
        <w:tc>
          <w:tcPr>
            <w:tcW w:w="550" w:type="dxa"/>
            <w:vMerge w:val="continue"/>
            <w:tcBorders>
              <w:left w:val="single" w:color="auto" w:sz="4" w:space="0"/>
              <w:right w:val="single" w:color="auto" w:sz="4" w:space="0"/>
              <w:tl2br w:val="nil"/>
              <w:tr2bl w:val="nil"/>
            </w:tcBorders>
            <w:noWrap w:val="0"/>
            <w:tcMar>
              <w:top w:w="12" w:type="dxa"/>
              <w:left w:w="12" w:type="dxa"/>
              <w:right w:w="12" w:type="dxa"/>
            </w:tcMar>
            <w:vAlign w:val="center"/>
          </w:tcPr>
          <w:p>
            <w:pPr>
              <w:keepNext w:val="0"/>
              <w:keepLines w:val="0"/>
              <w:widowControl/>
              <w:suppressLineNumbers w:val="0"/>
              <w:adjustRightInd w:val="0"/>
              <w:spacing w:before="0" w:beforeAutospacing="0" w:after="0" w:afterAutospacing="0" w:line="240" w:lineRule="auto"/>
              <w:ind w:left="0" w:right="0" w:firstLine="0" w:firstLineChars="0"/>
              <w:jc w:val="center"/>
              <w:textAlignment w:val="center"/>
              <w:rPr>
                <w:rFonts w:hint="eastAsia" w:cs="Times New Roman"/>
                <w:color w:val="auto"/>
                <w:kern w:val="0"/>
                <w:sz w:val="21"/>
                <w:szCs w:val="21"/>
                <w:highlight w:val="none"/>
              </w:rPr>
            </w:pPr>
          </w:p>
        </w:tc>
        <w:tc>
          <w:tcPr>
            <w:tcW w:w="5520" w:type="dxa"/>
            <w:tcBorders>
              <w:top w:val="single" w:color="auto" w:sz="4" w:space="0"/>
              <w:left w:val="single" w:color="auto" w:sz="4" w:space="0"/>
              <w:bottom w:val="single" w:color="auto" w:sz="4" w:space="0"/>
              <w:right w:val="single" w:color="auto" w:sz="4" w:space="0"/>
              <w:tl2br w:val="nil"/>
              <w:tr2bl w:val="nil"/>
            </w:tcBorders>
            <w:noWrap w:val="0"/>
            <w:tcMar>
              <w:top w:w="12" w:type="dxa"/>
              <w:left w:w="12" w:type="dxa"/>
              <w:right w:w="12" w:type="dxa"/>
            </w:tcMar>
            <w:vAlign w:val="center"/>
          </w:tcPr>
          <w:p>
            <w:pPr>
              <w:spacing w:before="120" w:after="120" w:line="240" w:lineRule="auto"/>
              <w:ind w:left="0" w:leftChars="0"/>
              <w:jc w:val="left"/>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sz w:val="21"/>
                <w:szCs w:val="21"/>
                <w:highlight w:val="none"/>
              </w:rPr>
              <w:t>施工作业未按规定办理请、销点等手续，或未及时销点造成作业超时</w:t>
            </w:r>
            <w:r>
              <w:rPr>
                <w:rFonts w:hint="eastAsia" w:ascii="宋体" w:hAnsi="宋体" w:eastAsia="宋体" w:cs="宋体"/>
                <w:color w:val="auto"/>
                <w:sz w:val="21"/>
                <w:szCs w:val="21"/>
                <w:highlight w:val="none"/>
                <w:lang w:eastAsia="zh-CN"/>
              </w:rPr>
              <w:t>。</w:t>
            </w:r>
          </w:p>
        </w:tc>
        <w:tc>
          <w:tcPr>
            <w:tcW w:w="1090" w:type="dxa"/>
            <w:tcBorders>
              <w:top w:val="single" w:color="auto" w:sz="4" w:space="0"/>
              <w:left w:val="single" w:color="auto" w:sz="4" w:space="0"/>
              <w:bottom w:val="single" w:color="auto" w:sz="4" w:space="0"/>
              <w:right w:val="single" w:color="auto" w:sz="4" w:space="0"/>
              <w:tl2br w:val="nil"/>
              <w:tr2bl w:val="nil"/>
            </w:tcBorders>
            <w:noWrap/>
            <w:tcMar>
              <w:top w:w="12" w:type="dxa"/>
              <w:left w:w="12" w:type="dxa"/>
              <w:right w:w="12" w:type="dxa"/>
            </w:tcMar>
            <w:vAlign w:val="center"/>
          </w:tcPr>
          <w:p>
            <w:pPr>
              <w:keepNext w:val="0"/>
              <w:keepLines w:val="0"/>
              <w:widowControl/>
              <w:suppressLineNumbers w:val="0"/>
              <w:adjustRightIn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rPr>
              <w:t>——</w:t>
            </w:r>
          </w:p>
        </w:tc>
        <w:tc>
          <w:tcPr>
            <w:tcW w:w="1804" w:type="dxa"/>
            <w:tcBorders>
              <w:top w:val="single" w:color="auto" w:sz="4" w:space="0"/>
              <w:left w:val="single" w:color="auto" w:sz="4" w:space="0"/>
              <w:bottom w:val="single" w:color="auto" w:sz="4" w:space="0"/>
              <w:right w:val="single" w:color="auto" w:sz="4" w:space="0"/>
              <w:tl2br w:val="nil"/>
              <w:tr2bl w:val="nil"/>
            </w:tcBorders>
            <w:noWrap/>
            <w:tcMar>
              <w:top w:w="12" w:type="dxa"/>
              <w:left w:w="12" w:type="dxa"/>
              <w:right w:w="12" w:type="dxa"/>
            </w:tcMar>
            <w:vAlign w:val="center"/>
          </w:tcPr>
          <w:p>
            <w:pPr>
              <w:keepNext w:val="0"/>
              <w:keepLines w:val="0"/>
              <w:widowControl/>
              <w:suppressLineNumbers w:val="0"/>
              <w:adjustRightIn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kern w:val="0"/>
                <w:sz w:val="21"/>
                <w:szCs w:val="21"/>
                <w:highlight w:val="none"/>
                <w:lang w:val="en-US" w:eastAsia="zh-CN" w:bidi="ar-SA"/>
              </w:rPr>
            </w:pPr>
            <w:r>
              <w:rPr>
                <w:rFonts w:hint="eastAsia" w:cs="Times New Roman"/>
                <w:color w:val="auto"/>
                <w:kern w:val="0"/>
                <w:sz w:val="21"/>
                <w:szCs w:val="21"/>
                <w:highlight w:val="none"/>
              </w:rPr>
              <w:t>500元/次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449" w:type="dxa"/>
            <w:tcBorders>
              <w:top w:val="single" w:color="auto" w:sz="4" w:space="0"/>
              <w:left w:val="single" w:color="auto" w:sz="4" w:space="0"/>
              <w:bottom w:val="single" w:color="auto" w:sz="4" w:space="0"/>
              <w:right w:val="single" w:color="auto" w:sz="4" w:space="0"/>
              <w:tl2br w:val="nil"/>
              <w:tr2bl w:val="nil"/>
            </w:tcBorders>
            <w:noWrap/>
            <w:tcMar>
              <w:top w:w="12" w:type="dxa"/>
              <w:left w:w="12" w:type="dxa"/>
              <w:right w:w="12" w:type="dxa"/>
            </w:tcMar>
            <w:vAlign w:val="center"/>
          </w:tcPr>
          <w:p>
            <w:pPr>
              <w:keepNext w:val="0"/>
              <w:keepLines w:val="0"/>
              <w:widowControl/>
              <w:suppressLineNumbers w:val="0"/>
              <w:spacing w:line="240" w:lineRule="auto"/>
              <w:jc w:val="center"/>
              <w:textAlignment w:val="center"/>
              <w:rPr>
                <w:rFonts w:hint="default" w:ascii="Times New Roman" w:hAnsi="Times New Roman" w:cs="Times New Roman"/>
                <w:color w:val="auto"/>
                <w:kern w:val="0"/>
                <w:sz w:val="21"/>
                <w:szCs w:val="21"/>
                <w:highlight w:val="none"/>
                <w:lang w:val="en-US" w:eastAsia="zh-CN" w:bidi="ar-SA"/>
              </w:rPr>
            </w:pPr>
            <w:r>
              <w:rPr>
                <w:rFonts w:hint="eastAsia" w:ascii="宋体" w:hAnsi="宋体" w:eastAsia="宋体" w:cs="宋体"/>
                <w:i w:val="0"/>
                <w:iCs w:val="0"/>
                <w:color w:val="auto"/>
                <w:kern w:val="0"/>
                <w:sz w:val="22"/>
                <w:szCs w:val="22"/>
                <w:highlight w:val="none"/>
                <w:u w:val="none"/>
                <w:lang w:val="en-US" w:eastAsia="zh-CN" w:bidi="ar"/>
              </w:rPr>
              <w:t>7</w:t>
            </w:r>
          </w:p>
        </w:tc>
        <w:tc>
          <w:tcPr>
            <w:tcW w:w="550" w:type="dxa"/>
            <w:vMerge w:val="continue"/>
            <w:tcBorders>
              <w:left w:val="single" w:color="auto" w:sz="4" w:space="0"/>
              <w:right w:val="single" w:color="auto" w:sz="4" w:space="0"/>
              <w:tl2br w:val="nil"/>
              <w:tr2bl w:val="nil"/>
            </w:tcBorders>
            <w:noWrap w:val="0"/>
            <w:tcMar>
              <w:top w:w="12" w:type="dxa"/>
              <w:left w:w="12" w:type="dxa"/>
              <w:right w:w="12" w:type="dxa"/>
            </w:tcMar>
            <w:vAlign w:val="center"/>
          </w:tcPr>
          <w:p>
            <w:pPr>
              <w:keepNext w:val="0"/>
              <w:keepLines w:val="0"/>
              <w:widowControl/>
              <w:suppressLineNumbers w:val="0"/>
              <w:adjustRightInd w:val="0"/>
              <w:spacing w:before="0" w:beforeAutospacing="0" w:after="0" w:afterAutospacing="0" w:line="240" w:lineRule="auto"/>
              <w:ind w:left="0" w:right="0" w:firstLine="0" w:firstLineChars="0"/>
              <w:jc w:val="center"/>
              <w:textAlignment w:val="center"/>
              <w:rPr>
                <w:rFonts w:hint="eastAsia" w:cs="Times New Roman"/>
                <w:color w:val="auto"/>
                <w:kern w:val="0"/>
                <w:sz w:val="21"/>
                <w:szCs w:val="21"/>
                <w:highlight w:val="none"/>
              </w:rPr>
            </w:pPr>
          </w:p>
        </w:tc>
        <w:tc>
          <w:tcPr>
            <w:tcW w:w="5520" w:type="dxa"/>
            <w:tcBorders>
              <w:top w:val="single" w:color="auto" w:sz="4" w:space="0"/>
              <w:left w:val="single" w:color="auto" w:sz="4" w:space="0"/>
              <w:bottom w:val="single" w:color="auto" w:sz="4" w:space="0"/>
              <w:right w:val="single" w:color="auto" w:sz="4" w:space="0"/>
              <w:tl2br w:val="nil"/>
              <w:tr2bl w:val="nil"/>
            </w:tcBorders>
            <w:noWrap w:val="0"/>
            <w:tcMar>
              <w:top w:w="12" w:type="dxa"/>
              <w:left w:w="12" w:type="dxa"/>
              <w:right w:w="12" w:type="dxa"/>
            </w:tcMar>
            <w:vAlign w:val="center"/>
          </w:tcPr>
          <w:p>
            <w:pPr>
              <w:spacing w:before="120" w:after="120" w:line="240" w:lineRule="auto"/>
              <w:ind w:left="0" w:leftChars="0"/>
              <w:jc w:val="left"/>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sz w:val="21"/>
                <w:szCs w:val="21"/>
                <w:highlight w:val="none"/>
              </w:rPr>
              <w:t>检修作业中，安排无上岗证</w:t>
            </w:r>
            <w:r>
              <w:rPr>
                <w:rFonts w:hint="eastAsia" w:ascii="宋体" w:hAnsi="宋体" w:eastAsia="宋体" w:cs="宋体"/>
                <w:color w:val="auto"/>
                <w:sz w:val="21"/>
                <w:szCs w:val="21"/>
                <w:highlight w:val="none"/>
                <w:lang w:eastAsia="zh-CN"/>
              </w:rPr>
              <w:t>的</w:t>
            </w:r>
            <w:r>
              <w:rPr>
                <w:rFonts w:hint="eastAsia" w:ascii="宋体" w:hAnsi="宋体" w:eastAsia="宋体" w:cs="宋体"/>
                <w:color w:val="auto"/>
                <w:sz w:val="21"/>
                <w:szCs w:val="21"/>
                <w:highlight w:val="none"/>
                <w:lang w:val="en-US" w:eastAsia="zh-CN"/>
              </w:rPr>
              <w:t>人员</w:t>
            </w:r>
            <w:r>
              <w:rPr>
                <w:rFonts w:hint="eastAsia" w:ascii="宋体" w:hAnsi="宋体" w:eastAsia="宋体" w:cs="宋体"/>
                <w:color w:val="auto"/>
                <w:sz w:val="21"/>
                <w:szCs w:val="21"/>
                <w:highlight w:val="none"/>
              </w:rPr>
              <w:t>进行作业</w:t>
            </w:r>
            <w:r>
              <w:rPr>
                <w:rFonts w:hint="eastAsia" w:ascii="宋体" w:hAnsi="宋体" w:eastAsia="宋体" w:cs="宋体"/>
                <w:color w:val="auto"/>
                <w:sz w:val="21"/>
                <w:szCs w:val="21"/>
                <w:highlight w:val="none"/>
                <w:lang w:eastAsia="zh-CN"/>
              </w:rPr>
              <w:t>。</w:t>
            </w:r>
          </w:p>
        </w:tc>
        <w:tc>
          <w:tcPr>
            <w:tcW w:w="1090" w:type="dxa"/>
            <w:tcBorders>
              <w:top w:val="single" w:color="auto" w:sz="4" w:space="0"/>
              <w:left w:val="single" w:color="auto" w:sz="4" w:space="0"/>
              <w:bottom w:val="single" w:color="auto" w:sz="4" w:space="0"/>
              <w:right w:val="single" w:color="auto" w:sz="4" w:space="0"/>
              <w:tl2br w:val="nil"/>
              <w:tr2bl w:val="nil"/>
            </w:tcBorders>
            <w:noWrap/>
            <w:tcMar>
              <w:top w:w="12" w:type="dxa"/>
              <w:left w:w="12" w:type="dxa"/>
              <w:right w:w="12" w:type="dxa"/>
            </w:tcMar>
            <w:vAlign w:val="center"/>
          </w:tcPr>
          <w:p>
            <w:pPr>
              <w:keepNext w:val="0"/>
              <w:keepLines w:val="0"/>
              <w:widowControl/>
              <w:suppressLineNumbers w:val="0"/>
              <w:adjustRightInd w:val="0"/>
              <w:spacing w:before="0" w:beforeAutospacing="0" w:after="0" w:afterAutospacing="0" w:line="240" w:lineRule="auto"/>
              <w:ind w:left="0" w:leftChars="0" w:right="0" w:rightChars="0" w:firstLine="0" w:firstLineChars="0"/>
              <w:jc w:val="center"/>
              <w:textAlignment w:val="center"/>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rPr>
              <w:t>1</w:t>
            </w:r>
            <w:r>
              <w:rPr>
                <w:rFonts w:hint="eastAsia" w:ascii="Times New Roman" w:hAnsi="Times New Roman" w:eastAsia="宋体" w:cs="Times New Roman"/>
                <w:color w:val="auto"/>
                <w:kern w:val="0"/>
                <w:sz w:val="21"/>
                <w:szCs w:val="21"/>
                <w:highlight w:val="none"/>
                <w:lang w:eastAsia="zh-CN"/>
              </w:rPr>
              <w:t>—</w:t>
            </w:r>
            <w:r>
              <w:rPr>
                <w:rFonts w:hint="eastAsia" w:ascii="Times New Roman" w:hAnsi="Times New Roman" w:eastAsia="宋体" w:cs="Times New Roman"/>
                <w:color w:val="auto"/>
                <w:kern w:val="0"/>
                <w:sz w:val="21"/>
                <w:szCs w:val="21"/>
                <w:highlight w:val="none"/>
              </w:rPr>
              <w:t>5分/次</w:t>
            </w:r>
          </w:p>
        </w:tc>
        <w:tc>
          <w:tcPr>
            <w:tcW w:w="1804" w:type="dxa"/>
            <w:tcBorders>
              <w:top w:val="single" w:color="auto" w:sz="4" w:space="0"/>
              <w:left w:val="single" w:color="auto" w:sz="4" w:space="0"/>
              <w:bottom w:val="single" w:color="auto" w:sz="4" w:space="0"/>
              <w:right w:val="single" w:color="auto" w:sz="4" w:space="0"/>
              <w:tl2br w:val="nil"/>
              <w:tr2bl w:val="nil"/>
            </w:tcBorders>
            <w:noWrap/>
            <w:tcMar>
              <w:top w:w="12" w:type="dxa"/>
              <w:left w:w="12" w:type="dxa"/>
              <w:right w:w="12" w:type="dxa"/>
            </w:tcMar>
            <w:vAlign w:val="center"/>
          </w:tcPr>
          <w:p>
            <w:pPr>
              <w:keepNext w:val="0"/>
              <w:keepLines w:val="0"/>
              <w:widowControl/>
              <w:suppressLineNumbers w:val="0"/>
              <w:adjustRightInd w:val="0"/>
              <w:spacing w:before="0" w:beforeAutospacing="0" w:after="0" w:afterAutospacing="0" w:line="240" w:lineRule="auto"/>
              <w:ind w:left="0" w:leftChars="0" w:right="0" w:rightChars="0" w:firstLine="0" w:firstLineChars="0"/>
              <w:jc w:val="center"/>
              <w:textAlignment w:val="center"/>
              <w:rPr>
                <w:rFonts w:hint="eastAsia"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lang w:val="en-US" w:eastAsia="zh-CN"/>
              </w:rPr>
              <w:t>500</w:t>
            </w:r>
            <w:r>
              <w:rPr>
                <w:rFonts w:hint="eastAsia" w:ascii="Times New Roman" w:hAnsi="Times New Roman" w:eastAsia="宋体" w:cs="Times New Roman"/>
                <w:color w:val="auto"/>
                <w:kern w:val="0"/>
                <w:sz w:val="21"/>
                <w:szCs w:val="21"/>
                <w:highlight w:val="none"/>
              </w:rPr>
              <w:t>-</w:t>
            </w:r>
            <w:r>
              <w:rPr>
                <w:rFonts w:hint="eastAsia" w:ascii="Times New Roman" w:hAnsi="Times New Roman" w:eastAsia="宋体" w:cs="Times New Roman"/>
                <w:color w:val="auto"/>
                <w:kern w:val="0"/>
                <w:sz w:val="21"/>
                <w:szCs w:val="21"/>
                <w:highlight w:val="none"/>
                <w:lang w:val="en-US" w:eastAsia="zh-CN"/>
              </w:rPr>
              <w:t>1</w:t>
            </w:r>
            <w:r>
              <w:rPr>
                <w:rFonts w:hint="eastAsia" w:ascii="Times New Roman" w:hAnsi="Times New Roman" w:eastAsia="宋体" w:cs="Times New Roman"/>
                <w:color w:val="auto"/>
                <w:kern w:val="0"/>
                <w:sz w:val="21"/>
                <w:szCs w:val="21"/>
                <w:highlight w:val="none"/>
              </w:rPr>
              <w:t>000元/</w:t>
            </w:r>
          </w:p>
          <w:p>
            <w:pPr>
              <w:keepNext w:val="0"/>
              <w:keepLines w:val="0"/>
              <w:widowControl/>
              <w:suppressLineNumbers w:val="0"/>
              <w:adjustRightInd w:val="0"/>
              <w:spacing w:before="0" w:beforeAutospacing="0" w:after="0" w:afterAutospacing="0" w:line="240" w:lineRule="auto"/>
              <w:ind w:left="0" w:leftChars="0" w:right="0" w:rightChars="0" w:firstLine="0" w:firstLineChars="0"/>
              <w:jc w:val="center"/>
              <w:textAlignment w:val="center"/>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rPr>
              <w:t>人次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449" w:type="dxa"/>
            <w:tcBorders>
              <w:top w:val="single" w:color="auto" w:sz="4" w:space="0"/>
              <w:left w:val="single" w:color="auto" w:sz="4" w:space="0"/>
              <w:bottom w:val="single" w:color="auto" w:sz="4" w:space="0"/>
              <w:right w:val="single" w:color="auto" w:sz="4" w:space="0"/>
              <w:tl2br w:val="nil"/>
              <w:tr2bl w:val="nil"/>
            </w:tcBorders>
            <w:noWrap/>
            <w:tcMar>
              <w:top w:w="12" w:type="dxa"/>
              <w:left w:w="12" w:type="dxa"/>
              <w:right w:w="12" w:type="dxa"/>
            </w:tcMar>
            <w:vAlign w:val="center"/>
          </w:tcPr>
          <w:p>
            <w:pPr>
              <w:keepNext w:val="0"/>
              <w:keepLines w:val="0"/>
              <w:widowControl/>
              <w:suppressLineNumbers w:val="0"/>
              <w:spacing w:line="240" w:lineRule="auto"/>
              <w:jc w:val="center"/>
              <w:textAlignment w:val="center"/>
              <w:rPr>
                <w:rFonts w:hint="default" w:ascii="Times New Roman" w:hAnsi="Times New Roman" w:cs="Times New Roman"/>
                <w:color w:val="auto"/>
                <w:kern w:val="0"/>
                <w:sz w:val="21"/>
                <w:szCs w:val="21"/>
                <w:highlight w:val="none"/>
                <w:lang w:val="en-US" w:eastAsia="zh-CN" w:bidi="ar-SA"/>
              </w:rPr>
            </w:pPr>
            <w:r>
              <w:rPr>
                <w:rFonts w:hint="eastAsia" w:ascii="宋体" w:hAnsi="宋体" w:eastAsia="宋体" w:cs="宋体"/>
                <w:i w:val="0"/>
                <w:iCs w:val="0"/>
                <w:color w:val="auto"/>
                <w:kern w:val="0"/>
                <w:sz w:val="22"/>
                <w:szCs w:val="22"/>
                <w:highlight w:val="none"/>
                <w:u w:val="none"/>
                <w:lang w:val="en-US" w:eastAsia="zh-CN" w:bidi="ar"/>
              </w:rPr>
              <w:t>8</w:t>
            </w:r>
          </w:p>
        </w:tc>
        <w:tc>
          <w:tcPr>
            <w:tcW w:w="550" w:type="dxa"/>
            <w:vMerge w:val="restart"/>
            <w:tcBorders>
              <w:left w:val="single" w:color="auto" w:sz="4" w:space="0"/>
              <w:right w:val="single" w:color="auto" w:sz="4" w:space="0"/>
              <w:tl2br w:val="nil"/>
              <w:tr2bl w:val="nil"/>
            </w:tcBorders>
            <w:noWrap w:val="0"/>
            <w:tcMar>
              <w:top w:w="12" w:type="dxa"/>
              <w:left w:w="12" w:type="dxa"/>
              <w:right w:w="12" w:type="dxa"/>
            </w:tcMar>
            <w:vAlign w:val="center"/>
          </w:tcPr>
          <w:p>
            <w:pPr>
              <w:keepNext w:val="0"/>
              <w:keepLines w:val="0"/>
              <w:widowControl/>
              <w:suppressLineNumbers w:val="0"/>
              <w:adjustRightInd w:val="0"/>
              <w:spacing w:before="0" w:beforeAutospacing="0" w:after="0" w:afterAutospacing="0" w:line="240" w:lineRule="auto"/>
              <w:ind w:left="0" w:right="0" w:firstLine="0" w:firstLineChars="0"/>
              <w:jc w:val="center"/>
              <w:textAlignment w:val="center"/>
              <w:rPr>
                <w:rFonts w:hint="default" w:cs="Times New Roman"/>
                <w:color w:val="auto"/>
                <w:kern w:val="0"/>
                <w:sz w:val="21"/>
                <w:szCs w:val="21"/>
                <w:highlight w:val="none"/>
              </w:rPr>
            </w:pPr>
            <w:r>
              <w:rPr>
                <w:rFonts w:hint="eastAsia" w:cs="Times New Roman"/>
                <w:color w:val="auto"/>
                <w:kern w:val="0"/>
                <w:sz w:val="21"/>
                <w:szCs w:val="21"/>
                <w:highlight w:val="none"/>
              </w:rPr>
              <w:t>人员管理</w:t>
            </w:r>
          </w:p>
        </w:tc>
        <w:tc>
          <w:tcPr>
            <w:tcW w:w="5520" w:type="dxa"/>
            <w:tcBorders>
              <w:top w:val="single" w:color="auto" w:sz="4" w:space="0"/>
              <w:left w:val="single" w:color="auto" w:sz="4" w:space="0"/>
              <w:bottom w:val="single" w:color="auto" w:sz="4" w:space="0"/>
              <w:right w:val="single" w:color="auto" w:sz="4" w:space="0"/>
              <w:tl2br w:val="nil"/>
              <w:tr2bl w:val="nil"/>
            </w:tcBorders>
            <w:noWrap w:val="0"/>
            <w:tcMar>
              <w:top w:w="12" w:type="dxa"/>
              <w:left w:w="12" w:type="dxa"/>
              <w:right w:w="12" w:type="dxa"/>
            </w:tcMar>
            <w:vAlign w:val="center"/>
          </w:tcPr>
          <w:p>
            <w:pPr>
              <w:spacing w:before="120" w:after="120" w:line="240" w:lineRule="auto"/>
              <w:ind w:left="0" w:leftChars="0"/>
              <w:jc w:val="left"/>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sz w:val="21"/>
                <w:szCs w:val="21"/>
                <w:highlight w:val="none"/>
              </w:rPr>
              <w:t>项目管理人员未按要求履职或履职不到位</w:t>
            </w:r>
            <w:r>
              <w:rPr>
                <w:rFonts w:hint="eastAsia" w:ascii="宋体" w:hAnsi="宋体" w:eastAsia="宋体" w:cs="宋体"/>
                <w:color w:val="auto"/>
                <w:sz w:val="21"/>
                <w:szCs w:val="21"/>
                <w:highlight w:val="none"/>
                <w:lang w:eastAsia="zh-CN"/>
              </w:rPr>
              <w:t>。</w:t>
            </w:r>
          </w:p>
        </w:tc>
        <w:tc>
          <w:tcPr>
            <w:tcW w:w="1090" w:type="dxa"/>
            <w:tcBorders>
              <w:top w:val="single" w:color="auto" w:sz="4" w:space="0"/>
              <w:left w:val="single" w:color="auto" w:sz="4" w:space="0"/>
              <w:bottom w:val="single" w:color="auto" w:sz="4" w:space="0"/>
              <w:right w:val="single" w:color="auto" w:sz="4" w:space="0"/>
              <w:tl2br w:val="nil"/>
              <w:tr2bl w:val="nil"/>
            </w:tcBorders>
            <w:noWrap/>
            <w:tcMar>
              <w:top w:w="12" w:type="dxa"/>
              <w:left w:w="12" w:type="dxa"/>
              <w:right w:w="12" w:type="dxa"/>
            </w:tcMar>
            <w:vAlign w:val="center"/>
          </w:tcPr>
          <w:p>
            <w:pPr>
              <w:keepNext w:val="0"/>
              <w:keepLines w:val="0"/>
              <w:widowControl/>
              <w:suppressLineNumbers w:val="0"/>
              <w:adjustRightInd w:val="0"/>
              <w:spacing w:before="0" w:beforeAutospacing="0" w:after="0" w:afterAutospacing="0" w:line="240" w:lineRule="auto"/>
              <w:ind w:left="0" w:leftChars="0" w:right="0" w:rightChars="0" w:firstLine="0" w:firstLineChars="0"/>
              <w:jc w:val="center"/>
              <w:textAlignment w:val="center"/>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rPr>
              <w:t>1—5</w:t>
            </w:r>
            <w:r>
              <w:rPr>
                <w:rFonts w:hint="eastAsia" w:ascii="Times New Roman" w:hAnsi="Times New Roman" w:eastAsia="宋体" w:cs="Times New Roman"/>
                <w:color w:val="auto"/>
                <w:kern w:val="0"/>
                <w:sz w:val="21"/>
                <w:szCs w:val="21"/>
                <w:highlight w:val="none"/>
              </w:rPr>
              <w:t>分</w:t>
            </w:r>
            <w:r>
              <w:rPr>
                <w:rFonts w:hint="eastAsia" w:ascii="Times New Roman" w:hAnsi="Times New Roman" w:eastAsia="宋体" w:cs="Times New Roman"/>
                <w:color w:val="auto"/>
                <w:kern w:val="0"/>
                <w:sz w:val="21"/>
                <w:szCs w:val="21"/>
                <w:highlight w:val="none"/>
                <w:lang w:eastAsia="zh-CN"/>
              </w:rPr>
              <w:t>/</w:t>
            </w:r>
            <w:r>
              <w:rPr>
                <w:rFonts w:hint="eastAsia" w:ascii="Times New Roman" w:hAnsi="Times New Roman" w:eastAsia="宋体" w:cs="Times New Roman"/>
                <w:color w:val="auto"/>
                <w:kern w:val="0"/>
                <w:sz w:val="21"/>
                <w:szCs w:val="21"/>
                <w:highlight w:val="none"/>
              </w:rPr>
              <w:t>次</w:t>
            </w:r>
          </w:p>
        </w:tc>
        <w:tc>
          <w:tcPr>
            <w:tcW w:w="1804" w:type="dxa"/>
            <w:tcBorders>
              <w:top w:val="single" w:color="auto" w:sz="4" w:space="0"/>
              <w:left w:val="single" w:color="auto" w:sz="4" w:space="0"/>
              <w:bottom w:val="single" w:color="auto" w:sz="4" w:space="0"/>
              <w:right w:val="single" w:color="auto" w:sz="4" w:space="0"/>
              <w:tl2br w:val="nil"/>
              <w:tr2bl w:val="nil"/>
            </w:tcBorders>
            <w:noWrap/>
            <w:tcMar>
              <w:top w:w="12" w:type="dxa"/>
              <w:left w:w="12" w:type="dxa"/>
              <w:right w:w="12" w:type="dxa"/>
            </w:tcMar>
            <w:vAlign w:val="center"/>
          </w:tcPr>
          <w:p>
            <w:pPr>
              <w:keepNext w:val="0"/>
              <w:keepLines w:val="0"/>
              <w:widowControl/>
              <w:suppressLineNumbers w:val="0"/>
              <w:adjustRightInd w:val="0"/>
              <w:spacing w:before="0" w:beforeAutospacing="0" w:after="0" w:afterAutospacing="0" w:line="240" w:lineRule="auto"/>
              <w:ind w:left="0" w:leftChars="0" w:right="0" w:rightChars="0" w:firstLine="0" w:firstLineChars="0"/>
              <w:jc w:val="center"/>
              <w:textAlignment w:val="center"/>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rPr>
              <w:t>500-2000元/次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449" w:type="dxa"/>
            <w:tcBorders>
              <w:top w:val="single" w:color="auto" w:sz="4" w:space="0"/>
              <w:left w:val="single" w:color="auto" w:sz="4" w:space="0"/>
              <w:bottom w:val="single" w:color="auto" w:sz="4" w:space="0"/>
              <w:right w:val="single" w:color="auto" w:sz="4" w:space="0"/>
              <w:tl2br w:val="nil"/>
              <w:tr2bl w:val="nil"/>
            </w:tcBorders>
            <w:noWrap/>
            <w:tcMar>
              <w:top w:w="12" w:type="dxa"/>
              <w:left w:w="12" w:type="dxa"/>
              <w:right w:w="12" w:type="dxa"/>
            </w:tcMar>
            <w:vAlign w:val="center"/>
          </w:tcPr>
          <w:p>
            <w:pPr>
              <w:keepNext w:val="0"/>
              <w:keepLines w:val="0"/>
              <w:widowControl/>
              <w:suppressLineNumbers w:val="0"/>
              <w:spacing w:line="240" w:lineRule="auto"/>
              <w:jc w:val="center"/>
              <w:textAlignment w:val="center"/>
              <w:rPr>
                <w:rFonts w:hint="default" w:ascii="Times New Roman" w:hAnsi="Times New Roman" w:cs="Times New Roman"/>
                <w:color w:val="auto"/>
                <w:kern w:val="0"/>
                <w:sz w:val="21"/>
                <w:szCs w:val="21"/>
                <w:highlight w:val="none"/>
                <w:lang w:val="en-US" w:eastAsia="zh-CN" w:bidi="ar-SA"/>
              </w:rPr>
            </w:pPr>
            <w:r>
              <w:rPr>
                <w:rFonts w:hint="eastAsia" w:ascii="宋体" w:hAnsi="宋体" w:eastAsia="宋体" w:cs="宋体"/>
                <w:i w:val="0"/>
                <w:iCs w:val="0"/>
                <w:color w:val="auto"/>
                <w:kern w:val="0"/>
                <w:sz w:val="22"/>
                <w:szCs w:val="22"/>
                <w:highlight w:val="none"/>
                <w:u w:val="none"/>
                <w:lang w:val="en-US" w:eastAsia="zh-CN" w:bidi="ar"/>
              </w:rPr>
              <w:t>9</w:t>
            </w:r>
          </w:p>
        </w:tc>
        <w:tc>
          <w:tcPr>
            <w:tcW w:w="550" w:type="dxa"/>
            <w:vMerge w:val="continue"/>
            <w:tcBorders>
              <w:left w:val="single" w:color="auto" w:sz="4" w:space="0"/>
              <w:right w:val="single" w:color="auto" w:sz="4" w:space="0"/>
              <w:tl2br w:val="nil"/>
              <w:tr2bl w:val="nil"/>
            </w:tcBorders>
            <w:noWrap w:val="0"/>
            <w:tcMar>
              <w:top w:w="12" w:type="dxa"/>
              <w:left w:w="12" w:type="dxa"/>
              <w:right w:w="12" w:type="dxa"/>
            </w:tcMar>
            <w:vAlign w:val="center"/>
          </w:tcPr>
          <w:p>
            <w:pPr>
              <w:keepNext w:val="0"/>
              <w:keepLines w:val="0"/>
              <w:widowControl/>
              <w:suppressLineNumbers w:val="0"/>
              <w:adjustRightInd w:val="0"/>
              <w:spacing w:before="0" w:beforeAutospacing="0" w:after="0" w:afterAutospacing="0" w:line="240" w:lineRule="auto"/>
              <w:ind w:left="0" w:right="0" w:firstLine="0" w:firstLineChars="0"/>
              <w:jc w:val="center"/>
              <w:textAlignment w:val="center"/>
              <w:rPr>
                <w:rFonts w:hint="eastAsia" w:cs="Times New Roman"/>
                <w:color w:val="auto"/>
                <w:kern w:val="0"/>
                <w:sz w:val="21"/>
                <w:szCs w:val="21"/>
                <w:highlight w:val="none"/>
              </w:rPr>
            </w:pPr>
          </w:p>
        </w:tc>
        <w:tc>
          <w:tcPr>
            <w:tcW w:w="5520" w:type="dxa"/>
            <w:tcBorders>
              <w:top w:val="single" w:color="auto" w:sz="4" w:space="0"/>
              <w:left w:val="single" w:color="auto" w:sz="4" w:space="0"/>
              <w:bottom w:val="single" w:color="auto" w:sz="4" w:space="0"/>
              <w:right w:val="single" w:color="auto" w:sz="4" w:space="0"/>
              <w:tl2br w:val="nil"/>
              <w:tr2bl w:val="nil"/>
            </w:tcBorders>
            <w:noWrap w:val="0"/>
            <w:tcMar>
              <w:top w:w="12" w:type="dxa"/>
              <w:left w:w="12" w:type="dxa"/>
              <w:right w:w="12" w:type="dxa"/>
            </w:tcMar>
            <w:vAlign w:val="center"/>
          </w:tcPr>
          <w:p>
            <w:pPr>
              <w:spacing w:before="120" w:after="120" w:line="240" w:lineRule="auto"/>
              <w:ind w:left="0" w:leftChars="0"/>
              <w:jc w:val="left"/>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sz w:val="21"/>
                <w:szCs w:val="21"/>
                <w:highlight w:val="none"/>
              </w:rPr>
              <w:t>未经招标人同意擅自更换项目经理</w:t>
            </w:r>
            <w:r>
              <w:rPr>
                <w:rFonts w:hint="eastAsia" w:ascii="宋体" w:hAnsi="宋体" w:eastAsia="宋体" w:cs="宋体"/>
                <w:color w:val="auto"/>
                <w:sz w:val="21"/>
                <w:szCs w:val="21"/>
                <w:highlight w:val="none"/>
                <w:lang w:eastAsia="zh-CN"/>
              </w:rPr>
              <w:t>。</w:t>
            </w:r>
          </w:p>
        </w:tc>
        <w:tc>
          <w:tcPr>
            <w:tcW w:w="1090" w:type="dxa"/>
            <w:tcBorders>
              <w:top w:val="single" w:color="auto" w:sz="4" w:space="0"/>
              <w:left w:val="single" w:color="auto" w:sz="4" w:space="0"/>
              <w:bottom w:val="single" w:color="auto" w:sz="4" w:space="0"/>
              <w:right w:val="single" w:color="auto" w:sz="4" w:space="0"/>
              <w:tl2br w:val="nil"/>
              <w:tr2bl w:val="nil"/>
            </w:tcBorders>
            <w:noWrap/>
            <w:tcMar>
              <w:top w:w="12" w:type="dxa"/>
              <w:left w:w="12" w:type="dxa"/>
              <w:right w:w="12" w:type="dxa"/>
            </w:tcMar>
            <w:vAlign w:val="center"/>
          </w:tcPr>
          <w:p>
            <w:pPr>
              <w:keepNext w:val="0"/>
              <w:keepLines w:val="0"/>
              <w:widowControl/>
              <w:suppressLineNumbers w:val="0"/>
              <w:adjustRightInd w:val="0"/>
              <w:spacing w:before="0" w:beforeAutospacing="0" w:after="0" w:afterAutospacing="0" w:line="240" w:lineRule="auto"/>
              <w:ind w:left="0" w:leftChars="0" w:right="0" w:rightChars="0" w:firstLine="0" w:firstLineChars="0"/>
              <w:jc w:val="center"/>
              <w:textAlignment w:val="center"/>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rPr>
              <w:t>5分</w:t>
            </w:r>
            <w:r>
              <w:rPr>
                <w:rFonts w:hint="eastAsia" w:ascii="Times New Roman" w:hAnsi="Times New Roman" w:eastAsia="宋体" w:cs="Times New Roman"/>
                <w:color w:val="auto"/>
                <w:kern w:val="0"/>
                <w:sz w:val="21"/>
                <w:szCs w:val="21"/>
                <w:highlight w:val="none"/>
                <w:lang w:eastAsia="zh-CN"/>
              </w:rPr>
              <w:t>/</w:t>
            </w:r>
            <w:r>
              <w:rPr>
                <w:rFonts w:hint="eastAsia" w:ascii="Times New Roman" w:hAnsi="Times New Roman" w:eastAsia="宋体" w:cs="Times New Roman"/>
                <w:color w:val="auto"/>
                <w:kern w:val="0"/>
                <w:sz w:val="21"/>
                <w:szCs w:val="21"/>
                <w:highlight w:val="none"/>
                <w:lang w:val="en-US" w:eastAsia="zh-CN"/>
              </w:rPr>
              <w:t>人</w:t>
            </w:r>
            <w:r>
              <w:rPr>
                <w:rFonts w:hint="eastAsia" w:ascii="Times New Roman" w:hAnsi="Times New Roman" w:eastAsia="宋体" w:cs="Times New Roman"/>
                <w:color w:val="auto"/>
                <w:kern w:val="0"/>
                <w:sz w:val="21"/>
                <w:szCs w:val="21"/>
                <w:highlight w:val="none"/>
              </w:rPr>
              <w:t>次</w:t>
            </w:r>
          </w:p>
        </w:tc>
        <w:tc>
          <w:tcPr>
            <w:tcW w:w="1804" w:type="dxa"/>
            <w:tcBorders>
              <w:top w:val="single" w:color="auto" w:sz="4" w:space="0"/>
              <w:left w:val="single" w:color="auto" w:sz="4" w:space="0"/>
              <w:bottom w:val="single" w:color="auto" w:sz="4" w:space="0"/>
              <w:right w:val="single" w:color="auto" w:sz="4" w:space="0"/>
              <w:tl2br w:val="nil"/>
              <w:tr2bl w:val="nil"/>
            </w:tcBorders>
            <w:noWrap/>
            <w:tcMar>
              <w:top w:w="12" w:type="dxa"/>
              <w:left w:w="12" w:type="dxa"/>
              <w:right w:w="12" w:type="dxa"/>
            </w:tcMar>
            <w:vAlign w:val="center"/>
          </w:tcPr>
          <w:p>
            <w:pPr>
              <w:keepNext w:val="0"/>
              <w:keepLines w:val="0"/>
              <w:widowControl/>
              <w:suppressLineNumbers w:val="0"/>
              <w:adjustRightInd w:val="0"/>
              <w:spacing w:before="0" w:beforeAutospacing="0" w:after="0" w:afterAutospacing="0" w:line="240" w:lineRule="auto"/>
              <w:ind w:left="0" w:leftChars="0" w:right="0" w:rightChars="0" w:firstLine="0" w:firstLineChars="0"/>
              <w:jc w:val="center"/>
              <w:textAlignment w:val="center"/>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rPr>
              <w:t>10</w:t>
            </w:r>
            <w:r>
              <w:rPr>
                <w:rFonts w:hint="eastAsia" w:ascii="Times New Roman" w:hAnsi="Times New Roman" w:eastAsia="宋体" w:cs="Times New Roman"/>
                <w:color w:val="auto"/>
                <w:kern w:val="0"/>
                <w:sz w:val="21"/>
                <w:szCs w:val="21"/>
                <w:highlight w:val="none"/>
              </w:rPr>
              <w:t>000元</w:t>
            </w:r>
            <w:r>
              <w:rPr>
                <w:rFonts w:hint="eastAsia" w:ascii="Times New Roman" w:hAnsi="Times New Roman" w:eastAsia="宋体" w:cs="Times New Roman"/>
                <w:color w:val="auto"/>
                <w:kern w:val="0"/>
                <w:sz w:val="21"/>
                <w:szCs w:val="21"/>
                <w:highlight w:val="none"/>
                <w:lang w:eastAsia="zh-CN"/>
              </w:rPr>
              <w:t>/</w:t>
            </w:r>
            <w:r>
              <w:rPr>
                <w:rFonts w:hint="eastAsia" w:ascii="Times New Roman" w:hAnsi="Times New Roman" w:eastAsia="宋体" w:cs="Times New Roman"/>
                <w:color w:val="auto"/>
                <w:kern w:val="0"/>
                <w:sz w:val="21"/>
                <w:szCs w:val="21"/>
                <w:highlight w:val="none"/>
              </w:rPr>
              <w:t>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449" w:type="dxa"/>
            <w:tcBorders>
              <w:top w:val="single" w:color="auto" w:sz="4" w:space="0"/>
              <w:left w:val="single" w:color="auto" w:sz="4" w:space="0"/>
              <w:bottom w:val="single" w:color="auto" w:sz="4" w:space="0"/>
              <w:right w:val="single" w:color="auto" w:sz="4" w:space="0"/>
              <w:tl2br w:val="nil"/>
              <w:tr2bl w:val="nil"/>
            </w:tcBorders>
            <w:noWrap/>
            <w:tcMar>
              <w:top w:w="12" w:type="dxa"/>
              <w:left w:w="12" w:type="dxa"/>
              <w:right w:w="12" w:type="dxa"/>
            </w:tcMar>
            <w:vAlign w:val="center"/>
          </w:tcPr>
          <w:p>
            <w:pPr>
              <w:keepNext w:val="0"/>
              <w:keepLines w:val="0"/>
              <w:widowControl/>
              <w:suppressLineNumbers w:val="0"/>
              <w:spacing w:line="240" w:lineRule="auto"/>
              <w:jc w:val="center"/>
              <w:textAlignment w:val="center"/>
              <w:rPr>
                <w:rFonts w:hint="default" w:ascii="Times New Roman" w:hAnsi="Times New Roman" w:cs="Times New Roman"/>
                <w:color w:val="auto"/>
                <w:kern w:val="0"/>
                <w:sz w:val="21"/>
                <w:szCs w:val="21"/>
                <w:highlight w:val="none"/>
                <w:lang w:val="en-US" w:eastAsia="zh-CN" w:bidi="ar-SA"/>
              </w:rPr>
            </w:pPr>
            <w:r>
              <w:rPr>
                <w:rFonts w:hint="eastAsia" w:ascii="宋体" w:hAnsi="宋体" w:eastAsia="宋体" w:cs="宋体"/>
                <w:i w:val="0"/>
                <w:iCs w:val="0"/>
                <w:color w:val="auto"/>
                <w:kern w:val="0"/>
                <w:sz w:val="22"/>
                <w:szCs w:val="22"/>
                <w:highlight w:val="none"/>
                <w:u w:val="none"/>
                <w:lang w:val="en-US" w:eastAsia="zh-CN" w:bidi="ar"/>
              </w:rPr>
              <w:t>10</w:t>
            </w:r>
          </w:p>
        </w:tc>
        <w:tc>
          <w:tcPr>
            <w:tcW w:w="550" w:type="dxa"/>
            <w:vMerge w:val="continue"/>
            <w:tcBorders>
              <w:left w:val="single" w:color="auto" w:sz="4" w:space="0"/>
              <w:right w:val="single" w:color="auto" w:sz="4" w:space="0"/>
              <w:tl2br w:val="nil"/>
              <w:tr2bl w:val="nil"/>
            </w:tcBorders>
            <w:noWrap w:val="0"/>
            <w:tcMar>
              <w:top w:w="12" w:type="dxa"/>
              <w:left w:w="12" w:type="dxa"/>
              <w:right w:w="12" w:type="dxa"/>
            </w:tcMar>
            <w:vAlign w:val="center"/>
          </w:tcPr>
          <w:p>
            <w:pPr>
              <w:keepNext w:val="0"/>
              <w:keepLines w:val="0"/>
              <w:widowControl/>
              <w:suppressLineNumbers w:val="0"/>
              <w:adjustRightInd w:val="0"/>
              <w:spacing w:before="0" w:beforeAutospacing="0" w:after="0" w:afterAutospacing="0" w:line="240" w:lineRule="auto"/>
              <w:ind w:left="0" w:right="0" w:firstLine="0" w:firstLineChars="0"/>
              <w:jc w:val="center"/>
              <w:textAlignment w:val="center"/>
              <w:rPr>
                <w:rFonts w:hint="eastAsia" w:cs="Times New Roman"/>
                <w:color w:val="auto"/>
                <w:kern w:val="0"/>
                <w:sz w:val="21"/>
                <w:szCs w:val="21"/>
                <w:highlight w:val="none"/>
              </w:rPr>
            </w:pPr>
          </w:p>
        </w:tc>
        <w:tc>
          <w:tcPr>
            <w:tcW w:w="5520" w:type="dxa"/>
            <w:tcBorders>
              <w:top w:val="single" w:color="auto" w:sz="4" w:space="0"/>
              <w:left w:val="single" w:color="auto" w:sz="4" w:space="0"/>
              <w:bottom w:val="single" w:color="auto" w:sz="4" w:space="0"/>
              <w:right w:val="single" w:color="auto" w:sz="4" w:space="0"/>
              <w:tl2br w:val="nil"/>
              <w:tr2bl w:val="nil"/>
            </w:tcBorders>
            <w:noWrap w:val="0"/>
            <w:tcMar>
              <w:top w:w="12" w:type="dxa"/>
              <w:left w:w="12" w:type="dxa"/>
              <w:right w:w="12" w:type="dxa"/>
            </w:tcMar>
            <w:vAlign w:val="center"/>
          </w:tcPr>
          <w:p>
            <w:pPr>
              <w:spacing w:before="120" w:after="120" w:line="240" w:lineRule="auto"/>
              <w:ind w:left="0" w:leftChars="0"/>
              <w:jc w:val="left"/>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sz w:val="21"/>
                <w:szCs w:val="21"/>
                <w:highlight w:val="none"/>
              </w:rPr>
              <w:t>未经招标人同意更换技术人员、</w:t>
            </w:r>
            <w:r>
              <w:rPr>
                <w:rFonts w:hint="eastAsia" w:ascii="宋体" w:hAnsi="宋体" w:eastAsia="宋体" w:cs="宋体"/>
                <w:color w:val="auto"/>
                <w:sz w:val="21"/>
                <w:szCs w:val="21"/>
                <w:highlight w:val="none"/>
                <w:lang w:val="en-US" w:eastAsia="zh-CN"/>
              </w:rPr>
              <w:t>安全员</w:t>
            </w:r>
            <w:r>
              <w:rPr>
                <w:rFonts w:hint="eastAsia" w:ascii="宋体" w:hAnsi="宋体" w:eastAsia="宋体" w:cs="宋体"/>
                <w:color w:val="auto"/>
                <w:sz w:val="21"/>
                <w:szCs w:val="21"/>
                <w:highlight w:val="none"/>
                <w:lang w:eastAsia="zh-CN"/>
              </w:rPr>
              <w:t>。</w:t>
            </w:r>
          </w:p>
        </w:tc>
        <w:tc>
          <w:tcPr>
            <w:tcW w:w="1090" w:type="dxa"/>
            <w:tcBorders>
              <w:top w:val="single" w:color="auto" w:sz="4" w:space="0"/>
              <w:left w:val="single" w:color="auto" w:sz="4" w:space="0"/>
              <w:bottom w:val="single" w:color="auto" w:sz="4" w:space="0"/>
              <w:right w:val="single" w:color="auto" w:sz="4" w:space="0"/>
              <w:tl2br w:val="nil"/>
              <w:tr2bl w:val="nil"/>
            </w:tcBorders>
            <w:noWrap/>
            <w:tcMar>
              <w:top w:w="12" w:type="dxa"/>
              <w:left w:w="12" w:type="dxa"/>
              <w:right w:w="12" w:type="dxa"/>
            </w:tcMar>
            <w:vAlign w:val="center"/>
          </w:tcPr>
          <w:p>
            <w:pPr>
              <w:keepNext w:val="0"/>
              <w:keepLines w:val="0"/>
              <w:widowControl/>
              <w:suppressLineNumbers w:val="0"/>
              <w:adjustRightIn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rPr>
              <w:t>3分</w:t>
            </w:r>
            <w:r>
              <w:rPr>
                <w:rFonts w:hint="eastAsia" w:ascii="Times New Roman" w:hAnsi="Times New Roman" w:eastAsia="宋体" w:cs="Times New Roman"/>
                <w:color w:val="auto"/>
                <w:kern w:val="0"/>
                <w:sz w:val="21"/>
                <w:szCs w:val="21"/>
                <w:highlight w:val="none"/>
                <w:lang w:eastAsia="zh-CN"/>
              </w:rPr>
              <w:t>/</w:t>
            </w:r>
            <w:r>
              <w:rPr>
                <w:rFonts w:hint="eastAsia" w:ascii="Times New Roman" w:hAnsi="Times New Roman" w:eastAsia="宋体" w:cs="Times New Roman"/>
                <w:color w:val="auto"/>
                <w:kern w:val="0"/>
                <w:sz w:val="21"/>
                <w:szCs w:val="21"/>
                <w:highlight w:val="none"/>
                <w:lang w:val="en-US" w:eastAsia="zh-CN"/>
              </w:rPr>
              <w:t>人次</w:t>
            </w:r>
          </w:p>
        </w:tc>
        <w:tc>
          <w:tcPr>
            <w:tcW w:w="1804" w:type="dxa"/>
            <w:tcBorders>
              <w:top w:val="single" w:color="auto" w:sz="4" w:space="0"/>
              <w:left w:val="single" w:color="auto" w:sz="4" w:space="0"/>
              <w:bottom w:val="single" w:color="auto" w:sz="4" w:space="0"/>
              <w:right w:val="single" w:color="auto" w:sz="4" w:space="0"/>
              <w:tl2br w:val="nil"/>
              <w:tr2bl w:val="nil"/>
            </w:tcBorders>
            <w:noWrap/>
            <w:tcMar>
              <w:top w:w="12" w:type="dxa"/>
              <w:left w:w="12" w:type="dxa"/>
              <w:right w:w="12" w:type="dxa"/>
            </w:tcMar>
            <w:vAlign w:val="center"/>
          </w:tcPr>
          <w:p>
            <w:pPr>
              <w:keepNext w:val="0"/>
              <w:keepLines w:val="0"/>
              <w:widowControl/>
              <w:suppressLineNumbers w:val="0"/>
              <w:adjustRightInd w:val="0"/>
              <w:spacing w:before="0" w:beforeAutospacing="0" w:after="0" w:afterAutospacing="0" w:line="240" w:lineRule="auto"/>
              <w:ind w:left="0" w:leftChars="0" w:right="0" w:rightChars="0" w:firstLine="0" w:firstLineChars="0"/>
              <w:jc w:val="center"/>
              <w:textAlignment w:val="center"/>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rPr>
              <w:t>2000元</w:t>
            </w:r>
            <w:r>
              <w:rPr>
                <w:rFonts w:hint="eastAsia" w:ascii="Times New Roman" w:hAnsi="Times New Roman" w:eastAsia="宋体" w:cs="Times New Roman"/>
                <w:color w:val="auto"/>
                <w:kern w:val="0"/>
                <w:sz w:val="21"/>
                <w:szCs w:val="21"/>
                <w:highlight w:val="none"/>
                <w:lang w:eastAsia="zh-CN"/>
              </w:rPr>
              <w:t>/</w:t>
            </w:r>
            <w:r>
              <w:rPr>
                <w:rFonts w:hint="eastAsia" w:ascii="Times New Roman" w:hAnsi="Times New Roman" w:eastAsia="宋体" w:cs="Times New Roman"/>
                <w:color w:val="auto"/>
                <w:kern w:val="0"/>
                <w:sz w:val="21"/>
                <w:szCs w:val="21"/>
                <w:highlight w:val="none"/>
              </w:rPr>
              <w:t>人</w:t>
            </w:r>
            <w:r>
              <w:rPr>
                <w:rFonts w:hint="eastAsia" w:ascii="Times New Roman" w:hAnsi="Times New Roman" w:eastAsia="宋体" w:cs="Times New Roman"/>
                <w:color w:val="auto"/>
                <w:kern w:val="0"/>
                <w:sz w:val="21"/>
                <w:szCs w:val="21"/>
                <w:highlight w:val="none"/>
                <w:lang w:val="en-US" w:eastAsia="zh-CN"/>
              </w:rPr>
              <w:t>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449" w:type="dxa"/>
            <w:tcBorders>
              <w:top w:val="single" w:color="auto" w:sz="4" w:space="0"/>
              <w:left w:val="single" w:color="auto" w:sz="4" w:space="0"/>
              <w:bottom w:val="single" w:color="auto" w:sz="4" w:space="0"/>
              <w:right w:val="single" w:color="auto" w:sz="4" w:space="0"/>
              <w:tl2br w:val="nil"/>
              <w:tr2bl w:val="nil"/>
            </w:tcBorders>
            <w:noWrap/>
            <w:tcMar>
              <w:top w:w="12" w:type="dxa"/>
              <w:left w:w="12" w:type="dxa"/>
              <w:right w:w="12" w:type="dxa"/>
            </w:tcMar>
            <w:vAlign w:val="center"/>
          </w:tcPr>
          <w:p>
            <w:pPr>
              <w:keepNext w:val="0"/>
              <w:keepLines w:val="0"/>
              <w:widowControl/>
              <w:suppressLineNumbers w:val="0"/>
              <w:spacing w:line="240" w:lineRule="auto"/>
              <w:jc w:val="center"/>
              <w:textAlignment w:val="center"/>
              <w:rPr>
                <w:rFonts w:hint="default" w:ascii="Times New Roman" w:hAnsi="Times New Roman" w:cs="Times New Roman"/>
                <w:color w:val="auto"/>
                <w:kern w:val="0"/>
                <w:sz w:val="21"/>
                <w:szCs w:val="21"/>
                <w:highlight w:val="none"/>
                <w:lang w:val="en-US" w:eastAsia="zh-CN" w:bidi="ar-SA"/>
              </w:rPr>
            </w:pPr>
            <w:r>
              <w:rPr>
                <w:rFonts w:hint="eastAsia" w:ascii="宋体" w:hAnsi="宋体" w:eastAsia="宋体" w:cs="宋体"/>
                <w:i w:val="0"/>
                <w:iCs w:val="0"/>
                <w:color w:val="auto"/>
                <w:kern w:val="0"/>
                <w:sz w:val="22"/>
                <w:szCs w:val="22"/>
                <w:highlight w:val="none"/>
                <w:u w:val="none"/>
                <w:lang w:val="en-US" w:eastAsia="zh-CN" w:bidi="ar"/>
              </w:rPr>
              <w:t>11</w:t>
            </w:r>
          </w:p>
        </w:tc>
        <w:tc>
          <w:tcPr>
            <w:tcW w:w="550" w:type="dxa"/>
            <w:vMerge w:val="continue"/>
            <w:tcBorders>
              <w:left w:val="single" w:color="auto" w:sz="4" w:space="0"/>
              <w:right w:val="single" w:color="auto" w:sz="4" w:space="0"/>
              <w:tl2br w:val="nil"/>
              <w:tr2bl w:val="nil"/>
            </w:tcBorders>
            <w:noWrap w:val="0"/>
            <w:tcMar>
              <w:top w:w="12" w:type="dxa"/>
              <w:left w:w="12" w:type="dxa"/>
              <w:right w:w="12" w:type="dxa"/>
            </w:tcMar>
            <w:vAlign w:val="center"/>
          </w:tcPr>
          <w:p>
            <w:pPr>
              <w:keepNext w:val="0"/>
              <w:keepLines w:val="0"/>
              <w:widowControl/>
              <w:suppressLineNumbers w:val="0"/>
              <w:adjustRightInd w:val="0"/>
              <w:spacing w:before="0" w:beforeAutospacing="0" w:after="0" w:afterAutospacing="0" w:line="240" w:lineRule="auto"/>
              <w:ind w:left="0" w:right="0" w:firstLine="0" w:firstLineChars="0"/>
              <w:jc w:val="center"/>
              <w:textAlignment w:val="center"/>
              <w:rPr>
                <w:rFonts w:hint="eastAsia" w:cs="Times New Roman"/>
                <w:color w:val="auto"/>
                <w:kern w:val="0"/>
                <w:sz w:val="21"/>
                <w:szCs w:val="21"/>
                <w:highlight w:val="none"/>
              </w:rPr>
            </w:pPr>
          </w:p>
        </w:tc>
        <w:tc>
          <w:tcPr>
            <w:tcW w:w="5520" w:type="dxa"/>
            <w:tcBorders>
              <w:top w:val="single" w:color="auto" w:sz="4" w:space="0"/>
              <w:left w:val="single" w:color="auto" w:sz="4" w:space="0"/>
              <w:bottom w:val="single" w:color="auto" w:sz="4" w:space="0"/>
              <w:right w:val="single" w:color="auto" w:sz="4" w:space="0"/>
              <w:tl2br w:val="nil"/>
              <w:tr2bl w:val="nil"/>
            </w:tcBorders>
            <w:noWrap w:val="0"/>
            <w:tcMar>
              <w:top w:w="12" w:type="dxa"/>
              <w:left w:w="12" w:type="dxa"/>
              <w:right w:w="12" w:type="dxa"/>
            </w:tcMar>
            <w:vAlign w:val="center"/>
          </w:tcPr>
          <w:p>
            <w:pPr>
              <w:spacing w:before="120" w:after="120" w:line="240" w:lineRule="auto"/>
              <w:ind w:left="0" w:leftChars="0"/>
              <w:jc w:val="left"/>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sz w:val="21"/>
                <w:szCs w:val="21"/>
                <w:highlight w:val="none"/>
              </w:rPr>
              <w:t>项目经理无故缺席</w:t>
            </w:r>
            <w:r>
              <w:rPr>
                <w:rFonts w:hint="eastAsia" w:ascii="宋体" w:hAnsi="宋体" w:eastAsia="宋体" w:cs="宋体"/>
                <w:color w:val="auto"/>
                <w:sz w:val="21"/>
                <w:szCs w:val="21"/>
                <w:highlight w:val="none"/>
                <w:lang w:val="en-US" w:eastAsia="zh-CN"/>
              </w:rPr>
              <w:t>招标人组织</w:t>
            </w:r>
            <w:r>
              <w:rPr>
                <w:rFonts w:hint="eastAsia" w:ascii="宋体" w:hAnsi="宋体" w:eastAsia="宋体" w:cs="宋体"/>
                <w:color w:val="auto"/>
                <w:sz w:val="21"/>
                <w:szCs w:val="21"/>
                <w:highlight w:val="none"/>
              </w:rPr>
              <w:t>的相关会议</w:t>
            </w:r>
            <w:r>
              <w:rPr>
                <w:rFonts w:hint="eastAsia" w:ascii="宋体" w:hAnsi="宋体" w:eastAsia="宋体" w:cs="宋体"/>
                <w:color w:val="auto"/>
                <w:sz w:val="21"/>
                <w:szCs w:val="21"/>
                <w:highlight w:val="none"/>
                <w:lang w:eastAsia="zh-CN"/>
              </w:rPr>
              <w:t>。</w:t>
            </w:r>
          </w:p>
        </w:tc>
        <w:tc>
          <w:tcPr>
            <w:tcW w:w="1090" w:type="dxa"/>
            <w:tcBorders>
              <w:top w:val="single" w:color="auto" w:sz="4" w:space="0"/>
              <w:left w:val="single" w:color="auto" w:sz="4" w:space="0"/>
              <w:bottom w:val="single" w:color="auto" w:sz="4" w:space="0"/>
              <w:right w:val="single" w:color="auto" w:sz="4" w:space="0"/>
              <w:tl2br w:val="nil"/>
              <w:tr2bl w:val="nil"/>
            </w:tcBorders>
            <w:noWrap/>
            <w:tcMar>
              <w:top w:w="12" w:type="dxa"/>
              <w:left w:w="12" w:type="dxa"/>
              <w:right w:w="12" w:type="dxa"/>
            </w:tcMar>
            <w:vAlign w:val="center"/>
          </w:tcPr>
          <w:p>
            <w:pPr>
              <w:keepNext w:val="0"/>
              <w:keepLines w:val="0"/>
              <w:widowControl/>
              <w:suppressLineNumbers w:val="0"/>
              <w:adjustRightIn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rPr>
              <w:t>2分</w:t>
            </w:r>
            <w:r>
              <w:rPr>
                <w:rFonts w:hint="eastAsia" w:ascii="Times New Roman" w:hAnsi="Times New Roman" w:eastAsia="宋体" w:cs="Times New Roman"/>
                <w:color w:val="auto"/>
                <w:kern w:val="0"/>
                <w:sz w:val="21"/>
                <w:szCs w:val="21"/>
                <w:highlight w:val="none"/>
                <w:lang w:eastAsia="zh-CN"/>
              </w:rPr>
              <w:t>/</w:t>
            </w:r>
            <w:r>
              <w:rPr>
                <w:rFonts w:hint="eastAsia" w:ascii="Times New Roman" w:hAnsi="Times New Roman" w:eastAsia="宋体" w:cs="Times New Roman"/>
                <w:color w:val="auto"/>
                <w:kern w:val="0"/>
                <w:sz w:val="21"/>
                <w:szCs w:val="21"/>
                <w:highlight w:val="none"/>
                <w:lang w:val="en-US" w:eastAsia="zh-CN"/>
              </w:rPr>
              <w:t>次</w:t>
            </w:r>
          </w:p>
        </w:tc>
        <w:tc>
          <w:tcPr>
            <w:tcW w:w="1804" w:type="dxa"/>
            <w:tcBorders>
              <w:top w:val="single" w:color="auto" w:sz="4" w:space="0"/>
              <w:left w:val="single" w:color="auto" w:sz="4" w:space="0"/>
              <w:bottom w:val="single" w:color="auto" w:sz="4" w:space="0"/>
              <w:right w:val="single" w:color="auto" w:sz="4" w:space="0"/>
              <w:tl2br w:val="nil"/>
              <w:tr2bl w:val="nil"/>
            </w:tcBorders>
            <w:noWrap/>
            <w:tcMar>
              <w:top w:w="12" w:type="dxa"/>
              <w:left w:w="12" w:type="dxa"/>
              <w:right w:w="12" w:type="dxa"/>
            </w:tcMar>
            <w:vAlign w:val="center"/>
          </w:tcPr>
          <w:p>
            <w:pPr>
              <w:keepNext w:val="0"/>
              <w:keepLines w:val="0"/>
              <w:widowControl/>
              <w:suppressLineNumbers w:val="0"/>
              <w:adjustRightInd w:val="0"/>
              <w:spacing w:before="0" w:beforeAutospacing="0" w:after="0" w:afterAutospacing="0" w:line="240" w:lineRule="auto"/>
              <w:ind w:left="0" w:leftChars="0" w:right="0" w:rightChars="0" w:firstLine="0" w:firstLineChars="0"/>
              <w:jc w:val="center"/>
              <w:textAlignment w:val="center"/>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rPr>
              <w:t>1</w:t>
            </w:r>
            <w:r>
              <w:rPr>
                <w:rFonts w:hint="eastAsia" w:ascii="Times New Roman" w:hAnsi="Times New Roman" w:eastAsia="宋体" w:cs="Times New Roman"/>
                <w:color w:val="auto"/>
                <w:kern w:val="0"/>
                <w:sz w:val="21"/>
                <w:szCs w:val="21"/>
                <w:highlight w:val="none"/>
              </w:rPr>
              <w:t>000元</w:t>
            </w:r>
            <w:r>
              <w:rPr>
                <w:rFonts w:hint="eastAsia" w:ascii="Times New Roman" w:hAnsi="Times New Roman" w:eastAsia="宋体" w:cs="Times New Roman"/>
                <w:color w:val="auto"/>
                <w:kern w:val="0"/>
                <w:sz w:val="21"/>
                <w:szCs w:val="21"/>
                <w:highlight w:val="none"/>
                <w:lang w:eastAsia="zh-CN"/>
              </w:rPr>
              <w:t>/</w:t>
            </w:r>
            <w:r>
              <w:rPr>
                <w:rFonts w:hint="eastAsia" w:ascii="Times New Roman" w:hAnsi="Times New Roman" w:eastAsia="宋体" w:cs="Times New Roman"/>
                <w:color w:val="auto"/>
                <w:kern w:val="0"/>
                <w:sz w:val="21"/>
                <w:szCs w:val="21"/>
                <w:highlight w:val="none"/>
              </w:rPr>
              <w:t>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449" w:type="dxa"/>
            <w:tcBorders>
              <w:top w:val="single" w:color="auto" w:sz="4" w:space="0"/>
              <w:left w:val="single" w:color="auto" w:sz="4" w:space="0"/>
              <w:bottom w:val="single" w:color="auto" w:sz="4" w:space="0"/>
              <w:right w:val="single" w:color="auto" w:sz="4" w:space="0"/>
              <w:tl2br w:val="nil"/>
              <w:tr2bl w:val="nil"/>
            </w:tcBorders>
            <w:noWrap/>
            <w:tcMar>
              <w:top w:w="12" w:type="dxa"/>
              <w:left w:w="12" w:type="dxa"/>
              <w:right w:w="12" w:type="dxa"/>
            </w:tcMar>
            <w:vAlign w:val="center"/>
          </w:tcPr>
          <w:p>
            <w:pPr>
              <w:keepNext w:val="0"/>
              <w:keepLines w:val="0"/>
              <w:widowControl/>
              <w:suppressLineNumbers w:val="0"/>
              <w:spacing w:line="240" w:lineRule="auto"/>
              <w:jc w:val="center"/>
              <w:textAlignment w:val="center"/>
              <w:rPr>
                <w:rFonts w:hint="default" w:ascii="Times New Roman" w:hAnsi="Times New Roman" w:cs="Times New Roman"/>
                <w:color w:val="auto"/>
                <w:kern w:val="0"/>
                <w:sz w:val="21"/>
                <w:szCs w:val="21"/>
                <w:highlight w:val="none"/>
                <w:lang w:val="en-US" w:eastAsia="zh-CN" w:bidi="ar-SA"/>
              </w:rPr>
            </w:pPr>
            <w:r>
              <w:rPr>
                <w:rFonts w:hint="eastAsia" w:ascii="宋体" w:hAnsi="宋体" w:eastAsia="宋体" w:cs="宋体"/>
                <w:i w:val="0"/>
                <w:iCs w:val="0"/>
                <w:color w:val="auto"/>
                <w:kern w:val="0"/>
                <w:sz w:val="22"/>
                <w:szCs w:val="22"/>
                <w:highlight w:val="none"/>
                <w:u w:val="none"/>
                <w:lang w:val="en-US" w:eastAsia="zh-CN" w:bidi="ar"/>
              </w:rPr>
              <w:t>12</w:t>
            </w:r>
          </w:p>
        </w:tc>
        <w:tc>
          <w:tcPr>
            <w:tcW w:w="550" w:type="dxa"/>
            <w:vMerge w:val="continue"/>
            <w:tcBorders>
              <w:left w:val="single" w:color="auto" w:sz="4" w:space="0"/>
              <w:right w:val="single" w:color="auto" w:sz="4" w:space="0"/>
              <w:tl2br w:val="nil"/>
              <w:tr2bl w:val="nil"/>
            </w:tcBorders>
            <w:noWrap w:val="0"/>
            <w:tcMar>
              <w:top w:w="12" w:type="dxa"/>
              <w:left w:w="12" w:type="dxa"/>
              <w:right w:w="12" w:type="dxa"/>
            </w:tcMar>
            <w:vAlign w:val="center"/>
          </w:tcPr>
          <w:p>
            <w:pPr>
              <w:keepNext w:val="0"/>
              <w:keepLines w:val="0"/>
              <w:widowControl/>
              <w:suppressLineNumbers w:val="0"/>
              <w:adjustRightInd w:val="0"/>
              <w:spacing w:before="0" w:beforeAutospacing="0" w:after="0" w:afterAutospacing="0" w:line="240" w:lineRule="auto"/>
              <w:ind w:left="0" w:right="0" w:firstLine="0" w:firstLineChars="0"/>
              <w:jc w:val="center"/>
              <w:textAlignment w:val="center"/>
              <w:rPr>
                <w:rFonts w:hint="eastAsia" w:cs="Times New Roman"/>
                <w:color w:val="auto"/>
                <w:kern w:val="0"/>
                <w:sz w:val="21"/>
                <w:szCs w:val="21"/>
                <w:highlight w:val="none"/>
              </w:rPr>
            </w:pPr>
          </w:p>
        </w:tc>
        <w:tc>
          <w:tcPr>
            <w:tcW w:w="5520" w:type="dxa"/>
            <w:tcBorders>
              <w:top w:val="single" w:color="auto" w:sz="4" w:space="0"/>
              <w:left w:val="single" w:color="auto" w:sz="4" w:space="0"/>
              <w:bottom w:val="single" w:color="auto" w:sz="4" w:space="0"/>
              <w:right w:val="single" w:color="auto" w:sz="4" w:space="0"/>
              <w:tl2br w:val="nil"/>
              <w:tr2bl w:val="nil"/>
            </w:tcBorders>
            <w:noWrap w:val="0"/>
            <w:tcMar>
              <w:top w:w="12" w:type="dxa"/>
              <w:left w:w="12" w:type="dxa"/>
              <w:right w:w="12" w:type="dxa"/>
            </w:tcMar>
            <w:vAlign w:val="center"/>
          </w:tcPr>
          <w:p>
            <w:pPr>
              <w:spacing w:before="120" w:after="120" w:line="240" w:lineRule="auto"/>
              <w:ind w:left="0" w:leftChars="0"/>
              <w:jc w:val="left"/>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sz w:val="21"/>
                <w:szCs w:val="21"/>
                <w:highlight w:val="none"/>
              </w:rPr>
              <w:t>未向招标人提供关键岗位人员资质、其他人员名单及相关证件，或未按提供名单执行、未建立人员花名册</w:t>
            </w:r>
            <w:r>
              <w:rPr>
                <w:rFonts w:hint="eastAsia" w:ascii="宋体" w:hAnsi="宋体" w:eastAsia="宋体" w:cs="宋体"/>
                <w:color w:val="auto"/>
                <w:sz w:val="21"/>
                <w:szCs w:val="21"/>
                <w:highlight w:val="none"/>
                <w:lang w:eastAsia="zh-CN"/>
              </w:rPr>
              <w:t>。</w:t>
            </w:r>
          </w:p>
        </w:tc>
        <w:tc>
          <w:tcPr>
            <w:tcW w:w="1090" w:type="dxa"/>
            <w:tcBorders>
              <w:top w:val="single" w:color="auto" w:sz="4" w:space="0"/>
              <w:left w:val="single" w:color="auto" w:sz="4" w:space="0"/>
              <w:bottom w:val="single" w:color="auto" w:sz="4" w:space="0"/>
              <w:right w:val="single" w:color="auto" w:sz="4" w:space="0"/>
              <w:tl2br w:val="nil"/>
              <w:tr2bl w:val="nil"/>
            </w:tcBorders>
            <w:noWrap/>
            <w:tcMar>
              <w:top w:w="12" w:type="dxa"/>
              <w:left w:w="12" w:type="dxa"/>
              <w:right w:w="12" w:type="dxa"/>
            </w:tcMar>
            <w:vAlign w:val="center"/>
          </w:tcPr>
          <w:p>
            <w:pPr>
              <w:keepNext w:val="0"/>
              <w:keepLines w:val="0"/>
              <w:widowControl/>
              <w:suppressLineNumbers w:val="0"/>
              <w:adjustRightInd w:val="0"/>
              <w:spacing w:before="0" w:beforeAutospacing="0" w:after="0" w:afterAutospacing="0" w:line="240" w:lineRule="auto"/>
              <w:ind w:left="0" w:leftChars="0" w:right="0" w:rightChars="0" w:firstLine="0" w:firstLineChars="0"/>
              <w:jc w:val="center"/>
              <w:textAlignment w:val="center"/>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rPr>
              <w:t>1分/次</w:t>
            </w:r>
          </w:p>
        </w:tc>
        <w:tc>
          <w:tcPr>
            <w:tcW w:w="1804" w:type="dxa"/>
            <w:tcBorders>
              <w:top w:val="single" w:color="auto" w:sz="4" w:space="0"/>
              <w:left w:val="single" w:color="auto" w:sz="4" w:space="0"/>
              <w:bottom w:val="single" w:color="auto" w:sz="4" w:space="0"/>
              <w:right w:val="single" w:color="auto" w:sz="4" w:space="0"/>
              <w:tl2br w:val="nil"/>
              <w:tr2bl w:val="nil"/>
            </w:tcBorders>
            <w:noWrap/>
            <w:tcMar>
              <w:top w:w="12" w:type="dxa"/>
              <w:left w:w="12" w:type="dxa"/>
              <w:right w:w="12" w:type="dxa"/>
            </w:tcMar>
            <w:vAlign w:val="center"/>
          </w:tcPr>
          <w:p>
            <w:pPr>
              <w:keepNext w:val="0"/>
              <w:keepLines w:val="0"/>
              <w:widowControl/>
              <w:suppressLineNumbers w:val="0"/>
              <w:adjustRightInd w:val="0"/>
              <w:spacing w:before="0" w:beforeAutospacing="0" w:after="0" w:afterAutospacing="0" w:line="240" w:lineRule="auto"/>
              <w:ind w:left="0" w:leftChars="0" w:right="0" w:rightChars="0" w:firstLine="0" w:firstLineChars="0"/>
              <w:jc w:val="center"/>
              <w:textAlignment w:val="center"/>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rPr>
              <w:t>500元/次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449" w:type="dxa"/>
            <w:tcBorders>
              <w:top w:val="single" w:color="auto" w:sz="4" w:space="0"/>
              <w:left w:val="single" w:color="auto" w:sz="4" w:space="0"/>
              <w:bottom w:val="single" w:color="auto" w:sz="4" w:space="0"/>
              <w:right w:val="single" w:color="auto" w:sz="4" w:space="0"/>
              <w:tl2br w:val="nil"/>
              <w:tr2bl w:val="nil"/>
            </w:tcBorders>
            <w:noWrap/>
            <w:tcMar>
              <w:top w:w="12" w:type="dxa"/>
              <w:left w:w="12" w:type="dxa"/>
              <w:right w:w="12" w:type="dxa"/>
            </w:tcMar>
            <w:vAlign w:val="center"/>
          </w:tcPr>
          <w:p>
            <w:pPr>
              <w:keepNext w:val="0"/>
              <w:keepLines w:val="0"/>
              <w:widowControl/>
              <w:suppressLineNumbers w:val="0"/>
              <w:spacing w:line="240" w:lineRule="auto"/>
              <w:jc w:val="center"/>
              <w:textAlignment w:val="center"/>
              <w:rPr>
                <w:rFonts w:hint="default" w:ascii="Times New Roman" w:hAnsi="Times New Roman" w:cs="Times New Roman"/>
                <w:color w:val="auto"/>
                <w:kern w:val="0"/>
                <w:sz w:val="21"/>
                <w:szCs w:val="21"/>
                <w:highlight w:val="none"/>
                <w:lang w:val="en-US" w:eastAsia="zh-CN" w:bidi="ar-SA"/>
              </w:rPr>
            </w:pPr>
            <w:r>
              <w:rPr>
                <w:rFonts w:hint="eastAsia" w:ascii="宋体" w:hAnsi="宋体" w:eastAsia="宋体" w:cs="宋体"/>
                <w:i w:val="0"/>
                <w:iCs w:val="0"/>
                <w:color w:val="auto"/>
                <w:kern w:val="0"/>
                <w:sz w:val="22"/>
                <w:szCs w:val="22"/>
                <w:highlight w:val="none"/>
                <w:u w:val="none"/>
                <w:lang w:val="en-US" w:eastAsia="zh-CN" w:bidi="ar"/>
              </w:rPr>
              <w:t>13</w:t>
            </w:r>
          </w:p>
        </w:tc>
        <w:tc>
          <w:tcPr>
            <w:tcW w:w="550" w:type="dxa"/>
            <w:vMerge w:val="continue"/>
            <w:tcBorders>
              <w:left w:val="single" w:color="auto" w:sz="4" w:space="0"/>
              <w:right w:val="single" w:color="auto" w:sz="4" w:space="0"/>
              <w:tl2br w:val="nil"/>
              <w:tr2bl w:val="nil"/>
            </w:tcBorders>
            <w:noWrap w:val="0"/>
            <w:tcMar>
              <w:top w:w="12" w:type="dxa"/>
              <w:left w:w="12" w:type="dxa"/>
              <w:right w:w="12" w:type="dxa"/>
            </w:tcMar>
            <w:vAlign w:val="center"/>
          </w:tcPr>
          <w:p>
            <w:pPr>
              <w:keepNext w:val="0"/>
              <w:keepLines w:val="0"/>
              <w:widowControl/>
              <w:suppressLineNumbers w:val="0"/>
              <w:adjustRightInd w:val="0"/>
              <w:spacing w:before="0" w:beforeAutospacing="0" w:after="0" w:afterAutospacing="0" w:line="240" w:lineRule="auto"/>
              <w:ind w:left="0" w:right="0" w:firstLine="0" w:firstLineChars="0"/>
              <w:jc w:val="center"/>
              <w:textAlignment w:val="center"/>
              <w:rPr>
                <w:rFonts w:hint="eastAsia" w:cs="Times New Roman"/>
                <w:color w:val="auto"/>
                <w:kern w:val="0"/>
                <w:sz w:val="21"/>
                <w:szCs w:val="21"/>
                <w:highlight w:val="none"/>
              </w:rPr>
            </w:pPr>
          </w:p>
        </w:tc>
        <w:tc>
          <w:tcPr>
            <w:tcW w:w="5520" w:type="dxa"/>
            <w:tcBorders>
              <w:top w:val="single" w:color="auto" w:sz="4" w:space="0"/>
              <w:left w:val="single" w:color="auto" w:sz="4" w:space="0"/>
              <w:bottom w:val="single" w:color="auto" w:sz="4" w:space="0"/>
              <w:right w:val="single" w:color="auto" w:sz="4" w:space="0"/>
              <w:tl2br w:val="nil"/>
              <w:tr2bl w:val="nil"/>
            </w:tcBorders>
            <w:noWrap w:val="0"/>
            <w:tcMar>
              <w:top w:w="12" w:type="dxa"/>
              <w:left w:w="12" w:type="dxa"/>
              <w:right w:w="12" w:type="dxa"/>
            </w:tcMar>
            <w:vAlign w:val="center"/>
          </w:tcPr>
          <w:p>
            <w:pPr>
              <w:spacing w:before="120" w:after="120" w:line="240" w:lineRule="auto"/>
              <w:ind w:left="0" w:leftChars="0"/>
              <w:jc w:val="left"/>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sz w:val="21"/>
                <w:szCs w:val="21"/>
                <w:highlight w:val="none"/>
              </w:rPr>
              <w:t>组织架构不健全，无</w:t>
            </w:r>
            <w:r>
              <w:rPr>
                <w:rFonts w:hint="eastAsia" w:ascii="宋体" w:hAnsi="宋体" w:eastAsia="宋体" w:cs="宋体"/>
                <w:color w:val="auto"/>
                <w:sz w:val="21"/>
                <w:szCs w:val="21"/>
                <w:highlight w:val="none"/>
                <w:lang w:val="en-US" w:eastAsia="zh-CN"/>
              </w:rPr>
              <w:t>兼</w:t>
            </w:r>
            <w:r>
              <w:rPr>
                <w:rFonts w:hint="eastAsia" w:ascii="宋体" w:hAnsi="宋体" w:eastAsia="宋体" w:cs="宋体"/>
                <w:color w:val="auto"/>
                <w:sz w:val="21"/>
                <w:szCs w:val="21"/>
                <w:highlight w:val="none"/>
              </w:rPr>
              <w:t>职人员负责安全、物资等日常管理工作，或管理混乱未</w:t>
            </w:r>
            <w:r>
              <w:rPr>
                <w:rFonts w:hint="eastAsia" w:ascii="宋体" w:hAnsi="宋体" w:eastAsia="宋体" w:cs="宋体"/>
                <w:color w:val="auto"/>
                <w:sz w:val="21"/>
                <w:szCs w:val="21"/>
                <w:highlight w:val="none"/>
                <w:lang w:eastAsia="zh-CN"/>
              </w:rPr>
              <w:t>达到</w:t>
            </w:r>
            <w:r>
              <w:rPr>
                <w:rFonts w:hint="eastAsia" w:ascii="宋体" w:hAnsi="宋体" w:eastAsia="宋体" w:cs="宋体"/>
                <w:color w:val="auto"/>
                <w:sz w:val="21"/>
                <w:szCs w:val="21"/>
                <w:highlight w:val="none"/>
              </w:rPr>
              <w:t>招标人要求</w:t>
            </w:r>
            <w:r>
              <w:rPr>
                <w:rFonts w:hint="eastAsia" w:ascii="宋体" w:hAnsi="宋体" w:eastAsia="宋体" w:cs="宋体"/>
                <w:color w:val="auto"/>
                <w:sz w:val="21"/>
                <w:szCs w:val="21"/>
                <w:highlight w:val="none"/>
                <w:lang w:eastAsia="zh-CN"/>
              </w:rPr>
              <w:t>。</w:t>
            </w:r>
          </w:p>
        </w:tc>
        <w:tc>
          <w:tcPr>
            <w:tcW w:w="1090" w:type="dxa"/>
            <w:tcBorders>
              <w:top w:val="single" w:color="auto" w:sz="4" w:space="0"/>
              <w:left w:val="single" w:color="auto" w:sz="4" w:space="0"/>
              <w:bottom w:val="single" w:color="auto" w:sz="4" w:space="0"/>
              <w:right w:val="single" w:color="auto" w:sz="4" w:space="0"/>
              <w:tl2br w:val="nil"/>
              <w:tr2bl w:val="nil"/>
            </w:tcBorders>
            <w:noWrap/>
            <w:tcMar>
              <w:top w:w="12" w:type="dxa"/>
              <w:left w:w="12" w:type="dxa"/>
              <w:right w:w="12" w:type="dxa"/>
            </w:tcMar>
            <w:vAlign w:val="center"/>
          </w:tcPr>
          <w:p>
            <w:pPr>
              <w:keepNext w:val="0"/>
              <w:keepLines w:val="0"/>
              <w:widowControl/>
              <w:suppressLineNumbers w:val="0"/>
              <w:adjustRightInd w:val="0"/>
              <w:spacing w:before="0" w:beforeAutospacing="0" w:after="0" w:afterAutospacing="0" w:line="240" w:lineRule="auto"/>
              <w:ind w:left="0" w:leftChars="0" w:right="0" w:rightChars="0" w:firstLine="0" w:firstLineChars="0"/>
              <w:jc w:val="center"/>
              <w:textAlignment w:val="center"/>
              <w:rPr>
                <w:rFonts w:hint="eastAsia"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rPr>
              <w:t>1—2</w:t>
            </w:r>
            <w:r>
              <w:rPr>
                <w:rFonts w:hint="eastAsia" w:ascii="Times New Roman" w:hAnsi="Times New Roman" w:eastAsia="宋体" w:cs="Times New Roman"/>
                <w:color w:val="auto"/>
                <w:kern w:val="0"/>
                <w:sz w:val="21"/>
                <w:szCs w:val="21"/>
                <w:highlight w:val="none"/>
              </w:rPr>
              <w:t>分</w:t>
            </w:r>
            <w:r>
              <w:rPr>
                <w:rFonts w:hint="eastAsia" w:ascii="Times New Roman" w:hAnsi="Times New Roman" w:eastAsia="宋体" w:cs="Times New Roman"/>
                <w:color w:val="auto"/>
                <w:kern w:val="0"/>
                <w:sz w:val="21"/>
                <w:szCs w:val="21"/>
                <w:highlight w:val="none"/>
                <w:lang w:eastAsia="zh-CN"/>
              </w:rPr>
              <w:t>/</w:t>
            </w:r>
            <w:r>
              <w:rPr>
                <w:rFonts w:hint="eastAsia" w:ascii="Times New Roman" w:hAnsi="Times New Roman" w:eastAsia="宋体" w:cs="Times New Roman"/>
                <w:color w:val="auto"/>
                <w:kern w:val="0"/>
                <w:sz w:val="21"/>
                <w:szCs w:val="21"/>
                <w:highlight w:val="none"/>
              </w:rPr>
              <w:t>项</w:t>
            </w:r>
          </w:p>
        </w:tc>
        <w:tc>
          <w:tcPr>
            <w:tcW w:w="1804" w:type="dxa"/>
            <w:tcBorders>
              <w:top w:val="single" w:color="auto" w:sz="4" w:space="0"/>
              <w:left w:val="single" w:color="auto" w:sz="4" w:space="0"/>
              <w:bottom w:val="single" w:color="auto" w:sz="4" w:space="0"/>
              <w:right w:val="single" w:color="auto" w:sz="4" w:space="0"/>
              <w:tl2br w:val="nil"/>
              <w:tr2bl w:val="nil"/>
            </w:tcBorders>
            <w:noWrap/>
            <w:tcMar>
              <w:top w:w="12" w:type="dxa"/>
              <w:left w:w="12" w:type="dxa"/>
              <w:right w:w="12" w:type="dxa"/>
            </w:tcMar>
            <w:vAlign w:val="center"/>
          </w:tcPr>
          <w:p>
            <w:pPr>
              <w:keepNext w:val="0"/>
              <w:keepLines w:val="0"/>
              <w:widowControl/>
              <w:suppressLineNumbers w:val="0"/>
              <w:adjustRightInd w:val="0"/>
              <w:spacing w:before="0" w:beforeAutospacing="0" w:after="0" w:afterAutospacing="0" w:line="240" w:lineRule="auto"/>
              <w:ind w:left="0" w:leftChars="0" w:right="0" w:rightChars="0" w:firstLine="0" w:firstLineChars="0"/>
              <w:jc w:val="center"/>
              <w:textAlignment w:val="center"/>
              <w:rPr>
                <w:rFonts w:hint="eastAsia"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rPr>
              <w:t>500-10</w:t>
            </w:r>
            <w:r>
              <w:rPr>
                <w:rFonts w:hint="eastAsia" w:ascii="Times New Roman" w:hAnsi="Times New Roman" w:eastAsia="宋体" w:cs="Times New Roman"/>
                <w:color w:val="auto"/>
                <w:kern w:val="0"/>
                <w:sz w:val="21"/>
                <w:szCs w:val="21"/>
                <w:highlight w:val="none"/>
              </w:rPr>
              <w:t>00元</w:t>
            </w:r>
            <w:r>
              <w:rPr>
                <w:rFonts w:hint="eastAsia" w:ascii="Times New Roman" w:hAnsi="Times New Roman" w:eastAsia="宋体" w:cs="Times New Roman"/>
                <w:color w:val="auto"/>
                <w:kern w:val="0"/>
                <w:sz w:val="21"/>
                <w:szCs w:val="21"/>
                <w:highlight w:val="none"/>
                <w:lang w:eastAsia="zh-CN"/>
              </w:rPr>
              <w:t>/</w:t>
            </w:r>
            <w:r>
              <w:rPr>
                <w:rFonts w:hint="eastAsia" w:cs="Times New Roman"/>
                <w:color w:val="auto"/>
                <w:kern w:val="0"/>
                <w:sz w:val="21"/>
                <w:szCs w:val="21"/>
                <w:highlight w:val="none"/>
                <w:lang w:val="en-US" w:eastAsia="zh-CN"/>
              </w:rPr>
              <w:t>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5" w:hRule="atLeast"/>
          <w:jc w:val="center"/>
        </w:trPr>
        <w:tc>
          <w:tcPr>
            <w:tcW w:w="449" w:type="dxa"/>
            <w:tcBorders>
              <w:top w:val="single" w:color="auto" w:sz="4" w:space="0"/>
              <w:left w:val="single" w:color="auto" w:sz="4" w:space="0"/>
              <w:bottom w:val="single" w:color="auto" w:sz="4" w:space="0"/>
              <w:right w:val="single" w:color="auto" w:sz="4" w:space="0"/>
              <w:tl2br w:val="nil"/>
              <w:tr2bl w:val="nil"/>
            </w:tcBorders>
            <w:noWrap/>
            <w:tcMar>
              <w:top w:w="12" w:type="dxa"/>
              <w:left w:w="12" w:type="dxa"/>
              <w:right w:w="12" w:type="dxa"/>
            </w:tcMar>
            <w:vAlign w:val="center"/>
          </w:tcPr>
          <w:p>
            <w:pPr>
              <w:keepNext w:val="0"/>
              <w:keepLines w:val="0"/>
              <w:widowControl/>
              <w:suppressLineNumbers w:val="0"/>
              <w:spacing w:line="240" w:lineRule="auto"/>
              <w:jc w:val="center"/>
              <w:textAlignment w:val="center"/>
              <w:rPr>
                <w:rFonts w:hint="default" w:ascii="Times New Roman" w:hAnsi="Times New Roman" w:cs="Times New Roman"/>
                <w:color w:val="auto"/>
                <w:kern w:val="0"/>
                <w:sz w:val="21"/>
                <w:szCs w:val="21"/>
                <w:highlight w:val="none"/>
                <w:lang w:val="en-US" w:eastAsia="zh-CN" w:bidi="ar-SA"/>
              </w:rPr>
            </w:pPr>
            <w:r>
              <w:rPr>
                <w:rFonts w:hint="eastAsia" w:ascii="宋体" w:hAnsi="宋体" w:eastAsia="宋体" w:cs="宋体"/>
                <w:i w:val="0"/>
                <w:iCs w:val="0"/>
                <w:color w:val="auto"/>
                <w:kern w:val="0"/>
                <w:sz w:val="22"/>
                <w:szCs w:val="22"/>
                <w:highlight w:val="none"/>
                <w:u w:val="none"/>
                <w:lang w:val="en-US" w:eastAsia="zh-CN" w:bidi="ar"/>
              </w:rPr>
              <w:t>14</w:t>
            </w:r>
          </w:p>
        </w:tc>
        <w:tc>
          <w:tcPr>
            <w:tcW w:w="550" w:type="dxa"/>
            <w:vMerge w:val="continue"/>
            <w:tcBorders>
              <w:left w:val="single" w:color="auto" w:sz="4" w:space="0"/>
              <w:right w:val="single" w:color="auto" w:sz="4" w:space="0"/>
              <w:tl2br w:val="nil"/>
              <w:tr2bl w:val="nil"/>
            </w:tcBorders>
            <w:noWrap w:val="0"/>
            <w:tcMar>
              <w:top w:w="12" w:type="dxa"/>
              <w:left w:w="12" w:type="dxa"/>
              <w:right w:w="12" w:type="dxa"/>
            </w:tcMar>
            <w:vAlign w:val="center"/>
          </w:tcPr>
          <w:p>
            <w:pPr>
              <w:keepNext w:val="0"/>
              <w:keepLines w:val="0"/>
              <w:widowControl/>
              <w:suppressLineNumbers w:val="0"/>
              <w:adjustRightInd w:val="0"/>
              <w:spacing w:before="0" w:beforeAutospacing="0" w:after="0" w:afterAutospacing="0" w:line="240" w:lineRule="auto"/>
              <w:ind w:left="0" w:right="0" w:firstLine="0" w:firstLineChars="0"/>
              <w:jc w:val="center"/>
              <w:textAlignment w:val="center"/>
              <w:rPr>
                <w:rFonts w:hint="eastAsia" w:cs="Times New Roman"/>
                <w:color w:val="auto"/>
                <w:kern w:val="0"/>
                <w:sz w:val="21"/>
                <w:szCs w:val="21"/>
                <w:highlight w:val="none"/>
              </w:rPr>
            </w:pPr>
          </w:p>
        </w:tc>
        <w:tc>
          <w:tcPr>
            <w:tcW w:w="5520" w:type="dxa"/>
            <w:tcBorders>
              <w:top w:val="single" w:color="auto" w:sz="4" w:space="0"/>
              <w:left w:val="single" w:color="auto" w:sz="4" w:space="0"/>
              <w:bottom w:val="single" w:color="auto" w:sz="4" w:space="0"/>
              <w:right w:val="single" w:color="auto" w:sz="4" w:space="0"/>
              <w:tl2br w:val="nil"/>
              <w:tr2bl w:val="nil"/>
            </w:tcBorders>
            <w:noWrap w:val="0"/>
            <w:tcMar>
              <w:top w:w="12" w:type="dxa"/>
              <w:left w:w="12" w:type="dxa"/>
              <w:right w:w="12" w:type="dxa"/>
            </w:tcMar>
            <w:vAlign w:val="center"/>
          </w:tcPr>
          <w:p>
            <w:pPr>
              <w:spacing w:before="120" w:after="120" w:line="240" w:lineRule="auto"/>
              <w:ind w:left="0" w:leftChars="0"/>
              <w:jc w:val="left"/>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sz w:val="21"/>
                <w:szCs w:val="21"/>
                <w:highlight w:val="none"/>
              </w:rPr>
              <w:t>出现劳动合同签订、社保缴纳、工资发放等相关问题</w:t>
            </w:r>
            <w:r>
              <w:rPr>
                <w:rFonts w:hint="eastAsia" w:ascii="宋体" w:hAnsi="宋体" w:eastAsia="宋体" w:cs="宋体"/>
                <w:color w:val="auto"/>
                <w:sz w:val="21"/>
                <w:szCs w:val="21"/>
                <w:highlight w:val="none"/>
                <w:lang w:eastAsia="zh-CN"/>
              </w:rPr>
              <w:t>。</w:t>
            </w:r>
          </w:p>
        </w:tc>
        <w:tc>
          <w:tcPr>
            <w:tcW w:w="1090" w:type="dxa"/>
            <w:tcBorders>
              <w:top w:val="single" w:color="auto" w:sz="4" w:space="0"/>
              <w:left w:val="single" w:color="auto" w:sz="4" w:space="0"/>
              <w:bottom w:val="single" w:color="auto" w:sz="4" w:space="0"/>
              <w:right w:val="single" w:color="auto" w:sz="4" w:space="0"/>
              <w:tl2br w:val="nil"/>
              <w:tr2bl w:val="nil"/>
            </w:tcBorders>
            <w:noWrap/>
            <w:tcMar>
              <w:top w:w="12" w:type="dxa"/>
              <w:left w:w="12" w:type="dxa"/>
              <w:right w:w="12" w:type="dxa"/>
            </w:tcMar>
            <w:vAlign w:val="center"/>
          </w:tcPr>
          <w:p>
            <w:pPr>
              <w:keepNext w:val="0"/>
              <w:keepLines w:val="0"/>
              <w:widowControl/>
              <w:suppressLineNumbers w:val="0"/>
              <w:adjustRightInd w:val="0"/>
              <w:spacing w:before="0" w:beforeAutospacing="0" w:after="0" w:afterAutospacing="0" w:line="240" w:lineRule="auto"/>
              <w:ind w:left="0" w:leftChars="0" w:right="0" w:rightChars="0" w:firstLine="0" w:firstLineChars="0"/>
              <w:jc w:val="center"/>
              <w:textAlignment w:val="center"/>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rPr>
              <w:t>5分</w:t>
            </w:r>
            <w:r>
              <w:rPr>
                <w:rFonts w:hint="eastAsia" w:ascii="Times New Roman" w:hAnsi="Times New Roman" w:eastAsia="宋体" w:cs="Times New Roman"/>
                <w:color w:val="auto"/>
                <w:kern w:val="0"/>
                <w:sz w:val="21"/>
                <w:szCs w:val="21"/>
                <w:highlight w:val="none"/>
                <w:lang w:eastAsia="zh-CN"/>
              </w:rPr>
              <w:t>/</w:t>
            </w:r>
            <w:r>
              <w:rPr>
                <w:rFonts w:hint="eastAsia" w:ascii="Times New Roman" w:hAnsi="Times New Roman" w:eastAsia="宋体" w:cs="Times New Roman"/>
                <w:color w:val="auto"/>
                <w:kern w:val="0"/>
                <w:sz w:val="21"/>
                <w:szCs w:val="21"/>
                <w:highlight w:val="none"/>
              </w:rPr>
              <w:t>次</w:t>
            </w:r>
          </w:p>
        </w:tc>
        <w:tc>
          <w:tcPr>
            <w:tcW w:w="1804" w:type="dxa"/>
            <w:tcBorders>
              <w:top w:val="single" w:color="auto" w:sz="4" w:space="0"/>
              <w:left w:val="single" w:color="auto" w:sz="4" w:space="0"/>
              <w:bottom w:val="single" w:color="auto" w:sz="4" w:space="0"/>
              <w:right w:val="single" w:color="auto" w:sz="4" w:space="0"/>
              <w:tl2br w:val="nil"/>
              <w:tr2bl w:val="nil"/>
            </w:tcBorders>
            <w:noWrap/>
            <w:tcMar>
              <w:top w:w="12" w:type="dxa"/>
              <w:left w:w="12" w:type="dxa"/>
              <w:right w:w="12" w:type="dxa"/>
            </w:tcMar>
            <w:vAlign w:val="center"/>
          </w:tcPr>
          <w:p>
            <w:pPr>
              <w:keepNext w:val="0"/>
              <w:keepLines w:val="0"/>
              <w:widowControl/>
              <w:suppressLineNumbers w:val="0"/>
              <w:adjustRightInd w:val="0"/>
              <w:spacing w:before="0" w:beforeAutospacing="0" w:after="0" w:afterAutospacing="0" w:line="240" w:lineRule="auto"/>
              <w:ind w:left="0" w:leftChars="0" w:right="0" w:rightChars="0" w:firstLine="0" w:firstLineChars="0"/>
              <w:jc w:val="center"/>
              <w:textAlignment w:val="center"/>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rPr>
              <w:t>1</w:t>
            </w:r>
            <w:r>
              <w:rPr>
                <w:rFonts w:hint="eastAsia" w:ascii="Times New Roman" w:hAnsi="Times New Roman" w:eastAsia="宋体" w:cs="Times New Roman"/>
                <w:color w:val="auto"/>
                <w:kern w:val="0"/>
                <w:sz w:val="21"/>
                <w:szCs w:val="21"/>
                <w:highlight w:val="none"/>
              </w:rPr>
              <w:t>00</w:t>
            </w:r>
            <w:r>
              <w:rPr>
                <w:rFonts w:hint="eastAsia" w:cs="Times New Roman"/>
                <w:color w:val="auto"/>
                <w:kern w:val="0"/>
                <w:sz w:val="21"/>
                <w:szCs w:val="21"/>
                <w:highlight w:val="none"/>
                <w:lang w:val="en-US" w:eastAsia="zh-CN"/>
              </w:rPr>
              <w:t>0元</w:t>
            </w:r>
            <w:r>
              <w:rPr>
                <w:rFonts w:hint="eastAsia" w:ascii="Times New Roman" w:hAnsi="Times New Roman" w:eastAsia="宋体" w:cs="Times New Roman"/>
                <w:color w:val="auto"/>
                <w:kern w:val="0"/>
                <w:sz w:val="21"/>
                <w:szCs w:val="21"/>
                <w:highlight w:val="none"/>
                <w:lang w:eastAsia="zh-CN"/>
              </w:rPr>
              <w:t>/</w:t>
            </w:r>
            <w:r>
              <w:rPr>
                <w:rFonts w:hint="eastAsia" w:ascii="Times New Roman" w:hAnsi="Times New Roman" w:eastAsia="宋体" w:cs="Times New Roman"/>
                <w:color w:val="auto"/>
                <w:kern w:val="0"/>
                <w:sz w:val="21"/>
                <w:szCs w:val="21"/>
                <w:highlight w:val="none"/>
              </w:rPr>
              <w:t>人次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449" w:type="dxa"/>
            <w:tcBorders>
              <w:top w:val="single" w:color="auto" w:sz="4" w:space="0"/>
              <w:left w:val="single" w:color="auto" w:sz="4" w:space="0"/>
              <w:bottom w:val="single" w:color="auto" w:sz="4" w:space="0"/>
              <w:right w:val="single" w:color="auto" w:sz="4" w:space="0"/>
              <w:tl2br w:val="nil"/>
              <w:tr2bl w:val="nil"/>
            </w:tcBorders>
            <w:noWrap/>
            <w:tcMar>
              <w:top w:w="12" w:type="dxa"/>
              <w:left w:w="12" w:type="dxa"/>
              <w:right w:w="12" w:type="dxa"/>
            </w:tcMar>
            <w:vAlign w:val="center"/>
          </w:tcPr>
          <w:p>
            <w:pPr>
              <w:keepNext w:val="0"/>
              <w:keepLines w:val="0"/>
              <w:widowControl/>
              <w:suppressLineNumbers w:val="0"/>
              <w:spacing w:line="240" w:lineRule="auto"/>
              <w:jc w:val="center"/>
              <w:textAlignment w:val="center"/>
              <w:rPr>
                <w:rFonts w:hint="default" w:ascii="Times New Roman" w:hAnsi="Times New Roman" w:cs="Times New Roman"/>
                <w:color w:val="auto"/>
                <w:kern w:val="0"/>
                <w:sz w:val="21"/>
                <w:szCs w:val="21"/>
                <w:highlight w:val="none"/>
                <w:lang w:val="en-US" w:eastAsia="zh-CN" w:bidi="ar-SA"/>
              </w:rPr>
            </w:pPr>
            <w:r>
              <w:rPr>
                <w:rFonts w:hint="eastAsia" w:ascii="宋体" w:hAnsi="宋体" w:eastAsia="宋体" w:cs="宋体"/>
                <w:i w:val="0"/>
                <w:iCs w:val="0"/>
                <w:color w:val="auto"/>
                <w:kern w:val="0"/>
                <w:sz w:val="22"/>
                <w:szCs w:val="22"/>
                <w:highlight w:val="none"/>
                <w:u w:val="none"/>
                <w:lang w:val="en-US" w:eastAsia="zh-CN" w:bidi="ar"/>
              </w:rPr>
              <w:t>15</w:t>
            </w:r>
          </w:p>
        </w:tc>
        <w:tc>
          <w:tcPr>
            <w:tcW w:w="550" w:type="dxa"/>
            <w:vMerge w:val="restart"/>
            <w:tcBorders>
              <w:left w:val="single" w:color="auto" w:sz="4" w:space="0"/>
              <w:right w:val="single" w:color="auto" w:sz="4" w:space="0"/>
              <w:tl2br w:val="nil"/>
              <w:tr2bl w:val="nil"/>
            </w:tcBorders>
            <w:noWrap w:val="0"/>
            <w:tcMar>
              <w:top w:w="12" w:type="dxa"/>
              <w:left w:w="12" w:type="dxa"/>
              <w:right w:w="12" w:type="dxa"/>
            </w:tcMar>
            <w:vAlign w:val="center"/>
          </w:tcPr>
          <w:p>
            <w:pPr>
              <w:keepNext w:val="0"/>
              <w:keepLines w:val="0"/>
              <w:widowControl/>
              <w:suppressLineNumbers w:val="0"/>
              <w:adjustRightInd w:val="0"/>
              <w:spacing w:before="0" w:beforeAutospacing="0" w:after="0" w:afterAutospacing="0" w:line="240" w:lineRule="auto"/>
              <w:ind w:left="0" w:right="0" w:firstLine="0" w:firstLineChars="0"/>
              <w:jc w:val="both"/>
              <w:textAlignment w:val="center"/>
              <w:rPr>
                <w:rFonts w:hint="eastAsia" w:cs="Times New Roman"/>
                <w:color w:val="auto"/>
                <w:kern w:val="0"/>
                <w:sz w:val="21"/>
                <w:szCs w:val="21"/>
                <w:highlight w:val="none"/>
                <w:lang w:val="en-US" w:eastAsia="zh-CN"/>
              </w:rPr>
            </w:pPr>
          </w:p>
          <w:p>
            <w:pPr>
              <w:keepNext w:val="0"/>
              <w:keepLines w:val="0"/>
              <w:widowControl/>
              <w:suppressLineNumbers w:val="0"/>
              <w:adjustRightInd w:val="0"/>
              <w:spacing w:before="0" w:beforeAutospacing="0" w:after="0" w:afterAutospacing="0" w:line="240" w:lineRule="auto"/>
              <w:ind w:left="0" w:right="0" w:firstLine="0" w:firstLineChars="0"/>
              <w:jc w:val="center"/>
              <w:textAlignment w:val="center"/>
              <w:rPr>
                <w:rFonts w:hint="default"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生产管理</w:t>
            </w:r>
          </w:p>
        </w:tc>
        <w:tc>
          <w:tcPr>
            <w:tcW w:w="5520" w:type="dxa"/>
            <w:tcBorders>
              <w:top w:val="single" w:color="auto" w:sz="4" w:space="0"/>
              <w:left w:val="single" w:color="auto" w:sz="4" w:space="0"/>
              <w:bottom w:val="single" w:color="auto" w:sz="4" w:space="0"/>
              <w:right w:val="single" w:color="auto" w:sz="4" w:space="0"/>
              <w:tl2br w:val="nil"/>
              <w:tr2bl w:val="nil"/>
            </w:tcBorders>
            <w:noWrap w:val="0"/>
            <w:tcMar>
              <w:top w:w="12" w:type="dxa"/>
              <w:left w:w="12" w:type="dxa"/>
              <w:right w:w="12" w:type="dxa"/>
            </w:tcMar>
            <w:vAlign w:val="center"/>
          </w:tcPr>
          <w:p>
            <w:pPr>
              <w:spacing w:before="120" w:after="120" w:line="240" w:lineRule="auto"/>
              <w:ind w:left="0" w:leftChars="0"/>
              <w:jc w:val="left"/>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sz w:val="21"/>
                <w:szCs w:val="21"/>
                <w:highlight w:val="none"/>
              </w:rPr>
              <w:t>项目委外工作在管理、质量、安全等方面被下达限期整改通知，未按期整改或重复发生</w:t>
            </w:r>
            <w:r>
              <w:rPr>
                <w:rFonts w:hint="eastAsia" w:ascii="宋体" w:hAnsi="宋体" w:eastAsia="宋体" w:cs="宋体"/>
                <w:color w:val="auto"/>
                <w:sz w:val="21"/>
                <w:szCs w:val="21"/>
                <w:highlight w:val="none"/>
                <w:lang w:eastAsia="zh-CN"/>
              </w:rPr>
              <w:t>。</w:t>
            </w:r>
          </w:p>
        </w:tc>
        <w:tc>
          <w:tcPr>
            <w:tcW w:w="1090" w:type="dxa"/>
            <w:tcBorders>
              <w:top w:val="single" w:color="auto" w:sz="4" w:space="0"/>
              <w:left w:val="single" w:color="auto" w:sz="4" w:space="0"/>
              <w:bottom w:val="single" w:color="auto" w:sz="4" w:space="0"/>
              <w:right w:val="single" w:color="auto" w:sz="4" w:space="0"/>
              <w:tl2br w:val="nil"/>
              <w:tr2bl w:val="nil"/>
            </w:tcBorders>
            <w:noWrap/>
            <w:tcMar>
              <w:top w:w="12" w:type="dxa"/>
              <w:left w:w="12" w:type="dxa"/>
              <w:right w:w="12" w:type="dxa"/>
            </w:tcMar>
            <w:vAlign w:val="center"/>
          </w:tcPr>
          <w:p>
            <w:pPr>
              <w:keepNext w:val="0"/>
              <w:keepLines w:val="0"/>
              <w:widowControl/>
              <w:suppressLineNumbers w:val="0"/>
              <w:adjustRightInd w:val="0"/>
              <w:spacing w:before="0" w:beforeAutospacing="0" w:after="0" w:afterAutospacing="0" w:line="240" w:lineRule="auto"/>
              <w:ind w:left="0" w:leftChars="0" w:right="0" w:rightChars="0" w:firstLine="0" w:firstLineChars="0"/>
              <w:jc w:val="center"/>
              <w:textAlignment w:val="center"/>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rPr>
              <w:t>3</w:t>
            </w:r>
            <w:r>
              <w:rPr>
                <w:rFonts w:hint="eastAsia" w:ascii="Times New Roman" w:hAnsi="Times New Roman" w:eastAsia="宋体" w:cs="Times New Roman"/>
                <w:color w:val="auto"/>
                <w:kern w:val="0"/>
                <w:sz w:val="21"/>
                <w:szCs w:val="21"/>
                <w:highlight w:val="none"/>
                <w:lang w:eastAsia="zh-CN"/>
              </w:rPr>
              <w:t>—</w:t>
            </w:r>
            <w:r>
              <w:rPr>
                <w:rFonts w:hint="eastAsia" w:ascii="Times New Roman" w:hAnsi="Times New Roman" w:eastAsia="宋体" w:cs="Times New Roman"/>
                <w:color w:val="auto"/>
                <w:kern w:val="0"/>
                <w:sz w:val="21"/>
                <w:szCs w:val="21"/>
                <w:highlight w:val="none"/>
              </w:rPr>
              <w:t>5分</w:t>
            </w:r>
            <w:r>
              <w:rPr>
                <w:rFonts w:hint="eastAsia" w:ascii="Times New Roman" w:hAnsi="Times New Roman" w:eastAsia="宋体" w:cs="Times New Roman"/>
                <w:color w:val="auto"/>
                <w:kern w:val="0"/>
                <w:sz w:val="21"/>
                <w:szCs w:val="21"/>
                <w:highlight w:val="none"/>
                <w:lang w:eastAsia="zh-CN"/>
              </w:rPr>
              <w:t>/</w:t>
            </w:r>
            <w:r>
              <w:rPr>
                <w:rFonts w:hint="eastAsia" w:ascii="Times New Roman" w:hAnsi="Times New Roman" w:eastAsia="宋体" w:cs="Times New Roman"/>
                <w:color w:val="auto"/>
                <w:kern w:val="0"/>
                <w:sz w:val="21"/>
                <w:szCs w:val="21"/>
                <w:highlight w:val="none"/>
              </w:rPr>
              <w:t>项</w:t>
            </w:r>
          </w:p>
        </w:tc>
        <w:tc>
          <w:tcPr>
            <w:tcW w:w="1804" w:type="dxa"/>
            <w:tcBorders>
              <w:top w:val="single" w:color="auto" w:sz="4" w:space="0"/>
              <w:left w:val="single" w:color="auto" w:sz="4" w:space="0"/>
              <w:bottom w:val="single" w:color="auto" w:sz="4" w:space="0"/>
              <w:right w:val="single" w:color="auto" w:sz="4" w:space="0"/>
              <w:tl2br w:val="nil"/>
              <w:tr2bl w:val="nil"/>
            </w:tcBorders>
            <w:noWrap/>
            <w:tcMar>
              <w:top w:w="12" w:type="dxa"/>
              <w:left w:w="12" w:type="dxa"/>
              <w:right w:w="12" w:type="dxa"/>
            </w:tcMar>
            <w:vAlign w:val="center"/>
          </w:tcPr>
          <w:p>
            <w:pPr>
              <w:keepNext w:val="0"/>
              <w:keepLines w:val="0"/>
              <w:widowControl/>
              <w:suppressLineNumbers w:val="0"/>
              <w:adjustRightInd w:val="0"/>
              <w:spacing w:before="0" w:beforeAutospacing="0" w:after="0" w:afterAutospacing="0" w:line="240" w:lineRule="auto"/>
              <w:ind w:left="0" w:leftChars="0" w:right="0" w:rightChars="0" w:firstLine="0" w:firstLineChars="0"/>
              <w:jc w:val="center"/>
              <w:textAlignment w:val="center"/>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rPr>
              <w:t>1000-2000元</w:t>
            </w:r>
            <w:r>
              <w:rPr>
                <w:rFonts w:hint="eastAsia" w:ascii="Times New Roman" w:hAnsi="Times New Roman" w:eastAsia="宋体" w:cs="Times New Roman"/>
                <w:color w:val="auto"/>
                <w:kern w:val="0"/>
                <w:sz w:val="21"/>
                <w:szCs w:val="21"/>
                <w:highlight w:val="none"/>
                <w:lang w:eastAsia="zh-CN"/>
              </w:rPr>
              <w:t>/</w:t>
            </w:r>
            <w:r>
              <w:rPr>
                <w:rFonts w:hint="eastAsia" w:ascii="Times New Roman" w:hAnsi="Times New Roman" w:eastAsia="宋体" w:cs="Times New Roman"/>
                <w:color w:val="auto"/>
                <w:kern w:val="0"/>
                <w:sz w:val="21"/>
                <w:szCs w:val="21"/>
                <w:highlight w:val="none"/>
              </w:rPr>
              <w:t>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1" w:hRule="atLeast"/>
          <w:jc w:val="center"/>
        </w:trPr>
        <w:tc>
          <w:tcPr>
            <w:tcW w:w="449" w:type="dxa"/>
            <w:tcBorders>
              <w:top w:val="single" w:color="auto" w:sz="4" w:space="0"/>
              <w:left w:val="single" w:color="auto" w:sz="4" w:space="0"/>
              <w:bottom w:val="single" w:color="auto" w:sz="4" w:space="0"/>
              <w:right w:val="single" w:color="auto" w:sz="4" w:space="0"/>
              <w:tl2br w:val="nil"/>
              <w:tr2bl w:val="nil"/>
            </w:tcBorders>
            <w:noWrap/>
            <w:tcMar>
              <w:top w:w="12" w:type="dxa"/>
              <w:left w:w="12" w:type="dxa"/>
              <w:right w:w="12" w:type="dxa"/>
            </w:tcMar>
            <w:vAlign w:val="center"/>
          </w:tcPr>
          <w:p>
            <w:pPr>
              <w:keepNext w:val="0"/>
              <w:keepLines w:val="0"/>
              <w:widowControl/>
              <w:suppressLineNumbers w:val="0"/>
              <w:spacing w:line="240" w:lineRule="auto"/>
              <w:jc w:val="center"/>
              <w:textAlignment w:val="center"/>
              <w:rPr>
                <w:rFonts w:hint="default" w:ascii="Times New Roman" w:hAnsi="Times New Roman" w:cs="Times New Roman"/>
                <w:color w:val="auto"/>
                <w:kern w:val="0"/>
                <w:sz w:val="21"/>
                <w:szCs w:val="21"/>
                <w:highlight w:val="none"/>
                <w:lang w:val="en-US" w:eastAsia="zh-CN" w:bidi="ar-SA"/>
              </w:rPr>
            </w:pPr>
            <w:r>
              <w:rPr>
                <w:rFonts w:hint="eastAsia" w:ascii="宋体" w:hAnsi="宋体" w:eastAsia="宋体" w:cs="宋体"/>
                <w:i w:val="0"/>
                <w:iCs w:val="0"/>
                <w:color w:val="auto"/>
                <w:kern w:val="0"/>
                <w:sz w:val="22"/>
                <w:szCs w:val="22"/>
                <w:highlight w:val="none"/>
                <w:u w:val="none"/>
                <w:lang w:val="en-US" w:eastAsia="zh-CN" w:bidi="ar"/>
              </w:rPr>
              <w:t>16</w:t>
            </w:r>
          </w:p>
        </w:tc>
        <w:tc>
          <w:tcPr>
            <w:tcW w:w="550" w:type="dxa"/>
            <w:vMerge w:val="continue"/>
            <w:tcBorders>
              <w:left w:val="single" w:color="auto" w:sz="4" w:space="0"/>
              <w:right w:val="single" w:color="auto" w:sz="4" w:space="0"/>
              <w:tl2br w:val="nil"/>
              <w:tr2bl w:val="nil"/>
            </w:tcBorders>
            <w:noWrap w:val="0"/>
            <w:tcMar>
              <w:top w:w="12" w:type="dxa"/>
              <w:left w:w="12" w:type="dxa"/>
              <w:right w:w="12" w:type="dxa"/>
            </w:tcMar>
            <w:vAlign w:val="center"/>
          </w:tcPr>
          <w:p>
            <w:pPr>
              <w:keepNext w:val="0"/>
              <w:keepLines w:val="0"/>
              <w:widowControl/>
              <w:suppressLineNumbers w:val="0"/>
              <w:adjustRightInd w:val="0"/>
              <w:spacing w:before="0" w:beforeAutospacing="0" w:after="0" w:afterAutospacing="0" w:line="240" w:lineRule="auto"/>
              <w:ind w:left="0" w:right="0" w:firstLine="0" w:firstLineChars="0"/>
              <w:jc w:val="center"/>
              <w:textAlignment w:val="center"/>
              <w:rPr>
                <w:rFonts w:hint="eastAsia" w:cs="Times New Roman"/>
                <w:color w:val="auto"/>
                <w:kern w:val="0"/>
                <w:sz w:val="21"/>
                <w:szCs w:val="21"/>
                <w:highlight w:val="none"/>
              </w:rPr>
            </w:pPr>
          </w:p>
        </w:tc>
        <w:tc>
          <w:tcPr>
            <w:tcW w:w="5520" w:type="dxa"/>
            <w:tcBorders>
              <w:top w:val="single" w:color="auto" w:sz="4" w:space="0"/>
              <w:left w:val="single" w:color="auto" w:sz="4" w:space="0"/>
              <w:bottom w:val="single" w:color="auto" w:sz="4" w:space="0"/>
              <w:right w:val="single" w:color="auto" w:sz="4" w:space="0"/>
              <w:tl2br w:val="nil"/>
              <w:tr2bl w:val="nil"/>
            </w:tcBorders>
            <w:noWrap w:val="0"/>
            <w:tcMar>
              <w:top w:w="12" w:type="dxa"/>
              <w:left w:w="12" w:type="dxa"/>
              <w:right w:w="12" w:type="dxa"/>
            </w:tcMar>
            <w:vAlign w:val="center"/>
          </w:tcPr>
          <w:p>
            <w:pPr>
              <w:spacing w:before="120" w:after="120" w:line="240" w:lineRule="auto"/>
              <w:ind w:left="0" w:leftChars="0"/>
              <w:jc w:val="left"/>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sz w:val="21"/>
                <w:szCs w:val="21"/>
                <w:highlight w:val="none"/>
              </w:rPr>
              <w:t>月计划、</w:t>
            </w:r>
            <w:r>
              <w:rPr>
                <w:rFonts w:hint="eastAsia" w:ascii="宋体" w:hAnsi="宋体" w:eastAsia="宋体" w:cs="宋体"/>
                <w:color w:val="auto"/>
                <w:sz w:val="21"/>
                <w:szCs w:val="21"/>
                <w:highlight w:val="none"/>
                <w:lang w:val="en-US" w:eastAsia="zh-CN"/>
              </w:rPr>
              <w:t>周</w:t>
            </w:r>
            <w:r>
              <w:rPr>
                <w:rFonts w:hint="eastAsia" w:ascii="宋体" w:hAnsi="宋体" w:eastAsia="宋体" w:cs="宋体"/>
                <w:color w:val="auto"/>
                <w:sz w:val="21"/>
                <w:szCs w:val="21"/>
                <w:highlight w:val="none"/>
              </w:rPr>
              <w:t>计划、日计划未按要求提报审核</w:t>
            </w:r>
            <w:r>
              <w:rPr>
                <w:rFonts w:hint="eastAsia" w:ascii="宋体" w:hAnsi="宋体" w:eastAsia="宋体" w:cs="宋体"/>
                <w:color w:val="auto"/>
                <w:sz w:val="21"/>
                <w:szCs w:val="21"/>
                <w:highlight w:val="none"/>
                <w:lang w:eastAsia="zh-CN"/>
              </w:rPr>
              <w:t>。</w:t>
            </w:r>
          </w:p>
        </w:tc>
        <w:tc>
          <w:tcPr>
            <w:tcW w:w="1090" w:type="dxa"/>
            <w:tcBorders>
              <w:top w:val="single" w:color="auto" w:sz="4" w:space="0"/>
              <w:left w:val="single" w:color="auto" w:sz="4" w:space="0"/>
              <w:bottom w:val="single" w:color="auto" w:sz="4" w:space="0"/>
              <w:right w:val="single" w:color="auto" w:sz="4" w:space="0"/>
              <w:tl2br w:val="nil"/>
              <w:tr2bl w:val="nil"/>
            </w:tcBorders>
            <w:noWrap/>
            <w:tcMar>
              <w:top w:w="12" w:type="dxa"/>
              <w:left w:w="12" w:type="dxa"/>
              <w:right w:w="12" w:type="dxa"/>
            </w:tcMar>
            <w:vAlign w:val="center"/>
          </w:tcPr>
          <w:p>
            <w:pPr>
              <w:keepNext w:val="0"/>
              <w:keepLines w:val="0"/>
              <w:widowControl/>
              <w:suppressLineNumbers w:val="0"/>
              <w:adjustRightInd w:val="0"/>
              <w:spacing w:before="0" w:beforeAutospacing="0" w:after="0" w:afterAutospacing="0" w:line="240" w:lineRule="auto"/>
              <w:ind w:left="0" w:leftChars="0" w:right="0" w:rightChars="0" w:firstLine="0" w:firstLineChars="0"/>
              <w:jc w:val="center"/>
              <w:textAlignment w:val="center"/>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rPr>
              <w:t>——</w:t>
            </w:r>
          </w:p>
        </w:tc>
        <w:tc>
          <w:tcPr>
            <w:tcW w:w="1804" w:type="dxa"/>
            <w:tcBorders>
              <w:top w:val="single" w:color="auto" w:sz="4" w:space="0"/>
              <w:left w:val="single" w:color="auto" w:sz="4" w:space="0"/>
              <w:bottom w:val="single" w:color="auto" w:sz="4" w:space="0"/>
              <w:right w:val="single" w:color="auto" w:sz="4" w:space="0"/>
              <w:tl2br w:val="nil"/>
              <w:tr2bl w:val="nil"/>
            </w:tcBorders>
            <w:noWrap/>
            <w:tcMar>
              <w:top w:w="12" w:type="dxa"/>
              <w:left w:w="12" w:type="dxa"/>
              <w:right w:w="12" w:type="dxa"/>
            </w:tcMar>
            <w:vAlign w:val="center"/>
          </w:tcPr>
          <w:p>
            <w:pPr>
              <w:keepNext w:val="0"/>
              <w:keepLines w:val="0"/>
              <w:widowControl/>
              <w:suppressLineNumbers w:val="0"/>
              <w:adjustRightInd w:val="0"/>
              <w:spacing w:before="0" w:beforeAutospacing="0" w:after="0" w:afterAutospacing="0" w:line="240" w:lineRule="auto"/>
              <w:ind w:left="0" w:leftChars="0" w:right="0" w:rightChars="0" w:firstLine="0" w:firstLineChars="0"/>
              <w:jc w:val="center"/>
              <w:textAlignment w:val="center"/>
              <w:rPr>
                <w:rFonts w:hint="eastAsia"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rPr>
              <w:t>200元/次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8" w:hRule="atLeast"/>
          <w:jc w:val="center"/>
        </w:trPr>
        <w:tc>
          <w:tcPr>
            <w:tcW w:w="449" w:type="dxa"/>
            <w:tcBorders>
              <w:top w:val="single" w:color="auto" w:sz="4" w:space="0"/>
              <w:left w:val="single" w:color="auto" w:sz="4" w:space="0"/>
              <w:bottom w:val="single" w:color="auto" w:sz="4" w:space="0"/>
              <w:right w:val="single" w:color="auto" w:sz="4" w:space="0"/>
              <w:tl2br w:val="nil"/>
              <w:tr2bl w:val="nil"/>
            </w:tcBorders>
            <w:noWrap/>
            <w:tcMar>
              <w:top w:w="12" w:type="dxa"/>
              <w:left w:w="12" w:type="dxa"/>
              <w:right w:w="12" w:type="dxa"/>
            </w:tcMar>
            <w:vAlign w:val="center"/>
          </w:tcPr>
          <w:p>
            <w:pPr>
              <w:keepNext w:val="0"/>
              <w:keepLines w:val="0"/>
              <w:widowControl/>
              <w:suppressLineNumbers w:val="0"/>
              <w:spacing w:line="240" w:lineRule="auto"/>
              <w:jc w:val="center"/>
              <w:textAlignment w:val="center"/>
              <w:rPr>
                <w:rFonts w:hint="default" w:ascii="Times New Roman" w:hAnsi="Times New Roman" w:cs="Times New Roman"/>
                <w:color w:val="auto"/>
                <w:kern w:val="0"/>
                <w:sz w:val="21"/>
                <w:szCs w:val="21"/>
                <w:highlight w:val="none"/>
                <w:lang w:val="en-US" w:eastAsia="zh-CN" w:bidi="ar-SA"/>
              </w:rPr>
            </w:pPr>
            <w:r>
              <w:rPr>
                <w:rFonts w:hint="eastAsia" w:ascii="宋体" w:hAnsi="宋体" w:eastAsia="宋体" w:cs="宋体"/>
                <w:i w:val="0"/>
                <w:iCs w:val="0"/>
                <w:color w:val="auto"/>
                <w:kern w:val="0"/>
                <w:sz w:val="22"/>
                <w:szCs w:val="22"/>
                <w:highlight w:val="none"/>
                <w:u w:val="none"/>
                <w:lang w:val="en-US" w:eastAsia="zh-CN" w:bidi="ar"/>
              </w:rPr>
              <w:t>17</w:t>
            </w:r>
          </w:p>
        </w:tc>
        <w:tc>
          <w:tcPr>
            <w:tcW w:w="550" w:type="dxa"/>
            <w:vMerge w:val="continue"/>
            <w:tcBorders>
              <w:left w:val="single" w:color="auto" w:sz="4" w:space="0"/>
              <w:right w:val="single" w:color="auto" w:sz="4" w:space="0"/>
              <w:tl2br w:val="nil"/>
              <w:tr2bl w:val="nil"/>
            </w:tcBorders>
            <w:noWrap w:val="0"/>
            <w:tcMar>
              <w:top w:w="12" w:type="dxa"/>
              <w:left w:w="12" w:type="dxa"/>
              <w:right w:w="12" w:type="dxa"/>
            </w:tcMar>
            <w:vAlign w:val="center"/>
          </w:tcPr>
          <w:p>
            <w:pPr>
              <w:keepNext w:val="0"/>
              <w:keepLines w:val="0"/>
              <w:widowControl/>
              <w:suppressLineNumbers w:val="0"/>
              <w:adjustRightInd w:val="0"/>
              <w:spacing w:before="0" w:beforeAutospacing="0" w:after="0" w:afterAutospacing="0" w:line="240" w:lineRule="auto"/>
              <w:ind w:left="0" w:right="0" w:firstLine="0" w:firstLineChars="0"/>
              <w:jc w:val="center"/>
              <w:textAlignment w:val="center"/>
              <w:rPr>
                <w:rFonts w:hint="eastAsia" w:cs="Times New Roman"/>
                <w:color w:val="auto"/>
                <w:kern w:val="0"/>
                <w:sz w:val="21"/>
                <w:szCs w:val="21"/>
                <w:highlight w:val="none"/>
              </w:rPr>
            </w:pPr>
          </w:p>
        </w:tc>
        <w:tc>
          <w:tcPr>
            <w:tcW w:w="5520" w:type="dxa"/>
            <w:tcBorders>
              <w:top w:val="single" w:color="auto" w:sz="4" w:space="0"/>
              <w:left w:val="single" w:color="auto" w:sz="4" w:space="0"/>
              <w:bottom w:val="single" w:color="auto" w:sz="4" w:space="0"/>
              <w:right w:val="single" w:color="auto" w:sz="4" w:space="0"/>
              <w:tl2br w:val="nil"/>
              <w:tr2bl w:val="nil"/>
            </w:tcBorders>
            <w:noWrap w:val="0"/>
            <w:tcMar>
              <w:top w:w="12" w:type="dxa"/>
              <w:left w:w="12" w:type="dxa"/>
              <w:right w:w="12" w:type="dxa"/>
            </w:tcMar>
            <w:vAlign w:val="center"/>
          </w:tcPr>
          <w:p>
            <w:pPr>
              <w:spacing w:before="120" w:after="120" w:line="240" w:lineRule="auto"/>
              <w:ind w:left="0" w:leftChars="0"/>
              <w:jc w:val="left"/>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rPr>
              <w:t>施工计划无故未完成，监管人员未按要求到场。</w:t>
            </w:r>
          </w:p>
        </w:tc>
        <w:tc>
          <w:tcPr>
            <w:tcW w:w="1090" w:type="dxa"/>
            <w:tcBorders>
              <w:top w:val="single" w:color="auto" w:sz="4" w:space="0"/>
              <w:left w:val="single" w:color="auto" w:sz="4" w:space="0"/>
              <w:bottom w:val="single" w:color="auto" w:sz="4" w:space="0"/>
              <w:right w:val="single" w:color="auto" w:sz="4" w:space="0"/>
              <w:tl2br w:val="nil"/>
              <w:tr2bl w:val="nil"/>
            </w:tcBorders>
            <w:noWrap/>
            <w:tcMar>
              <w:top w:w="12" w:type="dxa"/>
              <w:left w:w="12" w:type="dxa"/>
              <w:right w:w="12" w:type="dxa"/>
            </w:tcMar>
            <w:vAlign w:val="center"/>
          </w:tcPr>
          <w:p>
            <w:pPr>
              <w:keepNext w:val="0"/>
              <w:keepLines w:val="0"/>
              <w:widowControl/>
              <w:suppressLineNumbers w:val="0"/>
              <w:adjustRightInd w:val="0"/>
              <w:spacing w:before="0" w:beforeAutospacing="0" w:after="0" w:afterAutospacing="0" w:line="240" w:lineRule="auto"/>
              <w:ind w:left="0" w:leftChars="0" w:right="0" w:rightChars="0" w:firstLine="0" w:firstLineChars="0"/>
              <w:jc w:val="center"/>
              <w:textAlignment w:val="center"/>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rPr>
              <w:t>5分/次</w:t>
            </w:r>
          </w:p>
        </w:tc>
        <w:tc>
          <w:tcPr>
            <w:tcW w:w="1804" w:type="dxa"/>
            <w:tcBorders>
              <w:top w:val="single" w:color="auto" w:sz="4" w:space="0"/>
              <w:left w:val="single" w:color="auto" w:sz="4" w:space="0"/>
              <w:bottom w:val="single" w:color="auto" w:sz="4" w:space="0"/>
              <w:right w:val="single" w:color="auto" w:sz="4" w:space="0"/>
              <w:tl2br w:val="nil"/>
              <w:tr2bl w:val="nil"/>
            </w:tcBorders>
            <w:noWrap/>
            <w:tcMar>
              <w:top w:w="12" w:type="dxa"/>
              <w:left w:w="12" w:type="dxa"/>
              <w:right w:w="12" w:type="dxa"/>
            </w:tcMar>
            <w:vAlign w:val="center"/>
          </w:tcPr>
          <w:p>
            <w:pPr>
              <w:keepNext w:val="0"/>
              <w:keepLines w:val="0"/>
              <w:widowControl/>
              <w:suppressLineNumbers w:val="0"/>
              <w:adjustRightInd w:val="0"/>
              <w:spacing w:before="0" w:beforeAutospacing="0" w:after="0" w:afterAutospacing="0" w:line="240" w:lineRule="auto"/>
              <w:ind w:left="0" w:leftChars="0" w:right="0" w:rightChars="0" w:firstLine="0" w:firstLineChars="0"/>
              <w:jc w:val="center"/>
              <w:textAlignment w:val="center"/>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rPr>
              <w:t>1000元/次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449" w:type="dxa"/>
            <w:tcBorders>
              <w:top w:val="single" w:color="auto" w:sz="4" w:space="0"/>
              <w:left w:val="single" w:color="auto" w:sz="4" w:space="0"/>
              <w:bottom w:val="single" w:color="auto" w:sz="4" w:space="0"/>
              <w:right w:val="single" w:color="auto" w:sz="4" w:space="0"/>
              <w:tl2br w:val="nil"/>
              <w:tr2bl w:val="nil"/>
            </w:tcBorders>
            <w:noWrap/>
            <w:tcMar>
              <w:top w:w="12" w:type="dxa"/>
              <w:left w:w="12" w:type="dxa"/>
              <w:right w:w="12" w:type="dxa"/>
            </w:tcMar>
            <w:vAlign w:val="center"/>
          </w:tcPr>
          <w:p>
            <w:pPr>
              <w:keepNext w:val="0"/>
              <w:keepLines w:val="0"/>
              <w:widowControl/>
              <w:suppressLineNumbers w:val="0"/>
              <w:spacing w:line="240" w:lineRule="auto"/>
              <w:jc w:val="center"/>
              <w:textAlignment w:val="center"/>
              <w:rPr>
                <w:rFonts w:hint="default" w:ascii="Times New Roman" w:hAnsi="Times New Roman" w:cs="Times New Roman"/>
                <w:color w:val="auto"/>
                <w:kern w:val="0"/>
                <w:sz w:val="21"/>
                <w:szCs w:val="21"/>
                <w:highlight w:val="none"/>
                <w:lang w:val="en-US" w:eastAsia="zh-CN" w:bidi="ar-SA"/>
              </w:rPr>
            </w:pPr>
            <w:r>
              <w:rPr>
                <w:rFonts w:hint="eastAsia" w:ascii="宋体" w:hAnsi="宋体" w:eastAsia="宋体" w:cs="宋体"/>
                <w:i w:val="0"/>
                <w:iCs w:val="0"/>
                <w:color w:val="auto"/>
                <w:kern w:val="0"/>
                <w:sz w:val="22"/>
                <w:szCs w:val="22"/>
                <w:highlight w:val="none"/>
                <w:u w:val="none"/>
                <w:lang w:val="en-US" w:eastAsia="zh-CN" w:bidi="ar"/>
              </w:rPr>
              <w:t>18</w:t>
            </w:r>
          </w:p>
        </w:tc>
        <w:tc>
          <w:tcPr>
            <w:tcW w:w="550" w:type="dxa"/>
            <w:vMerge w:val="continue"/>
            <w:tcBorders>
              <w:left w:val="single" w:color="auto" w:sz="4" w:space="0"/>
              <w:right w:val="single" w:color="auto" w:sz="4" w:space="0"/>
              <w:tl2br w:val="nil"/>
              <w:tr2bl w:val="nil"/>
            </w:tcBorders>
            <w:noWrap w:val="0"/>
            <w:tcMar>
              <w:top w:w="12" w:type="dxa"/>
              <w:left w:w="12" w:type="dxa"/>
              <w:right w:w="12" w:type="dxa"/>
            </w:tcMar>
            <w:vAlign w:val="center"/>
          </w:tcPr>
          <w:p>
            <w:pPr>
              <w:keepNext w:val="0"/>
              <w:keepLines w:val="0"/>
              <w:widowControl/>
              <w:suppressLineNumbers w:val="0"/>
              <w:adjustRightInd w:val="0"/>
              <w:spacing w:before="0" w:beforeAutospacing="0" w:after="0" w:afterAutospacing="0" w:line="240" w:lineRule="auto"/>
              <w:ind w:left="0" w:right="0" w:firstLine="0" w:firstLineChars="0"/>
              <w:jc w:val="center"/>
              <w:textAlignment w:val="center"/>
              <w:rPr>
                <w:rFonts w:hint="eastAsia" w:cs="Times New Roman"/>
                <w:color w:val="auto"/>
                <w:kern w:val="0"/>
                <w:sz w:val="21"/>
                <w:szCs w:val="21"/>
                <w:highlight w:val="none"/>
              </w:rPr>
            </w:pPr>
          </w:p>
        </w:tc>
        <w:tc>
          <w:tcPr>
            <w:tcW w:w="5520" w:type="dxa"/>
            <w:tcBorders>
              <w:top w:val="single" w:color="auto" w:sz="4" w:space="0"/>
              <w:left w:val="single" w:color="auto" w:sz="4" w:space="0"/>
              <w:bottom w:val="single" w:color="auto" w:sz="4" w:space="0"/>
              <w:right w:val="single" w:color="auto" w:sz="4" w:space="0"/>
              <w:tl2br w:val="nil"/>
              <w:tr2bl w:val="nil"/>
            </w:tcBorders>
            <w:noWrap w:val="0"/>
            <w:tcMar>
              <w:top w:w="12" w:type="dxa"/>
              <w:left w:w="12" w:type="dxa"/>
              <w:right w:w="12" w:type="dxa"/>
            </w:tcMar>
            <w:vAlign w:val="center"/>
          </w:tcPr>
          <w:p>
            <w:pPr>
              <w:spacing w:before="120" w:after="120" w:line="240" w:lineRule="auto"/>
              <w:ind w:left="0" w:leftChars="0"/>
              <w:jc w:val="left"/>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sz w:val="21"/>
                <w:szCs w:val="21"/>
                <w:highlight w:val="none"/>
                <w:lang w:val="en-US" w:eastAsia="zh-CN"/>
              </w:rPr>
              <w:t>未按要求开展施工安全交底、安全防护、穿戴劳保用品</w:t>
            </w:r>
            <w:r>
              <w:rPr>
                <w:rFonts w:hint="eastAsia" w:ascii="宋体" w:hAnsi="宋体" w:eastAsia="宋体" w:cs="宋体"/>
                <w:color w:val="auto"/>
                <w:sz w:val="21"/>
                <w:szCs w:val="21"/>
                <w:highlight w:val="none"/>
                <w:lang w:eastAsia="zh-CN"/>
              </w:rPr>
              <w:t>。</w:t>
            </w:r>
          </w:p>
        </w:tc>
        <w:tc>
          <w:tcPr>
            <w:tcW w:w="1090" w:type="dxa"/>
            <w:tcBorders>
              <w:top w:val="single" w:color="auto" w:sz="4" w:space="0"/>
              <w:left w:val="single" w:color="auto" w:sz="4" w:space="0"/>
              <w:bottom w:val="single" w:color="auto" w:sz="4" w:space="0"/>
              <w:right w:val="single" w:color="auto" w:sz="4" w:space="0"/>
              <w:tl2br w:val="nil"/>
              <w:tr2bl w:val="nil"/>
            </w:tcBorders>
            <w:noWrap/>
            <w:tcMar>
              <w:top w:w="12" w:type="dxa"/>
              <w:left w:w="12" w:type="dxa"/>
              <w:right w:w="12" w:type="dxa"/>
            </w:tcMar>
            <w:vAlign w:val="center"/>
          </w:tcPr>
          <w:p>
            <w:pPr>
              <w:keepNext w:val="0"/>
              <w:keepLines w:val="0"/>
              <w:widowControl/>
              <w:suppressLineNumbers w:val="0"/>
              <w:adjustRightInd w:val="0"/>
              <w:spacing w:before="0" w:beforeAutospacing="0" w:after="0" w:afterAutospacing="0" w:line="240" w:lineRule="auto"/>
              <w:ind w:left="0" w:leftChars="0" w:right="0" w:rightChars="0" w:firstLine="0" w:firstLineChars="0"/>
              <w:jc w:val="center"/>
              <w:textAlignment w:val="center"/>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rPr>
              <w:t>1</w:t>
            </w:r>
            <w:r>
              <w:rPr>
                <w:rFonts w:hint="eastAsia" w:ascii="Times New Roman" w:hAnsi="Times New Roman" w:eastAsia="宋体" w:cs="Times New Roman"/>
                <w:color w:val="auto"/>
                <w:kern w:val="0"/>
                <w:sz w:val="21"/>
                <w:szCs w:val="21"/>
                <w:highlight w:val="none"/>
                <w:lang w:eastAsia="zh-CN"/>
              </w:rPr>
              <w:t>—</w:t>
            </w:r>
            <w:r>
              <w:rPr>
                <w:rFonts w:hint="eastAsia" w:ascii="Times New Roman" w:hAnsi="Times New Roman" w:eastAsia="宋体" w:cs="Times New Roman"/>
                <w:color w:val="auto"/>
                <w:kern w:val="0"/>
                <w:sz w:val="21"/>
                <w:szCs w:val="21"/>
                <w:highlight w:val="none"/>
              </w:rPr>
              <w:t>3分</w:t>
            </w:r>
            <w:r>
              <w:rPr>
                <w:rFonts w:hint="eastAsia" w:ascii="Times New Roman" w:hAnsi="Times New Roman" w:eastAsia="宋体" w:cs="Times New Roman"/>
                <w:color w:val="auto"/>
                <w:kern w:val="0"/>
                <w:sz w:val="21"/>
                <w:szCs w:val="21"/>
                <w:highlight w:val="none"/>
                <w:lang w:eastAsia="zh-CN"/>
              </w:rPr>
              <w:t>/</w:t>
            </w:r>
            <w:r>
              <w:rPr>
                <w:rFonts w:hint="eastAsia" w:ascii="Times New Roman" w:hAnsi="Times New Roman" w:eastAsia="宋体" w:cs="Times New Roman"/>
                <w:color w:val="auto"/>
                <w:kern w:val="0"/>
                <w:sz w:val="21"/>
                <w:szCs w:val="21"/>
                <w:highlight w:val="none"/>
              </w:rPr>
              <w:t>次</w:t>
            </w:r>
          </w:p>
        </w:tc>
        <w:tc>
          <w:tcPr>
            <w:tcW w:w="1804" w:type="dxa"/>
            <w:tcBorders>
              <w:top w:val="single" w:color="auto" w:sz="4" w:space="0"/>
              <w:left w:val="single" w:color="auto" w:sz="4" w:space="0"/>
              <w:bottom w:val="single" w:color="auto" w:sz="4" w:space="0"/>
              <w:right w:val="single" w:color="auto" w:sz="4" w:space="0"/>
              <w:tl2br w:val="nil"/>
              <w:tr2bl w:val="nil"/>
            </w:tcBorders>
            <w:noWrap/>
            <w:tcMar>
              <w:top w:w="12" w:type="dxa"/>
              <w:left w:w="12" w:type="dxa"/>
              <w:right w:w="12" w:type="dxa"/>
            </w:tcMar>
            <w:vAlign w:val="center"/>
          </w:tcPr>
          <w:p>
            <w:pPr>
              <w:keepNext w:val="0"/>
              <w:keepLines w:val="0"/>
              <w:widowControl/>
              <w:suppressLineNumbers w:val="0"/>
              <w:adjustRightInd w:val="0"/>
              <w:spacing w:before="0" w:beforeAutospacing="0" w:after="0" w:afterAutospacing="0" w:line="240" w:lineRule="auto"/>
              <w:ind w:left="0" w:leftChars="0" w:right="0" w:rightChars="0" w:firstLine="0" w:firstLineChars="0"/>
              <w:jc w:val="center"/>
              <w:textAlignment w:val="center"/>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rPr>
              <w:t>200-500元</w:t>
            </w:r>
            <w:r>
              <w:rPr>
                <w:rFonts w:hint="eastAsia" w:ascii="Times New Roman" w:hAnsi="Times New Roman" w:eastAsia="宋体" w:cs="Times New Roman"/>
                <w:color w:val="auto"/>
                <w:kern w:val="0"/>
                <w:sz w:val="21"/>
                <w:szCs w:val="21"/>
                <w:highlight w:val="none"/>
                <w:lang w:eastAsia="zh-CN"/>
              </w:rPr>
              <w:t>/</w:t>
            </w:r>
            <w:r>
              <w:rPr>
                <w:rFonts w:hint="eastAsia" w:ascii="Times New Roman" w:hAnsi="Times New Roman" w:eastAsia="宋体" w:cs="Times New Roman"/>
                <w:color w:val="auto"/>
                <w:kern w:val="0"/>
                <w:sz w:val="21"/>
                <w:szCs w:val="21"/>
                <w:highlight w:val="none"/>
              </w:rPr>
              <w:t>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449" w:type="dxa"/>
            <w:tcBorders>
              <w:top w:val="single" w:color="auto" w:sz="4" w:space="0"/>
              <w:left w:val="single" w:color="auto" w:sz="4" w:space="0"/>
              <w:bottom w:val="single" w:color="auto" w:sz="4" w:space="0"/>
              <w:right w:val="single" w:color="auto" w:sz="4" w:space="0"/>
              <w:tl2br w:val="nil"/>
              <w:tr2bl w:val="nil"/>
            </w:tcBorders>
            <w:noWrap/>
            <w:tcMar>
              <w:top w:w="12" w:type="dxa"/>
              <w:left w:w="12" w:type="dxa"/>
              <w:right w:w="12" w:type="dxa"/>
            </w:tcMar>
            <w:vAlign w:val="center"/>
          </w:tcPr>
          <w:p>
            <w:pPr>
              <w:keepNext w:val="0"/>
              <w:keepLines w:val="0"/>
              <w:widowControl/>
              <w:suppressLineNumbers w:val="0"/>
              <w:spacing w:line="240" w:lineRule="auto"/>
              <w:jc w:val="center"/>
              <w:textAlignment w:val="center"/>
              <w:rPr>
                <w:rFonts w:hint="default" w:ascii="Times New Roman" w:hAnsi="Times New Roman" w:cs="Times New Roman"/>
                <w:color w:val="auto"/>
                <w:kern w:val="0"/>
                <w:sz w:val="21"/>
                <w:szCs w:val="21"/>
                <w:highlight w:val="none"/>
                <w:lang w:val="en-US" w:eastAsia="zh-CN" w:bidi="ar-SA"/>
              </w:rPr>
            </w:pPr>
            <w:r>
              <w:rPr>
                <w:rFonts w:hint="eastAsia" w:ascii="宋体" w:hAnsi="宋体" w:eastAsia="宋体" w:cs="宋体"/>
                <w:i w:val="0"/>
                <w:iCs w:val="0"/>
                <w:color w:val="auto"/>
                <w:kern w:val="0"/>
                <w:sz w:val="22"/>
                <w:szCs w:val="22"/>
                <w:highlight w:val="none"/>
                <w:u w:val="none"/>
                <w:lang w:val="en-US" w:eastAsia="zh-CN" w:bidi="ar"/>
              </w:rPr>
              <w:t>19</w:t>
            </w:r>
          </w:p>
        </w:tc>
        <w:tc>
          <w:tcPr>
            <w:tcW w:w="550" w:type="dxa"/>
            <w:vMerge w:val="continue"/>
            <w:tcBorders>
              <w:left w:val="single" w:color="auto" w:sz="4" w:space="0"/>
              <w:right w:val="single" w:color="auto" w:sz="4" w:space="0"/>
              <w:tl2br w:val="nil"/>
              <w:tr2bl w:val="nil"/>
            </w:tcBorders>
            <w:noWrap w:val="0"/>
            <w:tcMar>
              <w:top w:w="12" w:type="dxa"/>
              <w:left w:w="12" w:type="dxa"/>
              <w:right w:w="12" w:type="dxa"/>
            </w:tcMar>
            <w:vAlign w:val="center"/>
          </w:tcPr>
          <w:p>
            <w:pPr>
              <w:keepNext w:val="0"/>
              <w:keepLines w:val="0"/>
              <w:widowControl/>
              <w:suppressLineNumbers w:val="0"/>
              <w:adjustRightInd w:val="0"/>
              <w:spacing w:before="0" w:beforeAutospacing="0" w:after="0" w:afterAutospacing="0" w:line="240" w:lineRule="auto"/>
              <w:ind w:left="0" w:right="0" w:firstLine="0" w:firstLineChars="0"/>
              <w:jc w:val="center"/>
              <w:textAlignment w:val="center"/>
              <w:rPr>
                <w:rFonts w:hint="eastAsia" w:cs="Times New Roman"/>
                <w:color w:val="auto"/>
                <w:kern w:val="0"/>
                <w:sz w:val="21"/>
                <w:szCs w:val="21"/>
                <w:highlight w:val="none"/>
              </w:rPr>
            </w:pPr>
          </w:p>
        </w:tc>
        <w:tc>
          <w:tcPr>
            <w:tcW w:w="5520" w:type="dxa"/>
            <w:tcBorders>
              <w:top w:val="single" w:color="auto" w:sz="4" w:space="0"/>
              <w:left w:val="single" w:color="auto" w:sz="4" w:space="0"/>
              <w:bottom w:val="single" w:color="auto" w:sz="4" w:space="0"/>
              <w:right w:val="single" w:color="auto" w:sz="4" w:space="0"/>
              <w:tl2br w:val="nil"/>
              <w:tr2bl w:val="nil"/>
            </w:tcBorders>
            <w:noWrap w:val="0"/>
            <w:tcMar>
              <w:top w:w="12" w:type="dxa"/>
              <w:left w:w="12" w:type="dxa"/>
              <w:right w:w="12" w:type="dxa"/>
            </w:tcMar>
            <w:vAlign w:val="center"/>
          </w:tcPr>
          <w:p>
            <w:pPr>
              <w:spacing w:before="120" w:after="120" w:line="240" w:lineRule="auto"/>
              <w:ind w:left="0" w:leftChars="0"/>
              <w:jc w:val="left"/>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sz w:val="21"/>
                <w:szCs w:val="21"/>
                <w:highlight w:val="none"/>
              </w:rPr>
              <w:t>未按</w:t>
            </w:r>
            <w:r>
              <w:rPr>
                <w:rFonts w:hint="eastAsia" w:ascii="宋体" w:hAnsi="宋体" w:eastAsia="宋体" w:cs="宋体"/>
                <w:color w:val="auto"/>
                <w:sz w:val="21"/>
                <w:szCs w:val="21"/>
                <w:highlight w:val="none"/>
                <w:lang w:val="en-US" w:eastAsia="zh-CN"/>
              </w:rPr>
              <w:t>要求</w:t>
            </w:r>
            <w:r>
              <w:rPr>
                <w:rFonts w:hint="eastAsia" w:ascii="宋体" w:hAnsi="宋体" w:eastAsia="宋体" w:cs="宋体"/>
                <w:color w:val="auto"/>
                <w:sz w:val="21"/>
                <w:szCs w:val="21"/>
                <w:highlight w:val="none"/>
              </w:rPr>
              <w:t>完成相关会议的督办事项</w:t>
            </w:r>
            <w:r>
              <w:rPr>
                <w:rFonts w:hint="eastAsia" w:ascii="宋体" w:hAnsi="宋体" w:eastAsia="宋体" w:cs="宋体"/>
                <w:color w:val="auto"/>
                <w:sz w:val="21"/>
                <w:szCs w:val="21"/>
                <w:highlight w:val="none"/>
                <w:lang w:val="en-US" w:eastAsia="zh-CN"/>
              </w:rPr>
              <w:t>或临时工作</w:t>
            </w:r>
            <w:r>
              <w:rPr>
                <w:rFonts w:hint="eastAsia" w:ascii="宋体" w:hAnsi="宋体" w:eastAsia="宋体" w:cs="宋体"/>
                <w:color w:val="auto"/>
                <w:sz w:val="21"/>
                <w:szCs w:val="21"/>
                <w:highlight w:val="none"/>
                <w:lang w:eastAsia="zh-CN"/>
              </w:rPr>
              <w:t>。</w:t>
            </w:r>
          </w:p>
        </w:tc>
        <w:tc>
          <w:tcPr>
            <w:tcW w:w="1090" w:type="dxa"/>
            <w:tcBorders>
              <w:top w:val="single" w:color="auto" w:sz="4" w:space="0"/>
              <w:left w:val="single" w:color="auto" w:sz="4" w:space="0"/>
              <w:bottom w:val="single" w:color="auto" w:sz="4" w:space="0"/>
              <w:right w:val="single" w:color="auto" w:sz="4" w:space="0"/>
              <w:tl2br w:val="nil"/>
              <w:tr2bl w:val="nil"/>
            </w:tcBorders>
            <w:noWrap/>
            <w:tcMar>
              <w:top w:w="12" w:type="dxa"/>
              <w:left w:w="12" w:type="dxa"/>
              <w:right w:w="12" w:type="dxa"/>
            </w:tcMar>
            <w:vAlign w:val="center"/>
          </w:tcPr>
          <w:p>
            <w:pPr>
              <w:keepNext w:val="0"/>
              <w:keepLines w:val="0"/>
              <w:widowControl/>
              <w:suppressLineNumbers w:val="0"/>
              <w:adjustRightInd w:val="0"/>
              <w:spacing w:before="0" w:beforeAutospacing="0" w:after="0" w:afterAutospacing="0" w:line="240" w:lineRule="auto"/>
              <w:ind w:left="0" w:leftChars="0" w:right="0" w:rightChars="0" w:firstLine="0" w:firstLineChars="0"/>
              <w:jc w:val="center"/>
              <w:textAlignment w:val="center"/>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rPr>
              <w:t>1</w:t>
            </w:r>
            <w:r>
              <w:rPr>
                <w:rFonts w:hint="eastAsia" w:ascii="Times New Roman" w:hAnsi="Times New Roman" w:eastAsia="宋体" w:cs="Times New Roman"/>
                <w:color w:val="auto"/>
                <w:kern w:val="0"/>
                <w:sz w:val="21"/>
                <w:szCs w:val="21"/>
                <w:highlight w:val="none"/>
                <w:lang w:eastAsia="zh-CN"/>
              </w:rPr>
              <w:t>—</w:t>
            </w:r>
            <w:r>
              <w:rPr>
                <w:rFonts w:hint="eastAsia" w:ascii="Times New Roman" w:hAnsi="Times New Roman" w:eastAsia="宋体" w:cs="Times New Roman"/>
                <w:color w:val="auto"/>
                <w:kern w:val="0"/>
                <w:sz w:val="21"/>
                <w:szCs w:val="21"/>
                <w:highlight w:val="none"/>
              </w:rPr>
              <w:t>5分</w:t>
            </w:r>
            <w:r>
              <w:rPr>
                <w:rFonts w:hint="eastAsia" w:ascii="Times New Roman" w:hAnsi="Times New Roman" w:eastAsia="宋体" w:cs="Times New Roman"/>
                <w:color w:val="auto"/>
                <w:kern w:val="0"/>
                <w:sz w:val="21"/>
                <w:szCs w:val="21"/>
                <w:highlight w:val="none"/>
                <w:lang w:eastAsia="zh-CN"/>
              </w:rPr>
              <w:t>/</w:t>
            </w:r>
            <w:r>
              <w:rPr>
                <w:rFonts w:hint="eastAsia" w:ascii="Times New Roman" w:hAnsi="Times New Roman" w:eastAsia="宋体" w:cs="Times New Roman"/>
                <w:color w:val="auto"/>
                <w:kern w:val="0"/>
                <w:sz w:val="21"/>
                <w:szCs w:val="21"/>
                <w:highlight w:val="none"/>
              </w:rPr>
              <w:t>次</w:t>
            </w:r>
          </w:p>
        </w:tc>
        <w:tc>
          <w:tcPr>
            <w:tcW w:w="1804" w:type="dxa"/>
            <w:tcBorders>
              <w:top w:val="single" w:color="auto" w:sz="4" w:space="0"/>
              <w:left w:val="single" w:color="auto" w:sz="4" w:space="0"/>
              <w:bottom w:val="single" w:color="auto" w:sz="4" w:space="0"/>
              <w:right w:val="single" w:color="auto" w:sz="4" w:space="0"/>
              <w:tl2br w:val="nil"/>
              <w:tr2bl w:val="nil"/>
            </w:tcBorders>
            <w:noWrap/>
            <w:tcMar>
              <w:top w:w="12" w:type="dxa"/>
              <w:left w:w="12" w:type="dxa"/>
              <w:right w:w="12" w:type="dxa"/>
            </w:tcMar>
            <w:vAlign w:val="center"/>
          </w:tcPr>
          <w:p>
            <w:pPr>
              <w:keepNext w:val="0"/>
              <w:keepLines w:val="0"/>
              <w:widowControl/>
              <w:suppressLineNumbers w:val="0"/>
              <w:adjustRightInd w:val="0"/>
              <w:spacing w:before="0" w:beforeAutospacing="0" w:after="0" w:afterAutospacing="0" w:line="240" w:lineRule="auto"/>
              <w:ind w:left="0" w:leftChars="0" w:right="0" w:rightChars="0" w:firstLine="0" w:firstLineChars="0"/>
              <w:jc w:val="center"/>
              <w:textAlignment w:val="center"/>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rPr>
              <w:t>1000-2000元</w:t>
            </w:r>
            <w:r>
              <w:rPr>
                <w:rFonts w:hint="eastAsia" w:ascii="Times New Roman" w:hAnsi="Times New Roman" w:eastAsia="宋体" w:cs="Times New Roman"/>
                <w:color w:val="auto"/>
                <w:kern w:val="0"/>
                <w:sz w:val="21"/>
                <w:szCs w:val="21"/>
                <w:highlight w:val="none"/>
                <w:lang w:eastAsia="zh-CN"/>
              </w:rPr>
              <w:t>/</w:t>
            </w:r>
            <w:r>
              <w:rPr>
                <w:rFonts w:hint="eastAsia" w:ascii="Times New Roman" w:hAnsi="Times New Roman" w:eastAsia="宋体" w:cs="Times New Roman"/>
                <w:color w:val="auto"/>
                <w:kern w:val="0"/>
                <w:sz w:val="21"/>
                <w:szCs w:val="21"/>
                <w:highlight w:val="none"/>
              </w:rPr>
              <w:t>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449" w:type="dxa"/>
            <w:tcBorders>
              <w:top w:val="single" w:color="auto" w:sz="4" w:space="0"/>
              <w:left w:val="single" w:color="auto" w:sz="4" w:space="0"/>
              <w:bottom w:val="single" w:color="auto" w:sz="4" w:space="0"/>
              <w:right w:val="single" w:color="auto" w:sz="4" w:space="0"/>
              <w:tl2br w:val="nil"/>
              <w:tr2bl w:val="nil"/>
            </w:tcBorders>
            <w:noWrap/>
            <w:tcMar>
              <w:top w:w="12" w:type="dxa"/>
              <w:left w:w="12" w:type="dxa"/>
              <w:right w:w="12" w:type="dxa"/>
            </w:tcMar>
            <w:vAlign w:val="center"/>
          </w:tcPr>
          <w:p>
            <w:pPr>
              <w:keepNext w:val="0"/>
              <w:keepLines w:val="0"/>
              <w:widowControl/>
              <w:suppressLineNumbers w:val="0"/>
              <w:spacing w:line="240" w:lineRule="auto"/>
              <w:jc w:val="center"/>
              <w:textAlignment w:val="center"/>
              <w:rPr>
                <w:rFonts w:hint="default" w:ascii="Times New Roman" w:hAnsi="Times New Roman" w:cs="Times New Roman"/>
                <w:color w:val="auto"/>
                <w:kern w:val="0"/>
                <w:sz w:val="21"/>
                <w:szCs w:val="21"/>
                <w:highlight w:val="none"/>
                <w:lang w:val="en-US" w:eastAsia="zh-CN" w:bidi="ar-SA"/>
              </w:rPr>
            </w:pPr>
            <w:r>
              <w:rPr>
                <w:rFonts w:hint="eastAsia" w:ascii="宋体" w:hAnsi="宋体" w:eastAsia="宋体" w:cs="宋体"/>
                <w:i w:val="0"/>
                <w:iCs w:val="0"/>
                <w:color w:val="auto"/>
                <w:kern w:val="0"/>
                <w:sz w:val="22"/>
                <w:szCs w:val="22"/>
                <w:highlight w:val="none"/>
                <w:u w:val="none"/>
                <w:lang w:val="en-US" w:eastAsia="zh-CN" w:bidi="ar"/>
              </w:rPr>
              <w:t>20</w:t>
            </w:r>
          </w:p>
        </w:tc>
        <w:tc>
          <w:tcPr>
            <w:tcW w:w="550" w:type="dxa"/>
            <w:vMerge w:val="continue"/>
            <w:tcBorders>
              <w:left w:val="single" w:color="auto" w:sz="4" w:space="0"/>
              <w:right w:val="single" w:color="auto" w:sz="4" w:space="0"/>
              <w:tl2br w:val="nil"/>
              <w:tr2bl w:val="nil"/>
            </w:tcBorders>
            <w:noWrap w:val="0"/>
            <w:tcMar>
              <w:top w:w="12" w:type="dxa"/>
              <w:left w:w="12" w:type="dxa"/>
              <w:right w:w="12" w:type="dxa"/>
            </w:tcMar>
            <w:vAlign w:val="center"/>
          </w:tcPr>
          <w:p>
            <w:pPr>
              <w:keepNext w:val="0"/>
              <w:keepLines w:val="0"/>
              <w:widowControl/>
              <w:suppressLineNumbers w:val="0"/>
              <w:adjustRightInd w:val="0"/>
              <w:spacing w:before="0" w:beforeAutospacing="0" w:after="0" w:afterAutospacing="0" w:line="240" w:lineRule="auto"/>
              <w:ind w:left="0" w:right="0" w:firstLine="0" w:firstLineChars="0"/>
              <w:jc w:val="center"/>
              <w:textAlignment w:val="center"/>
              <w:rPr>
                <w:rFonts w:hint="eastAsia" w:cs="Times New Roman"/>
                <w:color w:val="auto"/>
                <w:kern w:val="0"/>
                <w:sz w:val="21"/>
                <w:szCs w:val="21"/>
                <w:highlight w:val="none"/>
              </w:rPr>
            </w:pPr>
          </w:p>
        </w:tc>
        <w:tc>
          <w:tcPr>
            <w:tcW w:w="5520" w:type="dxa"/>
            <w:tcBorders>
              <w:top w:val="single" w:color="auto" w:sz="4" w:space="0"/>
              <w:left w:val="single" w:color="auto" w:sz="4" w:space="0"/>
              <w:bottom w:val="single" w:color="auto" w:sz="4" w:space="0"/>
              <w:right w:val="single" w:color="auto" w:sz="4" w:space="0"/>
              <w:tl2br w:val="nil"/>
              <w:tr2bl w:val="nil"/>
            </w:tcBorders>
            <w:noWrap w:val="0"/>
            <w:tcMar>
              <w:top w:w="12" w:type="dxa"/>
              <w:left w:w="12" w:type="dxa"/>
              <w:right w:w="12" w:type="dxa"/>
            </w:tcMar>
            <w:vAlign w:val="center"/>
          </w:tcPr>
          <w:p>
            <w:pPr>
              <w:keepNext w:val="0"/>
              <w:keepLines w:val="0"/>
              <w:widowControl/>
              <w:suppressLineNumbers w:val="0"/>
              <w:adjustRightInd w:val="0"/>
              <w:spacing w:before="0" w:beforeAutospacing="0" w:after="0" w:afterAutospacing="0" w:line="240" w:lineRule="auto"/>
              <w:ind w:left="0" w:right="0" w:firstLine="0" w:firstLineChars="0"/>
              <w:jc w:val="left"/>
              <w:textAlignment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sz w:val="21"/>
                <w:szCs w:val="21"/>
                <w:highlight w:val="none"/>
              </w:rPr>
              <w:t>问题反馈数据不真实、弄虚作假</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情节严重，</w:t>
            </w:r>
            <w:r>
              <w:rPr>
                <w:rFonts w:hint="eastAsia" w:ascii="宋体" w:hAnsi="宋体" w:eastAsia="宋体" w:cs="宋体"/>
                <w:color w:val="auto"/>
                <w:sz w:val="21"/>
                <w:szCs w:val="21"/>
                <w:highlight w:val="none"/>
              </w:rPr>
              <w:t>招标人有权解除合同</w:t>
            </w:r>
            <w:r>
              <w:rPr>
                <w:rFonts w:hint="eastAsia" w:ascii="宋体" w:hAnsi="宋体" w:eastAsia="宋体" w:cs="宋体"/>
                <w:color w:val="auto"/>
                <w:sz w:val="21"/>
                <w:szCs w:val="21"/>
                <w:highlight w:val="none"/>
                <w:lang w:eastAsia="zh-CN"/>
              </w:rPr>
              <w:t>。</w:t>
            </w:r>
          </w:p>
        </w:tc>
        <w:tc>
          <w:tcPr>
            <w:tcW w:w="1090" w:type="dxa"/>
            <w:tcBorders>
              <w:top w:val="single" w:color="auto" w:sz="4" w:space="0"/>
              <w:left w:val="single" w:color="auto" w:sz="4" w:space="0"/>
              <w:bottom w:val="single" w:color="auto" w:sz="4" w:space="0"/>
              <w:right w:val="single" w:color="auto" w:sz="4" w:space="0"/>
              <w:tl2br w:val="nil"/>
              <w:tr2bl w:val="nil"/>
            </w:tcBorders>
            <w:noWrap/>
            <w:tcMar>
              <w:top w:w="12" w:type="dxa"/>
              <w:left w:w="12" w:type="dxa"/>
              <w:right w:w="12" w:type="dxa"/>
            </w:tcMar>
            <w:vAlign w:val="center"/>
          </w:tcPr>
          <w:p>
            <w:pPr>
              <w:keepNext w:val="0"/>
              <w:keepLines w:val="0"/>
              <w:widowControl/>
              <w:suppressLineNumbers w:val="0"/>
              <w:adjustRightInd w:val="0"/>
              <w:spacing w:before="0" w:beforeAutospacing="0" w:after="0" w:afterAutospacing="0" w:line="240" w:lineRule="auto"/>
              <w:ind w:left="0" w:leftChars="0" w:right="0" w:rightChars="0" w:firstLine="0" w:firstLineChars="0"/>
              <w:jc w:val="center"/>
              <w:textAlignment w:val="center"/>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rPr>
              <w:t>1</w:t>
            </w:r>
            <w:r>
              <w:rPr>
                <w:rFonts w:hint="eastAsia" w:ascii="Times New Roman" w:hAnsi="Times New Roman" w:eastAsia="宋体" w:cs="Times New Roman"/>
                <w:color w:val="auto"/>
                <w:kern w:val="0"/>
                <w:sz w:val="21"/>
                <w:szCs w:val="21"/>
                <w:highlight w:val="none"/>
                <w:lang w:eastAsia="zh-CN"/>
              </w:rPr>
              <w:t>—</w:t>
            </w:r>
            <w:r>
              <w:rPr>
                <w:rFonts w:hint="eastAsia" w:ascii="Times New Roman" w:hAnsi="Times New Roman" w:eastAsia="宋体" w:cs="Times New Roman"/>
                <w:color w:val="auto"/>
                <w:kern w:val="0"/>
                <w:sz w:val="21"/>
                <w:szCs w:val="21"/>
                <w:highlight w:val="none"/>
              </w:rPr>
              <w:t>5分</w:t>
            </w:r>
            <w:r>
              <w:rPr>
                <w:rFonts w:hint="eastAsia" w:ascii="Times New Roman" w:hAnsi="Times New Roman" w:eastAsia="宋体" w:cs="Times New Roman"/>
                <w:color w:val="auto"/>
                <w:kern w:val="0"/>
                <w:sz w:val="21"/>
                <w:szCs w:val="21"/>
                <w:highlight w:val="none"/>
                <w:lang w:eastAsia="zh-CN"/>
              </w:rPr>
              <w:t>/</w:t>
            </w:r>
            <w:r>
              <w:rPr>
                <w:rFonts w:hint="eastAsia" w:ascii="Times New Roman" w:hAnsi="Times New Roman" w:eastAsia="宋体" w:cs="Times New Roman"/>
                <w:color w:val="auto"/>
                <w:kern w:val="0"/>
                <w:sz w:val="21"/>
                <w:szCs w:val="21"/>
                <w:highlight w:val="none"/>
              </w:rPr>
              <w:t>次</w:t>
            </w:r>
          </w:p>
        </w:tc>
        <w:tc>
          <w:tcPr>
            <w:tcW w:w="1804" w:type="dxa"/>
            <w:tcBorders>
              <w:top w:val="single" w:color="auto" w:sz="4" w:space="0"/>
              <w:left w:val="single" w:color="auto" w:sz="4" w:space="0"/>
              <w:bottom w:val="single" w:color="auto" w:sz="4" w:space="0"/>
              <w:right w:val="single" w:color="auto" w:sz="4" w:space="0"/>
              <w:tl2br w:val="nil"/>
              <w:tr2bl w:val="nil"/>
            </w:tcBorders>
            <w:noWrap/>
            <w:tcMar>
              <w:top w:w="12" w:type="dxa"/>
              <w:left w:w="12" w:type="dxa"/>
              <w:right w:w="12" w:type="dxa"/>
            </w:tcMar>
            <w:vAlign w:val="center"/>
          </w:tcPr>
          <w:p>
            <w:pPr>
              <w:keepNext w:val="0"/>
              <w:keepLines w:val="0"/>
              <w:widowControl/>
              <w:suppressLineNumbers w:val="0"/>
              <w:adjustRightInd w:val="0"/>
              <w:spacing w:before="0" w:beforeAutospacing="0" w:after="0" w:afterAutospacing="0" w:line="240" w:lineRule="auto"/>
              <w:ind w:left="0" w:leftChars="0" w:right="0" w:rightChars="0" w:firstLine="0" w:firstLineChars="0"/>
              <w:jc w:val="center"/>
              <w:textAlignment w:val="center"/>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rPr>
              <w:t>5</w:t>
            </w:r>
            <w:r>
              <w:rPr>
                <w:rFonts w:hint="eastAsia" w:ascii="Times New Roman" w:hAnsi="Times New Roman" w:eastAsia="宋体" w:cs="Times New Roman"/>
                <w:color w:val="auto"/>
                <w:kern w:val="0"/>
                <w:sz w:val="21"/>
                <w:szCs w:val="21"/>
                <w:highlight w:val="none"/>
              </w:rPr>
              <w:t>00-2000</w:t>
            </w:r>
            <w:r>
              <w:rPr>
                <w:rFonts w:hint="eastAsia" w:ascii="Times New Roman" w:hAnsi="Times New Roman" w:eastAsia="宋体" w:cs="Times New Roman"/>
                <w:color w:val="auto"/>
                <w:kern w:val="0"/>
                <w:sz w:val="21"/>
                <w:szCs w:val="21"/>
                <w:highlight w:val="none"/>
                <w:lang w:val="en-US" w:eastAsia="zh-CN"/>
              </w:rPr>
              <w:t>0</w:t>
            </w:r>
            <w:r>
              <w:rPr>
                <w:rFonts w:hint="eastAsia" w:ascii="Times New Roman" w:hAnsi="Times New Roman" w:eastAsia="宋体" w:cs="Times New Roman"/>
                <w:color w:val="auto"/>
                <w:kern w:val="0"/>
                <w:sz w:val="21"/>
                <w:szCs w:val="21"/>
                <w:highlight w:val="none"/>
              </w:rPr>
              <w:t>元</w:t>
            </w:r>
            <w:r>
              <w:rPr>
                <w:rFonts w:hint="eastAsia" w:ascii="Times New Roman" w:hAnsi="Times New Roman" w:eastAsia="宋体" w:cs="Times New Roman"/>
                <w:color w:val="auto"/>
                <w:kern w:val="0"/>
                <w:sz w:val="21"/>
                <w:szCs w:val="21"/>
                <w:highlight w:val="none"/>
                <w:lang w:eastAsia="zh-CN"/>
              </w:rPr>
              <w:t>/</w:t>
            </w:r>
            <w:r>
              <w:rPr>
                <w:rFonts w:hint="eastAsia" w:ascii="Times New Roman" w:hAnsi="Times New Roman" w:eastAsia="宋体" w:cs="Times New Roman"/>
                <w:color w:val="auto"/>
                <w:kern w:val="0"/>
                <w:sz w:val="21"/>
                <w:szCs w:val="21"/>
                <w:highlight w:val="none"/>
              </w:rPr>
              <w:t>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449" w:type="dxa"/>
            <w:tcBorders>
              <w:top w:val="single" w:color="auto" w:sz="4" w:space="0"/>
              <w:left w:val="single" w:color="auto" w:sz="4" w:space="0"/>
              <w:bottom w:val="single" w:color="auto" w:sz="4" w:space="0"/>
              <w:right w:val="single" w:color="auto" w:sz="4" w:space="0"/>
              <w:tl2br w:val="nil"/>
              <w:tr2bl w:val="nil"/>
            </w:tcBorders>
            <w:noWrap/>
            <w:tcMar>
              <w:top w:w="12" w:type="dxa"/>
              <w:left w:w="12" w:type="dxa"/>
              <w:right w:w="12" w:type="dxa"/>
            </w:tcMar>
            <w:vAlign w:val="center"/>
          </w:tcPr>
          <w:p>
            <w:pPr>
              <w:keepNext w:val="0"/>
              <w:keepLines w:val="0"/>
              <w:widowControl/>
              <w:suppressLineNumbers w:val="0"/>
              <w:spacing w:line="240" w:lineRule="auto"/>
              <w:jc w:val="center"/>
              <w:textAlignment w:val="center"/>
              <w:rPr>
                <w:rFonts w:hint="default" w:ascii="Times New Roman" w:hAnsi="Times New Roman" w:cs="Times New Roman"/>
                <w:color w:val="auto"/>
                <w:kern w:val="0"/>
                <w:sz w:val="21"/>
                <w:szCs w:val="21"/>
                <w:highlight w:val="none"/>
                <w:lang w:val="en-US" w:eastAsia="zh-CN" w:bidi="ar-SA"/>
              </w:rPr>
            </w:pPr>
            <w:r>
              <w:rPr>
                <w:rFonts w:hint="eastAsia" w:ascii="宋体" w:hAnsi="宋体" w:eastAsia="宋体" w:cs="宋体"/>
                <w:i w:val="0"/>
                <w:iCs w:val="0"/>
                <w:color w:val="auto"/>
                <w:kern w:val="0"/>
                <w:sz w:val="22"/>
                <w:szCs w:val="22"/>
                <w:highlight w:val="none"/>
                <w:u w:val="none"/>
                <w:lang w:val="en-US" w:eastAsia="zh-CN" w:bidi="ar"/>
              </w:rPr>
              <w:t>21</w:t>
            </w:r>
          </w:p>
        </w:tc>
        <w:tc>
          <w:tcPr>
            <w:tcW w:w="550" w:type="dxa"/>
            <w:vMerge w:val="continue"/>
            <w:tcBorders>
              <w:left w:val="single" w:color="auto" w:sz="4" w:space="0"/>
              <w:right w:val="single" w:color="auto" w:sz="4" w:space="0"/>
              <w:tl2br w:val="nil"/>
              <w:tr2bl w:val="nil"/>
            </w:tcBorders>
            <w:noWrap w:val="0"/>
            <w:tcMar>
              <w:top w:w="12" w:type="dxa"/>
              <w:left w:w="12" w:type="dxa"/>
              <w:right w:w="12" w:type="dxa"/>
            </w:tcMar>
            <w:vAlign w:val="center"/>
          </w:tcPr>
          <w:p>
            <w:pPr>
              <w:keepNext w:val="0"/>
              <w:keepLines w:val="0"/>
              <w:widowControl/>
              <w:suppressLineNumbers w:val="0"/>
              <w:adjustRightInd w:val="0"/>
              <w:spacing w:before="0" w:beforeAutospacing="0" w:after="0" w:afterAutospacing="0" w:line="240" w:lineRule="auto"/>
              <w:ind w:left="0" w:right="0" w:firstLine="0" w:firstLineChars="0"/>
              <w:jc w:val="center"/>
              <w:textAlignment w:val="center"/>
              <w:rPr>
                <w:rFonts w:hint="eastAsia" w:cs="Times New Roman"/>
                <w:color w:val="auto"/>
                <w:kern w:val="0"/>
                <w:sz w:val="21"/>
                <w:szCs w:val="21"/>
                <w:highlight w:val="none"/>
              </w:rPr>
            </w:pPr>
          </w:p>
        </w:tc>
        <w:tc>
          <w:tcPr>
            <w:tcW w:w="5520" w:type="dxa"/>
            <w:tcBorders>
              <w:top w:val="single" w:color="auto" w:sz="4" w:space="0"/>
              <w:left w:val="single" w:color="auto" w:sz="4" w:space="0"/>
              <w:bottom w:val="single" w:color="auto" w:sz="4" w:space="0"/>
              <w:right w:val="single" w:color="auto" w:sz="4" w:space="0"/>
              <w:tl2br w:val="nil"/>
              <w:tr2bl w:val="nil"/>
            </w:tcBorders>
            <w:noWrap w:val="0"/>
            <w:tcMar>
              <w:top w:w="12" w:type="dxa"/>
              <w:left w:w="12" w:type="dxa"/>
              <w:right w:w="12" w:type="dxa"/>
            </w:tcMar>
            <w:vAlign w:val="center"/>
          </w:tcPr>
          <w:p>
            <w:pPr>
              <w:spacing w:before="120" w:after="120" w:line="240" w:lineRule="auto"/>
              <w:ind w:left="0" w:leftChars="0"/>
              <w:jc w:val="left"/>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sz w:val="21"/>
                <w:szCs w:val="21"/>
                <w:highlight w:val="none"/>
              </w:rPr>
              <w:t>各类台账记录不完整</w:t>
            </w:r>
            <w:r>
              <w:rPr>
                <w:rFonts w:hint="eastAsia" w:ascii="宋体" w:hAnsi="宋体" w:eastAsia="宋体" w:cs="宋体"/>
                <w:color w:val="auto"/>
                <w:sz w:val="21"/>
                <w:szCs w:val="21"/>
                <w:highlight w:val="none"/>
                <w:lang w:eastAsia="zh-CN"/>
              </w:rPr>
              <w:t>。</w:t>
            </w:r>
          </w:p>
        </w:tc>
        <w:tc>
          <w:tcPr>
            <w:tcW w:w="1090" w:type="dxa"/>
            <w:tcBorders>
              <w:top w:val="single" w:color="auto" w:sz="4" w:space="0"/>
              <w:left w:val="single" w:color="auto" w:sz="4" w:space="0"/>
              <w:bottom w:val="single" w:color="auto" w:sz="4" w:space="0"/>
              <w:right w:val="single" w:color="auto" w:sz="4" w:space="0"/>
              <w:tl2br w:val="nil"/>
              <w:tr2bl w:val="nil"/>
            </w:tcBorders>
            <w:noWrap/>
            <w:tcMar>
              <w:top w:w="12" w:type="dxa"/>
              <w:left w:w="12" w:type="dxa"/>
              <w:right w:w="12" w:type="dxa"/>
            </w:tcMar>
            <w:vAlign w:val="center"/>
          </w:tcPr>
          <w:p>
            <w:pPr>
              <w:keepNext w:val="0"/>
              <w:keepLines w:val="0"/>
              <w:widowControl/>
              <w:suppressLineNumbers w:val="0"/>
              <w:adjustRightInd w:val="0"/>
              <w:spacing w:before="0" w:beforeAutospacing="0" w:after="0" w:afterAutospacing="0" w:line="240" w:lineRule="auto"/>
              <w:ind w:left="0" w:leftChars="0" w:right="0" w:rightChars="0" w:firstLine="0" w:firstLineChars="0"/>
              <w:jc w:val="center"/>
              <w:textAlignment w:val="center"/>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rPr>
              <w:t>1</w:t>
            </w:r>
            <w:r>
              <w:rPr>
                <w:rFonts w:hint="eastAsia" w:ascii="Times New Roman" w:hAnsi="Times New Roman" w:eastAsia="宋体" w:cs="Times New Roman"/>
                <w:color w:val="auto"/>
                <w:kern w:val="0"/>
                <w:sz w:val="21"/>
                <w:szCs w:val="21"/>
                <w:highlight w:val="none"/>
                <w:lang w:eastAsia="zh-CN"/>
              </w:rPr>
              <w:t>—</w:t>
            </w:r>
            <w:r>
              <w:rPr>
                <w:rFonts w:hint="eastAsia" w:ascii="Times New Roman" w:hAnsi="Times New Roman" w:eastAsia="宋体" w:cs="Times New Roman"/>
                <w:color w:val="auto"/>
                <w:kern w:val="0"/>
                <w:sz w:val="21"/>
                <w:szCs w:val="21"/>
                <w:highlight w:val="none"/>
              </w:rPr>
              <w:t>5分</w:t>
            </w:r>
            <w:r>
              <w:rPr>
                <w:rFonts w:hint="eastAsia" w:ascii="Times New Roman" w:hAnsi="Times New Roman" w:eastAsia="宋体" w:cs="Times New Roman"/>
                <w:color w:val="auto"/>
                <w:kern w:val="0"/>
                <w:sz w:val="21"/>
                <w:szCs w:val="21"/>
                <w:highlight w:val="none"/>
                <w:lang w:eastAsia="zh-CN"/>
              </w:rPr>
              <w:t>/</w:t>
            </w:r>
            <w:r>
              <w:rPr>
                <w:rFonts w:hint="eastAsia" w:ascii="Times New Roman" w:hAnsi="Times New Roman" w:eastAsia="宋体" w:cs="Times New Roman"/>
                <w:color w:val="auto"/>
                <w:kern w:val="0"/>
                <w:sz w:val="21"/>
                <w:szCs w:val="21"/>
                <w:highlight w:val="none"/>
              </w:rPr>
              <w:t>次</w:t>
            </w:r>
          </w:p>
        </w:tc>
        <w:tc>
          <w:tcPr>
            <w:tcW w:w="1804" w:type="dxa"/>
            <w:tcBorders>
              <w:top w:val="single" w:color="auto" w:sz="4" w:space="0"/>
              <w:left w:val="single" w:color="auto" w:sz="4" w:space="0"/>
              <w:bottom w:val="single" w:color="auto" w:sz="4" w:space="0"/>
              <w:right w:val="single" w:color="auto" w:sz="4" w:space="0"/>
              <w:tl2br w:val="nil"/>
              <w:tr2bl w:val="nil"/>
            </w:tcBorders>
            <w:noWrap/>
            <w:tcMar>
              <w:top w:w="12" w:type="dxa"/>
              <w:left w:w="12" w:type="dxa"/>
              <w:right w:w="12" w:type="dxa"/>
            </w:tcMar>
            <w:vAlign w:val="center"/>
          </w:tcPr>
          <w:p>
            <w:pPr>
              <w:keepNext w:val="0"/>
              <w:keepLines w:val="0"/>
              <w:widowControl/>
              <w:suppressLineNumbers w:val="0"/>
              <w:adjustRightInd w:val="0"/>
              <w:spacing w:before="0" w:beforeAutospacing="0" w:after="0" w:afterAutospacing="0" w:line="240" w:lineRule="auto"/>
              <w:ind w:left="0" w:leftChars="0" w:right="0" w:rightChars="0" w:firstLine="0" w:firstLineChars="0"/>
              <w:jc w:val="center"/>
              <w:textAlignment w:val="center"/>
              <w:rPr>
                <w:rFonts w:hint="eastAsia"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rPr>
              <w:t>200</w:t>
            </w:r>
            <w:r>
              <w:rPr>
                <w:rFonts w:hint="eastAsia" w:ascii="Times New Roman" w:hAnsi="Times New Roman" w:eastAsia="宋体" w:cs="Times New Roman"/>
                <w:color w:val="auto"/>
                <w:kern w:val="0"/>
                <w:sz w:val="21"/>
                <w:szCs w:val="21"/>
                <w:highlight w:val="none"/>
              </w:rPr>
              <w:t>元</w:t>
            </w:r>
            <w:r>
              <w:rPr>
                <w:rFonts w:hint="eastAsia" w:ascii="Times New Roman" w:hAnsi="Times New Roman" w:eastAsia="宋体" w:cs="Times New Roman"/>
                <w:color w:val="auto"/>
                <w:kern w:val="0"/>
                <w:sz w:val="21"/>
                <w:szCs w:val="21"/>
                <w:highlight w:val="none"/>
                <w:lang w:eastAsia="zh-CN"/>
              </w:rPr>
              <w:t>/</w:t>
            </w:r>
            <w:r>
              <w:rPr>
                <w:rFonts w:hint="eastAsia" w:ascii="Times New Roman" w:hAnsi="Times New Roman" w:eastAsia="宋体" w:cs="Times New Roman"/>
                <w:color w:val="auto"/>
                <w:kern w:val="0"/>
                <w:sz w:val="21"/>
                <w:szCs w:val="21"/>
                <w:highlight w:val="none"/>
              </w:rPr>
              <w:t>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449" w:type="dxa"/>
            <w:tcBorders>
              <w:top w:val="single" w:color="auto" w:sz="4" w:space="0"/>
              <w:left w:val="single" w:color="auto" w:sz="4" w:space="0"/>
              <w:bottom w:val="single" w:color="auto" w:sz="4" w:space="0"/>
              <w:right w:val="single" w:color="auto" w:sz="4" w:space="0"/>
              <w:tl2br w:val="nil"/>
              <w:tr2bl w:val="nil"/>
            </w:tcBorders>
            <w:noWrap/>
            <w:tcMar>
              <w:top w:w="12" w:type="dxa"/>
              <w:left w:w="12" w:type="dxa"/>
              <w:right w:w="12" w:type="dxa"/>
            </w:tcMar>
            <w:vAlign w:val="center"/>
          </w:tcPr>
          <w:p>
            <w:pPr>
              <w:keepNext w:val="0"/>
              <w:keepLines w:val="0"/>
              <w:widowControl/>
              <w:suppressLineNumbers w:val="0"/>
              <w:spacing w:line="240" w:lineRule="auto"/>
              <w:jc w:val="center"/>
              <w:textAlignment w:val="center"/>
              <w:rPr>
                <w:rFonts w:hint="default" w:ascii="Times New Roman" w:hAnsi="Times New Roman" w:cs="Times New Roman"/>
                <w:color w:val="auto"/>
                <w:kern w:val="0"/>
                <w:sz w:val="21"/>
                <w:szCs w:val="21"/>
                <w:highlight w:val="none"/>
                <w:lang w:val="en-US" w:eastAsia="zh-CN" w:bidi="ar-SA"/>
              </w:rPr>
            </w:pPr>
            <w:r>
              <w:rPr>
                <w:rFonts w:hint="eastAsia" w:ascii="宋体" w:hAnsi="宋体" w:eastAsia="宋体" w:cs="宋体"/>
                <w:i w:val="0"/>
                <w:iCs w:val="0"/>
                <w:color w:val="auto"/>
                <w:kern w:val="0"/>
                <w:sz w:val="22"/>
                <w:szCs w:val="22"/>
                <w:highlight w:val="none"/>
                <w:u w:val="none"/>
                <w:lang w:val="en-US" w:eastAsia="zh-CN" w:bidi="ar"/>
              </w:rPr>
              <w:t>22</w:t>
            </w:r>
          </w:p>
        </w:tc>
        <w:tc>
          <w:tcPr>
            <w:tcW w:w="550" w:type="dxa"/>
            <w:vMerge w:val="continue"/>
            <w:tcBorders>
              <w:left w:val="single" w:color="auto" w:sz="4" w:space="0"/>
              <w:right w:val="single" w:color="auto" w:sz="4" w:space="0"/>
              <w:tl2br w:val="nil"/>
              <w:tr2bl w:val="nil"/>
            </w:tcBorders>
            <w:noWrap w:val="0"/>
            <w:tcMar>
              <w:top w:w="12" w:type="dxa"/>
              <w:left w:w="12" w:type="dxa"/>
              <w:right w:w="12" w:type="dxa"/>
            </w:tcMar>
            <w:vAlign w:val="center"/>
          </w:tcPr>
          <w:p>
            <w:pPr>
              <w:keepNext w:val="0"/>
              <w:keepLines w:val="0"/>
              <w:widowControl/>
              <w:suppressLineNumbers w:val="0"/>
              <w:adjustRightInd w:val="0"/>
              <w:spacing w:before="0" w:beforeAutospacing="0" w:after="0" w:afterAutospacing="0" w:line="240" w:lineRule="auto"/>
              <w:ind w:left="0" w:right="0" w:firstLine="0" w:firstLineChars="0"/>
              <w:jc w:val="center"/>
              <w:textAlignment w:val="center"/>
              <w:rPr>
                <w:rFonts w:hint="eastAsia" w:cs="Times New Roman"/>
                <w:color w:val="auto"/>
                <w:kern w:val="0"/>
                <w:sz w:val="21"/>
                <w:szCs w:val="21"/>
                <w:highlight w:val="none"/>
              </w:rPr>
            </w:pPr>
          </w:p>
        </w:tc>
        <w:tc>
          <w:tcPr>
            <w:tcW w:w="5520" w:type="dxa"/>
            <w:tcBorders>
              <w:top w:val="single" w:color="auto" w:sz="4" w:space="0"/>
              <w:left w:val="single" w:color="auto" w:sz="4" w:space="0"/>
              <w:bottom w:val="single" w:color="auto" w:sz="4" w:space="0"/>
              <w:right w:val="single" w:color="auto" w:sz="4" w:space="0"/>
              <w:tl2br w:val="nil"/>
              <w:tr2bl w:val="nil"/>
            </w:tcBorders>
            <w:noWrap w:val="0"/>
            <w:tcMar>
              <w:top w:w="12" w:type="dxa"/>
              <w:left w:w="12" w:type="dxa"/>
              <w:right w:w="12" w:type="dxa"/>
            </w:tcMar>
            <w:vAlign w:val="center"/>
          </w:tcPr>
          <w:p>
            <w:pPr>
              <w:spacing w:before="120" w:after="120" w:line="240" w:lineRule="auto"/>
              <w:ind w:left="0" w:leftChars="0"/>
              <w:jc w:val="left"/>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rPr>
              <w:t>未按合同要求测量足够的监测点。</w:t>
            </w:r>
          </w:p>
        </w:tc>
        <w:tc>
          <w:tcPr>
            <w:tcW w:w="1090" w:type="dxa"/>
            <w:tcBorders>
              <w:top w:val="single" w:color="auto" w:sz="4" w:space="0"/>
              <w:left w:val="single" w:color="auto" w:sz="4" w:space="0"/>
              <w:bottom w:val="single" w:color="auto" w:sz="4" w:space="0"/>
              <w:right w:val="single" w:color="auto" w:sz="4" w:space="0"/>
              <w:tl2br w:val="nil"/>
              <w:tr2bl w:val="nil"/>
            </w:tcBorders>
            <w:noWrap/>
            <w:tcMar>
              <w:top w:w="12" w:type="dxa"/>
              <w:left w:w="12" w:type="dxa"/>
              <w:right w:w="12" w:type="dxa"/>
            </w:tcMar>
            <w:vAlign w:val="center"/>
          </w:tcPr>
          <w:p>
            <w:pPr>
              <w:keepNext w:val="0"/>
              <w:keepLines w:val="0"/>
              <w:widowControl/>
              <w:suppressLineNumbers w:val="0"/>
              <w:adjustRightInd w:val="0"/>
              <w:spacing w:before="0" w:beforeAutospacing="0" w:after="0" w:afterAutospacing="0" w:line="240" w:lineRule="auto"/>
              <w:ind w:left="0" w:leftChars="0" w:right="0" w:rightChars="0" w:firstLine="0" w:firstLineChars="0"/>
              <w:jc w:val="center"/>
              <w:textAlignment w:val="center"/>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rPr>
              <w:t>5分/次</w:t>
            </w:r>
          </w:p>
        </w:tc>
        <w:tc>
          <w:tcPr>
            <w:tcW w:w="1804" w:type="dxa"/>
            <w:tcBorders>
              <w:top w:val="single" w:color="auto" w:sz="4" w:space="0"/>
              <w:left w:val="single" w:color="auto" w:sz="4" w:space="0"/>
              <w:bottom w:val="single" w:color="auto" w:sz="4" w:space="0"/>
              <w:right w:val="single" w:color="auto" w:sz="4" w:space="0"/>
              <w:tl2br w:val="nil"/>
              <w:tr2bl w:val="nil"/>
            </w:tcBorders>
            <w:noWrap/>
            <w:tcMar>
              <w:top w:w="12" w:type="dxa"/>
              <w:left w:w="12" w:type="dxa"/>
              <w:right w:w="12" w:type="dxa"/>
            </w:tcMar>
            <w:vAlign w:val="center"/>
          </w:tcPr>
          <w:p>
            <w:pPr>
              <w:keepNext w:val="0"/>
              <w:keepLines w:val="0"/>
              <w:widowControl/>
              <w:suppressLineNumbers w:val="0"/>
              <w:adjustRightInd w:val="0"/>
              <w:spacing w:before="0" w:beforeAutospacing="0" w:after="0" w:afterAutospacing="0" w:line="240" w:lineRule="auto"/>
              <w:ind w:left="0" w:leftChars="0" w:right="0" w:rightChars="0" w:firstLine="0" w:firstLineChars="0"/>
              <w:jc w:val="center"/>
              <w:textAlignment w:val="center"/>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rPr>
              <w:t>2000</w:t>
            </w:r>
            <w:r>
              <w:rPr>
                <w:rFonts w:hint="eastAsia" w:ascii="Times New Roman" w:hAnsi="Times New Roman" w:eastAsia="宋体" w:cs="Times New Roman"/>
                <w:color w:val="auto"/>
                <w:kern w:val="0"/>
                <w:sz w:val="21"/>
                <w:szCs w:val="21"/>
                <w:highlight w:val="none"/>
              </w:rPr>
              <w:t>元/次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449" w:type="dxa"/>
            <w:tcBorders>
              <w:top w:val="single" w:color="auto" w:sz="4" w:space="0"/>
              <w:left w:val="single" w:color="auto" w:sz="4" w:space="0"/>
              <w:bottom w:val="single" w:color="auto" w:sz="4" w:space="0"/>
              <w:right w:val="single" w:color="auto" w:sz="4" w:space="0"/>
              <w:tl2br w:val="nil"/>
              <w:tr2bl w:val="nil"/>
            </w:tcBorders>
            <w:noWrap/>
            <w:tcMar>
              <w:top w:w="12" w:type="dxa"/>
              <w:left w:w="12" w:type="dxa"/>
              <w:right w:w="12" w:type="dxa"/>
            </w:tcMar>
            <w:vAlign w:val="center"/>
          </w:tcPr>
          <w:p>
            <w:pPr>
              <w:keepNext w:val="0"/>
              <w:keepLines w:val="0"/>
              <w:widowControl/>
              <w:suppressLineNumbers w:val="0"/>
              <w:spacing w:line="240" w:lineRule="auto"/>
              <w:jc w:val="center"/>
              <w:textAlignment w:val="center"/>
              <w:rPr>
                <w:rFonts w:hint="default" w:ascii="Times New Roman" w:hAnsi="Times New Roman" w:cs="Times New Roman"/>
                <w:color w:val="auto"/>
                <w:kern w:val="0"/>
                <w:sz w:val="21"/>
                <w:szCs w:val="21"/>
                <w:highlight w:val="none"/>
                <w:lang w:val="en-US" w:eastAsia="zh-CN" w:bidi="ar-SA"/>
              </w:rPr>
            </w:pPr>
            <w:r>
              <w:rPr>
                <w:rFonts w:hint="eastAsia" w:ascii="宋体" w:hAnsi="宋体" w:eastAsia="宋体" w:cs="宋体"/>
                <w:i w:val="0"/>
                <w:iCs w:val="0"/>
                <w:color w:val="auto"/>
                <w:kern w:val="0"/>
                <w:sz w:val="22"/>
                <w:szCs w:val="22"/>
                <w:highlight w:val="none"/>
                <w:u w:val="none"/>
                <w:lang w:val="en-US" w:eastAsia="zh-CN" w:bidi="ar"/>
              </w:rPr>
              <w:t>23</w:t>
            </w:r>
          </w:p>
        </w:tc>
        <w:tc>
          <w:tcPr>
            <w:tcW w:w="550" w:type="dxa"/>
            <w:vMerge w:val="continue"/>
            <w:tcBorders>
              <w:left w:val="single" w:color="auto" w:sz="4" w:space="0"/>
              <w:right w:val="single" w:color="auto" w:sz="4" w:space="0"/>
              <w:tl2br w:val="nil"/>
              <w:tr2bl w:val="nil"/>
            </w:tcBorders>
            <w:noWrap w:val="0"/>
            <w:tcMar>
              <w:top w:w="12" w:type="dxa"/>
              <w:left w:w="12" w:type="dxa"/>
              <w:right w:w="12" w:type="dxa"/>
            </w:tcMar>
            <w:vAlign w:val="center"/>
          </w:tcPr>
          <w:p>
            <w:pPr>
              <w:keepNext w:val="0"/>
              <w:keepLines w:val="0"/>
              <w:widowControl/>
              <w:suppressLineNumbers w:val="0"/>
              <w:adjustRightInd w:val="0"/>
              <w:spacing w:before="0" w:beforeAutospacing="0" w:after="0" w:afterAutospacing="0" w:line="240" w:lineRule="auto"/>
              <w:ind w:left="0" w:right="0" w:firstLine="0" w:firstLineChars="0"/>
              <w:jc w:val="center"/>
              <w:textAlignment w:val="center"/>
              <w:rPr>
                <w:rFonts w:hint="eastAsia" w:cs="Times New Roman"/>
                <w:color w:val="auto"/>
                <w:kern w:val="0"/>
                <w:sz w:val="21"/>
                <w:szCs w:val="21"/>
                <w:highlight w:val="none"/>
              </w:rPr>
            </w:pPr>
          </w:p>
        </w:tc>
        <w:tc>
          <w:tcPr>
            <w:tcW w:w="5520" w:type="dxa"/>
            <w:tcBorders>
              <w:top w:val="single" w:color="auto" w:sz="4" w:space="0"/>
              <w:left w:val="single" w:color="auto" w:sz="4" w:space="0"/>
              <w:bottom w:val="single" w:color="auto" w:sz="4" w:space="0"/>
              <w:right w:val="single" w:color="auto" w:sz="4" w:space="0"/>
              <w:tl2br w:val="nil"/>
              <w:tr2bl w:val="nil"/>
            </w:tcBorders>
            <w:noWrap w:val="0"/>
            <w:tcMar>
              <w:top w:w="12" w:type="dxa"/>
              <w:left w:w="12" w:type="dxa"/>
              <w:right w:w="12" w:type="dxa"/>
            </w:tcMar>
            <w:vAlign w:val="center"/>
          </w:tcPr>
          <w:p>
            <w:pPr>
              <w:spacing w:before="120" w:after="120" w:line="240" w:lineRule="auto"/>
              <w:ind w:left="0" w:leftChars="0"/>
              <w:jc w:val="left"/>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sz w:val="21"/>
                <w:szCs w:val="21"/>
                <w:highlight w:val="none"/>
              </w:rPr>
              <w:t>未按要求</w:t>
            </w:r>
            <w:r>
              <w:rPr>
                <w:rFonts w:hint="eastAsia" w:ascii="宋体" w:hAnsi="宋体" w:eastAsia="宋体" w:cs="宋体"/>
                <w:color w:val="auto"/>
                <w:sz w:val="21"/>
                <w:szCs w:val="21"/>
                <w:highlight w:val="none"/>
                <w:lang w:val="en-US" w:eastAsia="zh-CN"/>
              </w:rPr>
              <w:t>上报各类报表、分析报告、成果报告等</w:t>
            </w:r>
            <w:r>
              <w:rPr>
                <w:rFonts w:hint="eastAsia" w:ascii="宋体" w:hAnsi="宋体" w:eastAsia="宋体" w:cs="宋体"/>
                <w:color w:val="auto"/>
                <w:sz w:val="21"/>
                <w:szCs w:val="21"/>
                <w:highlight w:val="none"/>
                <w:lang w:eastAsia="zh-CN"/>
              </w:rPr>
              <w:t>。</w:t>
            </w:r>
          </w:p>
        </w:tc>
        <w:tc>
          <w:tcPr>
            <w:tcW w:w="1090" w:type="dxa"/>
            <w:tcBorders>
              <w:top w:val="single" w:color="auto" w:sz="4" w:space="0"/>
              <w:left w:val="single" w:color="auto" w:sz="4" w:space="0"/>
              <w:bottom w:val="single" w:color="auto" w:sz="4" w:space="0"/>
              <w:right w:val="single" w:color="auto" w:sz="4" w:space="0"/>
              <w:tl2br w:val="nil"/>
              <w:tr2bl w:val="nil"/>
            </w:tcBorders>
            <w:noWrap/>
            <w:tcMar>
              <w:top w:w="12" w:type="dxa"/>
              <w:left w:w="12" w:type="dxa"/>
              <w:right w:w="12" w:type="dxa"/>
            </w:tcMar>
            <w:vAlign w:val="center"/>
          </w:tcPr>
          <w:p>
            <w:pPr>
              <w:keepNext w:val="0"/>
              <w:keepLines w:val="0"/>
              <w:widowControl/>
              <w:suppressLineNumbers w:val="0"/>
              <w:adjustRightIn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rPr>
              <w:t>1</w:t>
            </w:r>
            <w:r>
              <w:rPr>
                <w:rFonts w:hint="eastAsia" w:ascii="Times New Roman" w:hAnsi="Times New Roman" w:eastAsia="宋体" w:cs="Times New Roman"/>
                <w:color w:val="auto"/>
                <w:kern w:val="0"/>
                <w:sz w:val="21"/>
                <w:szCs w:val="21"/>
                <w:highlight w:val="none"/>
                <w:lang w:eastAsia="zh-CN"/>
              </w:rPr>
              <w:t>—</w:t>
            </w:r>
            <w:r>
              <w:rPr>
                <w:rFonts w:hint="eastAsia" w:ascii="Times New Roman" w:hAnsi="Times New Roman" w:eastAsia="宋体" w:cs="Times New Roman"/>
                <w:color w:val="auto"/>
                <w:kern w:val="0"/>
                <w:sz w:val="21"/>
                <w:szCs w:val="21"/>
                <w:highlight w:val="none"/>
              </w:rPr>
              <w:t>5分</w:t>
            </w:r>
            <w:r>
              <w:rPr>
                <w:rFonts w:hint="eastAsia" w:ascii="Times New Roman" w:hAnsi="Times New Roman" w:eastAsia="宋体" w:cs="Times New Roman"/>
                <w:color w:val="auto"/>
                <w:kern w:val="0"/>
                <w:sz w:val="21"/>
                <w:szCs w:val="21"/>
                <w:highlight w:val="none"/>
                <w:lang w:eastAsia="zh-CN"/>
              </w:rPr>
              <w:t>/</w:t>
            </w:r>
            <w:r>
              <w:rPr>
                <w:rFonts w:hint="eastAsia" w:ascii="Times New Roman" w:hAnsi="Times New Roman" w:eastAsia="宋体" w:cs="Times New Roman"/>
                <w:color w:val="auto"/>
                <w:kern w:val="0"/>
                <w:sz w:val="21"/>
                <w:szCs w:val="21"/>
                <w:highlight w:val="none"/>
              </w:rPr>
              <w:t>次</w:t>
            </w:r>
          </w:p>
        </w:tc>
        <w:tc>
          <w:tcPr>
            <w:tcW w:w="1804" w:type="dxa"/>
            <w:tcBorders>
              <w:top w:val="single" w:color="auto" w:sz="4" w:space="0"/>
              <w:left w:val="single" w:color="auto" w:sz="4" w:space="0"/>
              <w:bottom w:val="single" w:color="auto" w:sz="4" w:space="0"/>
              <w:right w:val="single" w:color="auto" w:sz="4" w:space="0"/>
              <w:tl2br w:val="nil"/>
              <w:tr2bl w:val="nil"/>
            </w:tcBorders>
            <w:noWrap/>
            <w:tcMar>
              <w:top w:w="12" w:type="dxa"/>
              <w:left w:w="12" w:type="dxa"/>
              <w:right w:w="12" w:type="dxa"/>
            </w:tcMar>
            <w:vAlign w:val="center"/>
          </w:tcPr>
          <w:p>
            <w:pPr>
              <w:keepNext w:val="0"/>
              <w:keepLines w:val="0"/>
              <w:widowControl/>
              <w:suppressLineNumbers w:val="0"/>
              <w:adjustRightIn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rPr>
              <w:t>500元</w:t>
            </w:r>
            <w:r>
              <w:rPr>
                <w:rFonts w:hint="eastAsia" w:ascii="Times New Roman" w:hAnsi="Times New Roman" w:eastAsia="宋体" w:cs="Times New Roman"/>
                <w:color w:val="auto"/>
                <w:kern w:val="0"/>
                <w:sz w:val="21"/>
                <w:szCs w:val="21"/>
                <w:highlight w:val="none"/>
                <w:lang w:eastAsia="zh-CN"/>
              </w:rPr>
              <w:t>/</w:t>
            </w:r>
            <w:r>
              <w:rPr>
                <w:rFonts w:hint="eastAsia" w:ascii="Times New Roman" w:hAnsi="Times New Roman" w:eastAsia="宋体" w:cs="Times New Roman"/>
                <w:color w:val="auto"/>
                <w:kern w:val="0"/>
                <w:sz w:val="21"/>
                <w:szCs w:val="21"/>
                <w:highlight w:val="none"/>
                <w:lang w:val="en-US" w:eastAsia="zh-CN"/>
              </w:rPr>
              <w:t>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42" w:hRule="atLeast"/>
          <w:jc w:val="center"/>
        </w:trPr>
        <w:tc>
          <w:tcPr>
            <w:tcW w:w="449" w:type="dxa"/>
            <w:tcBorders>
              <w:top w:val="single" w:color="auto" w:sz="4" w:space="0"/>
              <w:left w:val="single" w:color="auto" w:sz="4" w:space="0"/>
              <w:bottom w:val="single" w:color="auto" w:sz="4" w:space="0"/>
              <w:right w:val="single" w:color="auto" w:sz="4" w:space="0"/>
              <w:tl2br w:val="nil"/>
              <w:tr2bl w:val="nil"/>
            </w:tcBorders>
            <w:noWrap/>
            <w:tcMar>
              <w:top w:w="12" w:type="dxa"/>
              <w:left w:w="12" w:type="dxa"/>
              <w:right w:w="12" w:type="dxa"/>
            </w:tcMar>
            <w:vAlign w:val="center"/>
          </w:tcPr>
          <w:p>
            <w:pPr>
              <w:keepNext w:val="0"/>
              <w:keepLines w:val="0"/>
              <w:widowControl/>
              <w:suppressLineNumbers w:val="0"/>
              <w:spacing w:line="240" w:lineRule="auto"/>
              <w:jc w:val="center"/>
              <w:textAlignment w:val="center"/>
              <w:rPr>
                <w:rFonts w:hint="default" w:ascii="Times New Roman" w:hAnsi="Times New Roman" w:cs="Times New Roman"/>
                <w:color w:val="auto"/>
                <w:kern w:val="0"/>
                <w:sz w:val="21"/>
                <w:szCs w:val="21"/>
                <w:highlight w:val="none"/>
                <w:lang w:val="en-US" w:eastAsia="zh-CN" w:bidi="ar-SA"/>
              </w:rPr>
            </w:pPr>
            <w:r>
              <w:rPr>
                <w:rFonts w:hint="eastAsia" w:ascii="宋体" w:hAnsi="宋体" w:eastAsia="宋体" w:cs="宋体"/>
                <w:i w:val="0"/>
                <w:iCs w:val="0"/>
                <w:color w:val="auto"/>
                <w:kern w:val="0"/>
                <w:sz w:val="22"/>
                <w:szCs w:val="22"/>
                <w:highlight w:val="none"/>
                <w:u w:val="none"/>
                <w:lang w:val="en-US" w:eastAsia="zh-CN" w:bidi="ar"/>
              </w:rPr>
              <w:t>24</w:t>
            </w:r>
          </w:p>
        </w:tc>
        <w:tc>
          <w:tcPr>
            <w:tcW w:w="550" w:type="dxa"/>
            <w:vMerge w:val="continue"/>
            <w:tcBorders>
              <w:left w:val="single" w:color="auto" w:sz="4" w:space="0"/>
              <w:right w:val="single" w:color="auto" w:sz="4" w:space="0"/>
              <w:tl2br w:val="nil"/>
              <w:tr2bl w:val="nil"/>
            </w:tcBorders>
            <w:noWrap w:val="0"/>
            <w:tcMar>
              <w:top w:w="12" w:type="dxa"/>
              <w:left w:w="12" w:type="dxa"/>
              <w:right w:w="12" w:type="dxa"/>
            </w:tcMar>
            <w:vAlign w:val="center"/>
          </w:tcPr>
          <w:p>
            <w:pPr>
              <w:keepNext w:val="0"/>
              <w:keepLines w:val="0"/>
              <w:widowControl/>
              <w:suppressLineNumbers w:val="0"/>
              <w:adjustRightInd w:val="0"/>
              <w:spacing w:before="0" w:beforeAutospacing="0" w:after="0" w:afterAutospacing="0" w:line="240" w:lineRule="auto"/>
              <w:ind w:left="0" w:right="0" w:firstLine="0" w:firstLineChars="0"/>
              <w:jc w:val="center"/>
              <w:textAlignment w:val="center"/>
              <w:rPr>
                <w:rFonts w:hint="default" w:cs="Times New Roman"/>
                <w:color w:val="auto"/>
                <w:kern w:val="0"/>
                <w:sz w:val="21"/>
                <w:szCs w:val="21"/>
                <w:highlight w:val="none"/>
              </w:rPr>
            </w:pPr>
          </w:p>
        </w:tc>
        <w:tc>
          <w:tcPr>
            <w:tcW w:w="5520" w:type="dxa"/>
            <w:tcBorders>
              <w:top w:val="single" w:color="auto" w:sz="4" w:space="0"/>
              <w:left w:val="single" w:color="auto" w:sz="4" w:space="0"/>
              <w:bottom w:val="single" w:color="auto" w:sz="4" w:space="0"/>
              <w:right w:val="single" w:color="auto" w:sz="4" w:space="0"/>
              <w:tl2br w:val="nil"/>
              <w:tr2bl w:val="nil"/>
            </w:tcBorders>
            <w:noWrap w:val="0"/>
            <w:tcMar>
              <w:top w:w="12" w:type="dxa"/>
              <w:left w:w="12" w:type="dxa"/>
              <w:right w:w="12" w:type="dxa"/>
            </w:tcMar>
            <w:vAlign w:val="center"/>
          </w:tcPr>
          <w:p>
            <w:pPr>
              <w:spacing w:before="120" w:after="120" w:line="240" w:lineRule="auto"/>
              <w:ind w:left="0" w:leftChars="0"/>
              <w:jc w:val="left"/>
              <w:rPr>
                <w:rFonts w:hint="default" w:ascii="宋体" w:hAnsi="宋体" w:eastAsia="宋体" w:cs="宋体"/>
                <w:color w:val="auto"/>
                <w:kern w:val="0"/>
                <w:sz w:val="21"/>
                <w:szCs w:val="21"/>
                <w:highlight w:val="none"/>
                <w:lang w:val="en-US" w:eastAsia="zh-CN" w:bidi="ar-SA"/>
              </w:rPr>
            </w:pPr>
            <w:r>
              <w:rPr>
                <w:rFonts w:hint="eastAsia" w:ascii="宋体" w:hAnsi="宋体" w:eastAsia="宋体" w:cs="宋体"/>
                <w:color w:val="auto"/>
                <w:sz w:val="21"/>
                <w:szCs w:val="21"/>
                <w:highlight w:val="none"/>
                <w:lang w:val="en-US" w:eastAsia="zh-CN"/>
              </w:rPr>
              <w:t>未经招标人同意，将项目内各项技术资料、监测数据、监测报告及方案，以及本项目相关的生产数据、平台数据透露给第三方。造成招标人的全部损失由投标人承担。</w:t>
            </w:r>
          </w:p>
        </w:tc>
        <w:tc>
          <w:tcPr>
            <w:tcW w:w="1090" w:type="dxa"/>
            <w:tcBorders>
              <w:top w:val="single" w:color="auto" w:sz="4" w:space="0"/>
              <w:left w:val="single" w:color="auto" w:sz="4" w:space="0"/>
              <w:bottom w:val="single" w:color="auto" w:sz="4" w:space="0"/>
              <w:right w:val="single" w:color="auto" w:sz="4" w:space="0"/>
              <w:tl2br w:val="nil"/>
              <w:tr2bl w:val="nil"/>
            </w:tcBorders>
            <w:noWrap/>
            <w:tcMar>
              <w:top w:w="12" w:type="dxa"/>
              <w:left w:w="12" w:type="dxa"/>
              <w:right w:w="12" w:type="dxa"/>
            </w:tcMar>
            <w:vAlign w:val="center"/>
          </w:tcPr>
          <w:p>
            <w:pPr>
              <w:keepNext w:val="0"/>
              <w:keepLines w:val="0"/>
              <w:widowControl/>
              <w:suppressLineNumbers w:val="0"/>
              <w:adjustRightIn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rPr>
              <w:t>20</w:t>
            </w:r>
            <w:r>
              <w:rPr>
                <w:rFonts w:hint="eastAsia" w:ascii="Times New Roman" w:hAnsi="Times New Roman" w:eastAsia="宋体" w:cs="Times New Roman"/>
                <w:color w:val="auto"/>
                <w:kern w:val="0"/>
                <w:sz w:val="21"/>
                <w:szCs w:val="21"/>
                <w:highlight w:val="none"/>
              </w:rPr>
              <w:t>分</w:t>
            </w:r>
            <w:r>
              <w:rPr>
                <w:rFonts w:hint="eastAsia" w:ascii="Times New Roman" w:hAnsi="Times New Roman" w:eastAsia="宋体" w:cs="Times New Roman"/>
                <w:color w:val="auto"/>
                <w:kern w:val="0"/>
                <w:sz w:val="21"/>
                <w:szCs w:val="21"/>
                <w:highlight w:val="none"/>
                <w:lang w:eastAsia="zh-CN"/>
              </w:rPr>
              <w:t>/</w:t>
            </w:r>
            <w:r>
              <w:rPr>
                <w:rFonts w:hint="eastAsia" w:ascii="Times New Roman" w:hAnsi="Times New Roman" w:eastAsia="宋体" w:cs="Times New Roman"/>
                <w:color w:val="auto"/>
                <w:kern w:val="0"/>
                <w:sz w:val="21"/>
                <w:szCs w:val="21"/>
                <w:highlight w:val="none"/>
              </w:rPr>
              <w:t>次</w:t>
            </w:r>
          </w:p>
        </w:tc>
        <w:tc>
          <w:tcPr>
            <w:tcW w:w="1804" w:type="dxa"/>
            <w:tcBorders>
              <w:top w:val="single" w:color="auto" w:sz="4" w:space="0"/>
              <w:left w:val="single" w:color="auto" w:sz="4" w:space="0"/>
              <w:bottom w:val="single" w:color="auto" w:sz="4" w:space="0"/>
              <w:right w:val="single" w:color="auto" w:sz="4" w:space="0"/>
              <w:tl2br w:val="nil"/>
              <w:tr2bl w:val="nil"/>
            </w:tcBorders>
            <w:noWrap/>
            <w:tcMar>
              <w:top w:w="12" w:type="dxa"/>
              <w:left w:w="12" w:type="dxa"/>
              <w:right w:w="12" w:type="dxa"/>
            </w:tcMar>
            <w:vAlign w:val="center"/>
          </w:tcPr>
          <w:p>
            <w:pPr>
              <w:keepNext w:val="0"/>
              <w:keepLines w:val="0"/>
              <w:widowControl/>
              <w:suppressLineNumbers w:val="0"/>
              <w:adjustRightIn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rPr>
              <w:t>2</w:t>
            </w:r>
            <w:r>
              <w:rPr>
                <w:rFonts w:hint="eastAsia" w:ascii="Times New Roman" w:hAnsi="Times New Roman" w:eastAsia="宋体" w:cs="Times New Roman"/>
                <w:color w:val="auto"/>
                <w:kern w:val="0"/>
                <w:sz w:val="21"/>
                <w:szCs w:val="21"/>
                <w:highlight w:val="none"/>
                <w:lang w:val="en-US" w:eastAsia="zh-CN"/>
              </w:rPr>
              <w:t>0</w:t>
            </w:r>
            <w:r>
              <w:rPr>
                <w:rFonts w:hint="eastAsia" w:ascii="Times New Roman" w:hAnsi="Times New Roman" w:eastAsia="宋体" w:cs="Times New Roman"/>
                <w:color w:val="auto"/>
                <w:kern w:val="0"/>
                <w:sz w:val="21"/>
                <w:szCs w:val="21"/>
                <w:highlight w:val="none"/>
              </w:rPr>
              <w:t>000元</w:t>
            </w:r>
            <w:r>
              <w:rPr>
                <w:rFonts w:hint="eastAsia" w:ascii="Times New Roman" w:hAnsi="Times New Roman" w:eastAsia="宋体" w:cs="Times New Roman"/>
                <w:color w:val="auto"/>
                <w:kern w:val="0"/>
                <w:sz w:val="21"/>
                <w:szCs w:val="21"/>
                <w:highlight w:val="none"/>
                <w:lang w:eastAsia="zh-CN"/>
              </w:rPr>
              <w:t>/</w:t>
            </w:r>
            <w:r>
              <w:rPr>
                <w:rFonts w:hint="eastAsia" w:ascii="Times New Roman" w:hAnsi="Times New Roman" w:eastAsia="宋体" w:cs="Times New Roman"/>
                <w:color w:val="auto"/>
                <w:kern w:val="0"/>
                <w:sz w:val="21"/>
                <w:szCs w:val="21"/>
                <w:highlight w:val="none"/>
              </w:rPr>
              <w:t>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2" w:hRule="atLeast"/>
          <w:jc w:val="center"/>
        </w:trPr>
        <w:tc>
          <w:tcPr>
            <w:tcW w:w="449" w:type="dxa"/>
            <w:tcBorders>
              <w:top w:val="single" w:color="auto" w:sz="4" w:space="0"/>
              <w:left w:val="single" w:color="auto" w:sz="4" w:space="0"/>
              <w:bottom w:val="single" w:color="auto" w:sz="4" w:space="0"/>
              <w:right w:val="single" w:color="auto" w:sz="4" w:space="0"/>
              <w:tl2br w:val="nil"/>
              <w:tr2bl w:val="nil"/>
            </w:tcBorders>
            <w:noWrap/>
            <w:tcMar>
              <w:top w:w="12" w:type="dxa"/>
              <w:left w:w="12" w:type="dxa"/>
              <w:right w:w="12" w:type="dxa"/>
            </w:tcMar>
            <w:vAlign w:val="center"/>
          </w:tcPr>
          <w:p>
            <w:pPr>
              <w:keepNext w:val="0"/>
              <w:keepLines w:val="0"/>
              <w:widowControl/>
              <w:suppressLineNumbers w:val="0"/>
              <w:spacing w:line="240" w:lineRule="auto"/>
              <w:jc w:val="center"/>
              <w:textAlignment w:val="center"/>
              <w:rPr>
                <w:rFonts w:hint="default" w:ascii="Times New Roman" w:hAnsi="Times New Roman" w:cs="Times New Roman"/>
                <w:color w:val="auto"/>
                <w:kern w:val="0"/>
                <w:sz w:val="21"/>
                <w:szCs w:val="21"/>
                <w:highlight w:val="none"/>
                <w:lang w:val="en-US" w:eastAsia="zh-CN" w:bidi="ar-SA"/>
              </w:rPr>
            </w:pPr>
            <w:r>
              <w:rPr>
                <w:rFonts w:hint="eastAsia" w:ascii="宋体" w:hAnsi="宋体" w:eastAsia="宋体" w:cs="宋体"/>
                <w:i w:val="0"/>
                <w:iCs w:val="0"/>
                <w:color w:val="auto"/>
                <w:kern w:val="0"/>
                <w:sz w:val="22"/>
                <w:szCs w:val="22"/>
                <w:highlight w:val="none"/>
                <w:u w:val="none"/>
                <w:lang w:val="en-US" w:eastAsia="zh-CN" w:bidi="ar"/>
              </w:rPr>
              <w:t>25</w:t>
            </w:r>
          </w:p>
        </w:tc>
        <w:tc>
          <w:tcPr>
            <w:tcW w:w="550" w:type="dxa"/>
            <w:vMerge w:val="continue"/>
            <w:tcBorders>
              <w:left w:val="single" w:color="auto" w:sz="4" w:space="0"/>
              <w:right w:val="single" w:color="auto" w:sz="4" w:space="0"/>
              <w:tl2br w:val="nil"/>
              <w:tr2bl w:val="nil"/>
            </w:tcBorders>
            <w:noWrap w:val="0"/>
            <w:tcMar>
              <w:top w:w="12" w:type="dxa"/>
              <w:left w:w="12" w:type="dxa"/>
              <w:right w:w="12" w:type="dxa"/>
            </w:tcMar>
            <w:vAlign w:val="center"/>
          </w:tcPr>
          <w:p>
            <w:pPr>
              <w:keepNext w:val="0"/>
              <w:keepLines w:val="0"/>
              <w:widowControl/>
              <w:suppressLineNumbers w:val="0"/>
              <w:adjustRightInd w:val="0"/>
              <w:spacing w:before="0" w:beforeAutospacing="0" w:after="0" w:afterAutospacing="0" w:line="240" w:lineRule="auto"/>
              <w:ind w:left="0" w:right="0" w:firstLine="0" w:firstLineChars="0"/>
              <w:jc w:val="center"/>
              <w:textAlignment w:val="center"/>
              <w:rPr>
                <w:rFonts w:hint="default" w:cs="Times New Roman"/>
                <w:color w:val="auto"/>
                <w:kern w:val="0"/>
                <w:sz w:val="21"/>
                <w:szCs w:val="21"/>
                <w:highlight w:val="none"/>
              </w:rPr>
            </w:pPr>
          </w:p>
        </w:tc>
        <w:tc>
          <w:tcPr>
            <w:tcW w:w="5520" w:type="dxa"/>
            <w:tcBorders>
              <w:top w:val="single" w:color="auto" w:sz="4" w:space="0"/>
              <w:left w:val="single" w:color="auto" w:sz="4" w:space="0"/>
              <w:bottom w:val="single" w:color="auto" w:sz="4" w:space="0"/>
              <w:right w:val="single" w:color="auto" w:sz="4" w:space="0"/>
              <w:tl2br w:val="nil"/>
              <w:tr2bl w:val="nil"/>
            </w:tcBorders>
            <w:noWrap w:val="0"/>
            <w:tcMar>
              <w:top w:w="12" w:type="dxa"/>
              <w:left w:w="12" w:type="dxa"/>
              <w:right w:w="12" w:type="dxa"/>
            </w:tcMar>
            <w:vAlign w:val="center"/>
          </w:tcPr>
          <w:p>
            <w:pPr>
              <w:spacing w:before="120" w:after="120" w:line="240" w:lineRule="auto"/>
              <w:ind w:left="0" w:leftChars="0"/>
              <w:jc w:val="left"/>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sz w:val="21"/>
                <w:szCs w:val="21"/>
                <w:highlight w:val="none"/>
                <w:lang w:val="en-US" w:eastAsia="zh-CN"/>
              </w:rPr>
              <w:t>现场测量数据出现异常时（超出控制值等情况），未立即向招标人反馈，并未提供合理化建议或解决方案。</w:t>
            </w:r>
          </w:p>
        </w:tc>
        <w:tc>
          <w:tcPr>
            <w:tcW w:w="1090" w:type="dxa"/>
            <w:tcBorders>
              <w:top w:val="single" w:color="auto" w:sz="4" w:space="0"/>
              <w:left w:val="single" w:color="auto" w:sz="4" w:space="0"/>
              <w:bottom w:val="single" w:color="auto" w:sz="4" w:space="0"/>
              <w:right w:val="single" w:color="auto" w:sz="4" w:space="0"/>
              <w:tl2br w:val="nil"/>
              <w:tr2bl w:val="nil"/>
            </w:tcBorders>
            <w:noWrap/>
            <w:tcMar>
              <w:top w:w="12" w:type="dxa"/>
              <w:left w:w="12" w:type="dxa"/>
              <w:right w:w="12" w:type="dxa"/>
            </w:tcMar>
            <w:vAlign w:val="center"/>
          </w:tcPr>
          <w:p>
            <w:pPr>
              <w:keepNext w:val="0"/>
              <w:keepLines w:val="0"/>
              <w:widowControl/>
              <w:suppressLineNumbers w:val="0"/>
              <w:adjustRightIn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rPr>
              <w:t>5分/次</w:t>
            </w:r>
          </w:p>
        </w:tc>
        <w:tc>
          <w:tcPr>
            <w:tcW w:w="1804" w:type="dxa"/>
            <w:tcBorders>
              <w:top w:val="single" w:color="auto" w:sz="4" w:space="0"/>
              <w:left w:val="single" w:color="auto" w:sz="4" w:space="0"/>
              <w:bottom w:val="single" w:color="auto" w:sz="4" w:space="0"/>
              <w:right w:val="single" w:color="auto" w:sz="4" w:space="0"/>
              <w:tl2br w:val="nil"/>
              <w:tr2bl w:val="nil"/>
            </w:tcBorders>
            <w:noWrap/>
            <w:tcMar>
              <w:top w:w="12" w:type="dxa"/>
              <w:left w:w="12" w:type="dxa"/>
              <w:right w:w="12" w:type="dxa"/>
            </w:tcMar>
            <w:vAlign w:val="center"/>
          </w:tcPr>
          <w:p>
            <w:pPr>
              <w:keepNext w:val="0"/>
              <w:keepLines w:val="0"/>
              <w:widowControl/>
              <w:suppressLineNumbers w:val="0"/>
              <w:adjustRightIn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rPr>
              <w:t>2000</w:t>
            </w:r>
            <w:r>
              <w:rPr>
                <w:rFonts w:hint="eastAsia" w:ascii="Times New Roman" w:hAnsi="Times New Roman" w:eastAsia="宋体" w:cs="Times New Roman"/>
                <w:color w:val="auto"/>
                <w:kern w:val="0"/>
                <w:sz w:val="21"/>
                <w:szCs w:val="21"/>
                <w:highlight w:val="none"/>
              </w:rPr>
              <w:t>元/次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1" w:hRule="atLeast"/>
          <w:jc w:val="center"/>
        </w:trPr>
        <w:tc>
          <w:tcPr>
            <w:tcW w:w="449" w:type="dxa"/>
            <w:tcBorders>
              <w:top w:val="single" w:color="auto" w:sz="4" w:space="0"/>
              <w:left w:val="single" w:color="auto" w:sz="4" w:space="0"/>
              <w:bottom w:val="single" w:color="auto" w:sz="4" w:space="0"/>
              <w:right w:val="single" w:color="auto" w:sz="4" w:space="0"/>
              <w:tl2br w:val="nil"/>
              <w:tr2bl w:val="nil"/>
            </w:tcBorders>
            <w:noWrap/>
            <w:tcMar>
              <w:top w:w="12" w:type="dxa"/>
              <w:left w:w="12" w:type="dxa"/>
              <w:right w:w="12" w:type="dxa"/>
            </w:tcMar>
            <w:vAlign w:val="center"/>
          </w:tcPr>
          <w:p>
            <w:pPr>
              <w:keepNext w:val="0"/>
              <w:keepLines w:val="0"/>
              <w:widowControl/>
              <w:suppressLineNumbers w:val="0"/>
              <w:spacing w:line="240" w:lineRule="auto"/>
              <w:jc w:val="center"/>
              <w:textAlignment w:val="center"/>
              <w:rPr>
                <w:rFonts w:hint="default" w:ascii="Times New Roman" w:hAnsi="Times New Roman" w:cs="Times New Roman"/>
                <w:color w:val="auto"/>
                <w:kern w:val="0"/>
                <w:sz w:val="21"/>
                <w:szCs w:val="21"/>
                <w:highlight w:val="none"/>
                <w:lang w:val="en-US" w:eastAsia="zh-CN" w:bidi="ar-SA"/>
              </w:rPr>
            </w:pPr>
            <w:r>
              <w:rPr>
                <w:rFonts w:hint="eastAsia" w:ascii="宋体" w:hAnsi="宋体" w:eastAsia="宋体" w:cs="宋体"/>
                <w:i w:val="0"/>
                <w:iCs w:val="0"/>
                <w:color w:val="auto"/>
                <w:kern w:val="0"/>
                <w:sz w:val="22"/>
                <w:szCs w:val="22"/>
                <w:highlight w:val="none"/>
                <w:u w:val="none"/>
                <w:lang w:val="en-US" w:eastAsia="zh-CN" w:bidi="ar"/>
              </w:rPr>
              <w:t>26</w:t>
            </w:r>
          </w:p>
        </w:tc>
        <w:tc>
          <w:tcPr>
            <w:tcW w:w="550" w:type="dxa"/>
            <w:vMerge w:val="restart"/>
            <w:tcBorders>
              <w:left w:val="single" w:color="auto" w:sz="4" w:space="0"/>
              <w:right w:val="single" w:color="auto" w:sz="4" w:space="0"/>
              <w:tl2br w:val="nil"/>
              <w:tr2bl w:val="nil"/>
            </w:tcBorders>
            <w:noWrap w:val="0"/>
            <w:tcMar>
              <w:top w:w="12" w:type="dxa"/>
              <w:left w:w="12" w:type="dxa"/>
              <w:right w:w="12" w:type="dxa"/>
            </w:tcMar>
            <w:vAlign w:val="center"/>
          </w:tcPr>
          <w:p>
            <w:pPr>
              <w:keepNext w:val="0"/>
              <w:keepLines w:val="0"/>
              <w:suppressLineNumbers w:val="0"/>
              <w:adjustRightInd w:val="0"/>
              <w:spacing w:before="0" w:beforeAutospacing="0" w:after="0" w:afterAutospacing="0" w:line="240" w:lineRule="auto"/>
              <w:ind w:left="0" w:right="0" w:firstLine="0" w:firstLineChars="0"/>
              <w:jc w:val="center"/>
              <w:textAlignment w:val="baseline"/>
              <w:rPr>
                <w:rFonts w:hint="default" w:cs="Times New Roman"/>
                <w:color w:val="auto"/>
                <w:kern w:val="0"/>
                <w:sz w:val="21"/>
                <w:szCs w:val="21"/>
                <w:highlight w:val="none"/>
              </w:rPr>
            </w:pPr>
            <w:r>
              <w:rPr>
                <w:rFonts w:hint="eastAsia" w:cs="Times New Roman"/>
                <w:color w:val="auto"/>
                <w:kern w:val="0"/>
                <w:sz w:val="21"/>
                <w:szCs w:val="21"/>
                <w:highlight w:val="none"/>
              </w:rPr>
              <w:t>材料管理</w:t>
            </w:r>
          </w:p>
        </w:tc>
        <w:tc>
          <w:tcPr>
            <w:tcW w:w="5520" w:type="dxa"/>
            <w:tcBorders>
              <w:top w:val="single" w:color="auto" w:sz="4" w:space="0"/>
              <w:left w:val="single" w:color="auto" w:sz="4" w:space="0"/>
              <w:bottom w:val="single" w:color="auto" w:sz="4" w:space="0"/>
              <w:right w:val="single" w:color="auto" w:sz="4" w:space="0"/>
              <w:tl2br w:val="nil"/>
              <w:tr2bl w:val="nil"/>
            </w:tcBorders>
            <w:noWrap w:val="0"/>
            <w:tcMar>
              <w:top w:w="12" w:type="dxa"/>
              <w:left w:w="12" w:type="dxa"/>
              <w:right w:w="12" w:type="dxa"/>
            </w:tcMar>
            <w:vAlign w:val="center"/>
          </w:tcPr>
          <w:p>
            <w:pPr>
              <w:spacing w:before="120" w:after="120" w:line="240" w:lineRule="auto"/>
              <w:ind w:left="0" w:leftChars="0"/>
              <w:jc w:val="left"/>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sz w:val="21"/>
                <w:szCs w:val="21"/>
                <w:highlight w:val="none"/>
              </w:rPr>
              <w:t>计量工器具未定期送检、未按时取得检测合格证明，或使用不合格、超期未检计量工器具</w:t>
            </w:r>
            <w:r>
              <w:rPr>
                <w:rFonts w:hint="eastAsia" w:ascii="宋体" w:hAnsi="宋体" w:eastAsia="宋体" w:cs="宋体"/>
                <w:color w:val="auto"/>
                <w:sz w:val="21"/>
                <w:szCs w:val="21"/>
                <w:highlight w:val="none"/>
                <w:lang w:eastAsia="zh-CN"/>
              </w:rPr>
              <w:t>。</w:t>
            </w:r>
          </w:p>
        </w:tc>
        <w:tc>
          <w:tcPr>
            <w:tcW w:w="1090" w:type="dxa"/>
            <w:tcBorders>
              <w:top w:val="single" w:color="auto" w:sz="4" w:space="0"/>
              <w:left w:val="single" w:color="auto" w:sz="4" w:space="0"/>
              <w:bottom w:val="single" w:color="auto" w:sz="4" w:space="0"/>
              <w:right w:val="single" w:color="auto" w:sz="4" w:space="0"/>
              <w:tl2br w:val="nil"/>
              <w:tr2bl w:val="nil"/>
            </w:tcBorders>
            <w:noWrap/>
            <w:tcMar>
              <w:top w:w="12" w:type="dxa"/>
              <w:left w:w="12" w:type="dxa"/>
              <w:right w:w="12" w:type="dxa"/>
            </w:tcMar>
            <w:vAlign w:val="center"/>
          </w:tcPr>
          <w:p>
            <w:pPr>
              <w:keepNext w:val="0"/>
              <w:keepLines w:val="0"/>
              <w:widowControl/>
              <w:suppressLineNumbers w:val="0"/>
              <w:adjustRightIn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rPr>
              <w:t>5</w:t>
            </w:r>
            <w:r>
              <w:rPr>
                <w:rFonts w:hint="eastAsia" w:ascii="Times New Roman" w:hAnsi="Times New Roman" w:eastAsia="宋体" w:cs="Times New Roman"/>
                <w:color w:val="auto"/>
                <w:kern w:val="0"/>
                <w:sz w:val="21"/>
                <w:szCs w:val="21"/>
                <w:highlight w:val="none"/>
              </w:rPr>
              <w:t>分</w:t>
            </w:r>
            <w:r>
              <w:rPr>
                <w:rFonts w:hint="eastAsia" w:ascii="Times New Roman" w:hAnsi="Times New Roman" w:eastAsia="宋体" w:cs="Times New Roman"/>
                <w:color w:val="auto"/>
                <w:kern w:val="0"/>
                <w:sz w:val="21"/>
                <w:szCs w:val="21"/>
                <w:highlight w:val="none"/>
                <w:lang w:eastAsia="zh-CN"/>
              </w:rPr>
              <w:t>/</w:t>
            </w:r>
            <w:r>
              <w:rPr>
                <w:rFonts w:hint="eastAsia" w:ascii="Times New Roman" w:hAnsi="Times New Roman" w:eastAsia="宋体" w:cs="Times New Roman"/>
                <w:color w:val="auto"/>
                <w:kern w:val="0"/>
                <w:sz w:val="21"/>
                <w:szCs w:val="21"/>
                <w:highlight w:val="none"/>
              </w:rPr>
              <w:t>次</w:t>
            </w:r>
          </w:p>
        </w:tc>
        <w:tc>
          <w:tcPr>
            <w:tcW w:w="1804" w:type="dxa"/>
            <w:tcBorders>
              <w:top w:val="single" w:color="auto" w:sz="4" w:space="0"/>
              <w:left w:val="single" w:color="auto" w:sz="4" w:space="0"/>
              <w:bottom w:val="single" w:color="auto" w:sz="4" w:space="0"/>
              <w:right w:val="single" w:color="auto" w:sz="4" w:space="0"/>
              <w:tl2br w:val="nil"/>
              <w:tr2bl w:val="nil"/>
            </w:tcBorders>
            <w:noWrap/>
            <w:tcMar>
              <w:top w:w="12" w:type="dxa"/>
              <w:left w:w="12" w:type="dxa"/>
              <w:right w:w="12" w:type="dxa"/>
            </w:tcMar>
            <w:vAlign w:val="center"/>
          </w:tcPr>
          <w:p>
            <w:pPr>
              <w:keepNext w:val="0"/>
              <w:keepLines w:val="0"/>
              <w:widowControl/>
              <w:suppressLineNumbers w:val="0"/>
              <w:adjustRightIn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rPr>
              <w:t>5</w:t>
            </w:r>
            <w:r>
              <w:rPr>
                <w:rFonts w:hint="eastAsia" w:ascii="Times New Roman" w:hAnsi="Times New Roman" w:eastAsia="宋体" w:cs="Times New Roman"/>
                <w:color w:val="auto"/>
                <w:kern w:val="0"/>
                <w:sz w:val="21"/>
                <w:szCs w:val="21"/>
                <w:highlight w:val="none"/>
              </w:rPr>
              <w:t>00-</w:t>
            </w:r>
            <w:r>
              <w:rPr>
                <w:rFonts w:hint="eastAsia" w:ascii="Times New Roman" w:hAnsi="Times New Roman" w:eastAsia="宋体" w:cs="Times New Roman"/>
                <w:color w:val="auto"/>
                <w:kern w:val="0"/>
                <w:sz w:val="21"/>
                <w:szCs w:val="21"/>
                <w:highlight w:val="none"/>
                <w:lang w:val="en-US" w:eastAsia="zh-CN"/>
              </w:rPr>
              <w:t>2</w:t>
            </w:r>
            <w:r>
              <w:rPr>
                <w:rFonts w:hint="eastAsia" w:ascii="Times New Roman" w:hAnsi="Times New Roman" w:eastAsia="宋体" w:cs="Times New Roman"/>
                <w:color w:val="auto"/>
                <w:kern w:val="0"/>
                <w:sz w:val="21"/>
                <w:szCs w:val="21"/>
                <w:highlight w:val="none"/>
              </w:rPr>
              <w:t>000元</w:t>
            </w:r>
            <w:r>
              <w:rPr>
                <w:rFonts w:hint="eastAsia" w:ascii="Times New Roman" w:hAnsi="Times New Roman" w:eastAsia="宋体" w:cs="Times New Roman"/>
                <w:color w:val="auto"/>
                <w:kern w:val="0"/>
                <w:sz w:val="21"/>
                <w:szCs w:val="21"/>
                <w:highlight w:val="none"/>
                <w:lang w:eastAsia="zh-CN"/>
              </w:rPr>
              <w:t>/</w:t>
            </w:r>
            <w:r>
              <w:rPr>
                <w:rFonts w:hint="eastAsia" w:ascii="Times New Roman" w:hAnsi="Times New Roman" w:eastAsia="宋体" w:cs="Times New Roman"/>
                <w:color w:val="auto"/>
                <w:kern w:val="0"/>
                <w:sz w:val="21"/>
                <w:szCs w:val="21"/>
                <w:highlight w:val="none"/>
              </w:rPr>
              <w:t>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449" w:type="dxa"/>
            <w:tcBorders>
              <w:top w:val="single" w:color="auto" w:sz="4" w:space="0"/>
              <w:left w:val="single" w:color="auto" w:sz="4" w:space="0"/>
              <w:bottom w:val="single" w:color="auto" w:sz="4" w:space="0"/>
              <w:right w:val="single" w:color="auto" w:sz="4" w:space="0"/>
              <w:tl2br w:val="nil"/>
              <w:tr2bl w:val="nil"/>
            </w:tcBorders>
            <w:noWrap/>
            <w:tcMar>
              <w:top w:w="12" w:type="dxa"/>
              <w:left w:w="12" w:type="dxa"/>
              <w:right w:w="12" w:type="dxa"/>
            </w:tcMar>
            <w:vAlign w:val="center"/>
          </w:tcPr>
          <w:p>
            <w:pPr>
              <w:keepNext w:val="0"/>
              <w:keepLines w:val="0"/>
              <w:widowControl/>
              <w:suppressLineNumbers w:val="0"/>
              <w:spacing w:line="240" w:lineRule="auto"/>
              <w:jc w:val="center"/>
              <w:textAlignment w:val="center"/>
              <w:rPr>
                <w:rFonts w:hint="default" w:ascii="Times New Roman" w:hAnsi="Times New Roman" w:cs="Times New Roman"/>
                <w:color w:val="auto"/>
                <w:kern w:val="0"/>
                <w:sz w:val="21"/>
                <w:szCs w:val="21"/>
                <w:highlight w:val="none"/>
                <w:lang w:val="en-US" w:eastAsia="zh-CN" w:bidi="ar-SA"/>
              </w:rPr>
            </w:pPr>
            <w:r>
              <w:rPr>
                <w:rFonts w:hint="eastAsia" w:ascii="宋体" w:hAnsi="宋体" w:eastAsia="宋体" w:cs="宋体"/>
                <w:i w:val="0"/>
                <w:iCs w:val="0"/>
                <w:color w:val="auto"/>
                <w:kern w:val="0"/>
                <w:sz w:val="22"/>
                <w:szCs w:val="22"/>
                <w:highlight w:val="none"/>
                <w:u w:val="none"/>
                <w:lang w:val="en-US" w:eastAsia="zh-CN" w:bidi="ar"/>
              </w:rPr>
              <w:t>27</w:t>
            </w:r>
          </w:p>
        </w:tc>
        <w:tc>
          <w:tcPr>
            <w:tcW w:w="550" w:type="dxa"/>
            <w:vMerge w:val="continue"/>
            <w:tcBorders>
              <w:left w:val="single" w:color="auto" w:sz="4" w:space="0"/>
              <w:right w:val="single" w:color="auto" w:sz="4" w:space="0"/>
              <w:tl2br w:val="nil"/>
              <w:tr2bl w:val="nil"/>
            </w:tcBorders>
            <w:noWrap w:val="0"/>
            <w:tcMar>
              <w:top w:w="12" w:type="dxa"/>
              <w:left w:w="12" w:type="dxa"/>
              <w:right w:w="12" w:type="dxa"/>
            </w:tcMar>
            <w:vAlign w:val="center"/>
          </w:tcPr>
          <w:p>
            <w:pPr>
              <w:keepNext w:val="0"/>
              <w:keepLines w:val="0"/>
              <w:suppressLineNumbers w:val="0"/>
              <w:adjustRightInd w:val="0"/>
              <w:spacing w:before="0" w:beforeAutospacing="0" w:after="0" w:afterAutospacing="0" w:line="240" w:lineRule="auto"/>
              <w:ind w:left="0" w:right="0" w:firstLine="0" w:firstLineChars="0"/>
              <w:jc w:val="center"/>
              <w:textAlignment w:val="baseline"/>
              <w:rPr>
                <w:rFonts w:hint="default" w:cs="Times New Roman"/>
                <w:color w:val="auto"/>
                <w:kern w:val="0"/>
                <w:sz w:val="21"/>
                <w:szCs w:val="21"/>
                <w:highlight w:val="none"/>
              </w:rPr>
            </w:pPr>
          </w:p>
        </w:tc>
        <w:tc>
          <w:tcPr>
            <w:tcW w:w="5520" w:type="dxa"/>
            <w:tcBorders>
              <w:top w:val="single" w:color="auto" w:sz="4" w:space="0"/>
              <w:left w:val="single" w:color="auto" w:sz="4" w:space="0"/>
              <w:bottom w:val="single" w:color="auto" w:sz="4" w:space="0"/>
              <w:right w:val="single" w:color="auto" w:sz="4" w:space="0"/>
              <w:tl2br w:val="nil"/>
              <w:tr2bl w:val="nil"/>
            </w:tcBorders>
            <w:noWrap w:val="0"/>
            <w:tcMar>
              <w:top w:w="12" w:type="dxa"/>
              <w:left w:w="12" w:type="dxa"/>
              <w:right w:w="12" w:type="dxa"/>
            </w:tcMar>
            <w:vAlign w:val="center"/>
          </w:tcPr>
          <w:p>
            <w:pPr>
              <w:spacing w:before="120" w:after="120" w:line="240" w:lineRule="auto"/>
              <w:ind w:left="0" w:leftChars="0"/>
              <w:jc w:val="left"/>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sz w:val="21"/>
                <w:szCs w:val="21"/>
                <w:highlight w:val="none"/>
              </w:rPr>
              <w:t>工器具</w:t>
            </w:r>
            <w:r>
              <w:rPr>
                <w:rFonts w:hint="eastAsia" w:ascii="宋体" w:hAnsi="宋体" w:eastAsia="宋体" w:cs="宋体"/>
                <w:color w:val="auto"/>
                <w:sz w:val="21"/>
                <w:szCs w:val="21"/>
                <w:highlight w:val="none"/>
                <w:lang w:val="en-US" w:eastAsia="zh-CN"/>
              </w:rPr>
              <w:t>不得低于</w:t>
            </w:r>
            <w:r>
              <w:rPr>
                <w:rFonts w:hint="eastAsia" w:ascii="宋体" w:hAnsi="宋体" w:eastAsia="宋体" w:cs="宋体"/>
                <w:color w:val="auto"/>
                <w:sz w:val="21"/>
                <w:szCs w:val="21"/>
                <w:highlight w:val="none"/>
              </w:rPr>
              <w:t>合同配置标准，影响</w:t>
            </w:r>
            <w:r>
              <w:rPr>
                <w:rFonts w:hint="eastAsia" w:ascii="宋体" w:hAnsi="宋体" w:eastAsia="宋体" w:cs="宋体"/>
                <w:color w:val="auto"/>
                <w:sz w:val="21"/>
                <w:szCs w:val="21"/>
                <w:highlight w:val="none"/>
                <w:lang w:val="en-US" w:eastAsia="zh-CN"/>
              </w:rPr>
              <w:t>监测质量</w:t>
            </w:r>
            <w:r>
              <w:rPr>
                <w:rFonts w:hint="eastAsia" w:ascii="宋体" w:hAnsi="宋体" w:eastAsia="宋体" w:cs="宋体"/>
                <w:color w:val="auto"/>
                <w:sz w:val="21"/>
                <w:szCs w:val="21"/>
                <w:highlight w:val="none"/>
                <w:lang w:eastAsia="zh-CN"/>
              </w:rPr>
              <w:t>。</w:t>
            </w:r>
          </w:p>
        </w:tc>
        <w:tc>
          <w:tcPr>
            <w:tcW w:w="1090" w:type="dxa"/>
            <w:tcBorders>
              <w:top w:val="single" w:color="auto" w:sz="4" w:space="0"/>
              <w:left w:val="single" w:color="auto" w:sz="4" w:space="0"/>
              <w:bottom w:val="single" w:color="auto" w:sz="4" w:space="0"/>
              <w:right w:val="single" w:color="auto" w:sz="4" w:space="0"/>
              <w:tl2br w:val="nil"/>
              <w:tr2bl w:val="nil"/>
            </w:tcBorders>
            <w:noWrap/>
            <w:tcMar>
              <w:top w:w="12" w:type="dxa"/>
              <w:left w:w="12" w:type="dxa"/>
              <w:right w:w="12" w:type="dxa"/>
            </w:tcMar>
            <w:vAlign w:val="center"/>
          </w:tcPr>
          <w:p>
            <w:pPr>
              <w:keepNext w:val="0"/>
              <w:keepLines w:val="0"/>
              <w:widowControl/>
              <w:suppressLineNumbers w:val="0"/>
              <w:adjustRightInd w:val="0"/>
              <w:spacing w:before="0" w:beforeAutospacing="0" w:after="0" w:afterAutospacing="0" w:line="240" w:lineRule="auto"/>
              <w:ind w:left="0" w:leftChars="0" w:right="0" w:rightChars="0" w:firstLine="0" w:firstLineChars="0"/>
              <w:jc w:val="center"/>
              <w:textAlignment w:val="center"/>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rPr>
              <w:t>5分</w:t>
            </w:r>
            <w:r>
              <w:rPr>
                <w:rFonts w:hint="eastAsia" w:ascii="Times New Roman" w:hAnsi="Times New Roman" w:eastAsia="宋体" w:cs="Times New Roman"/>
                <w:color w:val="auto"/>
                <w:kern w:val="0"/>
                <w:sz w:val="21"/>
                <w:szCs w:val="21"/>
                <w:highlight w:val="none"/>
                <w:lang w:eastAsia="zh-CN"/>
              </w:rPr>
              <w:t>/</w:t>
            </w:r>
            <w:r>
              <w:rPr>
                <w:rFonts w:hint="eastAsia" w:ascii="Times New Roman" w:hAnsi="Times New Roman" w:eastAsia="宋体" w:cs="Times New Roman"/>
                <w:color w:val="auto"/>
                <w:kern w:val="0"/>
                <w:sz w:val="21"/>
                <w:szCs w:val="21"/>
                <w:highlight w:val="none"/>
              </w:rPr>
              <w:t>次</w:t>
            </w:r>
          </w:p>
        </w:tc>
        <w:tc>
          <w:tcPr>
            <w:tcW w:w="1804" w:type="dxa"/>
            <w:tcBorders>
              <w:top w:val="single" w:color="auto" w:sz="4" w:space="0"/>
              <w:left w:val="single" w:color="auto" w:sz="4" w:space="0"/>
              <w:bottom w:val="single" w:color="auto" w:sz="4" w:space="0"/>
              <w:right w:val="single" w:color="auto" w:sz="4" w:space="0"/>
              <w:tl2br w:val="nil"/>
              <w:tr2bl w:val="nil"/>
            </w:tcBorders>
            <w:noWrap/>
            <w:tcMar>
              <w:top w:w="12" w:type="dxa"/>
              <w:left w:w="12" w:type="dxa"/>
              <w:right w:w="12" w:type="dxa"/>
            </w:tcMar>
            <w:vAlign w:val="center"/>
          </w:tcPr>
          <w:p>
            <w:pPr>
              <w:keepNext w:val="0"/>
              <w:keepLines w:val="0"/>
              <w:widowControl/>
              <w:suppressLineNumbers w:val="0"/>
              <w:adjustRightInd w:val="0"/>
              <w:spacing w:before="0" w:beforeAutospacing="0" w:after="0" w:afterAutospacing="0" w:line="240" w:lineRule="auto"/>
              <w:ind w:left="0" w:leftChars="0" w:right="0" w:rightChars="0" w:firstLine="0" w:firstLineChars="0"/>
              <w:jc w:val="center"/>
              <w:textAlignment w:val="center"/>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rPr>
              <w:t>2</w:t>
            </w:r>
            <w:r>
              <w:rPr>
                <w:rFonts w:hint="eastAsia" w:ascii="Times New Roman" w:hAnsi="Times New Roman" w:eastAsia="宋体" w:cs="Times New Roman"/>
                <w:color w:val="auto"/>
                <w:kern w:val="0"/>
                <w:sz w:val="21"/>
                <w:szCs w:val="21"/>
                <w:highlight w:val="none"/>
              </w:rPr>
              <w:t>000元</w:t>
            </w:r>
            <w:r>
              <w:rPr>
                <w:rFonts w:hint="eastAsia" w:ascii="Times New Roman" w:hAnsi="Times New Roman" w:eastAsia="宋体" w:cs="Times New Roman"/>
                <w:color w:val="auto"/>
                <w:kern w:val="0"/>
                <w:sz w:val="21"/>
                <w:szCs w:val="21"/>
                <w:highlight w:val="none"/>
                <w:lang w:eastAsia="zh-CN"/>
              </w:rPr>
              <w:t>/</w:t>
            </w:r>
            <w:r>
              <w:rPr>
                <w:rFonts w:hint="eastAsia" w:ascii="Times New Roman" w:hAnsi="Times New Roman" w:eastAsia="宋体" w:cs="Times New Roman"/>
                <w:color w:val="auto"/>
                <w:kern w:val="0"/>
                <w:sz w:val="21"/>
                <w:szCs w:val="21"/>
                <w:highlight w:val="none"/>
              </w:rPr>
              <w:t>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449" w:type="dxa"/>
            <w:tcBorders>
              <w:top w:val="single" w:color="auto" w:sz="4" w:space="0"/>
              <w:left w:val="single" w:color="auto" w:sz="4" w:space="0"/>
              <w:bottom w:val="single" w:color="auto" w:sz="4" w:space="0"/>
              <w:right w:val="single" w:color="auto" w:sz="4" w:space="0"/>
              <w:tl2br w:val="nil"/>
              <w:tr2bl w:val="nil"/>
            </w:tcBorders>
            <w:noWrap/>
            <w:tcMar>
              <w:top w:w="12" w:type="dxa"/>
              <w:left w:w="12" w:type="dxa"/>
              <w:right w:w="12" w:type="dxa"/>
            </w:tcMar>
            <w:vAlign w:val="center"/>
          </w:tcPr>
          <w:p>
            <w:pPr>
              <w:keepNext w:val="0"/>
              <w:keepLines w:val="0"/>
              <w:widowControl/>
              <w:suppressLineNumbers w:val="0"/>
              <w:spacing w:line="240" w:lineRule="auto"/>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28</w:t>
            </w:r>
          </w:p>
        </w:tc>
        <w:tc>
          <w:tcPr>
            <w:tcW w:w="550" w:type="dxa"/>
            <w:vMerge w:val="continue"/>
            <w:tcBorders>
              <w:left w:val="single" w:color="auto" w:sz="4" w:space="0"/>
              <w:right w:val="single" w:color="auto" w:sz="4" w:space="0"/>
              <w:tl2br w:val="nil"/>
              <w:tr2bl w:val="nil"/>
            </w:tcBorders>
            <w:noWrap w:val="0"/>
            <w:tcMar>
              <w:top w:w="12" w:type="dxa"/>
              <w:left w:w="12" w:type="dxa"/>
              <w:right w:w="12" w:type="dxa"/>
            </w:tcMar>
            <w:vAlign w:val="center"/>
          </w:tcPr>
          <w:p>
            <w:pPr>
              <w:keepNext w:val="0"/>
              <w:keepLines w:val="0"/>
              <w:suppressLineNumbers w:val="0"/>
              <w:adjustRightInd w:val="0"/>
              <w:spacing w:before="0" w:beforeAutospacing="0" w:after="0" w:afterAutospacing="0" w:line="240" w:lineRule="auto"/>
              <w:ind w:left="0" w:right="0" w:firstLine="0" w:firstLineChars="0"/>
              <w:jc w:val="center"/>
              <w:textAlignment w:val="baseline"/>
              <w:rPr>
                <w:rFonts w:hint="default" w:cs="Times New Roman"/>
                <w:color w:val="auto"/>
                <w:kern w:val="0"/>
                <w:sz w:val="21"/>
                <w:szCs w:val="21"/>
                <w:highlight w:val="none"/>
              </w:rPr>
            </w:pPr>
          </w:p>
        </w:tc>
        <w:tc>
          <w:tcPr>
            <w:tcW w:w="5520" w:type="dxa"/>
            <w:tcBorders>
              <w:top w:val="single" w:color="auto" w:sz="4" w:space="0"/>
              <w:left w:val="single" w:color="auto" w:sz="4" w:space="0"/>
              <w:bottom w:val="single" w:color="auto" w:sz="4" w:space="0"/>
              <w:right w:val="single" w:color="auto" w:sz="4" w:space="0"/>
              <w:tl2br w:val="nil"/>
              <w:tr2bl w:val="nil"/>
            </w:tcBorders>
            <w:noWrap w:val="0"/>
            <w:tcMar>
              <w:top w:w="12" w:type="dxa"/>
              <w:left w:w="12" w:type="dxa"/>
              <w:right w:w="12" w:type="dxa"/>
            </w:tcMar>
            <w:vAlign w:val="center"/>
          </w:tcPr>
          <w:p>
            <w:pPr>
              <w:spacing w:before="120" w:after="120" w:line="240" w:lineRule="auto"/>
              <w:ind w:left="0" w:leftChars="0"/>
              <w:jc w:val="left"/>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sz w:val="21"/>
                <w:szCs w:val="21"/>
                <w:highlight w:val="none"/>
              </w:rPr>
              <w:t>备品备件、工器具管理混乱、无标识、账物不符</w:t>
            </w:r>
            <w:r>
              <w:rPr>
                <w:rFonts w:hint="eastAsia" w:ascii="宋体" w:hAnsi="宋体" w:eastAsia="宋体" w:cs="宋体"/>
                <w:color w:val="auto"/>
                <w:sz w:val="21"/>
                <w:szCs w:val="21"/>
                <w:highlight w:val="none"/>
                <w:lang w:eastAsia="zh-CN"/>
              </w:rPr>
              <w:t>。</w:t>
            </w:r>
          </w:p>
        </w:tc>
        <w:tc>
          <w:tcPr>
            <w:tcW w:w="1090" w:type="dxa"/>
            <w:tcBorders>
              <w:top w:val="single" w:color="auto" w:sz="4" w:space="0"/>
              <w:left w:val="single" w:color="auto" w:sz="4" w:space="0"/>
              <w:bottom w:val="single" w:color="auto" w:sz="4" w:space="0"/>
              <w:right w:val="single" w:color="auto" w:sz="4" w:space="0"/>
              <w:tl2br w:val="nil"/>
              <w:tr2bl w:val="nil"/>
            </w:tcBorders>
            <w:noWrap/>
            <w:tcMar>
              <w:top w:w="12" w:type="dxa"/>
              <w:left w:w="12" w:type="dxa"/>
              <w:right w:w="12" w:type="dxa"/>
            </w:tcMar>
            <w:vAlign w:val="center"/>
          </w:tcPr>
          <w:p>
            <w:pPr>
              <w:keepNext w:val="0"/>
              <w:keepLines w:val="0"/>
              <w:widowControl/>
              <w:suppressLineNumbers w:val="0"/>
              <w:adjustRightInd w:val="0"/>
              <w:spacing w:before="0" w:beforeAutospacing="0" w:after="0" w:afterAutospacing="0" w:line="240" w:lineRule="auto"/>
              <w:ind w:left="0" w:leftChars="0" w:right="0" w:rightChars="0" w:firstLine="0" w:firstLineChars="0"/>
              <w:jc w:val="center"/>
              <w:textAlignment w:val="center"/>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rPr>
              <w:t>2</w:t>
            </w:r>
            <w:r>
              <w:rPr>
                <w:rFonts w:hint="eastAsia" w:ascii="Times New Roman" w:hAnsi="Times New Roman" w:eastAsia="宋体" w:cs="Times New Roman"/>
                <w:color w:val="auto"/>
                <w:kern w:val="0"/>
                <w:sz w:val="21"/>
                <w:szCs w:val="21"/>
                <w:highlight w:val="none"/>
              </w:rPr>
              <w:t>分</w:t>
            </w:r>
            <w:r>
              <w:rPr>
                <w:rFonts w:hint="eastAsia" w:ascii="Times New Roman" w:hAnsi="Times New Roman" w:eastAsia="宋体" w:cs="Times New Roman"/>
                <w:color w:val="auto"/>
                <w:kern w:val="0"/>
                <w:sz w:val="21"/>
                <w:szCs w:val="21"/>
                <w:highlight w:val="none"/>
                <w:lang w:eastAsia="zh-CN"/>
              </w:rPr>
              <w:t>/</w:t>
            </w:r>
            <w:r>
              <w:rPr>
                <w:rFonts w:hint="eastAsia" w:ascii="Times New Roman" w:hAnsi="Times New Roman" w:eastAsia="宋体" w:cs="Times New Roman"/>
                <w:color w:val="auto"/>
                <w:kern w:val="0"/>
                <w:sz w:val="21"/>
                <w:szCs w:val="21"/>
                <w:highlight w:val="none"/>
              </w:rPr>
              <w:t>次</w:t>
            </w:r>
          </w:p>
        </w:tc>
        <w:tc>
          <w:tcPr>
            <w:tcW w:w="1804" w:type="dxa"/>
            <w:tcBorders>
              <w:top w:val="single" w:color="auto" w:sz="4" w:space="0"/>
              <w:left w:val="single" w:color="auto" w:sz="4" w:space="0"/>
              <w:bottom w:val="single" w:color="auto" w:sz="4" w:space="0"/>
              <w:right w:val="single" w:color="auto" w:sz="4" w:space="0"/>
              <w:tl2br w:val="nil"/>
              <w:tr2bl w:val="nil"/>
            </w:tcBorders>
            <w:noWrap/>
            <w:tcMar>
              <w:top w:w="12" w:type="dxa"/>
              <w:left w:w="12" w:type="dxa"/>
              <w:right w:w="12" w:type="dxa"/>
            </w:tcMar>
            <w:vAlign w:val="center"/>
          </w:tcPr>
          <w:p>
            <w:pPr>
              <w:keepNext w:val="0"/>
              <w:keepLines w:val="0"/>
              <w:widowControl/>
              <w:suppressLineNumbers w:val="0"/>
              <w:adjustRightInd w:val="0"/>
              <w:spacing w:before="0" w:beforeAutospacing="0" w:after="0" w:afterAutospacing="0" w:line="240" w:lineRule="auto"/>
              <w:ind w:left="0" w:leftChars="0" w:right="0" w:rightChars="0" w:firstLine="0" w:firstLineChars="0"/>
              <w:jc w:val="center"/>
              <w:textAlignment w:val="center"/>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rPr>
              <w:t>500</w:t>
            </w:r>
            <w:r>
              <w:rPr>
                <w:rFonts w:hint="eastAsia" w:ascii="Times New Roman" w:hAnsi="Times New Roman" w:eastAsia="宋体" w:cs="Times New Roman"/>
                <w:color w:val="auto"/>
                <w:kern w:val="0"/>
                <w:sz w:val="21"/>
                <w:szCs w:val="21"/>
                <w:highlight w:val="none"/>
              </w:rPr>
              <w:t>元</w:t>
            </w:r>
            <w:r>
              <w:rPr>
                <w:rFonts w:hint="eastAsia" w:ascii="Times New Roman" w:hAnsi="Times New Roman" w:eastAsia="宋体" w:cs="Times New Roman"/>
                <w:color w:val="auto"/>
                <w:kern w:val="0"/>
                <w:sz w:val="21"/>
                <w:szCs w:val="21"/>
                <w:highlight w:val="none"/>
                <w:lang w:eastAsia="zh-CN"/>
              </w:rPr>
              <w:t>/</w:t>
            </w:r>
            <w:r>
              <w:rPr>
                <w:rFonts w:hint="eastAsia" w:ascii="Times New Roman" w:hAnsi="Times New Roman" w:eastAsia="宋体" w:cs="Times New Roman"/>
                <w:color w:val="auto"/>
                <w:kern w:val="0"/>
                <w:sz w:val="21"/>
                <w:szCs w:val="21"/>
                <w:highlight w:val="none"/>
              </w:rPr>
              <w:t>次</w:t>
            </w:r>
          </w:p>
        </w:tc>
      </w:tr>
      <w:bookmarkEnd w:id="170"/>
      <w:bookmarkEnd w:id="171"/>
      <w:bookmarkEnd w:id="206"/>
      <w:bookmarkEnd w:id="207"/>
      <w:bookmarkEnd w:id="208"/>
      <w:bookmarkEnd w:id="254"/>
      <w:bookmarkEnd w:id="255"/>
      <w:bookmarkEnd w:id="256"/>
      <w:bookmarkEnd w:id="257"/>
      <w:bookmarkEnd w:id="258"/>
    </w:tbl>
    <w:p>
      <w:pPr>
        <w:snapToGrid w:val="0"/>
        <w:spacing w:line="240" w:lineRule="exact"/>
        <w:rPr>
          <w:bCs/>
          <w:color w:val="auto"/>
          <w:sz w:val="21"/>
          <w:szCs w:val="21"/>
          <w:highlight w:val="none"/>
        </w:rPr>
      </w:pPr>
    </w:p>
    <w:p>
      <w:pPr>
        <w:ind w:left="0" w:leftChars="0" w:firstLine="0" w:firstLineChars="0"/>
        <w:rPr>
          <w:rFonts w:hint="eastAsia" w:eastAsia="黑体"/>
          <w:bCs/>
          <w:kern w:val="44"/>
          <w:sz w:val="44"/>
          <w:szCs w:val="44"/>
          <w:highlight w:val="none"/>
        </w:rPr>
      </w:pPr>
      <w:r>
        <w:rPr>
          <w:rFonts w:hint="eastAsia" w:eastAsia="黑体"/>
          <w:bCs/>
          <w:kern w:val="44"/>
          <w:sz w:val="44"/>
          <w:szCs w:val="44"/>
          <w:highlight w:val="none"/>
        </w:rPr>
        <w:br w:type="page"/>
      </w:r>
    </w:p>
    <w:p>
      <w:pPr>
        <w:keepNext/>
        <w:keepLines/>
        <w:ind w:firstLine="140" w:firstLineChars="32"/>
        <w:jc w:val="center"/>
        <w:outlineLvl w:val="0"/>
        <w:rPr>
          <w:rFonts w:hint="eastAsia" w:eastAsia="黑体"/>
          <w:bCs/>
          <w:kern w:val="44"/>
          <w:sz w:val="44"/>
          <w:szCs w:val="44"/>
          <w:highlight w:val="none"/>
        </w:rPr>
      </w:pPr>
    </w:p>
    <w:p>
      <w:pPr>
        <w:keepNext/>
        <w:keepLines/>
        <w:ind w:firstLine="140" w:firstLineChars="32"/>
        <w:jc w:val="center"/>
        <w:outlineLvl w:val="0"/>
        <w:rPr>
          <w:rFonts w:hint="eastAsia" w:eastAsia="黑体"/>
          <w:bCs/>
          <w:kern w:val="44"/>
          <w:sz w:val="44"/>
          <w:szCs w:val="44"/>
          <w:highlight w:val="none"/>
        </w:rPr>
      </w:pPr>
    </w:p>
    <w:p>
      <w:pPr>
        <w:keepNext/>
        <w:keepLines/>
        <w:ind w:firstLine="140" w:firstLineChars="32"/>
        <w:jc w:val="center"/>
        <w:outlineLvl w:val="0"/>
        <w:rPr>
          <w:rFonts w:hint="eastAsia" w:eastAsia="黑体"/>
          <w:bCs/>
          <w:kern w:val="44"/>
          <w:sz w:val="44"/>
          <w:szCs w:val="44"/>
          <w:highlight w:val="none"/>
        </w:rPr>
      </w:pPr>
    </w:p>
    <w:p>
      <w:pPr>
        <w:keepNext/>
        <w:keepLines/>
        <w:ind w:firstLine="140" w:firstLineChars="32"/>
        <w:jc w:val="center"/>
        <w:outlineLvl w:val="0"/>
        <w:rPr>
          <w:rFonts w:hint="eastAsia" w:eastAsia="黑体"/>
          <w:bCs/>
          <w:kern w:val="44"/>
          <w:sz w:val="44"/>
          <w:szCs w:val="44"/>
          <w:highlight w:val="none"/>
        </w:rPr>
      </w:pPr>
    </w:p>
    <w:p>
      <w:pPr>
        <w:keepNext/>
        <w:keepLines/>
        <w:ind w:firstLine="140" w:firstLineChars="32"/>
        <w:jc w:val="center"/>
        <w:outlineLvl w:val="0"/>
        <w:rPr>
          <w:rFonts w:hint="eastAsia" w:eastAsia="黑体"/>
          <w:bCs/>
          <w:kern w:val="44"/>
          <w:sz w:val="44"/>
          <w:szCs w:val="44"/>
          <w:highlight w:val="none"/>
        </w:rPr>
      </w:pPr>
    </w:p>
    <w:p>
      <w:pPr>
        <w:keepNext/>
        <w:keepLines/>
        <w:ind w:firstLine="140" w:firstLineChars="32"/>
        <w:jc w:val="center"/>
        <w:outlineLvl w:val="0"/>
        <w:rPr>
          <w:rFonts w:hint="eastAsia" w:eastAsia="黑体"/>
          <w:bCs/>
          <w:kern w:val="44"/>
          <w:sz w:val="44"/>
          <w:szCs w:val="44"/>
          <w:highlight w:val="none"/>
        </w:rPr>
      </w:pPr>
    </w:p>
    <w:p>
      <w:pPr>
        <w:keepNext/>
        <w:keepLines/>
        <w:ind w:firstLine="140" w:firstLineChars="32"/>
        <w:jc w:val="center"/>
        <w:outlineLvl w:val="0"/>
        <w:rPr>
          <w:rFonts w:hint="eastAsia" w:eastAsia="黑体"/>
          <w:bCs/>
          <w:kern w:val="44"/>
          <w:sz w:val="44"/>
          <w:szCs w:val="44"/>
          <w:highlight w:val="none"/>
        </w:rPr>
      </w:pPr>
    </w:p>
    <w:p>
      <w:pPr>
        <w:keepNext/>
        <w:keepLines/>
        <w:ind w:firstLine="140" w:firstLineChars="32"/>
        <w:jc w:val="center"/>
        <w:outlineLvl w:val="0"/>
        <w:rPr>
          <w:rFonts w:hint="eastAsia" w:eastAsia="黑体"/>
          <w:bCs/>
          <w:kern w:val="44"/>
          <w:sz w:val="44"/>
          <w:szCs w:val="44"/>
          <w:highlight w:val="none"/>
        </w:rPr>
      </w:pPr>
    </w:p>
    <w:p>
      <w:pPr>
        <w:keepNext/>
        <w:keepLines/>
        <w:ind w:firstLine="140" w:firstLineChars="32"/>
        <w:jc w:val="center"/>
        <w:outlineLvl w:val="0"/>
        <w:rPr>
          <w:rFonts w:eastAsia="黑体"/>
          <w:bCs/>
          <w:kern w:val="44"/>
          <w:sz w:val="44"/>
          <w:szCs w:val="44"/>
          <w:highlight w:val="none"/>
        </w:rPr>
      </w:pPr>
      <w:r>
        <w:rPr>
          <w:rFonts w:hint="eastAsia" w:eastAsia="黑体"/>
          <w:bCs/>
          <w:kern w:val="44"/>
          <w:sz w:val="44"/>
          <w:szCs w:val="44"/>
          <w:highlight w:val="none"/>
        </w:rPr>
        <w:t xml:space="preserve">第六章 </w:t>
      </w:r>
      <w:r>
        <w:rPr>
          <w:rFonts w:hint="eastAsia" w:eastAsia="黑体"/>
          <w:bCs/>
          <w:kern w:val="44"/>
          <w:sz w:val="44"/>
          <w:szCs w:val="44"/>
          <w:highlight w:val="none"/>
          <w:lang w:eastAsia="zh-CN"/>
        </w:rPr>
        <w:t>投标文件</w:t>
      </w:r>
      <w:r>
        <w:rPr>
          <w:rFonts w:hint="eastAsia" w:eastAsia="黑体"/>
          <w:bCs/>
          <w:kern w:val="44"/>
          <w:sz w:val="44"/>
          <w:szCs w:val="44"/>
          <w:highlight w:val="none"/>
        </w:rPr>
        <w:t>格式</w:t>
      </w:r>
      <w:bookmarkEnd w:id="124"/>
    </w:p>
    <w:p>
      <w:pPr>
        <w:widowControl/>
        <w:spacing w:line="240" w:lineRule="auto"/>
        <w:ind w:firstLine="0" w:firstLineChars="0"/>
        <w:jc w:val="left"/>
        <w:rPr>
          <w:highlight w:val="none"/>
        </w:rPr>
      </w:pPr>
      <w:r>
        <w:rPr>
          <w:highlight w:val="none"/>
        </w:rPr>
        <w:br w:type="page"/>
      </w:r>
    </w:p>
    <w:p>
      <w:pPr>
        <w:pStyle w:val="4"/>
        <w:ind w:firstLine="0" w:firstLineChars="0"/>
        <w:rPr>
          <w:highlight w:val="none"/>
        </w:rPr>
      </w:pPr>
      <w:r>
        <w:rPr>
          <w:rFonts w:hint="eastAsia"/>
          <w:highlight w:val="none"/>
          <w:lang w:eastAsia="zh-CN"/>
        </w:rPr>
        <w:t>投标文件</w:t>
      </w:r>
      <w:r>
        <w:rPr>
          <w:rFonts w:hint="eastAsia"/>
          <w:highlight w:val="none"/>
        </w:rPr>
        <w:t>封面</w:t>
      </w:r>
    </w:p>
    <w:p>
      <w:pPr>
        <w:ind w:firstLine="0" w:firstLineChars="0"/>
        <w:rPr>
          <w:highlight w:val="none"/>
        </w:rPr>
      </w:pPr>
      <w:r>
        <w:rPr>
          <w:rFonts w:hint="eastAsia"/>
          <w:highlight w:val="none"/>
        </w:rPr>
        <w:t>（粘贴于各封袋上）</w:t>
      </w:r>
    </w:p>
    <w:p>
      <w:pPr>
        <w:ind w:firstLine="480"/>
        <w:jc w:val="right"/>
        <w:rPr>
          <w:rFonts w:ascii="宋体" w:hAnsi="宋体" w:cs="宋体"/>
          <w:bCs/>
          <w:sz w:val="36"/>
          <w:szCs w:val="36"/>
          <w:highlight w:val="none"/>
        </w:rPr>
      </w:pPr>
      <w:r>
        <w:rPr>
          <w:rFonts w:hint="eastAsia" w:ascii="宋体" w:hAnsi="宋体" w:cs="宋体"/>
          <w:highlight w:val="none"/>
        </w:rPr>
        <w:t xml:space="preserve"> </w:t>
      </w:r>
      <w:r>
        <w:rPr>
          <w:rFonts w:ascii="宋体" w:hAnsi="宋体" w:cs="宋体"/>
          <w:highlight w:val="none"/>
        </w:rPr>
        <w:t xml:space="preserve">                                                                    </w:t>
      </w:r>
    </w:p>
    <w:p>
      <w:pPr>
        <w:ind w:firstLine="0" w:firstLineChars="0"/>
        <w:jc w:val="center"/>
        <w:rPr>
          <w:rFonts w:ascii="宋体" w:hAnsi="宋体" w:cs="宋体"/>
          <w:b/>
          <w:sz w:val="40"/>
          <w:szCs w:val="40"/>
          <w:highlight w:val="none"/>
        </w:rPr>
      </w:pPr>
    </w:p>
    <w:p>
      <w:pPr>
        <w:ind w:firstLine="0" w:firstLineChars="0"/>
        <w:jc w:val="center"/>
        <w:rPr>
          <w:rFonts w:hint="eastAsia" w:ascii="宋体" w:hAnsi="宋体" w:eastAsia="宋体" w:cs="宋体"/>
          <w:b/>
          <w:sz w:val="40"/>
          <w:szCs w:val="40"/>
          <w:highlight w:val="none"/>
          <w:lang w:eastAsia="zh-CN"/>
        </w:rPr>
      </w:pPr>
      <w:r>
        <w:rPr>
          <w:rFonts w:hint="eastAsia" w:ascii="宋体" w:hAnsi="宋体" w:cs="宋体"/>
          <w:b/>
          <w:sz w:val="40"/>
          <w:szCs w:val="40"/>
          <w:highlight w:val="none"/>
          <w:lang w:eastAsia="zh-CN"/>
        </w:rPr>
        <w:t>南通轨道交通集团有限公司运营分公司2026-2029年2号线结构监测委外维保项目</w:t>
      </w:r>
    </w:p>
    <w:p>
      <w:pPr>
        <w:ind w:firstLine="0" w:firstLineChars="0"/>
        <w:jc w:val="center"/>
        <w:rPr>
          <w:rFonts w:ascii="宋体" w:hAnsi="宋体" w:cs="宋体"/>
          <w:bCs/>
          <w:sz w:val="36"/>
          <w:szCs w:val="36"/>
          <w:highlight w:val="none"/>
        </w:rPr>
      </w:pPr>
      <w:r>
        <w:rPr>
          <w:rFonts w:hint="eastAsia" w:ascii="宋体" w:hAnsi="宋体" w:cs="宋体"/>
          <w:b/>
          <w:sz w:val="40"/>
          <w:szCs w:val="40"/>
          <w:highlight w:val="none"/>
        </w:rPr>
        <w:t>（项目编号：</w:t>
      </w:r>
      <w:r>
        <w:rPr>
          <w:rFonts w:hint="eastAsia" w:ascii="宋体" w:hAnsi="宋体" w:cs="宋体"/>
          <w:b/>
          <w:sz w:val="40"/>
          <w:szCs w:val="40"/>
          <w:highlight w:val="none"/>
          <w:lang w:eastAsia="zh-CN"/>
        </w:rPr>
        <w:t>NTGY-2026-FW-ZB-034</w:t>
      </w:r>
      <w:r>
        <w:rPr>
          <w:rFonts w:hint="eastAsia" w:ascii="宋体" w:hAnsi="宋体" w:cs="宋体"/>
          <w:b/>
          <w:sz w:val="40"/>
          <w:szCs w:val="40"/>
          <w:highlight w:val="none"/>
        </w:rPr>
        <w:t>）</w:t>
      </w:r>
    </w:p>
    <w:p>
      <w:pPr>
        <w:ind w:firstLine="0" w:firstLineChars="0"/>
        <w:jc w:val="center"/>
        <w:rPr>
          <w:rFonts w:ascii="宋体" w:hAnsi="宋体" w:cs="宋体"/>
          <w:bCs/>
          <w:sz w:val="36"/>
          <w:szCs w:val="36"/>
          <w:highlight w:val="none"/>
        </w:rPr>
      </w:pPr>
    </w:p>
    <w:p>
      <w:pPr>
        <w:ind w:firstLine="0" w:firstLineChars="0"/>
        <w:jc w:val="center"/>
        <w:rPr>
          <w:rFonts w:ascii="宋体" w:hAnsi="宋体" w:cs="宋体"/>
          <w:bCs/>
          <w:sz w:val="36"/>
          <w:szCs w:val="36"/>
          <w:highlight w:val="none"/>
        </w:rPr>
      </w:pPr>
    </w:p>
    <w:p>
      <w:pPr>
        <w:ind w:firstLine="0" w:firstLineChars="0"/>
        <w:jc w:val="center"/>
        <w:rPr>
          <w:rFonts w:ascii="宋体" w:hAnsi="宋体" w:cs="宋体"/>
          <w:bCs/>
          <w:sz w:val="36"/>
          <w:szCs w:val="36"/>
          <w:highlight w:val="none"/>
        </w:rPr>
      </w:pPr>
    </w:p>
    <w:p>
      <w:pPr>
        <w:ind w:firstLine="0" w:firstLineChars="0"/>
        <w:jc w:val="center"/>
        <w:rPr>
          <w:rFonts w:hint="eastAsia" w:ascii="宋体" w:hAnsi="宋体" w:eastAsia="宋体" w:cs="宋体"/>
          <w:bCs/>
          <w:sz w:val="52"/>
          <w:szCs w:val="52"/>
          <w:highlight w:val="none"/>
          <w:lang w:eastAsia="zh-CN"/>
        </w:rPr>
      </w:pPr>
      <w:r>
        <w:rPr>
          <w:rFonts w:hint="eastAsia" w:ascii="宋体" w:hAnsi="宋体" w:cs="宋体"/>
          <w:bCs/>
          <w:sz w:val="52"/>
          <w:szCs w:val="52"/>
          <w:highlight w:val="none"/>
          <w:lang w:eastAsia="zh-CN"/>
        </w:rPr>
        <w:t>投标文件</w:t>
      </w:r>
    </w:p>
    <w:p>
      <w:pPr>
        <w:pStyle w:val="7"/>
        <w:ind w:firstLine="0" w:firstLineChars="0"/>
        <w:jc w:val="center"/>
        <w:rPr>
          <w:highlight w:val="none"/>
        </w:rPr>
      </w:pPr>
      <w:r>
        <w:rPr>
          <w:rFonts w:hint="eastAsia"/>
          <w:b/>
          <w:bCs/>
          <w:highlight w:val="none"/>
        </w:rPr>
        <w:t>资格审查部分/商务技术部分/报价部分/电子文本</w:t>
      </w:r>
    </w:p>
    <w:p>
      <w:pPr>
        <w:ind w:firstLine="0" w:firstLineChars="0"/>
        <w:jc w:val="center"/>
        <w:rPr>
          <w:rFonts w:ascii="宋体" w:hAnsi="宋体" w:cs="宋体"/>
          <w:b/>
          <w:sz w:val="36"/>
          <w:szCs w:val="36"/>
          <w:highlight w:val="none"/>
        </w:rPr>
      </w:pPr>
      <w:r>
        <w:rPr>
          <w:rFonts w:hint="eastAsia" w:ascii="宋体" w:hAnsi="宋体" w:cs="宋体"/>
          <w:bCs/>
          <w:sz w:val="32"/>
          <w:szCs w:val="32"/>
          <w:highlight w:val="none"/>
        </w:rPr>
        <w:t>（在</w:t>
      </w:r>
      <w:r>
        <w:rPr>
          <w:rFonts w:hint="eastAsia" w:ascii="宋体" w:hAnsi="宋体" w:cs="宋体"/>
          <w:bCs/>
          <w:sz w:val="32"/>
          <w:szCs w:val="32"/>
          <w:highlight w:val="none"/>
          <w:lang w:eastAsia="zh-CN"/>
        </w:rPr>
        <w:t>投标文件</w:t>
      </w:r>
      <w:r>
        <w:rPr>
          <w:rFonts w:hint="eastAsia" w:ascii="宋体" w:hAnsi="宋体" w:cs="宋体"/>
          <w:bCs/>
          <w:sz w:val="32"/>
          <w:szCs w:val="32"/>
          <w:highlight w:val="none"/>
        </w:rPr>
        <w:t>递交截止时间前不得开启）</w:t>
      </w:r>
    </w:p>
    <w:p>
      <w:pPr>
        <w:ind w:firstLine="0" w:firstLineChars="0"/>
        <w:jc w:val="center"/>
        <w:rPr>
          <w:rFonts w:ascii="宋体" w:hAnsi="宋体" w:cs="宋体"/>
          <w:b/>
          <w:sz w:val="36"/>
          <w:szCs w:val="36"/>
          <w:highlight w:val="none"/>
        </w:rPr>
      </w:pPr>
    </w:p>
    <w:p>
      <w:pPr>
        <w:ind w:firstLine="0" w:firstLineChars="0"/>
        <w:jc w:val="center"/>
        <w:rPr>
          <w:rFonts w:ascii="宋体" w:hAnsi="宋体" w:cs="宋体"/>
          <w:b/>
          <w:sz w:val="36"/>
          <w:szCs w:val="36"/>
          <w:highlight w:val="none"/>
        </w:rPr>
      </w:pPr>
    </w:p>
    <w:p>
      <w:pPr>
        <w:ind w:firstLine="0" w:firstLineChars="0"/>
        <w:jc w:val="center"/>
        <w:rPr>
          <w:rFonts w:ascii="宋体" w:hAnsi="宋体" w:cs="宋体"/>
          <w:b/>
          <w:sz w:val="36"/>
          <w:szCs w:val="36"/>
          <w:highlight w:val="none"/>
        </w:rPr>
      </w:pPr>
    </w:p>
    <w:p>
      <w:pPr>
        <w:ind w:firstLine="0" w:firstLineChars="0"/>
        <w:jc w:val="center"/>
        <w:rPr>
          <w:rFonts w:ascii="宋体" w:hAnsi="宋体" w:cs="宋体"/>
          <w:b/>
          <w:sz w:val="36"/>
          <w:szCs w:val="36"/>
          <w:highlight w:val="none"/>
        </w:rPr>
      </w:pPr>
    </w:p>
    <w:p>
      <w:pPr>
        <w:ind w:firstLine="0" w:firstLineChars="0"/>
        <w:rPr>
          <w:rFonts w:ascii="宋体" w:hAnsi="宋体" w:cs="宋体"/>
          <w:b/>
          <w:sz w:val="36"/>
          <w:szCs w:val="36"/>
          <w:highlight w:val="none"/>
        </w:rPr>
      </w:pPr>
    </w:p>
    <w:p>
      <w:pPr>
        <w:ind w:firstLine="480"/>
        <w:jc w:val="center"/>
        <w:rPr>
          <w:rFonts w:ascii="宋体" w:hAnsi="宋体" w:cs="宋体"/>
          <w:highlight w:val="none"/>
          <w:u w:val="single"/>
        </w:rPr>
      </w:pPr>
      <w:r>
        <w:rPr>
          <w:rFonts w:hint="eastAsia" w:ascii="宋体" w:hAnsi="宋体" w:cs="宋体"/>
          <w:highlight w:val="none"/>
          <w:lang w:eastAsia="zh-CN"/>
        </w:rPr>
        <w:t>投标人</w:t>
      </w:r>
      <w:r>
        <w:rPr>
          <w:rFonts w:hint="eastAsia" w:ascii="宋体" w:hAnsi="宋体" w:cs="宋体"/>
          <w:highlight w:val="none"/>
        </w:rPr>
        <w:t>：</w:t>
      </w:r>
      <w:r>
        <w:rPr>
          <w:rFonts w:hint="eastAsia" w:ascii="宋体" w:hAnsi="宋体" w:cs="宋体"/>
          <w:highlight w:val="none"/>
          <w:u w:val="single"/>
        </w:rPr>
        <w:t xml:space="preserve">               （加盖公章）</w:t>
      </w:r>
    </w:p>
    <w:p>
      <w:pPr>
        <w:ind w:firstLine="480"/>
        <w:jc w:val="center"/>
        <w:rPr>
          <w:rFonts w:ascii="宋体" w:hAnsi="宋体" w:cs="宋体"/>
          <w:highlight w:val="none"/>
          <w:u w:val="single"/>
        </w:rPr>
      </w:pPr>
      <w:r>
        <w:rPr>
          <w:rFonts w:hint="eastAsia" w:ascii="宋体" w:hAnsi="宋体" w:cs="宋体"/>
          <w:highlight w:val="none"/>
        </w:rPr>
        <w:t>法定代表人或授权代理人：</w:t>
      </w:r>
      <w:r>
        <w:rPr>
          <w:rFonts w:hint="eastAsia" w:ascii="宋体" w:hAnsi="宋体" w:cs="宋体"/>
          <w:highlight w:val="none"/>
          <w:u w:val="single"/>
        </w:rPr>
        <w:t xml:space="preserve">   （签字）</w:t>
      </w:r>
    </w:p>
    <w:p>
      <w:pPr>
        <w:ind w:firstLine="480"/>
        <w:jc w:val="center"/>
        <w:rPr>
          <w:rFonts w:ascii="宋体" w:hAnsi="宋体" w:cs="宋体"/>
          <w:highlight w:val="none"/>
        </w:rPr>
      </w:pPr>
      <w:r>
        <w:rPr>
          <w:rFonts w:hint="eastAsia" w:ascii="宋体" w:hAnsi="宋体" w:cs="宋体"/>
          <w:highlight w:val="none"/>
        </w:rPr>
        <w:t>日期：</w:t>
      </w:r>
      <w:r>
        <w:rPr>
          <w:rFonts w:hint="eastAsia" w:ascii="宋体" w:hAnsi="宋体" w:cs="宋体"/>
          <w:highlight w:val="none"/>
          <w:u w:val="single"/>
        </w:rPr>
        <w:t xml:space="preserve">        </w:t>
      </w:r>
      <w:r>
        <w:rPr>
          <w:rFonts w:hint="eastAsia" w:ascii="宋体" w:hAnsi="宋体" w:cs="宋体"/>
          <w:highlight w:val="none"/>
        </w:rPr>
        <w:t>年</w:t>
      </w:r>
      <w:r>
        <w:rPr>
          <w:rFonts w:hint="eastAsia" w:ascii="宋体" w:hAnsi="宋体" w:cs="宋体"/>
          <w:highlight w:val="none"/>
          <w:u w:val="single"/>
        </w:rPr>
        <w:t xml:space="preserve">      </w:t>
      </w:r>
      <w:r>
        <w:rPr>
          <w:rFonts w:hint="eastAsia" w:ascii="宋体" w:hAnsi="宋体" w:cs="宋体"/>
          <w:highlight w:val="none"/>
        </w:rPr>
        <w:t>月</w:t>
      </w:r>
      <w:r>
        <w:rPr>
          <w:rFonts w:hint="eastAsia" w:ascii="宋体" w:hAnsi="宋体" w:cs="宋体"/>
          <w:highlight w:val="none"/>
          <w:u w:val="single"/>
        </w:rPr>
        <w:t xml:space="preserve">      </w:t>
      </w:r>
      <w:r>
        <w:rPr>
          <w:rFonts w:hint="eastAsia" w:ascii="宋体" w:hAnsi="宋体" w:cs="宋体"/>
          <w:highlight w:val="none"/>
        </w:rPr>
        <w:t>日</w:t>
      </w:r>
    </w:p>
    <w:p>
      <w:pPr>
        <w:pStyle w:val="4"/>
        <w:ind w:firstLine="0" w:firstLineChars="0"/>
        <w:rPr>
          <w:highlight w:val="none"/>
        </w:rPr>
      </w:pPr>
      <w:r>
        <w:rPr>
          <w:rFonts w:hint="eastAsia"/>
          <w:highlight w:val="none"/>
        </w:rPr>
        <w:t>第一册 资格审查部分</w:t>
      </w:r>
    </w:p>
    <w:p>
      <w:pPr>
        <w:ind w:firstLine="480"/>
        <w:jc w:val="right"/>
        <w:rPr>
          <w:rFonts w:ascii="宋体" w:hAnsi="宋体" w:cs="宋体"/>
          <w:bCs/>
          <w:sz w:val="36"/>
          <w:szCs w:val="36"/>
          <w:highlight w:val="none"/>
        </w:rPr>
      </w:pPr>
      <w:r>
        <w:rPr>
          <w:rFonts w:hint="eastAsia" w:ascii="宋体" w:hAnsi="宋体" w:cs="宋体"/>
          <w:highlight w:val="none"/>
        </w:rPr>
        <w:t xml:space="preserve"> </w:t>
      </w:r>
      <w:r>
        <w:rPr>
          <w:rFonts w:ascii="宋体" w:hAnsi="宋体" w:cs="宋体"/>
          <w:highlight w:val="none"/>
        </w:rPr>
        <w:t xml:space="preserve">                                                                    </w:t>
      </w:r>
      <w:r>
        <w:rPr>
          <w:rFonts w:hint="eastAsia" w:ascii="宋体" w:hAnsi="宋体" w:cs="宋体"/>
          <w:highlight w:val="none"/>
        </w:rPr>
        <w:t>正本/副本</w:t>
      </w:r>
    </w:p>
    <w:p>
      <w:pPr>
        <w:ind w:firstLine="0" w:firstLineChars="0"/>
        <w:jc w:val="center"/>
        <w:rPr>
          <w:rFonts w:ascii="宋体" w:hAnsi="宋体" w:cs="宋体"/>
          <w:b/>
          <w:sz w:val="40"/>
          <w:szCs w:val="40"/>
          <w:highlight w:val="none"/>
        </w:rPr>
      </w:pPr>
    </w:p>
    <w:p>
      <w:pPr>
        <w:ind w:firstLine="0" w:firstLineChars="0"/>
        <w:jc w:val="center"/>
        <w:rPr>
          <w:rFonts w:hint="eastAsia" w:ascii="宋体" w:hAnsi="宋体" w:eastAsia="宋体" w:cs="宋体"/>
          <w:b/>
          <w:sz w:val="40"/>
          <w:szCs w:val="40"/>
          <w:highlight w:val="none"/>
          <w:lang w:eastAsia="zh-CN"/>
        </w:rPr>
      </w:pPr>
      <w:r>
        <w:rPr>
          <w:rFonts w:hint="eastAsia" w:ascii="宋体" w:hAnsi="宋体" w:cs="宋体"/>
          <w:b/>
          <w:sz w:val="40"/>
          <w:szCs w:val="40"/>
          <w:highlight w:val="none"/>
          <w:lang w:eastAsia="zh-CN"/>
        </w:rPr>
        <w:t>南通轨道交通集团有限公司运营分公司2026-2029年2号线结构监测委外维保项目</w:t>
      </w:r>
    </w:p>
    <w:p>
      <w:pPr>
        <w:ind w:firstLine="0" w:firstLineChars="0"/>
        <w:jc w:val="center"/>
        <w:rPr>
          <w:rFonts w:ascii="宋体" w:hAnsi="宋体" w:cs="宋体"/>
          <w:bCs/>
          <w:sz w:val="36"/>
          <w:szCs w:val="36"/>
          <w:highlight w:val="none"/>
        </w:rPr>
      </w:pPr>
      <w:r>
        <w:rPr>
          <w:rFonts w:hint="eastAsia" w:ascii="宋体" w:hAnsi="宋体" w:cs="宋体"/>
          <w:b/>
          <w:sz w:val="40"/>
          <w:szCs w:val="40"/>
          <w:highlight w:val="none"/>
        </w:rPr>
        <w:t>（项目编号：</w:t>
      </w:r>
      <w:r>
        <w:rPr>
          <w:rFonts w:hint="eastAsia" w:ascii="宋体" w:hAnsi="宋体" w:cs="宋体"/>
          <w:b/>
          <w:sz w:val="40"/>
          <w:szCs w:val="40"/>
          <w:highlight w:val="none"/>
          <w:lang w:eastAsia="zh-CN"/>
        </w:rPr>
        <w:t>NTGY-2026-FW-ZB-034</w:t>
      </w:r>
      <w:r>
        <w:rPr>
          <w:rFonts w:hint="eastAsia" w:ascii="宋体" w:hAnsi="宋体" w:cs="宋体"/>
          <w:b/>
          <w:sz w:val="40"/>
          <w:szCs w:val="40"/>
          <w:highlight w:val="none"/>
        </w:rPr>
        <w:t>）</w:t>
      </w:r>
    </w:p>
    <w:p>
      <w:pPr>
        <w:ind w:firstLine="0" w:firstLineChars="0"/>
        <w:jc w:val="center"/>
        <w:rPr>
          <w:rFonts w:ascii="宋体" w:hAnsi="宋体" w:cs="宋体"/>
          <w:bCs/>
          <w:sz w:val="36"/>
          <w:szCs w:val="36"/>
          <w:highlight w:val="none"/>
        </w:rPr>
      </w:pPr>
    </w:p>
    <w:p>
      <w:pPr>
        <w:ind w:firstLine="0" w:firstLineChars="0"/>
        <w:jc w:val="center"/>
        <w:rPr>
          <w:rFonts w:ascii="宋体" w:hAnsi="宋体" w:cs="宋体"/>
          <w:bCs/>
          <w:sz w:val="36"/>
          <w:szCs w:val="36"/>
          <w:highlight w:val="none"/>
        </w:rPr>
      </w:pPr>
    </w:p>
    <w:p>
      <w:pPr>
        <w:ind w:firstLine="0" w:firstLineChars="0"/>
        <w:jc w:val="center"/>
        <w:rPr>
          <w:rFonts w:ascii="宋体" w:hAnsi="宋体" w:cs="宋体"/>
          <w:bCs/>
          <w:sz w:val="36"/>
          <w:szCs w:val="36"/>
          <w:highlight w:val="none"/>
        </w:rPr>
      </w:pPr>
    </w:p>
    <w:p>
      <w:pPr>
        <w:ind w:firstLine="0" w:firstLineChars="0"/>
        <w:jc w:val="center"/>
        <w:rPr>
          <w:rFonts w:hint="eastAsia" w:ascii="宋体" w:hAnsi="宋体" w:eastAsia="宋体" w:cs="宋体"/>
          <w:bCs/>
          <w:sz w:val="52"/>
          <w:szCs w:val="52"/>
          <w:highlight w:val="none"/>
          <w:lang w:eastAsia="zh-CN"/>
        </w:rPr>
      </w:pPr>
      <w:r>
        <w:rPr>
          <w:rFonts w:hint="eastAsia" w:ascii="宋体" w:hAnsi="宋体" w:cs="宋体"/>
          <w:bCs/>
          <w:sz w:val="52"/>
          <w:szCs w:val="52"/>
          <w:highlight w:val="none"/>
          <w:lang w:eastAsia="zh-CN"/>
        </w:rPr>
        <w:t>投标文件</w:t>
      </w:r>
    </w:p>
    <w:p>
      <w:pPr>
        <w:ind w:firstLine="0" w:firstLineChars="0"/>
        <w:jc w:val="center"/>
        <w:rPr>
          <w:rFonts w:ascii="宋体" w:hAnsi="宋体" w:cs="宋体"/>
          <w:bCs/>
          <w:sz w:val="32"/>
          <w:szCs w:val="32"/>
          <w:highlight w:val="none"/>
        </w:rPr>
      </w:pPr>
      <w:r>
        <w:rPr>
          <w:rFonts w:hint="eastAsia" w:ascii="宋体" w:hAnsi="宋体" w:cs="宋体"/>
          <w:bCs/>
          <w:sz w:val="32"/>
          <w:szCs w:val="32"/>
          <w:highlight w:val="none"/>
        </w:rPr>
        <w:t>第一册 资格审查部分</w:t>
      </w:r>
    </w:p>
    <w:p>
      <w:pPr>
        <w:ind w:firstLine="0" w:firstLineChars="0"/>
        <w:jc w:val="center"/>
        <w:rPr>
          <w:rFonts w:ascii="宋体" w:hAnsi="宋体" w:cs="宋体"/>
          <w:b/>
          <w:sz w:val="36"/>
          <w:szCs w:val="36"/>
          <w:highlight w:val="none"/>
        </w:rPr>
      </w:pPr>
    </w:p>
    <w:p>
      <w:pPr>
        <w:ind w:firstLine="0" w:firstLineChars="0"/>
        <w:jc w:val="center"/>
        <w:rPr>
          <w:rFonts w:ascii="宋体" w:hAnsi="宋体" w:cs="宋体"/>
          <w:b/>
          <w:sz w:val="36"/>
          <w:szCs w:val="36"/>
          <w:highlight w:val="none"/>
        </w:rPr>
      </w:pPr>
    </w:p>
    <w:p>
      <w:pPr>
        <w:ind w:firstLine="0" w:firstLineChars="0"/>
        <w:jc w:val="center"/>
        <w:rPr>
          <w:rFonts w:ascii="宋体" w:hAnsi="宋体" w:cs="宋体"/>
          <w:b/>
          <w:sz w:val="36"/>
          <w:szCs w:val="36"/>
          <w:highlight w:val="none"/>
        </w:rPr>
      </w:pPr>
    </w:p>
    <w:p>
      <w:pPr>
        <w:ind w:firstLine="0" w:firstLineChars="0"/>
        <w:jc w:val="center"/>
        <w:rPr>
          <w:rFonts w:ascii="宋体" w:hAnsi="宋体" w:cs="宋体"/>
          <w:b/>
          <w:sz w:val="36"/>
          <w:szCs w:val="36"/>
          <w:highlight w:val="none"/>
        </w:rPr>
      </w:pPr>
    </w:p>
    <w:p>
      <w:pPr>
        <w:ind w:firstLine="0" w:firstLineChars="0"/>
        <w:jc w:val="center"/>
        <w:rPr>
          <w:rFonts w:ascii="宋体" w:hAnsi="宋体" w:cs="宋体"/>
          <w:b/>
          <w:sz w:val="36"/>
          <w:szCs w:val="36"/>
          <w:highlight w:val="none"/>
        </w:rPr>
      </w:pPr>
    </w:p>
    <w:p>
      <w:pPr>
        <w:ind w:firstLine="0" w:firstLineChars="0"/>
        <w:jc w:val="center"/>
        <w:rPr>
          <w:rFonts w:ascii="宋体" w:hAnsi="宋体" w:cs="宋体"/>
          <w:b/>
          <w:sz w:val="36"/>
          <w:szCs w:val="36"/>
          <w:highlight w:val="none"/>
        </w:rPr>
      </w:pPr>
    </w:p>
    <w:p>
      <w:pPr>
        <w:ind w:firstLine="0" w:firstLineChars="0"/>
        <w:jc w:val="center"/>
        <w:rPr>
          <w:rFonts w:ascii="宋体" w:hAnsi="宋体" w:cs="宋体"/>
          <w:highlight w:val="none"/>
          <w:u w:val="single"/>
        </w:rPr>
      </w:pPr>
      <w:r>
        <w:rPr>
          <w:rFonts w:hint="eastAsia" w:ascii="宋体" w:hAnsi="宋体" w:cs="宋体"/>
          <w:highlight w:val="none"/>
          <w:lang w:eastAsia="zh-CN"/>
        </w:rPr>
        <w:t>投标人</w:t>
      </w:r>
      <w:r>
        <w:rPr>
          <w:rFonts w:hint="eastAsia" w:ascii="宋体" w:hAnsi="宋体" w:cs="宋体"/>
          <w:highlight w:val="none"/>
        </w:rPr>
        <w:t>：</w:t>
      </w:r>
      <w:r>
        <w:rPr>
          <w:rFonts w:hint="eastAsia" w:ascii="宋体" w:hAnsi="宋体" w:cs="宋体"/>
          <w:highlight w:val="none"/>
          <w:u w:val="single"/>
        </w:rPr>
        <w:t xml:space="preserve">               （加盖公章）</w:t>
      </w:r>
    </w:p>
    <w:p>
      <w:pPr>
        <w:ind w:firstLine="0" w:firstLineChars="0"/>
        <w:jc w:val="center"/>
        <w:rPr>
          <w:rFonts w:ascii="宋体" w:hAnsi="宋体" w:cs="宋体"/>
          <w:highlight w:val="none"/>
          <w:u w:val="single"/>
        </w:rPr>
      </w:pPr>
      <w:r>
        <w:rPr>
          <w:rFonts w:hint="eastAsia" w:ascii="宋体" w:hAnsi="宋体" w:cs="宋体"/>
          <w:highlight w:val="none"/>
        </w:rPr>
        <w:t>法定代表人或授权代理人：</w:t>
      </w:r>
      <w:r>
        <w:rPr>
          <w:rFonts w:hint="eastAsia" w:ascii="宋体" w:hAnsi="宋体" w:cs="宋体"/>
          <w:highlight w:val="none"/>
          <w:u w:val="single"/>
        </w:rPr>
        <w:t xml:space="preserve">   （签字）</w:t>
      </w:r>
    </w:p>
    <w:p>
      <w:pPr>
        <w:ind w:firstLine="0" w:firstLineChars="0"/>
        <w:jc w:val="center"/>
        <w:rPr>
          <w:rFonts w:ascii="宋体" w:hAnsi="宋体" w:cs="宋体"/>
          <w:highlight w:val="none"/>
          <w:u w:val="single"/>
        </w:rPr>
      </w:pPr>
      <w:r>
        <w:rPr>
          <w:rFonts w:hint="eastAsia" w:ascii="宋体" w:hAnsi="宋体" w:cs="宋体"/>
          <w:highlight w:val="none"/>
        </w:rPr>
        <w:t>日期：</w:t>
      </w:r>
      <w:r>
        <w:rPr>
          <w:rFonts w:hint="eastAsia" w:ascii="宋体" w:hAnsi="宋体" w:cs="宋体"/>
          <w:highlight w:val="none"/>
          <w:u w:val="single"/>
        </w:rPr>
        <w:t xml:space="preserve">        </w:t>
      </w:r>
      <w:r>
        <w:rPr>
          <w:rFonts w:hint="eastAsia" w:ascii="宋体" w:hAnsi="宋体" w:cs="宋体"/>
          <w:highlight w:val="none"/>
        </w:rPr>
        <w:t>年</w:t>
      </w:r>
      <w:r>
        <w:rPr>
          <w:rFonts w:hint="eastAsia" w:ascii="宋体" w:hAnsi="宋体" w:cs="宋体"/>
          <w:highlight w:val="none"/>
          <w:u w:val="single"/>
        </w:rPr>
        <w:t xml:space="preserve">      </w:t>
      </w:r>
      <w:r>
        <w:rPr>
          <w:rFonts w:hint="eastAsia" w:ascii="宋体" w:hAnsi="宋体" w:cs="宋体"/>
          <w:highlight w:val="none"/>
        </w:rPr>
        <w:t>月</w:t>
      </w:r>
      <w:r>
        <w:rPr>
          <w:rFonts w:hint="eastAsia" w:ascii="宋体" w:hAnsi="宋体" w:cs="宋体"/>
          <w:highlight w:val="none"/>
          <w:u w:val="single"/>
        </w:rPr>
        <w:t xml:space="preserve">      </w:t>
      </w:r>
      <w:r>
        <w:rPr>
          <w:rFonts w:hint="eastAsia" w:ascii="宋体" w:hAnsi="宋体" w:cs="宋体"/>
          <w:highlight w:val="none"/>
        </w:rPr>
        <w:t>日</w:t>
      </w:r>
    </w:p>
    <w:p>
      <w:pPr>
        <w:pStyle w:val="5"/>
        <w:ind w:firstLine="482"/>
        <w:jc w:val="center"/>
        <w:rPr>
          <w:highlight w:val="none"/>
        </w:rPr>
      </w:pPr>
      <w:r>
        <w:rPr>
          <w:rFonts w:hint="eastAsia"/>
          <w:highlight w:val="none"/>
        </w:rPr>
        <w:t>目录</w:t>
      </w:r>
    </w:p>
    <w:p>
      <w:pPr>
        <w:ind w:firstLine="480"/>
        <w:rPr>
          <w:highlight w:val="none"/>
        </w:rPr>
      </w:pPr>
      <w:r>
        <w:rPr>
          <w:rFonts w:hint="eastAsia"/>
          <w:highlight w:val="none"/>
          <w:lang w:val="en-US" w:eastAsia="zh-CN"/>
        </w:rPr>
        <w:t>1、</w:t>
      </w:r>
      <w:r>
        <w:rPr>
          <w:rFonts w:hint="eastAsia"/>
          <w:highlight w:val="none"/>
        </w:rPr>
        <w:t>承诺函</w:t>
      </w:r>
    </w:p>
    <w:p>
      <w:pPr>
        <w:ind w:firstLine="480"/>
        <w:rPr>
          <w:highlight w:val="none"/>
        </w:rPr>
      </w:pPr>
      <w:r>
        <w:rPr>
          <w:rFonts w:hint="eastAsia"/>
          <w:highlight w:val="none"/>
          <w:lang w:val="en-US" w:eastAsia="zh-CN"/>
        </w:rPr>
        <w:t>2、</w:t>
      </w:r>
      <w:r>
        <w:rPr>
          <w:rFonts w:hint="eastAsia"/>
          <w:highlight w:val="none"/>
        </w:rPr>
        <w:t>企业营业执照或事业单位法人证书（提供复印件并加盖公章）</w:t>
      </w:r>
    </w:p>
    <w:p>
      <w:pPr>
        <w:ind w:firstLine="480"/>
        <w:rPr>
          <w:highlight w:val="none"/>
        </w:rPr>
      </w:pPr>
      <w:r>
        <w:rPr>
          <w:rFonts w:hint="eastAsia"/>
          <w:highlight w:val="none"/>
          <w:lang w:val="en-US" w:eastAsia="zh-CN"/>
        </w:rPr>
        <w:t>3、</w:t>
      </w:r>
      <w:r>
        <w:rPr>
          <w:rFonts w:hint="eastAsia"/>
          <w:highlight w:val="none"/>
        </w:rPr>
        <w:t>法定代表人身份证明书（提供复印件并加盖公章）</w:t>
      </w:r>
    </w:p>
    <w:p>
      <w:pPr>
        <w:ind w:firstLine="480"/>
        <w:rPr>
          <w:highlight w:val="none"/>
        </w:rPr>
      </w:pPr>
      <w:r>
        <w:rPr>
          <w:rFonts w:hint="eastAsia"/>
          <w:highlight w:val="none"/>
          <w:lang w:val="en-US" w:eastAsia="zh-CN"/>
        </w:rPr>
        <w:t>4、</w:t>
      </w:r>
      <w:r>
        <w:rPr>
          <w:rFonts w:hint="eastAsia"/>
          <w:highlight w:val="none"/>
        </w:rPr>
        <w:t>授权委托书原件，授权代理人本人身份证复印件（如有授权）</w:t>
      </w:r>
    </w:p>
    <w:p>
      <w:pPr>
        <w:ind w:firstLine="480"/>
        <w:rPr>
          <w:rFonts w:hint="eastAsia"/>
          <w:highlight w:val="none"/>
          <w:lang w:val="en-US" w:eastAsia="zh-CN"/>
        </w:rPr>
      </w:pPr>
      <w:r>
        <w:rPr>
          <w:rFonts w:hint="eastAsia"/>
          <w:highlight w:val="none"/>
          <w:lang w:val="en-US" w:eastAsia="zh-CN"/>
        </w:rPr>
        <w:t>5、资质要求</w:t>
      </w:r>
    </w:p>
    <w:p>
      <w:pPr>
        <w:ind w:firstLine="480"/>
        <w:rPr>
          <w:rFonts w:hint="eastAsia"/>
          <w:highlight w:val="none"/>
          <w:lang w:val="en-US" w:eastAsia="zh-CN"/>
        </w:rPr>
      </w:pPr>
      <w:r>
        <w:rPr>
          <w:rFonts w:hint="eastAsia"/>
          <w:highlight w:val="none"/>
          <w:lang w:val="en-US" w:eastAsia="zh-CN"/>
        </w:rPr>
        <w:t>6、项目负责人要求</w:t>
      </w:r>
    </w:p>
    <w:p>
      <w:pPr>
        <w:ind w:firstLine="480"/>
        <w:rPr>
          <w:rFonts w:hint="eastAsia"/>
          <w:highlight w:val="none"/>
          <w:lang w:val="en-US" w:eastAsia="zh-CN"/>
        </w:rPr>
      </w:pPr>
      <w:r>
        <w:rPr>
          <w:rFonts w:hint="eastAsia"/>
          <w:highlight w:val="none"/>
          <w:lang w:val="en-US" w:eastAsia="zh-CN"/>
        </w:rPr>
        <w:t>7、业绩要求</w:t>
      </w:r>
    </w:p>
    <w:p>
      <w:pPr>
        <w:ind w:firstLine="480"/>
        <w:rPr>
          <w:highlight w:val="none"/>
        </w:rPr>
      </w:pPr>
      <w:r>
        <w:rPr>
          <w:rFonts w:hint="eastAsia"/>
          <w:highlight w:val="none"/>
          <w:lang w:val="en-US" w:eastAsia="zh-CN"/>
        </w:rPr>
        <w:t>8、</w:t>
      </w:r>
      <w:r>
        <w:rPr>
          <w:rFonts w:hint="eastAsia"/>
          <w:highlight w:val="none"/>
          <w:lang w:eastAsia="zh-CN"/>
        </w:rPr>
        <w:t>投标人</w:t>
      </w:r>
      <w:r>
        <w:rPr>
          <w:rFonts w:hint="eastAsia"/>
          <w:highlight w:val="none"/>
        </w:rPr>
        <w:t>认为需要提交的其他资料</w:t>
      </w:r>
    </w:p>
    <w:p>
      <w:pPr>
        <w:ind w:firstLine="480"/>
        <w:rPr>
          <w:highlight w:val="none"/>
        </w:rPr>
      </w:pPr>
      <w:r>
        <w:rPr>
          <w:highlight w:val="none"/>
        </w:rPr>
        <w:br w:type="page"/>
      </w:r>
    </w:p>
    <w:p>
      <w:pPr>
        <w:pStyle w:val="5"/>
        <w:ind w:firstLine="0" w:firstLineChars="0"/>
        <w:rPr>
          <w:highlight w:val="none"/>
        </w:rPr>
      </w:pPr>
      <w:r>
        <w:rPr>
          <w:highlight w:val="none"/>
        </w:rPr>
        <w:t>1</w:t>
      </w:r>
      <w:r>
        <w:rPr>
          <w:rFonts w:hint="eastAsia"/>
          <w:highlight w:val="none"/>
        </w:rPr>
        <w:t>承诺函</w:t>
      </w:r>
    </w:p>
    <w:p>
      <w:pPr>
        <w:ind w:firstLine="482"/>
        <w:jc w:val="center"/>
        <w:rPr>
          <w:b/>
          <w:bCs/>
          <w:highlight w:val="none"/>
        </w:rPr>
      </w:pPr>
    </w:p>
    <w:p>
      <w:pPr>
        <w:ind w:firstLine="482"/>
        <w:jc w:val="center"/>
        <w:rPr>
          <w:b/>
          <w:bCs/>
          <w:highlight w:val="none"/>
        </w:rPr>
      </w:pPr>
      <w:r>
        <w:rPr>
          <w:rFonts w:hint="eastAsia"/>
          <w:b/>
          <w:bCs/>
          <w:highlight w:val="none"/>
        </w:rPr>
        <w:t>承诺函</w:t>
      </w:r>
    </w:p>
    <w:p>
      <w:pPr>
        <w:ind w:firstLine="0" w:firstLineChars="0"/>
        <w:rPr>
          <w:highlight w:val="none"/>
          <w:u w:val="single"/>
        </w:rPr>
      </w:pPr>
      <w:r>
        <w:rPr>
          <w:rFonts w:hint="eastAsia"/>
          <w:highlight w:val="none"/>
        </w:rPr>
        <w:t>致</w:t>
      </w:r>
      <w:r>
        <w:rPr>
          <w:rFonts w:hint="eastAsia"/>
          <w:highlight w:val="none"/>
          <w:u w:val="single"/>
        </w:rPr>
        <w:t>南通轨道交通集团有限公司运营分公司：</w:t>
      </w:r>
    </w:p>
    <w:p>
      <w:pPr>
        <w:ind w:firstLine="480"/>
        <w:rPr>
          <w:highlight w:val="none"/>
        </w:rPr>
      </w:pPr>
      <w:r>
        <w:rPr>
          <w:rFonts w:hint="eastAsia"/>
          <w:highlight w:val="none"/>
        </w:rPr>
        <w:t>我司愿就由贵公司组织实施的</w:t>
      </w:r>
      <w:r>
        <w:rPr>
          <w:rFonts w:hint="eastAsia"/>
          <w:highlight w:val="none"/>
          <w:u w:val="single"/>
          <w:lang w:eastAsia="zh-CN"/>
        </w:rPr>
        <w:t>南通轨道交通集团有限公司运营分公司2026-2029年2号线结构监测委外维保项目</w:t>
      </w:r>
      <w:r>
        <w:rPr>
          <w:rFonts w:hint="eastAsia"/>
          <w:highlight w:val="none"/>
          <w:u w:val="single"/>
        </w:rPr>
        <w:t>（项目编号：</w:t>
      </w:r>
      <w:r>
        <w:rPr>
          <w:rFonts w:hint="eastAsia"/>
          <w:highlight w:val="none"/>
          <w:u w:val="single"/>
          <w:lang w:eastAsia="zh-CN"/>
        </w:rPr>
        <w:t>NTGY-2026-FW-ZB-034</w:t>
      </w:r>
      <w:r>
        <w:rPr>
          <w:rFonts w:hint="eastAsia"/>
          <w:highlight w:val="none"/>
          <w:u w:val="single"/>
        </w:rPr>
        <w:t>）</w:t>
      </w:r>
      <w:r>
        <w:rPr>
          <w:rFonts w:hint="eastAsia"/>
          <w:highlight w:val="none"/>
        </w:rPr>
        <w:t>采购活动进行响应。承诺如下：</w:t>
      </w:r>
    </w:p>
    <w:p>
      <w:pPr>
        <w:ind w:firstLine="480"/>
        <w:rPr>
          <w:highlight w:val="none"/>
        </w:rPr>
      </w:pPr>
      <w:r>
        <w:rPr>
          <w:rFonts w:hint="eastAsia"/>
          <w:highlight w:val="none"/>
        </w:rPr>
        <w:t>一、我司所提交的</w:t>
      </w:r>
      <w:r>
        <w:rPr>
          <w:rFonts w:hint="eastAsia"/>
          <w:highlight w:val="none"/>
          <w:lang w:eastAsia="zh-CN"/>
        </w:rPr>
        <w:t>投标文件</w:t>
      </w:r>
      <w:r>
        <w:rPr>
          <w:rFonts w:hint="eastAsia"/>
          <w:highlight w:val="none"/>
        </w:rPr>
        <w:t>中所有的证明和陈述材料均是真实准确的，我司未提供虚假材料或存在其他弄虚作假行为；</w:t>
      </w:r>
    </w:p>
    <w:p>
      <w:pPr>
        <w:ind w:firstLine="480"/>
        <w:rPr>
          <w:highlight w:val="none"/>
        </w:rPr>
      </w:pPr>
      <w:r>
        <w:rPr>
          <w:rFonts w:hint="eastAsia"/>
          <w:highlight w:val="none"/>
        </w:rPr>
        <w:t>二、我司具有健全的财务会计制度，经营状况、商业信誉和财务信用良好，没有处于被责令停业，财产被接管、冻结、破产状态，未处于与债权人进行债务重组或其他债务安排状况下，未处于法院清盘令下，未处于自动破产申请状态下；</w:t>
      </w:r>
    </w:p>
    <w:p>
      <w:pPr>
        <w:ind w:firstLine="480"/>
        <w:rPr>
          <w:highlight w:val="none"/>
        </w:rPr>
      </w:pPr>
      <w:r>
        <w:rPr>
          <w:rFonts w:hint="eastAsia"/>
          <w:highlight w:val="none"/>
        </w:rPr>
        <w:t>三、我司没有骗取中标和严重违约引起的合同中止、纠纷、争议、仲裁和诉讼记录等情况；</w:t>
      </w:r>
    </w:p>
    <w:p>
      <w:pPr>
        <w:ind w:firstLine="480"/>
        <w:rPr>
          <w:highlight w:val="none"/>
        </w:rPr>
      </w:pPr>
      <w:r>
        <w:rPr>
          <w:rFonts w:hint="eastAsia"/>
          <w:highlight w:val="none"/>
        </w:rPr>
        <w:t>四、我司未与</w:t>
      </w:r>
      <w:r>
        <w:rPr>
          <w:rFonts w:hint="eastAsia"/>
          <w:highlight w:val="none"/>
          <w:lang w:eastAsia="zh-CN"/>
        </w:rPr>
        <w:t>招标人</w:t>
      </w:r>
      <w:r>
        <w:rPr>
          <w:rFonts w:hint="eastAsia"/>
          <w:highlight w:val="none"/>
        </w:rPr>
        <w:t>存在利害关系；与参与本项目的其他</w:t>
      </w:r>
      <w:r>
        <w:rPr>
          <w:rFonts w:hint="eastAsia"/>
          <w:highlight w:val="none"/>
          <w:lang w:eastAsia="zh-CN"/>
        </w:rPr>
        <w:t>投标人</w:t>
      </w:r>
      <w:r>
        <w:rPr>
          <w:rFonts w:hint="eastAsia"/>
          <w:highlight w:val="none"/>
        </w:rPr>
        <w:t>负责人不为同一人且不存在控股、管理关系；</w:t>
      </w:r>
    </w:p>
    <w:p>
      <w:pPr>
        <w:ind w:firstLine="480"/>
        <w:rPr>
          <w:highlight w:val="none"/>
        </w:rPr>
      </w:pPr>
      <w:r>
        <w:rPr>
          <w:rFonts w:hint="eastAsia"/>
          <w:highlight w:val="none"/>
        </w:rPr>
        <w:t>五、我司未以他人名义参与本项目；未与</w:t>
      </w:r>
      <w:r>
        <w:rPr>
          <w:rFonts w:hint="eastAsia"/>
          <w:highlight w:val="none"/>
          <w:lang w:eastAsia="zh-CN"/>
        </w:rPr>
        <w:t>招标人</w:t>
      </w:r>
      <w:r>
        <w:rPr>
          <w:rFonts w:hint="eastAsia"/>
          <w:highlight w:val="none"/>
        </w:rPr>
        <w:t>及参与本项目的其他</w:t>
      </w:r>
      <w:r>
        <w:rPr>
          <w:rFonts w:hint="eastAsia"/>
          <w:highlight w:val="none"/>
          <w:lang w:eastAsia="zh-CN"/>
        </w:rPr>
        <w:t>投标人</w:t>
      </w:r>
      <w:r>
        <w:rPr>
          <w:rFonts w:hint="eastAsia"/>
          <w:highlight w:val="none"/>
        </w:rPr>
        <w:t>串通；</w:t>
      </w:r>
    </w:p>
    <w:p>
      <w:pPr>
        <w:ind w:firstLine="480"/>
        <w:rPr>
          <w:highlight w:val="none"/>
        </w:rPr>
      </w:pPr>
      <w:r>
        <w:rPr>
          <w:rFonts w:hint="eastAsia"/>
          <w:highlight w:val="none"/>
        </w:rPr>
        <w:t>六、我司未被“信用中国”网站（www.creditchina.gov.cn）、“中国执行信息公开网（http://zxgk.court.gov.cn/）”或各级信用平台列入失信被执行人、重大税收违法案件当事人等名单；</w:t>
      </w:r>
    </w:p>
    <w:p>
      <w:pPr>
        <w:ind w:firstLine="480"/>
        <w:rPr>
          <w:highlight w:val="none"/>
        </w:rPr>
      </w:pPr>
      <w:r>
        <w:rPr>
          <w:rFonts w:hint="eastAsia"/>
          <w:highlight w:val="none"/>
        </w:rPr>
        <w:t>七、我方保证无“附件</w:t>
      </w:r>
      <w:r>
        <w:rPr>
          <w:rFonts w:hint="eastAsia"/>
          <w:highlight w:val="none"/>
          <w:lang w:val="en-US" w:eastAsia="zh-CN"/>
        </w:rPr>
        <w:t>二</w:t>
      </w:r>
      <w:r>
        <w:rPr>
          <w:rFonts w:hint="eastAsia"/>
          <w:highlight w:val="none"/>
        </w:rPr>
        <w:t xml:space="preserve"> </w:t>
      </w:r>
      <w:r>
        <w:rPr>
          <w:rFonts w:hint="eastAsia"/>
          <w:highlight w:val="none"/>
          <w:lang w:eastAsia="zh-CN"/>
        </w:rPr>
        <w:t>投标人</w:t>
      </w:r>
      <w:r>
        <w:rPr>
          <w:rFonts w:hint="eastAsia"/>
          <w:highlight w:val="none"/>
        </w:rPr>
        <w:t>负面清单”所列的不良行为；</w:t>
      </w:r>
    </w:p>
    <w:p>
      <w:pPr>
        <w:ind w:firstLine="480"/>
        <w:rPr>
          <w:highlight w:val="none"/>
        </w:rPr>
      </w:pPr>
      <w:r>
        <w:rPr>
          <w:rFonts w:hint="eastAsia"/>
          <w:highlight w:val="none"/>
        </w:rPr>
        <w:t>上述承诺如有不实或违反上述承诺，我方愿意接受任何处罚，包括同意你方不予退还投标保证金或履约保证金，将我方列入黑名单，并上报主管部门；我方放弃成交资格，已签订的合同无效，并放弃今后暂停期内参与你方采购活动的资格。</w:t>
      </w:r>
    </w:p>
    <w:p>
      <w:pPr>
        <w:ind w:firstLine="480"/>
        <w:rPr>
          <w:highlight w:val="none"/>
        </w:rPr>
      </w:pPr>
    </w:p>
    <w:p>
      <w:pPr>
        <w:ind w:firstLine="480"/>
        <w:jc w:val="right"/>
        <w:rPr>
          <w:highlight w:val="none"/>
        </w:rPr>
      </w:pPr>
      <w:r>
        <w:rPr>
          <w:rFonts w:hint="eastAsia"/>
          <w:highlight w:val="none"/>
        </w:rPr>
        <w:t xml:space="preserve">法定代表人或授权代理人：（签字或盖章） </w:t>
      </w:r>
    </w:p>
    <w:p>
      <w:pPr>
        <w:ind w:firstLine="480"/>
        <w:jc w:val="right"/>
        <w:rPr>
          <w:highlight w:val="none"/>
        </w:rPr>
      </w:pPr>
      <w:r>
        <w:rPr>
          <w:rFonts w:hint="eastAsia"/>
          <w:highlight w:val="none"/>
          <w:lang w:eastAsia="zh-CN"/>
        </w:rPr>
        <w:t>投标人</w:t>
      </w:r>
      <w:r>
        <w:rPr>
          <w:rFonts w:hint="eastAsia"/>
          <w:highlight w:val="none"/>
        </w:rPr>
        <w:t>：（加盖公章）</w:t>
      </w:r>
    </w:p>
    <w:p>
      <w:pPr>
        <w:ind w:firstLine="480"/>
        <w:jc w:val="right"/>
        <w:rPr>
          <w:highlight w:val="none"/>
        </w:rPr>
      </w:pPr>
      <w:r>
        <w:rPr>
          <w:rFonts w:hint="eastAsia"/>
          <w:highlight w:val="none"/>
        </w:rPr>
        <w:t>年   月    日</w:t>
      </w:r>
    </w:p>
    <w:p>
      <w:pPr>
        <w:ind w:firstLine="480"/>
        <w:rPr>
          <w:highlight w:val="none"/>
        </w:rPr>
      </w:pPr>
    </w:p>
    <w:p>
      <w:pPr>
        <w:widowControl/>
        <w:spacing w:line="240" w:lineRule="auto"/>
        <w:ind w:firstLine="0" w:firstLineChars="0"/>
        <w:jc w:val="left"/>
        <w:rPr>
          <w:rFonts w:cs="宋体"/>
          <w:b/>
          <w:bCs/>
          <w:highlight w:val="none"/>
        </w:rPr>
      </w:pPr>
      <w:r>
        <w:rPr>
          <w:rFonts w:hint="eastAsia" w:cs="宋体"/>
          <w:b/>
          <w:bCs/>
          <w:highlight w:val="none"/>
        </w:rPr>
        <w:t>附件</w:t>
      </w:r>
      <w:r>
        <w:rPr>
          <w:rFonts w:hint="eastAsia" w:cs="宋体"/>
          <w:b/>
          <w:bCs/>
          <w:highlight w:val="none"/>
          <w:lang w:val="en-US" w:eastAsia="zh-CN"/>
        </w:rPr>
        <w:t>二</w:t>
      </w:r>
      <w:r>
        <w:rPr>
          <w:rFonts w:hint="eastAsia" w:cs="宋体"/>
          <w:b/>
          <w:bCs/>
          <w:highlight w:val="none"/>
        </w:rPr>
        <w:t xml:space="preserve"> </w:t>
      </w:r>
    </w:p>
    <w:p>
      <w:pPr>
        <w:ind w:firstLine="482"/>
        <w:jc w:val="center"/>
        <w:rPr>
          <w:rFonts w:cs="宋体"/>
          <w:b/>
          <w:bCs/>
          <w:highlight w:val="none"/>
        </w:rPr>
      </w:pPr>
      <w:r>
        <w:rPr>
          <w:rFonts w:hint="eastAsia" w:cs="宋体"/>
          <w:b/>
          <w:bCs/>
          <w:highlight w:val="none"/>
          <w:lang w:eastAsia="zh-CN"/>
        </w:rPr>
        <w:t>投标人</w:t>
      </w:r>
      <w:r>
        <w:rPr>
          <w:rFonts w:hint="eastAsia" w:cs="宋体"/>
          <w:b/>
          <w:bCs/>
          <w:highlight w:val="none"/>
        </w:rPr>
        <w:t>负面清单</w:t>
      </w:r>
    </w:p>
    <w:p>
      <w:pPr>
        <w:ind w:firstLine="480"/>
        <w:rPr>
          <w:rFonts w:cs="宋体"/>
          <w:highlight w:val="none"/>
        </w:rPr>
      </w:pPr>
      <w:r>
        <w:rPr>
          <w:rFonts w:hint="eastAsia" w:cs="宋体"/>
          <w:highlight w:val="none"/>
        </w:rPr>
        <w:t>一、与</w:t>
      </w:r>
      <w:r>
        <w:rPr>
          <w:rFonts w:hint="eastAsia" w:cs="宋体"/>
          <w:highlight w:val="none"/>
          <w:lang w:eastAsia="zh-CN"/>
        </w:rPr>
        <w:t>招标人</w:t>
      </w:r>
      <w:r>
        <w:rPr>
          <w:rFonts w:hint="eastAsia" w:cs="宋体"/>
          <w:highlight w:val="none"/>
        </w:rPr>
        <w:t>、采购代理机构或者其他</w:t>
      </w:r>
      <w:r>
        <w:rPr>
          <w:rFonts w:hint="eastAsia" w:cs="宋体"/>
          <w:highlight w:val="none"/>
          <w:lang w:eastAsia="zh-CN"/>
        </w:rPr>
        <w:t>投标人</w:t>
      </w:r>
      <w:r>
        <w:rPr>
          <w:rFonts w:hint="eastAsia" w:cs="宋体"/>
          <w:highlight w:val="none"/>
        </w:rPr>
        <w:t>恶意串通的，暂停12个月；</w:t>
      </w:r>
    </w:p>
    <w:p>
      <w:pPr>
        <w:ind w:firstLine="480"/>
        <w:rPr>
          <w:rFonts w:cs="宋体"/>
          <w:highlight w:val="none"/>
        </w:rPr>
      </w:pPr>
      <w:r>
        <w:rPr>
          <w:rFonts w:hint="eastAsia" w:cs="宋体"/>
          <w:highlight w:val="none"/>
        </w:rPr>
        <w:t>二、向</w:t>
      </w:r>
      <w:r>
        <w:rPr>
          <w:rFonts w:hint="eastAsia" w:cs="宋体"/>
          <w:highlight w:val="none"/>
          <w:lang w:eastAsia="zh-CN"/>
        </w:rPr>
        <w:t>招标人</w:t>
      </w:r>
      <w:r>
        <w:rPr>
          <w:rFonts w:hint="eastAsia" w:cs="宋体"/>
          <w:highlight w:val="none"/>
        </w:rPr>
        <w:t>、采购代理机构或评审小组成员行贿或者提供其他不正当利益，暂停12个月；</w:t>
      </w:r>
    </w:p>
    <w:p>
      <w:pPr>
        <w:ind w:firstLine="480"/>
        <w:rPr>
          <w:rFonts w:cs="宋体"/>
          <w:highlight w:val="none"/>
        </w:rPr>
      </w:pPr>
      <w:r>
        <w:rPr>
          <w:rFonts w:hint="eastAsia" w:cs="宋体"/>
          <w:highlight w:val="none"/>
        </w:rPr>
        <w:t>三、存在以下视为串通投标情形的，暂停12个月；</w:t>
      </w:r>
    </w:p>
    <w:p>
      <w:pPr>
        <w:ind w:firstLine="480"/>
        <w:rPr>
          <w:rFonts w:cs="宋体"/>
          <w:highlight w:val="none"/>
        </w:rPr>
      </w:pPr>
      <w:r>
        <w:rPr>
          <w:rFonts w:hint="eastAsia" w:cs="宋体"/>
          <w:highlight w:val="none"/>
        </w:rPr>
        <w:t>（一）不同</w:t>
      </w:r>
      <w:r>
        <w:rPr>
          <w:rFonts w:hint="eastAsia" w:cs="宋体"/>
          <w:highlight w:val="none"/>
          <w:lang w:eastAsia="zh-CN"/>
        </w:rPr>
        <w:t>投标人</w:t>
      </w:r>
      <w:r>
        <w:rPr>
          <w:rFonts w:hint="eastAsia" w:cs="宋体"/>
          <w:highlight w:val="none"/>
        </w:rPr>
        <w:t>的</w:t>
      </w:r>
      <w:r>
        <w:rPr>
          <w:rFonts w:hint="eastAsia" w:cs="宋体"/>
          <w:highlight w:val="none"/>
          <w:lang w:eastAsia="zh-CN"/>
        </w:rPr>
        <w:t>投标文件</w:t>
      </w:r>
      <w:r>
        <w:rPr>
          <w:rFonts w:hint="eastAsia" w:cs="宋体"/>
          <w:highlight w:val="none"/>
        </w:rPr>
        <w:t>由同一单位或者个人编制；</w:t>
      </w:r>
    </w:p>
    <w:p>
      <w:pPr>
        <w:ind w:firstLine="480"/>
        <w:rPr>
          <w:rFonts w:cs="宋体"/>
          <w:highlight w:val="none"/>
        </w:rPr>
      </w:pPr>
      <w:r>
        <w:rPr>
          <w:rFonts w:hint="eastAsia" w:cs="宋体"/>
          <w:highlight w:val="none"/>
        </w:rPr>
        <w:t>（二）不同</w:t>
      </w:r>
      <w:r>
        <w:rPr>
          <w:rFonts w:hint="eastAsia" w:cs="宋体"/>
          <w:highlight w:val="none"/>
          <w:lang w:eastAsia="zh-CN"/>
        </w:rPr>
        <w:t>投标人</w:t>
      </w:r>
      <w:r>
        <w:rPr>
          <w:rFonts w:hint="eastAsia" w:cs="宋体"/>
          <w:highlight w:val="none"/>
        </w:rPr>
        <w:t>委托同一单位或者个人办理投标事宜；</w:t>
      </w:r>
    </w:p>
    <w:p>
      <w:pPr>
        <w:ind w:firstLine="480"/>
        <w:rPr>
          <w:rFonts w:cs="宋体"/>
          <w:highlight w:val="none"/>
        </w:rPr>
      </w:pPr>
      <w:r>
        <w:rPr>
          <w:rFonts w:hint="eastAsia" w:cs="宋体"/>
          <w:highlight w:val="none"/>
        </w:rPr>
        <w:t>（三）不同</w:t>
      </w:r>
      <w:r>
        <w:rPr>
          <w:rFonts w:hint="eastAsia" w:cs="宋体"/>
          <w:highlight w:val="none"/>
          <w:lang w:eastAsia="zh-CN"/>
        </w:rPr>
        <w:t>投标人</w:t>
      </w:r>
      <w:r>
        <w:rPr>
          <w:rFonts w:hint="eastAsia" w:cs="宋体"/>
          <w:highlight w:val="none"/>
        </w:rPr>
        <w:t>的</w:t>
      </w:r>
      <w:r>
        <w:rPr>
          <w:rFonts w:hint="eastAsia" w:cs="宋体"/>
          <w:highlight w:val="none"/>
          <w:lang w:eastAsia="zh-CN"/>
        </w:rPr>
        <w:t>投标文件</w:t>
      </w:r>
      <w:r>
        <w:rPr>
          <w:rFonts w:hint="eastAsia" w:cs="宋体"/>
          <w:highlight w:val="none"/>
        </w:rPr>
        <w:t>载明的项目管理成员为同一人；</w:t>
      </w:r>
    </w:p>
    <w:p>
      <w:pPr>
        <w:ind w:firstLine="480"/>
        <w:rPr>
          <w:rFonts w:cs="宋体"/>
          <w:highlight w:val="none"/>
        </w:rPr>
      </w:pPr>
      <w:r>
        <w:rPr>
          <w:rFonts w:hint="eastAsia" w:cs="宋体"/>
          <w:highlight w:val="none"/>
        </w:rPr>
        <w:t>（四）不同</w:t>
      </w:r>
      <w:r>
        <w:rPr>
          <w:rFonts w:hint="eastAsia" w:cs="宋体"/>
          <w:highlight w:val="none"/>
          <w:lang w:eastAsia="zh-CN"/>
        </w:rPr>
        <w:t>投标人</w:t>
      </w:r>
      <w:r>
        <w:rPr>
          <w:rFonts w:hint="eastAsia" w:cs="宋体"/>
          <w:highlight w:val="none"/>
        </w:rPr>
        <w:t>的</w:t>
      </w:r>
      <w:r>
        <w:rPr>
          <w:rFonts w:hint="eastAsia" w:cs="宋体"/>
          <w:highlight w:val="none"/>
          <w:lang w:eastAsia="zh-CN"/>
        </w:rPr>
        <w:t>投标文件</w:t>
      </w:r>
      <w:r>
        <w:rPr>
          <w:rFonts w:hint="eastAsia" w:cs="宋体"/>
          <w:highlight w:val="none"/>
        </w:rPr>
        <w:t>异常一致（包括但不限于</w:t>
      </w:r>
      <w:r>
        <w:rPr>
          <w:rFonts w:ascii="Segoe UI" w:hAnsi="Segoe UI" w:cs="Segoe UI"/>
          <w:color w:val="15161F"/>
          <w:highlight w:val="none"/>
          <w:shd w:val="clear" w:color="auto" w:fill="FFFFFF"/>
        </w:rPr>
        <w:t>存在多处内容相似或雷同</w:t>
      </w:r>
      <w:r>
        <w:rPr>
          <w:rFonts w:hint="eastAsia" w:ascii="Segoe UI" w:hAnsi="Segoe UI" w:cs="Segoe UI"/>
          <w:color w:val="15161F"/>
          <w:highlight w:val="none"/>
          <w:shd w:val="clear" w:color="auto" w:fill="FFFFFF"/>
        </w:rPr>
        <w:t>、</w:t>
      </w:r>
      <w:r>
        <w:rPr>
          <w:rFonts w:ascii="Segoe UI" w:hAnsi="Segoe UI" w:cs="Segoe UI"/>
          <w:color w:val="15161F"/>
          <w:highlight w:val="none"/>
          <w:shd w:val="clear" w:color="auto" w:fill="FFFFFF"/>
        </w:rPr>
        <w:t>存在错误的地方一致</w:t>
      </w:r>
      <w:r>
        <w:rPr>
          <w:rFonts w:hint="eastAsia" w:ascii="Segoe UI" w:hAnsi="Segoe UI" w:cs="Segoe UI"/>
          <w:color w:val="15161F"/>
          <w:highlight w:val="none"/>
          <w:shd w:val="clear" w:color="auto" w:fill="FFFFFF"/>
        </w:rPr>
        <w:t>或其他可认定异常一致的情形</w:t>
      </w:r>
      <w:r>
        <w:rPr>
          <w:rFonts w:hint="eastAsia" w:cs="宋体"/>
          <w:highlight w:val="none"/>
        </w:rPr>
        <w:t>）或者</w:t>
      </w:r>
      <w:r>
        <w:rPr>
          <w:rFonts w:hint="eastAsia" w:cs="宋体"/>
          <w:highlight w:val="none"/>
          <w:lang w:val="en-US" w:eastAsia="zh-CN"/>
        </w:rPr>
        <w:t>投标</w:t>
      </w:r>
      <w:r>
        <w:rPr>
          <w:rFonts w:hint="eastAsia" w:cs="宋体"/>
          <w:highlight w:val="none"/>
          <w:lang w:eastAsia="zh-CN"/>
        </w:rPr>
        <w:t>报价</w:t>
      </w:r>
      <w:r>
        <w:rPr>
          <w:rFonts w:hint="eastAsia" w:cs="宋体"/>
          <w:highlight w:val="none"/>
        </w:rPr>
        <w:t>呈规律性差异；</w:t>
      </w:r>
    </w:p>
    <w:p>
      <w:pPr>
        <w:ind w:firstLine="480"/>
        <w:rPr>
          <w:rFonts w:cs="宋体"/>
          <w:highlight w:val="none"/>
        </w:rPr>
      </w:pPr>
      <w:r>
        <w:rPr>
          <w:rFonts w:hint="eastAsia" w:cs="宋体"/>
          <w:highlight w:val="none"/>
        </w:rPr>
        <w:t>（五）不同</w:t>
      </w:r>
      <w:r>
        <w:rPr>
          <w:rFonts w:hint="eastAsia" w:cs="宋体"/>
          <w:highlight w:val="none"/>
          <w:lang w:eastAsia="zh-CN"/>
        </w:rPr>
        <w:t>投标人</w:t>
      </w:r>
      <w:r>
        <w:rPr>
          <w:rFonts w:hint="eastAsia" w:cs="宋体"/>
          <w:highlight w:val="none"/>
        </w:rPr>
        <w:t>的</w:t>
      </w:r>
      <w:r>
        <w:rPr>
          <w:rFonts w:hint="eastAsia" w:cs="宋体"/>
          <w:highlight w:val="none"/>
          <w:lang w:eastAsia="zh-CN"/>
        </w:rPr>
        <w:t>投标文件</w:t>
      </w:r>
      <w:r>
        <w:rPr>
          <w:rFonts w:hint="eastAsia" w:cs="宋体"/>
          <w:highlight w:val="none"/>
        </w:rPr>
        <w:t>相互混装；</w:t>
      </w:r>
    </w:p>
    <w:p>
      <w:pPr>
        <w:ind w:firstLine="480"/>
        <w:rPr>
          <w:rFonts w:cs="宋体"/>
          <w:highlight w:val="none"/>
        </w:rPr>
      </w:pPr>
      <w:r>
        <w:rPr>
          <w:rFonts w:hint="eastAsia" w:cs="宋体"/>
          <w:highlight w:val="none"/>
        </w:rPr>
        <w:t>（六）不同</w:t>
      </w:r>
      <w:r>
        <w:rPr>
          <w:rFonts w:hint="eastAsia" w:cs="宋体"/>
          <w:highlight w:val="none"/>
          <w:lang w:eastAsia="zh-CN"/>
        </w:rPr>
        <w:t>投标人</w:t>
      </w:r>
      <w:r>
        <w:rPr>
          <w:rFonts w:hint="eastAsia" w:cs="宋体"/>
          <w:highlight w:val="none"/>
        </w:rPr>
        <w:t>的投标保证金从同一单位或者个人的账户转出；</w:t>
      </w:r>
    </w:p>
    <w:p>
      <w:pPr>
        <w:ind w:firstLine="480"/>
        <w:rPr>
          <w:rFonts w:cs="宋体"/>
          <w:highlight w:val="none"/>
        </w:rPr>
      </w:pPr>
      <w:r>
        <w:rPr>
          <w:rFonts w:hint="eastAsia" w:cs="宋体"/>
          <w:highlight w:val="none"/>
        </w:rPr>
        <w:t>四、递交时间截止后撤回投标（响应）文件或评审过程中出现因</w:t>
      </w:r>
      <w:r>
        <w:rPr>
          <w:rFonts w:hint="eastAsia" w:cs="宋体"/>
          <w:highlight w:val="none"/>
          <w:lang w:eastAsia="zh-CN"/>
        </w:rPr>
        <w:t>投标人</w:t>
      </w:r>
      <w:r>
        <w:rPr>
          <w:rFonts w:hint="eastAsia" w:cs="宋体"/>
          <w:highlight w:val="none"/>
        </w:rPr>
        <w:t>自身原因弃标的，暂停12个月；</w:t>
      </w:r>
    </w:p>
    <w:p>
      <w:pPr>
        <w:ind w:firstLine="480"/>
        <w:rPr>
          <w:rFonts w:cs="宋体"/>
          <w:highlight w:val="none"/>
        </w:rPr>
      </w:pPr>
      <w:r>
        <w:rPr>
          <w:rFonts w:hint="eastAsia" w:cs="宋体"/>
          <w:highlight w:val="none"/>
        </w:rPr>
        <w:t>五、提供虚假材料或存在其他弄虚作假行为的，暂停12个月；</w:t>
      </w:r>
    </w:p>
    <w:p>
      <w:pPr>
        <w:ind w:firstLine="480"/>
        <w:rPr>
          <w:rFonts w:cs="宋体"/>
          <w:highlight w:val="none"/>
        </w:rPr>
      </w:pPr>
      <w:r>
        <w:rPr>
          <w:rFonts w:hint="eastAsia" w:cs="宋体"/>
          <w:highlight w:val="none"/>
        </w:rPr>
        <w:t>六、中标或者成交后无正当理由拒不与</w:t>
      </w:r>
      <w:r>
        <w:rPr>
          <w:rFonts w:hint="eastAsia" w:cs="宋体"/>
          <w:highlight w:val="none"/>
          <w:lang w:eastAsia="zh-CN"/>
        </w:rPr>
        <w:t>招标人</w:t>
      </w:r>
      <w:r>
        <w:rPr>
          <w:rFonts w:hint="eastAsia" w:cs="宋体"/>
          <w:highlight w:val="none"/>
        </w:rPr>
        <w:t>签订采购合同，暂停12个月；</w:t>
      </w:r>
    </w:p>
    <w:p>
      <w:pPr>
        <w:ind w:firstLine="480"/>
        <w:rPr>
          <w:rFonts w:cs="宋体"/>
          <w:highlight w:val="none"/>
        </w:rPr>
      </w:pPr>
      <w:r>
        <w:rPr>
          <w:rFonts w:hint="eastAsia" w:cs="宋体"/>
          <w:highlight w:val="none"/>
        </w:rPr>
        <w:t>七、签订合同后无法履行合同的，暂停12个月；</w:t>
      </w:r>
    </w:p>
    <w:p>
      <w:pPr>
        <w:ind w:firstLine="480"/>
        <w:rPr>
          <w:rFonts w:cs="宋体"/>
          <w:highlight w:val="none"/>
        </w:rPr>
      </w:pPr>
      <w:r>
        <w:rPr>
          <w:rFonts w:hint="eastAsia" w:cs="宋体"/>
          <w:highlight w:val="none"/>
        </w:rPr>
        <w:t>八、年度评价被列为不及格</w:t>
      </w:r>
      <w:r>
        <w:rPr>
          <w:rFonts w:hint="eastAsia" w:cs="宋体"/>
          <w:highlight w:val="none"/>
          <w:lang w:eastAsia="zh-CN"/>
        </w:rPr>
        <w:t>投标人</w:t>
      </w:r>
      <w:r>
        <w:rPr>
          <w:rFonts w:hint="eastAsia" w:cs="宋体"/>
          <w:highlight w:val="none"/>
        </w:rPr>
        <w:t>的，暂停12个月；</w:t>
      </w:r>
    </w:p>
    <w:p>
      <w:pPr>
        <w:ind w:firstLine="480"/>
        <w:rPr>
          <w:rFonts w:cs="宋体"/>
          <w:highlight w:val="none"/>
        </w:rPr>
      </w:pPr>
      <w:r>
        <w:rPr>
          <w:rFonts w:hint="eastAsia" w:cs="宋体"/>
          <w:highlight w:val="none"/>
        </w:rPr>
        <w:t>九、被集团公司或所属分（子）公司暂停参与采购活动的，从其处罚；</w:t>
      </w:r>
    </w:p>
    <w:p>
      <w:pPr>
        <w:pStyle w:val="34"/>
        <w:rPr>
          <w:highlight w:val="none"/>
        </w:rPr>
      </w:pPr>
    </w:p>
    <w:p>
      <w:pPr>
        <w:pStyle w:val="34"/>
        <w:rPr>
          <w:highlight w:val="none"/>
        </w:rPr>
      </w:pPr>
    </w:p>
    <w:p>
      <w:pPr>
        <w:pStyle w:val="34"/>
        <w:rPr>
          <w:highlight w:val="none"/>
        </w:rPr>
      </w:pPr>
    </w:p>
    <w:p>
      <w:pPr>
        <w:pStyle w:val="34"/>
        <w:rPr>
          <w:highlight w:val="none"/>
        </w:rPr>
      </w:pPr>
    </w:p>
    <w:p>
      <w:pPr>
        <w:pStyle w:val="34"/>
        <w:rPr>
          <w:highlight w:val="none"/>
        </w:rPr>
      </w:pPr>
    </w:p>
    <w:p>
      <w:pPr>
        <w:pStyle w:val="34"/>
        <w:rPr>
          <w:highlight w:val="none"/>
        </w:rPr>
      </w:pPr>
    </w:p>
    <w:p>
      <w:pPr>
        <w:ind w:firstLine="480"/>
        <w:jc w:val="right"/>
        <w:rPr>
          <w:highlight w:val="none"/>
        </w:rPr>
      </w:pPr>
      <w:r>
        <w:rPr>
          <w:rFonts w:hint="eastAsia"/>
          <w:highlight w:val="none"/>
        </w:rPr>
        <w:t xml:space="preserve">法定代表人或授权代理人：（签字或盖章） </w:t>
      </w:r>
    </w:p>
    <w:p>
      <w:pPr>
        <w:ind w:firstLine="480"/>
        <w:jc w:val="right"/>
        <w:rPr>
          <w:highlight w:val="none"/>
        </w:rPr>
      </w:pPr>
      <w:r>
        <w:rPr>
          <w:rFonts w:hint="eastAsia"/>
          <w:highlight w:val="none"/>
          <w:lang w:eastAsia="zh-CN"/>
        </w:rPr>
        <w:t>投标人</w:t>
      </w:r>
      <w:r>
        <w:rPr>
          <w:rFonts w:hint="eastAsia"/>
          <w:highlight w:val="none"/>
        </w:rPr>
        <w:t>：（加盖公章）</w:t>
      </w:r>
    </w:p>
    <w:p>
      <w:pPr>
        <w:ind w:firstLine="480"/>
        <w:jc w:val="right"/>
        <w:rPr>
          <w:highlight w:val="none"/>
        </w:rPr>
      </w:pPr>
      <w:r>
        <w:rPr>
          <w:rFonts w:hint="eastAsia"/>
          <w:highlight w:val="none"/>
        </w:rPr>
        <w:t>年   月    日</w:t>
      </w:r>
    </w:p>
    <w:p>
      <w:pPr>
        <w:pStyle w:val="34"/>
        <w:rPr>
          <w:highlight w:val="none"/>
        </w:rPr>
      </w:pPr>
    </w:p>
    <w:p>
      <w:pPr>
        <w:pStyle w:val="34"/>
        <w:rPr>
          <w:highlight w:val="none"/>
        </w:rPr>
      </w:pPr>
    </w:p>
    <w:p>
      <w:pPr>
        <w:pStyle w:val="34"/>
        <w:rPr>
          <w:highlight w:val="none"/>
        </w:rPr>
      </w:pPr>
    </w:p>
    <w:p>
      <w:pPr>
        <w:pStyle w:val="34"/>
        <w:rPr>
          <w:highlight w:val="none"/>
        </w:rPr>
      </w:pPr>
    </w:p>
    <w:p>
      <w:pPr>
        <w:pStyle w:val="5"/>
        <w:ind w:firstLine="0" w:firstLineChars="0"/>
        <w:rPr>
          <w:highlight w:val="none"/>
        </w:rPr>
      </w:pPr>
      <w:r>
        <w:rPr>
          <w:highlight w:val="none"/>
        </w:rPr>
        <w:t>2</w:t>
      </w:r>
      <w:r>
        <w:rPr>
          <w:rFonts w:hint="eastAsia"/>
          <w:highlight w:val="none"/>
        </w:rPr>
        <w:t>企业营业执照或事业单位法人证书</w:t>
      </w:r>
    </w:p>
    <w:p>
      <w:pPr>
        <w:ind w:firstLine="0" w:firstLineChars="0"/>
        <w:rPr>
          <w:highlight w:val="none"/>
        </w:rPr>
      </w:pPr>
      <w:bookmarkStart w:id="262" w:name="OLE_LINK131"/>
      <w:bookmarkStart w:id="263" w:name="OLE_LINK130"/>
      <w:r>
        <w:rPr>
          <w:rFonts w:hint="eastAsia"/>
          <w:highlight w:val="none"/>
        </w:rPr>
        <w:t>提供复印件并加盖公章</w:t>
      </w:r>
      <w:bookmarkEnd w:id="262"/>
      <w:bookmarkEnd w:id="263"/>
    </w:p>
    <w:p>
      <w:pPr>
        <w:widowControl/>
        <w:spacing w:line="240" w:lineRule="auto"/>
        <w:ind w:firstLine="0" w:firstLineChars="0"/>
        <w:jc w:val="left"/>
        <w:rPr>
          <w:b/>
          <w:bCs/>
          <w:szCs w:val="32"/>
          <w:highlight w:val="none"/>
        </w:rPr>
      </w:pPr>
      <w:r>
        <w:rPr>
          <w:highlight w:val="none"/>
        </w:rPr>
        <w:br w:type="page"/>
      </w:r>
    </w:p>
    <w:p>
      <w:pPr>
        <w:pStyle w:val="5"/>
        <w:spacing w:line="240" w:lineRule="auto"/>
        <w:ind w:firstLine="0" w:firstLineChars="0"/>
        <w:rPr>
          <w:highlight w:val="none"/>
        </w:rPr>
      </w:pPr>
      <w:r>
        <w:rPr>
          <w:rFonts w:hint="eastAsia"/>
          <w:highlight w:val="none"/>
        </w:rPr>
        <w:t>3法定代表人身份证明书</w:t>
      </w:r>
    </w:p>
    <w:p>
      <w:pPr>
        <w:ind w:firstLine="482"/>
        <w:jc w:val="center"/>
        <w:rPr>
          <w:b/>
          <w:bCs/>
          <w:highlight w:val="none"/>
        </w:rPr>
      </w:pPr>
    </w:p>
    <w:p>
      <w:pPr>
        <w:ind w:firstLine="0" w:firstLineChars="0"/>
        <w:jc w:val="center"/>
        <w:rPr>
          <w:b/>
          <w:bCs/>
          <w:highlight w:val="none"/>
        </w:rPr>
      </w:pPr>
      <w:r>
        <w:rPr>
          <w:rFonts w:hint="eastAsia"/>
          <w:b/>
          <w:bCs/>
          <w:highlight w:val="none"/>
        </w:rPr>
        <w:t>法定代表人身份证明书</w:t>
      </w:r>
    </w:p>
    <w:p>
      <w:pPr>
        <w:ind w:firstLine="480"/>
        <w:rPr>
          <w:highlight w:val="none"/>
        </w:rPr>
      </w:pPr>
    </w:p>
    <w:p>
      <w:pPr>
        <w:ind w:firstLine="480"/>
        <w:rPr>
          <w:highlight w:val="none"/>
        </w:rPr>
      </w:pPr>
      <w:r>
        <w:rPr>
          <w:rFonts w:hint="eastAsia"/>
          <w:highlight w:val="none"/>
          <w:u w:val="single"/>
        </w:rPr>
        <w:t xml:space="preserve">  （姓名）  </w:t>
      </w:r>
      <w:r>
        <w:rPr>
          <w:rFonts w:hint="eastAsia"/>
          <w:highlight w:val="none"/>
        </w:rPr>
        <w:t>先生/女士，系本单位</w:t>
      </w:r>
      <w:r>
        <w:rPr>
          <w:rFonts w:hint="eastAsia"/>
          <w:highlight w:val="none"/>
          <w:u w:val="single"/>
        </w:rPr>
        <w:t xml:space="preserve"> </w:t>
      </w:r>
      <w:r>
        <w:rPr>
          <w:highlight w:val="none"/>
          <w:u w:val="single"/>
        </w:rPr>
        <w:t xml:space="preserve">  </w:t>
      </w:r>
      <w:r>
        <w:rPr>
          <w:rFonts w:hint="eastAsia"/>
          <w:highlight w:val="none"/>
          <w:u w:val="single"/>
        </w:rPr>
        <w:t>（单位名称）</w:t>
      </w:r>
      <w:r>
        <w:rPr>
          <w:highlight w:val="none"/>
          <w:u w:val="single"/>
        </w:rPr>
        <w:t xml:space="preserve">   </w:t>
      </w:r>
      <w:r>
        <w:rPr>
          <w:rFonts w:hint="eastAsia"/>
          <w:highlight w:val="none"/>
        </w:rPr>
        <w:t>法定代表人，特此证明。</w:t>
      </w:r>
    </w:p>
    <w:p>
      <w:pPr>
        <w:ind w:firstLine="480"/>
        <w:rPr>
          <w:highlight w:val="none"/>
        </w:rPr>
      </w:pPr>
      <w:r>
        <w:rPr>
          <w:rFonts w:hint="eastAsia"/>
          <w:highlight w:val="none"/>
        </w:rPr>
        <w:t>身份证号码：</w:t>
      </w:r>
      <w:r>
        <w:rPr>
          <w:rFonts w:hint="eastAsia"/>
          <w:highlight w:val="none"/>
          <w:u w:val="single"/>
        </w:rPr>
        <w:t xml:space="preserve">                                      </w:t>
      </w:r>
      <w:r>
        <w:rPr>
          <w:rFonts w:hint="eastAsia"/>
          <w:highlight w:val="none"/>
        </w:rPr>
        <w:t xml:space="preserve">   </w:t>
      </w:r>
    </w:p>
    <w:p>
      <w:pPr>
        <w:ind w:firstLine="480"/>
        <w:jc w:val="right"/>
        <w:rPr>
          <w:highlight w:val="none"/>
        </w:rPr>
      </w:pPr>
    </w:p>
    <w:p>
      <w:pPr>
        <w:ind w:firstLine="480"/>
        <w:jc w:val="right"/>
        <w:rPr>
          <w:highlight w:val="none"/>
        </w:rPr>
      </w:pPr>
    </w:p>
    <w:p>
      <w:pPr>
        <w:ind w:firstLine="482"/>
        <w:rPr>
          <w:b/>
          <w:highlight w:val="none"/>
        </w:rPr>
      </w:pPr>
      <w:r>
        <w:rPr>
          <w:rFonts w:hint="eastAsia"/>
          <w:b/>
          <w:highlight w:val="none"/>
        </w:rPr>
        <w:t>注：提供法定代表人身份证（正反面）复印件</w:t>
      </w:r>
    </w:p>
    <w:tbl>
      <w:tblPr>
        <w:tblStyle w:val="2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0" w:hRule="atLeast"/>
        </w:trPr>
        <w:tc>
          <w:tcPr>
            <w:tcW w:w="5000" w:type="pct"/>
          </w:tcPr>
          <w:p>
            <w:pPr>
              <w:ind w:firstLine="480"/>
              <w:jc w:val="left"/>
              <w:rPr>
                <w:highlight w:val="none"/>
              </w:rPr>
            </w:pPr>
          </w:p>
        </w:tc>
      </w:tr>
    </w:tbl>
    <w:p>
      <w:pPr>
        <w:ind w:firstLine="480"/>
        <w:jc w:val="right"/>
        <w:rPr>
          <w:rFonts w:hint="eastAsia"/>
          <w:highlight w:val="none"/>
        </w:rPr>
      </w:pPr>
    </w:p>
    <w:p>
      <w:pPr>
        <w:ind w:firstLine="480"/>
        <w:jc w:val="right"/>
        <w:rPr>
          <w:highlight w:val="none"/>
        </w:rPr>
      </w:pPr>
      <w:r>
        <w:rPr>
          <w:rFonts w:hint="eastAsia"/>
          <w:highlight w:val="none"/>
          <w:lang w:eastAsia="zh-CN"/>
        </w:rPr>
        <w:t>投标人</w:t>
      </w:r>
      <w:r>
        <w:rPr>
          <w:rFonts w:hint="eastAsia"/>
          <w:highlight w:val="none"/>
        </w:rPr>
        <w:t>：（加盖公章）</w:t>
      </w:r>
    </w:p>
    <w:p>
      <w:pPr>
        <w:ind w:firstLine="480"/>
        <w:jc w:val="right"/>
        <w:rPr>
          <w:rFonts w:hint="eastAsia"/>
          <w:highlight w:val="none"/>
        </w:rPr>
      </w:pPr>
      <w:r>
        <w:rPr>
          <w:rFonts w:hint="eastAsia"/>
          <w:highlight w:val="none"/>
        </w:rPr>
        <w:t xml:space="preserve">年    月 </w:t>
      </w:r>
      <w:r>
        <w:rPr>
          <w:rFonts w:hint="eastAsia"/>
          <w:highlight w:val="none"/>
          <w:lang w:val="en-US" w:eastAsia="zh-CN"/>
        </w:rPr>
        <w:t xml:space="preserve"> 日</w:t>
      </w:r>
      <w:r>
        <w:rPr>
          <w:rFonts w:hint="eastAsia"/>
          <w:highlight w:val="none"/>
        </w:rPr>
        <w:t xml:space="preserve">   </w:t>
      </w:r>
    </w:p>
    <w:p>
      <w:pPr>
        <w:ind w:firstLine="480"/>
        <w:jc w:val="right"/>
        <w:rPr>
          <w:rFonts w:hint="eastAsia"/>
          <w:highlight w:val="none"/>
        </w:rPr>
      </w:pPr>
    </w:p>
    <w:p>
      <w:pPr>
        <w:ind w:firstLine="480"/>
        <w:jc w:val="right"/>
        <w:rPr>
          <w:rFonts w:hint="eastAsia"/>
          <w:highlight w:val="none"/>
        </w:rPr>
      </w:pPr>
    </w:p>
    <w:p>
      <w:pPr>
        <w:ind w:firstLine="480"/>
        <w:jc w:val="right"/>
        <w:rPr>
          <w:rFonts w:hint="eastAsia"/>
          <w:highlight w:val="none"/>
        </w:rPr>
      </w:pPr>
    </w:p>
    <w:p>
      <w:pPr>
        <w:ind w:firstLine="480"/>
        <w:jc w:val="right"/>
        <w:rPr>
          <w:rFonts w:hint="eastAsia"/>
          <w:highlight w:val="none"/>
        </w:rPr>
      </w:pPr>
    </w:p>
    <w:p>
      <w:pPr>
        <w:ind w:firstLine="480"/>
        <w:jc w:val="right"/>
        <w:rPr>
          <w:rFonts w:hint="eastAsia"/>
          <w:highlight w:val="none"/>
        </w:rPr>
      </w:pPr>
    </w:p>
    <w:p>
      <w:pPr>
        <w:ind w:firstLine="480"/>
        <w:jc w:val="right"/>
        <w:rPr>
          <w:rFonts w:hint="eastAsia"/>
          <w:highlight w:val="none"/>
        </w:rPr>
      </w:pPr>
    </w:p>
    <w:p>
      <w:pPr>
        <w:ind w:firstLine="480"/>
        <w:jc w:val="right"/>
        <w:rPr>
          <w:rFonts w:hint="eastAsia"/>
          <w:highlight w:val="none"/>
        </w:rPr>
      </w:pPr>
    </w:p>
    <w:p>
      <w:pPr>
        <w:ind w:firstLine="480"/>
        <w:jc w:val="right"/>
        <w:rPr>
          <w:rFonts w:hint="eastAsia"/>
          <w:highlight w:val="none"/>
        </w:rPr>
      </w:pPr>
    </w:p>
    <w:p>
      <w:pPr>
        <w:ind w:firstLine="480"/>
        <w:jc w:val="right"/>
        <w:rPr>
          <w:highlight w:val="none"/>
        </w:rPr>
      </w:pPr>
    </w:p>
    <w:p>
      <w:pPr>
        <w:widowControl/>
        <w:spacing w:line="240" w:lineRule="auto"/>
        <w:ind w:firstLine="0" w:firstLineChars="0"/>
        <w:jc w:val="left"/>
        <w:rPr>
          <w:highlight w:val="none"/>
        </w:rPr>
      </w:pPr>
    </w:p>
    <w:p>
      <w:pPr>
        <w:pStyle w:val="5"/>
        <w:ind w:firstLine="0" w:firstLineChars="0"/>
        <w:rPr>
          <w:highlight w:val="none"/>
        </w:rPr>
      </w:pPr>
      <w:r>
        <w:rPr>
          <w:rFonts w:hint="eastAsia"/>
          <w:highlight w:val="none"/>
        </w:rPr>
        <w:t>4授权委托书原件</w:t>
      </w:r>
    </w:p>
    <w:p>
      <w:pPr>
        <w:ind w:firstLine="0" w:firstLineChars="0"/>
        <w:jc w:val="center"/>
        <w:rPr>
          <w:b/>
          <w:bCs/>
          <w:highlight w:val="none"/>
        </w:rPr>
      </w:pPr>
      <w:r>
        <w:rPr>
          <w:rFonts w:hint="eastAsia"/>
          <w:b/>
          <w:bCs/>
          <w:highlight w:val="none"/>
        </w:rPr>
        <w:t>授权委托书</w:t>
      </w:r>
    </w:p>
    <w:p>
      <w:pPr>
        <w:spacing w:line="400" w:lineRule="exact"/>
        <w:ind w:firstLine="420"/>
        <w:jc w:val="center"/>
        <w:rPr>
          <w:rFonts w:asciiTheme="minorEastAsia" w:hAnsiTheme="minorEastAsia" w:eastAsiaTheme="minorEastAsia" w:cstheme="minorEastAsia"/>
          <w:b/>
          <w:sz w:val="21"/>
          <w:szCs w:val="21"/>
          <w:highlight w:val="none"/>
        </w:rPr>
      </w:pPr>
    </w:p>
    <w:p>
      <w:pPr>
        <w:ind w:firstLine="0" w:firstLineChars="0"/>
        <w:rPr>
          <w:highlight w:val="none"/>
        </w:rPr>
      </w:pPr>
      <w:r>
        <w:rPr>
          <w:rFonts w:hint="eastAsia"/>
          <w:highlight w:val="none"/>
        </w:rPr>
        <w:t>致</w:t>
      </w:r>
      <w:r>
        <w:rPr>
          <w:rFonts w:hint="eastAsia"/>
          <w:highlight w:val="none"/>
          <w:u w:val="single"/>
        </w:rPr>
        <w:t>南通轨道交通集团有限公司运营分公司</w:t>
      </w:r>
      <w:r>
        <w:rPr>
          <w:rFonts w:hint="eastAsia"/>
          <w:highlight w:val="none"/>
        </w:rPr>
        <w:t>：</w:t>
      </w:r>
    </w:p>
    <w:p>
      <w:pPr>
        <w:ind w:firstLine="480"/>
        <w:rPr>
          <w:highlight w:val="none"/>
        </w:rPr>
      </w:pPr>
      <w:r>
        <w:rPr>
          <w:rFonts w:hint="eastAsia"/>
          <w:highlight w:val="none"/>
        </w:rPr>
        <w:t>本授权委托书声明：本人</w:t>
      </w:r>
      <w:r>
        <w:rPr>
          <w:rFonts w:hint="eastAsia"/>
          <w:highlight w:val="none"/>
          <w:u w:val="single"/>
        </w:rPr>
        <w:t xml:space="preserve">          </w:t>
      </w:r>
      <w:r>
        <w:rPr>
          <w:rFonts w:hint="eastAsia"/>
          <w:highlight w:val="none"/>
        </w:rPr>
        <w:t>（姓名）系</w:t>
      </w:r>
      <w:r>
        <w:rPr>
          <w:rFonts w:hint="eastAsia"/>
          <w:highlight w:val="none"/>
          <w:u w:val="single"/>
        </w:rPr>
        <w:t xml:space="preserve">                  </w:t>
      </w:r>
      <w:r>
        <w:rPr>
          <w:rFonts w:hint="eastAsia"/>
          <w:highlight w:val="none"/>
        </w:rPr>
        <w:t>（</w:t>
      </w:r>
      <w:r>
        <w:rPr>
          <w:rFonts w:hint="eastAsia"/>
          <w:highlight w:val="none"/>
          <w:lang w:eastAsia="zh-CN"/>
        </w:rPr>
        <w:t>投标人</w:t>
      </w:r>
      <w:r>
        <w:rPr>
          <w:rFonts w:hint="eastAsia"/>
          <w:highlight w:val="none"/>
        </w:rPr>
        <w:t>名称）的法定代表人现授权委托</w:t>
      </w:r>
      <w:r>
        <w:rPr>
          <w:rFonts w:hint="eastAsia"/>
          <w:highlight w:val="none"/>
          <w:u w:val="single"/>
        </w:rPr>
        <w:t xml:space="preserve">         </w:t>
      </w:r>
      <w:r>
        <w:rPr>
          <w:rFonts w:hint="eastAsia"/>
          <w:highlight w:val="none"/>
        </w:rPr>
        <w:t>（姓名）为我公司代理人，以本公司的名义参加</w:t>
      </w:r>
      <w:r>
        <w:rPr>
          <w:rFonts w:hint="eastAsia"/>
          <w:highlight w:val="none"/>
          <w:u w:val="single"/>
          <w:lang w:eastAsia="zh-CN"/>
        </w:rPr>
        <w:t>南通轨道交通集团有限公司运营分公司2026-2029年2号线结构监测委外维保项目</w:t>
      </w:r>
      <w:r>
        <w:rPr>
          <w:rFonts w:hint="eastAsia"/>
          <w:highlight w:val="none"/>
          <w:u w:val="single"/>
        </w:rPr>
        <w:t>（项目编号：</w:t>
      </w:r>
      <w:r>
        <w:rPr>
          <w:rFonts w:hint="eastAsia"/>
          <w:highlight w:val="none"/>
          <w:u w:val="single"/>
          <w:lang w:eastAsia="zh-CN"/>
        </w:rPr>
        <w:t>NTGY-2026-FW-ZB-034</w:t>
      </w:r>
      <w:r>
        <w:rPr>
          <w:rFonts w:hint="eastAsia"/>
          <w:highlight w:val="none"/>
          <w:u w:val="single"/>
        </w:rPr>
        <w:t>）</w:t>
      </w:r>
      <w:r>
        <w:rPr>
          <w:rFonts w:hint="eastAsia"/>
          <w:highlight w:val="none"/>
        </w:rPr>
        <w:t>的采购活动。</w:t>
      </w:r>
    </w:p>
    <w:p>
      <w:pPr>
        <w:ind w:firstLine="480"/>
        <w:rPr>
          <w:highlight w:val="none"/>
        </w:rPr>
      </w:pPr>
      <w:r>
        <w:rPr>
          <w:rFonts w:hint="eastAsia"/>
          <w:highlight w:val="none"/>
        </w:rPr>
        <w:t>该代理人在以上项目的采购活动过程中所签署的一切文件和处理与这有关的一切事务，本人均予以承认。</w:t>
      </w:r>
    </w:p>
    <w:p>
      <w:pPr>
        <w:ind w:firstLine="480"/>
        <w:rPr>
          <w:highlight w:val="none"/>
        </w:rPr>
      </w:pPr>
      <w:r>
        <w:rPr>
          <w:rFonts w:hint="eastAsia"/>
          <w:highlight w:val="none"/>
        </w:rPr>
        <w:t>该代理人在授权委托书有效期内签署的所有文件不因授权委托的撤销而失效，除非有撤销授权委托的书面通知，本授权委托书自</w:t>
      </w:r>
      <w:r>
        <w:rPr>
          <w:rFonts w:hint="eastAsia"/>
          <w:highlight w:val="none"/>
          <w:lang w:eastAsia="zh-CN"/>
        </w:rPr>
        <w:t>投标文件</w:t>
      </w:r>
      <w:r>
        <w:rPr>
          <w:rFonts w:hint="eastAsia"/>
          <w:highlight w:val="none"/>
        </w:rPr>
        <w:t>开始至合同履行完毕止。</w:t>
      </w:r>
    </w:p>
    <w:p>
      <w:pPr>
        <w:ind w:firstLine="480"/>
        <w:rPr>
          <w:highlight w:val="none"/>
        </w:rPr>
      </w:pPr>
      <w:r>
        <w:rPr>
          <w:rFonts w:hint="eastAsia"/>
          <w:highlight w:val="none"/>
        </w:rPr>
        <w:t>代理人无转委托权。特此委托。</w:t>
      </w:r>
    </w:p>
    <w:p>
      <w:pPr>
        <w:ind w:firstLine="482"/>
        <w:rPr>
          <w:b/>
          <w:highlight w:val="none"/>
        </w:rPr>
      </w:pPr>
      <w:r>
        <w:rPr>
          <w:rFonts w:hint="eastAsia"/>
          <w:b/>
          <w:highlight w:val="none"/>
        </w:rPr>
        <w:t>注：提供授权代理人的身份证（正反面）复印件</w:t>
      </w:r>
    </w:p>
    <w:tbl>
      <w:tblPr>
        <w:tblStyle w:val="2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057" w:hRule="atLeast"/>
        </w:trPr>
        <w:tc>
          <w:tcPr>
            <w:tcW w:w="5000" w:type="pct"/>
          </w:tcPr>
          <w:p>
            <w:pPr>
              <w:ind w:firstLine="0" w:firstLineChars="0"/>
              <w:rPr>
                <w:highlight w:val="none"/>
              </w:rPr>
            </w:pPr>
          </w:p>
        </w:tc>
      </w:tr>
    </w:tbl>
    <w:p>
      <w:pPr>
        <w:ind w:firstLine="480"/>
        <w:rPr>
          <w:highlight w:val="none"/>
        </w:rPr>
      </w:pPr>
    </w:p>
    <w:p>
      <w:pPr>
        <w:ind w:firstLine="480"/>
        <w:jc w:val="right"/>
        <w:rPr>
          <w:highlight w:val="none"/>
        </w:rPr>
      </w:pPr>
      <w:r>
        <w:rPr>
          <w:rFonts w:hint="eastAsia"/>
          <w:highlight w:val="none"/>
          <w:lang w:eastAsia="zh-CN"/>
        </w:rPr>
        <w:t>投标人</w:t>
      </w:r>
      <w:r>
        <w:rPr>
          <w:rFonts w:hint="eastAsia"/>
          <w:highlight w:val="none"/>
        </w:rPr>
        <w:t>：（加盖公章）</w:t>
      </w:r>
    </w:p>
    <w:p>
      <w:pPr>
        <w:ind w:firstLine="480"/>
        <w:jc w:val="right"/>
        <w:rPr>
          <w:highlight w:val="none"/>
        </w:rPr>
      </w:pPr>
      <w:r>
        <w:rPr>
          <w:rFonts w:hint="eastAsia"/>
          <w:highlight w:val="none"/>
        </w:rPr>
        <w:t>法定代表人：（签字或盖章）</w:t>
      </w:r>
    </w:p>
    <w:p>
      <w:pPr>
        <w:ind w:firstLine="480"/>
        <w:jc w:val="right"/>
        <w:rPr>
          <w:highlight w:val="none"/>
        </w:rPr>
        <w:sectPr>
          <w:footerReference r:id="rId14" w:type="default"/>
          <w:pgSz w:w="11906" w:h="16838"/>
          <w:pgMar w:top="1418" w:right="1588" w:bottom="1418" w:left="1588" w:header="851" w:footer="992" w:gutter="0"/>
          <w:pgBorders>
            <w:top w:val="none" w:sz="0" w:space="0"/>
            <w:left w:val="none" w:sz="0" w:space="0"/>
            <w:bottom w:val="none" w:sz="0" w:space="0"/>
            <w:right w:val="none" w:sz="0" w:space="0"/>
          </w:pgBorders>
          <w:pgNumType w:fmt="decimal"/>
          <w:cols w:space="425" w:num="1"/>
          <w:docGrid w:linePitch="326" w:charSpace="0"/>
        </w:sectPr>
      </w:pPr>
      <w:r>
        <w:rPr>
          <w:rFonts w:hint="eastAsia"/>
          <w:highlight w:val="none"/>
        </w:rPr>
        <w:t>　　　年　  月 　 日</w:t>
      </w:r>
    </w:p>
    <w:p>
      <w:pPr>
        <w:ind w:firstLine="0" w:firstLineChars="0"/>
        <w:rPr>
          <w:rFonts w:hint="eastAsia" w:eastAsia="宋体"/>
          <w:highlight w:val="none"/>
          <w:lang w:eastAsia="zh-CN"/>
        </w:rPr>
      </w:pPr>
      <w:r>
        <w:rPr>
          <w:rFonts w:hint="eastAsia" w:ascii="宋体" w:hAnsi="宋体" w:cs="宋体"/>
          <w:b/>
          <w:bCs/>
          <w:highlight w:val="none"/>
        </w:rPr>
        <w:t>5、资质要求</w:t>
      </w:r>
      <w:r>
        <w:rPr>
          <w:rFonts w:hint="eastAsia" w:ascii="宋体" w:hAnsi="宋体" w:cs="宋体"/>
          <w:b/>
          <w:bCs/>
          <w:highlight w:val="none"/>
          <w:lang w:eastAsia="zh-CN"/>
        </w:rPr>
        <w:t>：提供有效的资质证书原件扫描件。</w:t>
      </w:r>
    </w:p>
    <w:p>
      <w:pPr>
        <w:rPr>
          <w:rFonts w:hint="eastAsia" w:ascii="宋体" w:hAnsi="宋体" w:cs="宋体"/>
          <w:b/>
          <w:bCs/>
          <w:highlight w:val="none"/>
        </w:rPr>
      </w:pPr>
      <w:r>
        <w:rPr>
          <w:rFonts w:hint="eastAsia" w:ascii="宋体" w:hAnsi="宋体" w:cs="宋体"/>
          <w:b/>
          <w:bCs/>
          <w:highlight w:val="none"/>
        </w:rPr>
        <w:br w:type="page"/>
      </w:r>
    </w:p>
    <w:p>
      <w:pPr>
        <w:ind w:firstLine="0" w:firstLineChars="0"/>
        <w:rPr>
          <w:rFonts w:hint="eastAsia" w:eastAsia="宋体"/>
          <w:highlight w:val="none"/>
          <w:lang w:val="en-US" w:eastAsia="zh-CN"/>
        </w:rPr>
      </w:pPr>
      <w:r>
        <w:rPr>
          <w:rFonts w:hint="eastAsia" w:ascii="宋体" w:hAnsi="宋体" w:cs="宋体"/>
          <w:b/>
          <w:bCs/>
          <w:highlight w:val="none"/>
        </w:rPr>
        <w:t>6、项目负责人要求</w:t>
      </w:r>
    </w:p>
    <w:p>
      <w:pPr>
        <w:pStyle w:val="4"/>
        <w:pageBreakBefore w:val="0"/>
        <w:widowControl w:val="0"/>
        <w:kinsoku/>
        <w:wordWrap/>
        <w:overflowPunct/>
        <w:topLinePunct w:val="0"/>
        <w:autoSpaceDE/>
        <w:autoSpaceDN/>
        <w:bidi w:val="0"/>
        <w:adjustRightInd/>
        <w:snapToGrid/>
        <w:ind w:right="-192" w:rightChars="-80" w:firstLine="0" w:firstLineChars="0"/>
        <w:jc w:val="center"/>
        <w:textAlignment w:val="auto"/>
        <w:rPr>
          <w:rFonts w:ascii="宋体" w:hAnsi="宋体" w:cs="宋体"/>
          <w:highlight w:val="none"/>
        </w:rPr>
      </w:pPr>
      <w:r>
        <w:rPr>
          <w:rFonts w:hint="eastAsia" w:ascii="宋体" w:hAnsi="宋体" w:cs="宋体"/>
          <w:b/>
          <w:bCs/>
          <w:highlight w:val="none"/>
        </w:rPr>
        <w:t>项目负责人简历表</w:t>
      </w:r>
      <w:r>
        <w:rPr>
          <w:rFonts w:hint="eastAsia" w:ascii="宋体" w:hAnsi="宋体" w:cs="宋体"/>
          <w:highlight w:val="none"/>
        </w:rPr>
        <w:t xml:space="preserve">                                      </w:t>
      </w:r>
    </w:p>
    <w:tbl>
      <w:tblPr>
        <w:tblStyle w:val="25"/>
        <w:tblW w:w="8924"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591"/>
        <w:gridCol w:w="1342"/>
        <w:gridCol w:w="1497"/>
        <w:gridCol w:w="63"/>
        <w:gridCol w:w="1308"/>
        <w:gridCol w:w="1260"/>
        <w:gridCol w:w="256"/>
        <w:gridCol w:w="107"/>
        <w:gridCol w:w="1500"/>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56" w:hRule="atLeast"/>
          <w:jc w:val="center"/>
        </w:trPr>
        <w:tc>
          <w:tcPr>
            <w:tcW w:w="1591" w:type="dxa"/>
            <w:vAlign w:val="center"/>
          </w:tcPr>
          <w:p>
            <w:pPr>
              <w:pageBreakBefore w:val="0"/>
              <w:widowControl w:val="0"/>
              <w:kinsoku/>
              <w:wordWrap/>
              <w:overflowPunct/>
              <w:topLinePunct w:val="0"/>
              <w:autoSpaceDE/>
              <w:autoSpaceDN/>
              <w:bidi w:val="0"/>
              <w:adjustRightInd/>
              <w:snapToGrid/>
              <w:ind w:firstLine="0" w:firstLineChars="0"/>
              <w:jc w:val="center"/>
              <w:textAlignment w:val="auto"/>
              <w:rPr>
                <w:rFonts w:ascii="宋体" w:hAnsi="宋体" w:cs="宋体"/>
                <w:highlight w:val="none"/>
              </w:rPr>
            </w:pPr>
            <w:bookmarkStart w:id="264" w:name="_Toc218710268"/>
            <w:r>
              <w:rPr>
                <w:rFonts w:hint="eastAsia" w:ascii="宋体" w:hAnsi="宋体" w:cs="宋体"/>
                <w:highlight w:val="none"/>
              </w:rPr>
              <w:t>姓   名</w:t>
            </w:r>
          </w:p>
        </w:tc>
        <w:tc>
          <w:tcPr>
            <w:tcW w:w="1342" w:type="dxa"/>
            <w:vAlign w:val="center"/>
          </w:tcPr>
          <w:p>
            <w:pPr>
              <w:pageBreakBefore w:val="0"/>
              <w:widowControl w:val="0"/>
              <w:kinsoku/>
              <w:wordWrap/>
              <w:overflowPunct/>
              <w:topLinePunct w:val="0"/>
              <w:autoSpaceDE/>
              <w:autoSpaceDN/>
              <w:bidi w:val="0"/>
              <w:adjustRightInd/>
              <w:snapToGrid/>
              <w:ind w:firstLine="0" w:firstLineChars="0"/>
              <w:jc w:val="center"/>
              <w:textAlignment w:val="auto"/>
              <w:rPr>
                <w:rFonts w:ascii="宋体" w:hAnsi="宋体" w:cs="宋体"/>
                <w:highlight w:val="none"/>
              </w:rPr>
            </w:pPr>
          </w:p>
        </w:tc>
        <w:tc>
          <w:tcPr>
            <w:tcW w:w="1560" w:type="dxa"/>
            <w:gridSpan w:val="2"/>
            <w:vAlign w:val="center"/>
          </w:tcPr>
          <w:p>
            <w:pPr>
              <w:pageBreakBefore w:val="0"/>
              <w:widowControl w:val="0"/>
              <w:kinsoku/>
              <w:wordWrap/>
              <w:overflowPunct/>
              <w:topLinePunct w:val="0"/>
              <w:autoSpaceDE/>
              <w:autoSpaceDN/>
              <w:bidi w:val="0"/>
              <w:adjustRightInd/>
              <w:snapToGrid/>
              <w:ind w:firstLine="0" w:firstLineChars="0"/>
              <w:jc w:val="center"/>
              <w:textAlignment w:val="auto"/>
              <w:rPr>
                <w:rFonts w:ascii="宋体" w:hAnsi="宋体" w:cs="宋体"/>
                <w:highlight w:val="none"/>
              </w:rPr>
            </w:pPr>
            <w:r>
              <w:rPr>
                <w:rFonts w:hint="eastAsia" w:ascii="宋体" w:hAnsi="宋体" w:cs="宋体"/>
                <w:highlight w:val="none"/>
              </w:rPr>
              <w:t>性   别</w:t>
            </w:r>
          </w:p>
        </w:tc>
        <w:tc>
          <w:tcPr>
            <w:tcW w:w="1308" w:type="dxa"/>
            <w:vAlign w:val="center"/>
          </w:tcPr>
          <w:p>
            <w:pPr>
              <w:pageBreakBefore w:val="0"/>
              <w:widowControl w:val="0"/>
              <w:kinsoku/>
              <w:wordWrap/>
              <w:overflowPunct/>
              <w:topLinePunct w:val="0"/>
              <w:autoSpaceDE/>
              <w:autoSpaceDN/>
              <w:bidi w:val="0"/>
              <w:adjustRightInd/>
              <w:snapToGrid/>
              <w:ind w:firstLine="0" w:firstLineChars="0"/>
              <w:jc w:val="center"/>
              <w:textAlignment w:val="auto"/>
              <w:rPr>
                <w:rFonts w:ascii="宋体" w:hAnsi="宋体" w:cs="宋体"/>
                <w:highlight w:val="none"/>
              </w:rPr>
            </w:pPr>
          </w:p>
        </w:tc>
        <w:tc>
          <w:tcPr>
            <w:tcW w:w="1260" w:type="dxa"/>
            <w:vAlign w:val="center"/>
          </w:tcPr>
          <w:p>
            <w:pPr>
              <w:pageBreakBefore w:val="0"/>
              <w:widowControl w:val="0"/>
              <w:kinsoku/>
              <w:wordWrap/>
              <w:overflowPunct/>
              <w:topLinePunct w:val="0"/>
              <w:autoSpaceDE/>
              <w:autoSpaceDN/>
              <w:bidi w:val="0"/>
              <w:adjustRightInd/>
              <w:snapToGrid/>
              <w:ind w:firstLine="0" w:firstLineChars="0"/>
              <w:jc w:val="center"/>
              <w:textAlignment w:val="auto"/>
              <w:rPr>
                <w:rFonts w:ascii="宋体" w:hAnsi="宋体" w:cs="宋体"/>
                <w:highlight w:val="none"/>
              </w:rPr>
            </w:pPr>
            <w:r>
              <w:rPr>
                <w:rFonts w:hint="eastAsia" w:ascii="宋体" w:hAnsi="宋体" w:cs="宋体"/>
                <w:highlight w:val="none"/>
              </w:rPr>
              <w:t>出生年月</w:t>
            </w:r>
          </w:p>
        </w:tc>
        <w:tc>
          <w:tcPr>
            <w:tcW w:w="1863" w:type="dxa"/>
            <w:gridSpan w:val="3"/>
            <w:vAlign w:val="center"/>
          </w:tcPr>
          <w:p>
            <w:pPr>
              <w:pageBreakBefore w:val="0"/>
              <w:widowControl w:val="0"/>
              <w:kinsoku/>
              <w:wordWrap/>
              <w:overflowPunct/>
              <w:topLinePunct w:val="0"/>
              <w:autoSpaceDE/>
              <w:autoSpaceDN/>
              <w:bidi w:val="0"/>
              <w:adjustRightInd/>
              <w:snapToGrid/>
              <w:ind w:firstLine="0" w:firstLineChars="0"/>
              <w:jc w:val="center"/>
              <w:textAlignment w:val="auto"/>
              <w:rPr>
                <w:rFonts w:ascii="宋体" w:hAnsi="宋体" w:cs="宋体"/>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56" w:hRule="atLeast"/>
          <w:jc w:val="center"/>
        </w:trPr>
        <w:tc>
          <w:tcPr>
            <w:tcW w:w="1591" w:type="dxa"/>
            <w:vAlign w:val="center"/>
          </w:tcPr>
          <w:p>
            <w:pPr>
              <w:pageBreakBefore w:val="0"/>
              <w:widowControl w:val="0"/>
              <w:kinsoku/>
              <w:wordWrap/>
              <w:overflowPunct/>
              <w:topLinePunct w:val="0"/>
              <w:autoSpaceDE/>
              <w:autoSpaceDN/>
              <w:bidi w:val="0"/>
              <w:adjustRightInd/>
              <w:snapToGrid/>
              <w:ind w:firstLine="0" w:firstLineChars="0"/>
              <w:jc w:val="center"/>
              <w:textAlignment w:val="auto"/>
              <w:rPr>
                <w:rFonts w:ascii="宋体" w:hAnsi="宋体" w:cs="宋体"/>
                <w:highlight w:val="none"/>
              </w:rPr>
            </w:pPr>
            <w:r>
              <w:rPr>
                <w:rFonts w:hint="eastAsia" w:ascii="宋体" w:hAnsi="宋体" w:cs="宋体"/>
                <w:highlight w:val="none"/>
              </w:rPr>
              <w:t>现任职务</w:t>
            </w:r>
          </w:p>
        </w:tc>
        <w:tc>
          <w:tcPr>
            <w:tcW w:w="1342" w:type="dxa"/>
            <w:vAlign w:val="center"/>
          </w:tcPr>
          <w:p>
            <w:pPr>
              <w:pageBreakBefore w:val="0"/>
              <w:widowControl w:val="0"/>
              <w:kinsoku/>
              <w:wordWrap/>
              <w:overflowPunct/>
              <w:topLinePunct w:val="0"/>
              <w:autoSpaceDE/>
              <w:autoSpaceDN/>
              <w:bidi w:val="0"/>
              <w:adjustRightInd/>
              <w:snapToGrid/>
              <w:ind w:firstLine="0" w:firstLineChars="0"/>
              <w:jc w:val="center"/>
              <w:textAlignment w:val="auto"/>
              <w:rPr>
                <w:rFonts w:ascii="宋体" w:hAnsi="宋体" w:cs="宋体"/>
                <w:highlight w:val="none"/>
              </w:rPr>
            </w:pPr>
          </w:p>
        </w:tc>
        <w:tc>
          <w:tcPr>
            <w:tcW w:w="1560" w:type="dxa"/>
            <w:gridSpan w:val="2"/>
            <w:vAlign w:val="center"/>
          </w:tcPr>
          <w:p>
            <w:pPr>
              <w:pageBreakBefore w:val="0"/>
              <w:widowControl w:val="0"/>
              <w:kinsoku/>
              <w:wordWrap/>
              <w:overflowPunct/>
              <w:topLinePunct w:val="0"/>
              <w:autoSpaceDE/>
              <w:autoSpaceDN/>
              <w:bidi w:val="0"/>
              <w:adjustRightInd/>
              <w:snapToGrid/>
              <w:ind w:firstLine="0" w:firstLineChars="0"/>
              <w:jc w:val="center"/>
              <w:textAlignment w:val="auto"/>
              <w:rPr>
                <w:rFonts w:ascii="宋体" w:hAnsi="宋体" w:cs="宋体"/>
                <w:highlight w:val="none"/>
              </w:rPr>
            </w:pPr>
            <w:r>
              <w:rPr>
                <w:rFonts w:hint="eastAsia" w:ascii="宋体" w:hAnsi="宋体" w:cs="宋体"/>
                <w:highlight w:val="none"/>
              </w:rPr>
              <w:t>政治面貌</w:t>
            </w:r>
          </w:p>
        </w:tc>
        <w:tc>
          <w:tcPr>
            <w:tcW w:w="1308" w:type="dxa"/>
            <w:vAlign w:val="center"/>
          </w:tcPr>
          <w:p>
            <w:pPr>
              <w:pageBreakBefore w:val="0"/>
              <w:widowControl w:val="0"/>
              <w:kinsoku/>
              <w:wordWrap/>
              <w:overflowPunct/>
              <w:topLinePunct w:val="0"/>
              <w:autoSpaceDE/>
              <w:autoSpaceDN/>
              <w:bidi w:val="0"/>
              <w:adjustRightInd/>
              <w:snapToGrid/>
              <w:ind w:firstLine="0" w:firstLineChars="0"/>
              <w:jc w:val="center"/>
              <w:textAlignment w:val="auto"/>
              <w:rPr>
                <w:rFonts w:ascii="宋体" w:hAnsi="宋体" w:cs="宋体"/>
                <w:highlight w:val="none"/>
              </w:rPr>
            </w:pPr>
          </w:p>
        </w:tc>
        <w:tc>
          <w:tcPr>
            <w:tcW w:w="1260" w:type="dxa"/>
            <w:vAlign w:val="center"/>
          </w:tcPr>
          <w:p>
            <w:pPr>
              <w:pageBreakBefore w:val="0"/>
              <w:widowControl w:val="0"/>
              <w:kinsoku/>
              <w:wordWrap/>
              <w:overflowPunct/>
              <w:topLinePunct w:val="0"/>
              <w:autoSpaceDE/>
              <w:autoSpaceDN/>
              <w:bidi w:val="0"/>
              <w:adjustRightInd/>
              <w:snapToGrid/>
              <w:ind w:firstLine="0" w:firstLineChars="0"/>
              <w:jc w:val="center"/>
              <w:textAlignment w:val="auto"/>
              <w:rPr>
                <w:rFonts w:ascii="宋体" w:hAnsi="宋体" w:cs="宋体"/>
                <w:highlight w:val="none"/>
              </w:rPr>
            </w:pPr>
            <w:r>
              <w:rPr>
                <w:rFonts w:hint="eastAsia" w:ascii="宋体" w:hAnsi="宋体" w:cs="宋体"/>
                <w:highlight w:val="none"/>
              </w:rPr>
              <w:t>技术职称</w:t>
            </w:r>
          </w:p>
        </w:tc>
        <w:tc>
          <w:tcPr>
            <w:tcW w:w="1863" w:type="dxa"/>
            <w:gridSpan w:val="3"/>
            <w:vAlign w:val="center"/>
          </w:tcPr>
          <w:p>
            <w:pPr>
              <w:pageBreakBefore w:val="0"/>
              <w:widowControl w:val="0"/>
              <w:kinsoku/>
              <w:wordWrap/>
              <w:overflowPunct/>
              <w:topLinePunct w:val="0"/>
              <w:autoSpaceDE/>
              <w:autoSpaceDN/>
              <w:bidi w:val="0"/>
              <w:adjustRightInd/>
              <w:snapToGrid/>
              <w:ind w:firstLine="0" w:firstLineChars="0"/>
              <w:jc w:val="center"/>
              <w:textAlignment w:val="auto"/>
              <w:rPr>
                <w:rFonts w:ascii="宋体" w:hAnsi="宋体" w:cs="宋体"/>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56" w:hRule="atLeast"/>
          <w:jc w:val="center"/>
        </w:trPr>
        <w:tc>
          <w:tcPr>
            <w:tcW w:w="1591" w:type="dxa"/>
            <w:vAlign w:val="center"/>
          </w:tcPr>
          <w:p>
            <w:pPr>
              <w:pageBreakBefore w:val="0"/>
              <w:widowControl w:val="0"/>
              <w:kinsoku/>
              <w:wordWrap/>
              <w:overflowPunct/>
              <w:topLinePunct w:val="0"/>
              <w:autoSpaceDE/>
              <w:autoSpaceDN/>
              <w:bidi w:val="0"/>
              <w:adjustRightInd/>
              <w:snapToGrid/>
              <w:ind w:firstLine="0" w:firstLineChars="0"/>
              <w:jc w:val="center"/>
              <w:textAlignment w:val="auto"/>
              <w:rPr>
                <w:rFonts w:ascii="宋体" w:hAnsi="宋体" w:cs="宋体"/>
                <w:highlight w:val="none"/>
              </w:rPr>
            </w:pPr>
            <w:r>
              <w:rPr>
                <w:rFonts w:hint="eastAsia" w:ascii="宋体" w:hAnsi="宋体" w:cs="宋体"/>
                <w:highlight w:val="none"/>
              </w:rPr>
              <w:t>毕业院校</w:t>
            </w:r>
          </w:p>
          <w:p>
            <w:pPr>
              <w:pageBreakBefore w:val="0"/>
              <w:widowControl w:val="0"/>
              <w:kinsoku/>
              <w:wordWrap/>
              <w:overflowPunct/>
              <w:topLinePunct w:val="0"/>
              <w:autoSpaceDE/>
              <w:autoSpaceDN/>
              <w:bidi w:val="0"/>
              <w:adjustRightInd/>
              <w:snapToGrid/>
              <w:ind w:firstLine="0" w:firstLineChars="0"/>
              <w:jc w:val="center"/>
              <w:textAlignment w:val="auto"/>
              <w:rPr>
                <w:rFonts w:ascii="宋体" w:hAnsi="宋体" w:cs="宋体"/>
                <w:highlight w:val="none"/>
              </w:rPr>
            </w:pPr>
            <w:r>
              <w:rPr>
                <w:rFonts w:hint="eastAsia" w:ascii="宋体" w:hAnsi="宋体" w:cs="宋体"/>
                <w:highlight w:val="none"/>
              </w:rPr>
              <w:t>及专业</w:t>
            </w:r>
          </w:p>
        </w:tc>
        <w:tc>
          <w:tcPr>
            <w:tcW w:w="1342" w:type="dxa"/>
            <w:vAlign w:val="center"/>
          </w:tcPr>
          <w:p>
            <w:pPr>
              <w:pageBreakBefore w:val="0"/>
              <w:widowControl w:val="0"/>
              <w:kinsoku/>
              <w:wordWrap/>
              <w:overflowPunct/>
              <w:topLinePunct w:val="0"/>
              <w:autoSpaceDE/>
              <w:autoSpaceDN/>
              <w:bidi w:val="0"/>
              <w:adjustRightInd/>
              <w:snapToGrid/>
              <w:ind w:firstLine="0" w:firstLineChars="0"/>
              <w:jc w:val="center"/>
              <w:textAlignment w:val="auto"/>
              <w:rPr>
                <w:rFonts w:ascii="宋体" w:hAnsi="宋体" w:cs="宋体"/>
                <w:highlight w:val="none"/>
              </w:rPr>
            </w:pPr>
          </w:p>
        </w:tc>
        <w:tc>
          <w:tcPr>
            <w:tcW w:w="1560" w:type="dxa"/>
            <w:gridSpan w:val="2"/>
            <w:vAlign w:val="center"/>
          </w:tcPr>
          <w:p>
            <w:pPr>
              <w:pageBreakBefore w:val="0"/>
              <w:widowControl w:val="0"/>
              <w:kinsoku/>
              <w:wordWrap/>
              <w:overflowPunct/>
              <w:topLinePunct w:val="0"/>
              <w:autoSpaceDE/>
              <w:autoSpaceDN/>
              <w:bidi w:val="0"/>
              <w:adjustRightInd/>
              <w:snapToGrid/>
              <w:ind w:firstLine="0" w:firstLineChars="0"/>
              <w:jc w:val="center"/>
              <w:textAlignment w:val="auto"/>
              <w:rPr>
                <w:rFonts w:ascii="宋体" w:hAnsi="宋体" w:cs="宋体"/>
                <w:highlight w:val="none"/>
              </w:rPr>
            </w:pPr>
            <w:r>
              <w:rPr>
                <w:rFonts w:hint="eastAsia" w:ascii="宋体" w:hAnsi="宋体" w:cs="宋体"/>
                <w:highlight w:val="none"/>
              </w:rPr>
              <w:t>毕业时间</w:t>
            </w:r>
          </w:p>
        </w:tc>
        <w:tc>
          <w:tcPr>
            <w:tcW w:w="1308" w:type="dxa"/>
            <w:vAlign w:val="center"/>
          </w:tcPr>
          <w:p>
            <w:pPr>
              <w:pageBreakBefore w:val="0"/>
              <w:widowControl w:val="0"/>
              <w:kinsoku/>
              <w:wordWrap/>
              <w:overflowPunct/>
              <w:topLinePunct w:val="0"/>
              <w:autoSpaceDE/>
              <w:autoSpaceDN/>
              <w:bidi w:val="0"/>
              <w:adjustRightInd/>
              <w:snapToGrid/>
              <w:ind w:firstLine="0" w:firstLineChars="0"/>
              <w:jc w:val="center"/>
              <w:textAlignment w:val="auto"/>
              <w:rPr>
                <w:rFonts w:ascii="宋体" w:hAnsi="宋体" w:cs="宋体"/>
                <w:highlight w:val="none"/>
              </w:rPr>
            </w:pPr>
          </w:p>
        </w:tc>
        <w:tc>
          <w:tcPr>
            <w:tcW w:w="1260" w:type="dxa"/>
            <w:vAlign w:val="center"/>
          </w:tcPr>
          <w:p>
            <w:pPr>
              <w:pageBreakBefore w:val="0"/>
              <w:widowControl w:val="0"/>
              <w:kinsoku/>
              <w:wordWrap/>
              <w:overflowPunct/>
              <w:topLinePunct w:val="0"/>
              <w:autoSpaceDE/>
              <w:autoSpaceDN/>
              <w:bidi w:val="0"/>
              <w:adjustRightInd/>
              <w:snapToGrid/>
              <w:ind w:firstLine="0" w:firstLineChars="0"/>
              <w:jc w:val="center"/>
              <w:textAlignment w:val="auto"/>
              <w:rPr>
                <w:rFonts w:ascii="宋体" w:hAnsi="宋体" w:cs="宋体"/>
                <w:highlight w:val="none"/>
              </w:rPr>
            </w:pPr>
            <w:r>
              <w:rPr>
                <w:rFonts w:hint="eastAsia" w:ascii="宋体" w:hAnsi="宋体" w:cs="宋体"/>
                <w:highlight w:val="none"/>
              </w:rPr>
              <w:t>最高学历</w:t>
            </w:r>
          </w:p>
        </w:tc>
        <w:tc>
          <w:tcPr>
            <w:tcW w:w="1863" w:type="dxa"/>
            <w:gridSpan w:val="3"/>
            <w:vAlign w:val="center"/>
          </w:tcPr>
          <w:p>
            <w:pPr>
              <w:pageBreakBefore w:val="0"/>
              <w:widowControl w:val="0"/>
              <w:kinsoku/>
              <w:wordWrap/>
              <w:overflowPunct/>
              <w:topLinePunct w:val="0"/>
              <w:autoSpaceDE/>
              <w:autoSpaceDN/>
              <w:bidi w:val="0"/>
              <w:adjustRightInd/>
              <w:snapToGrid/>
              <w:ind w:firstLine="0" w:firstLineChars="0"/>
              <w:jc w:val="center"/>
              <w:textAlignment w:val="auto"/>
              <w:rPr>
                <w:rFonts w:ascii="宋体" w:hAnsi="宋体" w:cs="宋体"/>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56" w:hRule="atLeast"/>
          <w:jc w:val="center"/>
        </w:trPr>
        <w:tc>
          <w:tcPr>
            <w:tcW w:w="1591" w:type="dxa"/>
            <w:vMerge w:val="restart"/>
            <w:vAlign w:val="center"/>
          </w:tcPr>
          <w:p>
            <w:pPr>
              <w:pageBreakBefore w:val="0"/>
              <w:widowControl w:val="0"/>
              <w:kinsoku/>
              <w:wordWrap/>
              <w:overflowPunct/>
              <w:topLinePunct w:val="0"/>
              <w:autoSpaceDE/>
              <w:autoSpaceDN/>
              <w:bidi w:val="0"/>
              <w:adjustRightInd/>
              <w:snapToGrid/>
              <w:ind w:firstLine="0" w:firstLineChars="0"/>
              <w:jc w:val="center"/>
              <w:textAlignment w:val="auto"/>
              <w:rPr>
                <w:rFonts w:ascii="宋体" w:hAnsi="宋体" w:cs="宋体"/>
                <w:highlight w:val="none"/>
              </w:rPr>
            </w:pPr>
            <w:r>
              <w:rPr>
                <w:rFonts w:hint="eastAsia" w:ascii="宋体" w:hAnsi="宋体" w:cs="宋体"/>
                <w:highlight w:val="none"/>
              </w:rPr>
              <w:t>专业技术证书及证书号</w:t>
            </w:r>
          </w:p>
        </w:tc>
        <w:tc>
          <w:tcPr>
            <w:tcW w:w="1342" w:type="dxa"/>
            <w:vAlign w:val="center"/>
          </w:tcPr>
          <w:p>
            <w:pPr>
              <w:pageBreakBefore w:val="0"/>
              <w:widowControl w:val="0"/>
              <w:kinsoku/>
              <w:wordWrap/>
              <w:overflowPunct/>
              <w:topLinePunct w:val="0"/>
              <w:autoSpaceDE/>
              <w:autoSpaceDN/>
              <w:bidi w:val="0"/>
              <w:adjustRightInd/>
              <w:snapToGrid/>
              <w:ind w:firstLine="0" w:firstLineChars="0"/>
              <w:jc w:val="center"/>
              <w:textAlignment w:val="auto"/>
              <w:rPr>
                <w:rFonts w:ascii="宋体" w:hAnsi="宋体" w:cs="宋体"/>
                <w:highlight w:val="none"/>
              </w:rPr>
            </w:pPr>
            <w:r>
              <w:rPr>
                <w:rFonts w:hint="eastAsia" w:ascii="宋体" w:hAnsi="宋体" w:cs="宋体"/>
                <w:highlight w:val="none"/>
              </w:rPr>
              <w:t>序号</w:t>
            </w:r>
          </w:p>
        </w:tc>
        <w:tc>
          <w:tcPr>
            <w:tcW w:w="2868" w:type="dxa"/>
            <w:gridSpan w:val="3"/>
            <w:vAlign w:val="center"/>
          </w:tcPr>
          <w:p>
            <w:pPr>
              <w:pageBreakBefore w:val="0"/>
              <w:widowControl w:val="0"/>
              <w:kinsoku/>
              <w:wordWrap/>
              <w:overflowPunct/>
              <w:topLinePunct w:val="0"/>
              <w:autoSpaceDE/>
              <w:autoSpaceDN/>
              <w:bidi w:val="0"/>
              <w:adjustRightInd/>
              <w:snapToGrid/>
              <w:ind w:firstLine="0" w:firstLineChars="0"/>
              <w:jc w:val="center"/>
              <w:textAlignment w:val="auto"/>
              <w:rPr>
                <w:rFonts w:ascii="宋体" w:hAnsi="宋体" w:cs="宋体"/>
                <w:highlight w:val="none"/>
              </w:rPr>
            </w:pPr>
            <w:r>
              <w:rPr>
                <w:rFonts w:hint="eastAsia" w:ascii="宋体" w:hAnsi="宋体" w:cs="宋体"/>
                <w:highlight w:val="none"/>
              </w:rPr>
              <w:t>证书名称</w:t>
            </w:r>
          </w:p>
        </w:tc>
        <w:tc>
          <w:tcPr>
            <w:tcW w:w="3123" w:type="dxa"/>
            <w:gridSpan w:val="4"/>
            <w:vAlign w:val="center"/>
          </w:tcPr>
          <w:p>
            <w:pPr>
              <w:pageBreakBefore w:val="0"/>
              <w:widowControl w:val="0"/>
              <w:kinsoku/>
              <w:wordWrap/>
              <w:overflowPunct/>
              <w:topLinePunct w:val="0"/>
              <w:autoSpaceDE/>
              <w:autoSpaceDN/>
              <w:bidi w:val="0"/>
              <w:adjustRightInd/>
              <w:snapToGrid/>
              <w:ind w:firstLine="0" w:firstLineChars="0"/>
              <w:jc w:val="center"/>
              <w:textAlignment w:val="auto"/>
              <w:rPr>
                <w:rFonts w:ascii="宋体" w:hAnsi="宋体" w:cs="宋体"/>
                <w:highlight w:val="none"/>
              </w:rPr>
            </w:pPr>
            <w:r>
              <w:rPr>
                <w:rFonts w:hint="eastAsia" w:ascii="宋体" w:hAnsi="宋体" w:cs="宋体"/>
                <w:highlight w:val="none"/>
              </w:rPr>
              <w:t>证书号</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26" w:hRule="atLeast"/>
          <w:jc w:val="center"/>
        </w:trPr>
        <w:tc>
          <w:tcPr>
            <w:tcW w:w="1591" w:type="dxa"/>
            <w:vMerge w:val="continue"/>
            <w:vAlign w:val="center"/>
          </w:tcPr>
          <w:p>
            <w:pPr>
              <w:pageBreakBefore w:val="0"/>
              <w:widowControl w:val="0"/>
              <w:kinsoku/>
              <w:wordWrap/>
              <w:overflowPunct/>
              <w:topLinePunct w:val="0"/>
              <w:autoSpaceDE/>
              <w:autoSpaceDN/>
              <w:bidi w:val="0"/>
              <w:adjustRightInd/>
              <w:snapToGrid/>
              <w:ind w:firstLine="0" w:firstLineChars="0"/>
              <w:jc w:val="center"/>
              <w:textAlignment w:val="auto"/>
              <w:rPr>
                <w:rFonts w:ascii="宋体" w:hAnsi="宋体" w:cs="宋体"/>
                <w:highlight w:val="none"/>
              </w:rPr>
            </w:pPr>
          </w:p>
        </w:tc>
        <w:tc>
          <w:tcPr>
            <w:tcW w:w="1342" w:type="dxa"/>
            <w:vAlign w:val="center"/>
          </w:tcPr>
          <w:p>
            <w:pPr>
              <w:pageBreakBefore w:val="0"/>
              <w:widowControl w:val="0"/>
              <w:kinsoku/>
              <w:wordWrap/>
              <w:overflowPunct/>
              <w:topLinePunct w:val="0"/>
              <w:autoSpaceDE/>
              <w:autoSpaceDN/>
              <w:bidi w:val="0"/>
              <w:adjustRightInd/>
              <w:snapToGrid/>
              <w:ind w:firstLine="0" w:firstLineChars="0"/>
              <w:jc w:val="center"/>
              <w:textAlignment w:val="auto"/>
              <w:rPr>
                <w:rFonts w:ascii="宋体" w:hAnsi="宋体" w:cs="宋体"/>
                <w:highlight w:val="none"/>
              </w:rPr>
            </w:pPr>
          </w:p>
        </w:tc>
        <w:tc>
          <w:tcPr>
            <w:tcW w:w="2868" w:type="dxa"/>
            <w:gridSpan w:val="3"/>
            <w:vAlign w:val="center"/>
          </w:tcPr>
          <w:p>
            <w:pPr>
              <w:pageBreakBefore w:val="0"/>
              <w:widowControl w:val="0"/>
              <w:kinsoku/>
              <w:wordWrap/>
              <w:overflowPunct/>
              <w:topLinePunct w:val="0"/>
              <w:autoSpaceDE/>
              <w:autoSpaceDN/>
              <w:bidi w:val="0"/>
              <w:adjustRightInd/>
              <w:snapToGrid/>
              <w:ind w:firstLine="0" w:firstLineChars="0"/>
              <w:jc w:val="center"/>
              <w:textAlignment w:val="auto"/>
              <w:rPr>
                <w:rFonts w:ascii="宋体" w:hAnsi="宋体" w:cs="宋体"/>
                <w:highlight w:val="none"/>
              </w:rPr>
            </w:pPr>
          </w:p>
        </w:tc>
        <w:tc>
          <w:tcPr>
            <w:tcW w:w="3123" w:type="dxa"/>
            <w:gridSpan w:val="4"/>
            <w:vAlign w:val="center"/>
          </w:tcPr>
          <w:p>
            <w:pPr>
              <w:pageBreakBefore w:val="0"/>
              <w:widowControl w:val="0"/>
              <w:kinsoku/>
              <w:wordWrap/>
              <w:overflowPunct/>
              <w:topLinePunct w:val="0"/>
              <w:autoSpaceDE/>
              <w:autoSpaceDN/>
              <w:bidi w:val="0"/>
              <w:adjustRightInd/>
              <w:snapToGrid/>
              <w:ind w:firstLine="0" w:firstLineChars="0"/>
              <w:jc w:val="center"/>
              <w:textAlignment w:val="auto"/>
              <w:rPr>
                <w:rFonts w:ascii="宋体" w:hAnsi="宋体" w:cs="宋体"/>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70" w:hRule="atLeast"/>
          <w:jc w:val="center"/>
        </w:trPr>
        <w:tc>
          <w:tcPr>
            <w:tcW w:w="1591" w:type="dxa"/>
            <w:vMerge w:val="continue"/>
            <w:vAlign w:val="center"/>
          </w:tcPr>
          <w:p>
            <w:pPr>
              <w:pageBreakBefore w:val="0"/>
              <w:widowControl w:val="0"/>
              <w:kinsoku/>
              <w:wordWrap/>
              <w:overflowPunct/>
              <w:topLinePunct w:val="0"/>
              <w:autoSpaceDE/>
              <w:autoSpaceDN/>
              <w:bidi w:val="0"/>
              <w:adjustRightInd/>
              <w:snapToGrid/>
              <w:ind w:firstLine="0" w:firstLineChars="0"/>
              <w:jc w:val="center"/>
              <w:textAlignment w:val="auto"/>
              <w:rPr>
                <w:rFonts w:ascii="宋体" w:hAnsi="宋体" w:cs="宋体"/>
                <w:highlight w:val="none"/>
              </w:rPr>
            </w:pPr>
          </w:p>
        </w:tc>
        <w:tc>
          <w:tcPr>
            <w:tcW w:w="1342" w:type="dxa"/>
            <w:vAlign w:val="center"/>
          </w:tcPr>
          <w:p>
            <w:pPr>
              <w:pageBreakBefore w:val="0"/>
              <w:widowControl w:val="0"/>
              <w:kinsoku/>
              <w:wordWrap/>
              <w:overflowPunct/>
              <w:topLinePunct w:val="0"/>
              <w:autoSpaceDE/>
              <w:autoSpaceDN/>
              <w:bidi w:val="0"/>
              <w:adjustRightInd/>
              <w:snapToGrid/>
              <w:ind w:firstLine="0" w:firstLineChars="0"/>
              <w:jc w:val="center"/>
              <w:textAlignment w:val="auto"/>
              <w:rPr>
                <w:rFonts w:ascii="宋体" w:hAnsi="宋体" w:cs="宋体"/>
                <w:highlight w:val="none"/>
              </w:rPr>
            </w:pPr>
          </w:p>
        </w:tc>
        <w:tc>
          <w:tcPr>
            <w:tcW w:w="2868" w:type="dxa"/>
            <w:gridSpan w:val="3"/>
            <w:vAlign w:val="center"/>
          </w:tcPr>
          <w:p>
            <w:pPr>
              <w:pageBreakBefore w:val="0"/>
              <w:widowControl w:val="0"/>
              <w:kinsoku/>
              <w:wordWrap/>
              <w:overflowPunct/>
              <w:topLinePunct w:val="0"/>
              <w:autoSpaceDE/>
              <w:autoSpaceDN/>
              <w:bidi w:val="0"/>
              <w:adjustRightInd/>
              <w:snapToGrid/>
              <w:ind w:firstLine="0" w:firstLineChars="0"/>
              <w:jc w:val="center"/>
              <w:textAlignment w:val="auto"/>
              <w:rPr>
                <w:rFonts w:ascii="宋体" w:hAnsi="宋体" w:cs="宋体"/>
                <w:highlight w:val="none"/>
              </w:rPr>
            </w:pPr>
          </w:p>
        </w:tc>
        <w:tc>
          <w:tcPr>
            <w:tcW w:w="3123" w:type="dxa"/>
            <w:gridSpan w:val="4"/>
            <w:vAlign w:val="center"/>
          </w:tcPr>
          <w:p>
            <w:pPr>
              <w:pageBreakBefore w:val="0"/>
              <w:widowControl w:val="0"/>
              <w:kinsoku/>
              <w:wordWrap/>
              <w:overflowPunct/>
              <w:topLinePunct w:val="0"/>
              <w:autoSpaceDE/>
              <w:autoSpaceDN/>
              <w:bidi w:val="0"/>
              <w:adjustRightInd/>
              <w:snapToGrid/>
              <w:ind w:firstLine="0" w:firstLineChars="0"/>
              <w:jc w:val="center"/>
              <w:textAlignment w:val="auto"/>
              <w:rPr>
                <w:rFonts w:ascii="宋体" w:hAnsi="宋体" w:cs="宋体"/>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84" w:hRule="atLeast"/>
          <w:jc w:val="center"/>
        </w:trPr>
        <w:tc>
          <w:tcPr>
            <w:tcW w:w="1591" w:type="dxa"/>
            <w:vMerge w:val="continue"/>
            <w:vAlign w:val="center"/>
          </w:tcPr>
          <w:p>
            <w:pPr>
              <w:pageBreakBefore w:val="0"/>
              <w:widowControl w:val="0"/>
              <w:kinsoku/>
              <w:wordWrap/>
              <w:overflowPunct/>
              <w:topLinePunct w:val="0"/>
              <w:autoSpaceDE/>
              <w:autoSpaceDN/>
              <w:bidi w:val="0"/>
              <w:adjustRightInd/>
              <w:snapToGrid/>
              <w:ind w:firstLine="0" w:firstLineChars="0"/>
              <w:jc w:val="center"/>
              <w:textAlignment w:val="auto"/>
              <w:rPr>
                <w:rFonts w:ascii="宋体" w:hAnsi="宋体" w:cs="宋体"/>
                <w:highlight w:val="none"/>
              </w:rPr>
            </w:pPr>
          </w:p>
        </w:tc>
        <w:tc>
          <w:tcPr>
            <w:tcW w:w="1342" w:type="dxa"/>
            <w:vAlign w:val="center"/>
          </w:tcPr>
          <w:p>
            <w:pPr>
              <w:pageBreakBefore w:val="0"/>
              <w:widowControl w:val="0"/>
              <w:kinsoku/>
              <w:wordWrap/>
              <w:overflowPunct/>
              <w:topLinePunct w:val="0"/>
              <w:autoSpaceDE/>
              <w:autoSpaceDN/>
              <w:bidi w:val="0"/>
              <w:adjustRightInd/>
              <w:snapToGrid/>
              <w:ind w:firstLine="0" w:firstLineChars="0"/>
              <w:jc w:val="center"/>
              <w:textAlignment w:val="auto"/>
              <w:rPr>
                <w:rFonts w:ascii="宋体" w:hAnsi="宋体" w:cs="宋体"/>
                <w:highlight w:val="none"/>
              </w:rPr>
            </w:pPr>
          </w:p>
        </w:tc>
        <w:tc>
          <w:tcPr>
            <w:tcW w:w="2868" w:type="dxa"/>
            <w:gridSpan w:val="3"/>
            <w:vAlign w:val="center"/>
          </w:tcPr>
          <w:p>
            <w:pPr>
              <w:pageBreakBefore w:val="0"/>
              <w:widowControl w:val="0"/>
              <w:kinsoku/>
              <w:wordWrap/>
              <w:overflowPunct/>
              <w:topLinePunct w:val="0"/>
              <w:autoSpaceDE/>
              <w:autoSpaceDN/>
              <w:bidi w:val="0"/>
              <w:adjustRightInd/>
              <w:snapToGrid/>
              <w:ind w:firstLine="0" w:firstLineChars="0"/>
              <w:jc w:val="center"/>
              <w:textAlignment w:val="auto"/>
              <w:rPr>
                <w:rFonts w:ascii="宋体" w:hAnsi="宋体" w:cs="宋体"/>
                <w:highlight w:val="none"/>
              </w:rPr>
            </w:pPr>
          </w:p>
        </w:tc>
        <w:tc>
          <w:tcPr>
            <w:tcW w:w="3123" w:type="dxa"/>
            <w:gridSpan w:val="4"/>
            <w:vAlign w:val="center"/>
          </w:tcPr>
          <w:p>
            <w:pPr>
              <w:pageBreakBefore w:val="0"/>
              <w:widowControl w:val="0"/>
              <w:kinsoku/>
              <w:wordWrap/>
              <w:overflowPunct/>
              <w:topLinePunct w:val="0"/>
              <w:autoSpaceDE/>
              <w:autoSpaceDN/>
              <w:bidi w:val="0"/>
              <w:adjustRightInd/>
              <w:snapToGrid/>
              <w:ind w:firstLine="0" w:firstLineChars="0"/>
              <w:jc w:val="center"/>
              <w:textAlignment w:val="auto"/>
              <w:rPr>
                <w:rFonts w:ascii="宋体" w:hAnsi="宋体" w:cs="宋体"/>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56" w:hRule="atLeast"/>
          <w:jc w:val="center"/>
        </w:trPr>
        <w:tc>
          <w:tcPr>
            <w:tcW w:w="1591" w:type="dxa"/>
            <w:vAlign w:val="center"/>
          </w:tcPr>
          <w:p>
            <w:pPr>
              <w:pageBreakBefore w:val="0"/>
              <w:widowControl w:val="0"/>
              <w:kinsoku/>
              <w:wordWrap/>
              <w:overflowPunct/>
              <w:topLinePunct w:val="0"/>
              <w:autoSpaceDE/>
              <w:autoSpaceDN/>
              <w:bidi w:val="0"/>
              <w:adjustRightInd/>
              <w:snapToGrid/>
              <w:ind w:firstLine="0" w:firstLineChars="0"/>
              <w:jc w:val="center"/>
              <w:textAlignment w:val="auto"/>
              <w:rPr>
                <w:rFonts w:ascii="宋体" w:hAnsi="宋体" w:cs="宋体"/>
                <w:highlight w:val="none"/>
              </w:rPr>
            </w:pPr>
            <w:r>
              <w:rPr>
                <w:rFonts w:hint="eastAsia" w:ascii="宋体" w:hAnsi="宋体" w:cs="宋体"/>
                <w:highlight w:val="none"/>
              </w:rPr>
              <w:t>本项目</w:t>
            </w:r>
          </w:p>
          <w:p>
            <w:pPr>
              <w:pageBreakBefore w:val="0"/>
              <w:widowControl w:val="0"/>
              <w:kinsoku/>
              <w:wordWrap/>
              <w:overflowPunct/>
              <w:topLinePunct w:val="0"/>
              <w:autoSpaceDE/>
              <w:autoSpaceDN/>
              <w:bidi w:val="0"/>
              <w:adjustRightInd/>
              <w:snapToGrid/>
              <w:ind w:firstLine="0" w:firstLineChars="0"/>
              <w:jc w:val="center"/>
              <w:textAlignment w:val="auto"/>
              <w:rPr>
                <w:rFonts w:ascii="宋体" w:hAnsi="宋体" w:cs="宋体"/>
                <w:highlight w:val="none"/>
              </w:rPr>
            </w:pPr>
            <w:r>
              <w:rPr>
                <w:rFonts w:hint="eastAsia" w:ascii="宋体" w:hAnsi="宋体" w:cs="宋体"/>
                <w:highlight w:val="none"/>
              </w:rPr>
              <w:t>拟任岗位</w:t>
            </w:r>
          </w:p>
        </w:tc>
        <w:tc>
          <w:tcPr>
            <w:tcW w:w="1342" w:type="dxa"/>
            <w:vAlign w:val="center"/>
          </w:tcPr>
          <w:p>
            <w:pPr>
              <w:pageBreakBefore w:val="0"/>
              <w:widowControl w:val="0"/>
              <w:kinsoku/>
              <w:wordWrap/>
              <w:overflowPunct/>
              <w:topLinePunct w:val="0"/>
              <w:autoSpaceDE/>
              <w:autoSpaceDN/>
              <w:bidi w:val="0"/>
              <w:adjustRightInd/>
              <w:snapToGrid/>
              <w:ind w:firstLine="0" w:firstLineChars="0"/>
              <w:jc w:val="center"/>
              <w:textAlignment w:val="auto"/>
              <w:rPr>
                <w:rFonts w:ascii="宋体" w:hAnsi="宋体" w:cs="宋体"/>
                <w:highlight w:val="none"/>
              </w:rPr>
            </w:pPr>
          </w:p>
        </w:tc>
        <w:tc>
          <w:tcPr>
            <w:tcW w:w="1497" w:type="dxa"/>
            <w:vAlign w:val="center"/>
          </w:tcPr>
          <w:p>
            <w:pPr>
              <w:pageBreakBefore w:val="0"/>
              <w:widowControl w:val="0"/>
              <w:kinsoku/>
              <w:wordWrap/>
              <w:overflowPunct/>
              <w:topLinePunct w:val="0"/>
              <w:autoSpaceDE/>
              <w:autoSpaceDN/>
              <w:bidi w:val="0"/>
              <w:adjustRightInd/>
              <w:snapToGrid/>
              <w:ind w:firstLine="0" w:firstLineChars="0"/>
              <w:jc w:val="center"/>
              <w:textAlignment w:val="auto"/>
              <w:rPr>
                <w:rFonts w:ascii="宋体" w:hAnsi="宋体" w:cs="宋体"/>
                <w:highlight w:val="none"/>
              </w:rPr>
            </w:pPr>
            <w:r>
              <w:rPr>
                <w:rFonts w:hint="eastAsia" w:ascii="宋体" w:hAnsi="宋体" w:cs="宋体"/>
                <w:highlight w:val="none"/>
              </w:rPr>
              <w:t>为投标人服务的时间（年）</w:t>
            </w:r>
          </w:p>
        </w:tc>
        <w:tc>
          <w:tcPr>
            <w:tcW w:w="1371" w:type="dxa"/>
            <w:gridSpan w:val="2"/>
            <w:vAlign w:val="center"/>
          </w:tcPr>
          <w:p>
            <w:pPr>
              <w:pageBreakBefore w:val="0"/>
              <w:widowControl w:val="0"/>
              <w:kinsoku/>
              <w:wordWrap/>
              <w:overflowPunct/>
              <w:topLinePunct w:val="0"/>
              <w:autoSpaceDE/>
              <w:autoSpaceDN/>
              <w:bidi w:val="0"/>
              <w:adjustRightInd/>
              <w:snapToGrid/>
              <w:ind w:firstLine="0" w:firstLineChars="0"/>
              <w:jc w:val="center"/>
              <w:textAlignment w:val="auto"/>
              <w:rPr>
                <w:rFonts w:ascii="宋体" w:hAnsi="宋体" w:cs="宋体"/>
                <w:highlight w:val="none"/>
              </w:rPr>
            </w:pPr>
          </w:p>
        </w:tc>
        <w:tc>
          <w:tcPr>
            <w:tcW w:w="1623" w:type="dxa"/>
            <w:gridSpan w:val="3"/>
            <w:vAlign w:val="center"/>
          </w:tcPr>
          <w:p>
            <w:pPr>
              <w:pageBreakBefore w:val="0"/>
              <w:widowControl w:val="0"/>
              <w:kinsoku/>
              <w:wordWrap/>
              <w:overflowPunct/>
              <w:topLinePunct w:val="0"/>
              <w:autoSpaceDE/>
              <w:autoSpaceDN/>
              <w:bidi w:val="0"/>
              <w:adjustRightInd/>
              <w:snapToGrid/>
              <w:ind w:firstLine="0" w:firstLineChars="0"/>
              <w:jc w:val="center"/>
              <w:textAlignment w:val="auto"/>
              <w:rPr>
                <w:rFonts w:ascii="宋体" w:hAnsi="宋体" w:cs="宋体"/>
                <w:highlight w:val="none"/>
              </w:rPr>
            </w:pPr>
            <w:r>
              <w:rPr>
                <w:rFonts w:hint="eastAsia" w:ascii="宋体" w:hAnsi="宋体" w:cs="宋体"/>
                <w:highlight w:val="none"/>
                <w:lang w:val="en-US" w:eastAsia="zh-CN"/>
              </w:rPr>
              <w:t>相关</w:t>
            </w:r>
            <w:r>
              <w:rPr>
                <w:rFonts w:hint="eastAsia" w:ascii="宋体" w:hAnsi="宋体" w:cs="宋体"/>
                <w:highlight w:val="none"/>
              </w:rPr>
              <w:t>工作经验年限（年）</w:t>
            </w:r>
          </w:p>
        </w:tc>
        <w:tc>
          <w:tcPr>
            <w:tcW w:w="1500" w:type="dxa"/>
            <w:vAlign w:val="center"/>
          </w:tcPr>
          <w:p>
            <w:pPr>
              <w:pageBreakBefore w:val="0"/>
              <w:widowControl w:val="0"/>
              <w:kinsoku/>
              <w:wordWrap/>
              <w:overflowPunct/>
              <w:topLinePunct w:val="0"/>
              <w:autoSpaceDE/>
              <w:autoSpaceDN/>
              <w:bidi w:val="0"/>
              <w:adjustRightInd/>
              <w:snapToGrid/>
              <w:ind w:firstLine="0" w:firstLineChars="0"/>
              <w:jc w:val="center"/>
              <w:textAlignment w:val="auto"/>
              <w:rPr>
                <w:rFonts w:ascii="宋体" w:hAnsi="宋体" w:cs="宋体"/>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56" w:hRule="atLeast"/>
          <w:jc w:val="center"/>
        </w:trPr>
        <w:tc>
          <w:tcPr>
            <w:tcW w:w="8924" w:type="dxa"/>
            <w:gridSpan w:val="9"/>
            <w:vAlign w:val="center"/>
          </w:tcPr>
          <w:p>
            <w:pPr>
              <w:pageBreakBefore w:val="0"/>
              <w:widowControl w:val="0"/>
              <w:kinsoku/>
              <w:wordWrap/>
              <w:overflowPunct/>
              <w:topLinePunct w:val="0"/>
              <w:autoSpaceDE/>
              <w:autoSpaceDN/>
              <w:bidi w:val="0"/>
              <w:adjustRightInd/>
              <w:snapToGrid/>
              <w:ind w:firstLine="0" w:firstLineChars="0"/>
              <w:jc w:val="center"/>
              <w:textAlignment w:val="auto"/>
              <w:rPr>
                <w:rFonts w:ascii="宋体" w:hAnsi="宋体" w:cs="宋体"/>
                <w:highlight w:val="none"/>
              </w:rPr>
            </w:pPr>
            <w:r>
              <w:rPr>
                <w:rFonts w:hint="eastAsia" w:ascii="宋体" w:hAnsi="宋体" w:cs="宋体"/>
                <w:highlight w:val="none"/>
              </w:rPr>
              <w:t>相关专业经历与工作经验</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56" w:hRule="atLeast"/>
          <w:jc w:val="center"/>
        </w:trPr>
        <w:tc>
          <w:tcPr>
            <w:tcW w:w="1591" w:type="dxa"/>
            <w:vAlign w:val="center"/>
          </w:tcPr>
          <w:p>
            <w:pPr>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ascii="宋体" w:hAnsi="宋体" w:cs="宋体"/>
                <w:highlight w:val="none"/>
              </w:rPr>
            </w:pPr>
            <w:r>
              <w:rPr>
                <w:rFonts w:hint="eastAsia" w:ascii="宋体" w:hAnsi="宋体" w:cs="宋体"/>
                <w:highlight w:val="none"/>
              </w:rPr>
              <w:t>时间</w:t>
            </w:r>
          </w:p>
        </w:tc>
        <w:tc>
          <w:tcPr>
            <w:tcW w:w="2902" w:type="dxa"/>
            <w:gridSpan w:val="3"/>
            <w:vAlign w:val="center"/>
          </w:tcPr>
          <w:p>
            <w:pPr>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ascii="宋体" w:hAnsi="宋体" w:cs="宋体"/>
                <w:highlight w:val="none"/>
              </w:rPr>
            </w:pPr>
            <w:r>
              <w:rPr>
                <w:rFonts w:hint="eastAsia" w:ascii="宋体" w:hAnsi="宋体" w:cs="宋体"/>
                <w:highlight w:val="none"/>
              </w:rPr>
              <w:t>参加过的同类项目</w:t>
            </w:r>
          </w:p>
        </w:tc>
        <w:tc>
          <w:tcPr>
            <w:tcW w:w="2824" w:type="dxa"/>
            <w:gridSpan w:val="3"/>
            <w:vAlign w:val="center"/>
          </w:tcPr>
          <w:p>
            <w:pPr>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ascii="宋体" w:hAnsi="宋体" w:cs="宋体"/>
                <w:highlight w:val="none"/>
              </w:rPr>
            </w:pPr>
            <w:r>
              <w:rPr>
                <w:rFonts w:hint="eastAsia" w:ascii="宋体" w:hAnsi="宋体" w:cs="宋体"/>
                <w:highlight w:val="none"/>
              </w:rPr>
              <w:t>担任职务</w:t>
            </w:r>
          </w:p>
        </w:tc>
        <w:tc>
          <w:tcPr>
            <w:tcW w:w="1607" w:type="dxa"/>
            <w:gridSpan w:val="2"/>
            <w:vAlign w:val="center"/>
          </w:tcPr>
          <w:p>
            <w:pPr>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ascii="宋体" w:hAnsi="宋体" w:cs="宋体"/>
                <w:highlight w:val="none"/>
              </w:rPr>
            </w:pPr>
            <w:r>
              <w:rPr>
                <w:rFonts w:hint="eastAsia" w:ascii="宋体" w:hAnsi="宋体" w:cs="宋体"/>
                <w:highlight w:val="none"/>
              </w:rPr>
              <w:t>甲方及联系电话</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76" w:hRule="atLeast"/>
          <w:jc w:val="center"/>
        </w:trPr>
        <w:tc>
          <w:tcPr>
            <w:tcW w:w="1591" w:type="dxa"/>
            <w:vAlign w:val="center"/>
          </w:tcPr>
          <w:p>
            <w:pPr>
              <w:pageBreakBefore w:val="0"/>
              <w:widowControl w:val="0"/>
              <w:kinsoku/>
              <w:wordWrap/>
              <w:overflowPunct/>
              <w:topLinePunct w:val="0"/>
              <w:autoSpaceDE/>
              <w:autoSpaceDN/>
              <w:bidi w:val="0"/>
              <w:adjustRightInd/>
              <w:snapToGrid/>
              <w:ind w:firstLine="0" w:firstLineChars="0"/>
              <w:jc w:val="center"/>
              <w:textAlignment w:val="auto"/>
              <w:rPr>
                <w:rFonts w:ascii="宋体" w:hAnsi="宋体" w:cs="宋体"/>
                <w:highlight w:val="none"/>
              </w:rPr>
            </w:pPr>
          </w:p>
        </w:tc>
        <w:tc>
          <w:tcPr>
            <w:tcW w:w="2902" w:type="dxa"/>
            <w:gridSpan w:val="3"/>
            <w:vAlign w:val="center"/>
          </w:tcPr>
          <w:p>
            <w:pPr>
              <w:pageBreakBefore w:val="0"/>
              <w:widowControl w:val="0"/>
              <w:kinsoku/>
              <w:wordWrap/>
              <w:overflowPunct/>
              <w:topLinePunct w:val="0"/>
              <w:autoSpaceDE/>
              <w:autoSpaceDN/>
              <w:bidi w:val="0"/>
              <w:adjustRightInd/>
              <w:snapToGrid/>
              <w:ind w:firstLine="0" w:firstLineChars="0"/>
              <w:jc w:val="center"/>
              <w:textAlignment w:val="auto"/>
              <w:rPr>
                <w:rFonts w:ascii="宋体" w:hAnsi="宋体" w:cs="宋体"/>
                <w:highlight w:val="none"/>
              </w:rPr>
            </w:pPr>
          </w:p>
        </w:tc>
        <w:tc>
          <w:tcPr>
            <w:tcW w:w="2824" w:type="dxa"/>
            <w:gridSpan w:val="3"/>
            <w:vAlign w:val="center"/>
          </w:tcPr>
          <w:p>
            <w:pPr>
              <w:pageBreakBefore w:val="0"/>
              <w:widowControl w:val="0"/>
              <w:kinsoku/>
              <w:wordWrap/>
              <w:overflowPunct/>
              <w:topLinePunct w:val="0"/>
              <w:autoSpaceDE/>
              <w:autoSpaceDN/>
              <w:bidi w:val="0"/>
              <w:adjustRightInd/>
              <w:snapToGrid/>
              <w:ind w:firstLine="0" w:firstLineChars="0"/>
              <w:jc w:val="center"/>
              <w:textAlignment w:val="auto"/>
              <w:rPr>
                <w:rFonts w:ascii="宋体" w:hAnsi="宋体" w:cs="宋体"/>
                <w:highlight w:val="none"/>
              </w:rPr>
            </w:pPr>
          </w:p>
        </w:tc>
        <w:tc>
          <w:tcPr>
            <w:tcW w:w="1607" w:type="dxa"/>
            <w:gridSpan w:val="2"/>
            <w:vAlign w:val="center"/>
          </w:tcPr>
          <w:p>
            <w:pPr>
              <w:pageBreakBefore w:val="0"/>
              <w:widowControl w:val="0"/>
              <w:kinsoku/>
              <w:wordWrap/>
              <w:overflowPunct/>
              <w:topLinePunct w:val="0"/>
              <w:autoSpaceDE/>
              <w:autoSpaceDN/>
              <w:bidi w:val="0"/>
              <w:adjustRightInd/>
              <w:snapToGrid/>
              <w:ind w:firstLine="0" w:firstLineChars="0"/>
              <w:jc w:val="center"/>
              <w:textAlignment w:val="auto"/>
              <w:rPr>
                <w:rFonts w:ascii="宋体" w:hAnsi="宋体" w:cs="宋体"/>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44" w:hRule="atLeast"/>
          <w:jc w:val="center"/>
        </w:trPr>
        <w:tc>
          <w:tcPr>
            <w:tcW w:w="1591" w:type="dxa"/>
            <w:vAlign w:val="center"/>
          </w:tcPr>
          <w:p>
            <w:pPr>
              <w:pageBreakBefore w:val="0"/>
              <w:widowControl w:val="0"/>
              <w:kinsoku/>
              <w:wordWrap/>
              <w:overflowPunct/>
              <w:topLinePunct w:val="0"/>
              <w:autoSpaceDE/>
              <w:autoSpaceDN/>
              <w:bidi w:val="0"/>
              <w:adjustRightInd/>
              <w:snapToGrid/>
              <w:ind w:firstLine="0" w:firstLineChars="0"/>
              <w:jc w:val="center"/>
              <w:textAlignment w:val="auto"/>
              <w:rPr>
                <w:rFonts w:ascii="宋体" w:hAnsi="宋体" w:cs="宋体"/>
                <w:highlight w:val="none"/>
              </w:rPr>
            </w:pPr>
          </w:p>
        </w:tc>
        <w:tc>
          <w:tcPr>
            <w:tcW w:w="2902" w:type="dxa"/>
            <w:gridSpan w:val="3"/>
            <w:vAlign w:val="center"/>
          </w:tcPr>
          <w:p>
            <w:pPr>
              <w:pageBreakBefore w:val="0"/>
              <w:widowControl w:val="0"/>
              <w:kinsoku/>
              <w:wordWrap/>
              <w:overflowPunct/>
              <w:topLinePunct w:val="0"/>
              <w:autoSpaceDE/>
              <w:autoSpaceDN/>
              <w:bidi w:val="0"/>
              <w:adjustRightInd/>
              <w:snapToGrid/>
              <w:ind w:firstLine="0" w:firstLineChars="0"/>
              <w:jc w:val="center"/>
              <w:textAlignment w:val="auto"/>
              <w:rPr>
                <w:rFonts w:ascii="宋体" w:hAnsi="宋体" w:cs="宋体"/>
                <w:highlight w:val="none"/>
              </w:rPr>
            </w:pPr>
          </w:p>
        </w:tc>
        <w:tc>
          <w:tcPr>
            <w:tcW w:w="2824" w:type="dxa"/>
            <w:gridSpan w:val="3"/>
            <w:vAlign w:val="center"/>
          </w:tcPr>
          <w:p>
            <w:pPr>
              <w:pageBreakBefore w:val="0"/>
              <w:widowControl w:val="0"/>
              <w:kinsoku/>
              <w:wordWrap/>
              <w:overflowPunct/>
              <w:topLinePunct w:val="0"/>
              <w:autoSpaceDE/>
              <w:autoSpaceDN/>
              <w:bidi w:val="0"/>
              <w:adjustRightInd/>
              <w:snapToGrid/>
              <w:ind w:firstLine="0" w:firstLineChars="0"/>
              <w:jc w:val="center"/>
              <w:textAlignment w:val="auto"/>
              <w:rPr>
                <w:rFonts w:ascii="宋体" w:hAnsi="宋体" w:cs="宋体"/>
                <w:highlight w:val="none"/>
              </w:rPr>
            </w:pPr>
          </w:p>
        </w:tc>
        <w:tc>
          <w:tcPr>
            <w:tcW w:w="1607" w:type="dxa"/>
            <w:gridSpan w:val="2"/>
            <w:vAlign w:val="center"/>
          </w:tcPr>
          <w:p>
            <w:pPr>
              <w:pageBreakBefore w:val="0"/>
              <w:widowControl w:val="0"/>
              <w:kinsoku/>
              <w:wordWrap/>
              <w:overflowPunct/>
              <w:topLinePunct w:val="0"/>
              <w:autoSpaceDE/>
              <w:autoSpaceDN/>
              <w:bidi w:val="0"/>
              <w:adjustRightInd/>
              <w:snapToGrid/>
              <w:ind w:firstLine="0" w:firstLineChars="0"/>
              <w:jc w:val="center"/>
              <w:textAlignment w:val="auto"/>
              <w:rPr>
                <w:rFonts w:ascii="宋体" w:hAnsi="宋体" w:cs="宋体"/>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44" w:hRule="atLeast"/>
          <w:jc w:val="center"/>
        </w:trPr>
        <w:tc>
          <w:tcPr>
            <w:tcW w:w="1591" w:type="dxa"/>
            <w:vAlign w:val="center"/>
          </w:tcPr>
          <w:p>
            <w:pPr>
              <w:pageBreakBefore w:val="0"/>
              <w:widowControl w:val="0"/>
              <w:kinsoku/>
              <w:wordWrap/>
              <w:overflowPunct/>
              <w:topLinePunct w:val="0"/>
              <w:autoSpaceDE/>
              <w:autoSpaceDN/>
              <w:bidi w:val="0"/>
              <w:adjustRightInd/>
              <w:snapToGrid/>
              <w:ind w:firstLine="0" w:firstLineChars="0"/>
              <w:jc w:val="center"/>
              <w:textAlignment w:val="auto"/>
              <w:rPr>
                <w:rFonts w:ascii="宋体" w:hAnsi="宋体" w:cs="宋体"/>
                <w:highlight w:val="none"/>
              </w:rPr>
            </w:pPr>
          </w:p>
        </w:tc>
        <w:tc>
          <w:tcPr>
            <w:tcW w:w="2902" w:type="dxa"/>
            <w:gridSpan w:val="3"/>
            <w:vAlign w:val="center"/>
          </w:tcPr>
          <w:p>
            <w:pPr>
              <w:pageBreakBefore w:val="0"/>
              <w:widowControl w:val="0"/>
              <w:kinsoku/>
              <w:wordWrap/>
              <w:overflowPunct/>
              <w:topLinePunct w:val="0"/>
              <w:autoSpaceDE/>
              <w:autoSpaceDN/>
              <w:bidi w:val="0"/>
              <w:adjustRightInd/>
              <w:snapToGrid/>
              <w:ind w:firstLine="0" w:firstLineChars="0"/>
              <w:jc w:val="center"/>
              <w:textAlignment w:val="auto"/>
              <w:rPr>
                <w:rFonts w:ascii="宋体" w:hAnsi="宋体" w:cs="宋体"/>
                <w:highlight w:val="none"/>
              </w:rPr>
            </w:pPr>
          </w:p>
        </w:tc>
        <w:tc>
          <w:tcPr>
            <w:tcW w:w="2824" w:type="dxa"/>
            <w:gridSpan w:val="3"/>
            <w:vAlign w:val="center"/>
          </w:tcPr>
          <w:p>
            <w:pPr>
              <w:pageBreakBefore w:val="0"/>
              <w:widowControl w:val="0"/>
              <w:kinsoku/>
              <w:wordWrap/>
              <w:overflowPunct/>
              <w:topLinePunct w:val="0"/>
              <w:autoSpaceDE/>
              <w:autoSpaceDN/>
              <w:bidi w:val="0"/>
              <w:adjustRightInd/>
              <w:snapToGrid/>
              <w:ind w:firstLine="0" w:firstLineChars="0"/>
              <w:jc w:val="center"/>
              <w:textAlignment w:val="auto"/>
              <w:rPr>
                <w:rFonts w:ascii="宋体" w:hAnsi="宋体" w:cs="宋体"/>
                <w:highlight w:val="none"/>
              </w:rPr>
            </w:pPr>
          </w:p>
        </w:tc>
        <w:tc>
          <w:tcPr>
            <w:tcW w:w="1607" w:type="dxa"/>
            <w:gridSpan w:val="2"/>
            <w:vAlign w:val="center"/>
          </w:tcPr>
          <w:p>
            <w:pPr>
              <w:pageBreakBefore w:val="0"/>
              <w:widowControl w:val="0"/>
              <w:kinsoku/>
              <w:wordWrap/>
              <w:overflowPunct/>
              <w:topLinePunct w:val="0"/>
              <w:autoSpaceDE/>
              <w:autoSpaceDN/>
              <w:bidi w:val="0"/>
              <w:adjustRightInd/>
              <w:snapToGrid/>
              <w:ind w:firstLine="0" w:firstLineChars="0"/>
              <w:jc w:val="center"/>
              <w:textAlignment w:val="auto"/>
              <w:rPr>
                <w:rFonts w:ascii="宋体" w:hAnsi="宋体" w:cs="宋体"/>
                <w:highlight w:val="none"/>
              </w:rPr>
            </w:pPr>
          </w:p>
        </w:tc>
      </w:tr>
    </w:tbl>
    <w:p>
      <w:pPr>
        <w:pageBreakBefore w:val="0"/>
        <w:widowControl w:val="0"/>
        <w:kinsoku/>
        <w:wordWrap/>
        <w:overflowPunct/>
        <w:topLinePunct w:val="0"/>
        <w:autoSpaceDE/>
        <w:autoSpaceDN/>
        <w:bidi w:val="0"/>
        <w:adjustRightInd/>
        <w:snapToGrid/>
        <w:spacing w:line="360" w:lineRule="auto"/>
        <w:ind w:right="-192" w:rightChars="-80" w:firstLine="0" w:firstLineChars="0"/>
        <w:textAlignment w:val="auto"/>
        <w:rPr>
          <w:rFonts w:ascii="宋体" w:hAnsi="宋体" w:cs="宋体"/>
          <w:b/>
          <w:bCs/>
          <w:highlight w:val="none"/>
        </w:rPr>
      </w:pPr>
      <w:r>
        <w:rPr>
          <w:rFonts w:hint="eastAsia" w:ascii="宋体" w:hAnsi="宋体" w:cs="宋体"/>
          <w:highlight w:val="none"/>
        </w:rPr>
        <w:t>注：本表后应附项目负责人的劳动合同、职称证书及其他证明材料的扫描件等</w:t>
      </w:r>
    </w:p>
    <w:p>
      <w:pPr>
        <w:pageBreakBefore w:val="0"/>
        <w:widowControl w:val="0"/>
        <w:kinsoku/>
        <w:wordWrap/>
        <w:overflowPunct/>
        <w:topLinePunct w:val="0"/>
        <w:autoSpaceDE/>
        <w:autoSpaceDN/>
        <w:bidi w:val="0"/>
        <w:adjustRightInd/>
        <w:snapToGrid/>
        <w:spacing w:line="360" w:lineRule="auto"/>
        <w:ind w:right="-192" w:rightChars="-80" w:firstLine="0" w:firstLineChars="0"/>
        <w:jc w:val="right"/>
        <w:textAlignment w:val="auto"/>
        <w:rPr>
          <w:rFonts w:hint="eastAsia" w:ascii="宋体" w:hAnsi="宋体" w:cs="宋体"/>
          <w:highlight w:val="none"/>
        </w:rPr>
      </w:pPr>
    </w:p>
    <w:p>
      <w:pPr>
        <w:pageBreakBefore w:val="0"/>
        <w:widowControl w:val="0"/>
        <w:kinsoku/>
        <w:wordWrap/>
        <w:overflowPunct/>
        <w:topLinePunct w:val="0"/>
        <w:autoSpaceDE/>
        <w:autoSpaceDN/>
        <w:bidi w:val="0"/>
        <w:adjustRightInd/>
        <w:snapToGrid/>
        <w:spacing w:line="360" w:lineRule="auto"/>
        <w:ind w:right="-192" w:rightChars="-80" w:firstLine="0" w:firstLineChars="0"/>
        <w:jc w:val="right"/>
        <w:textAlignment w:val="auto"/>
        <w:rPr>
          <w:rFonts w:ascii="宋体" w:hAnsi="宋体" w:cs="宋体"/>
          <w:highlight w:val="none"/>
          <w:u w:val="single"/>
        </w:rPr>
      </w:pPr>
      <w:r>
        <w:rPr>
          <w:rFonts w:hint="eastAsia" w:ascii="宋体" w:hAnsi="宋体" w:cs="宋体"/>
          <w:highlight w:val="none"/>
        </w:rPr>
        <w:t>投标人：</w:t>
      </w:r>
      <w:r>
        <w:rPr>
          <w:rFonts w:hint="eastAsia" w:ascii="宋体" w:hAnsi="宋体" w:cs="宋体"/>
          <w:highlight w:val="none"/>
          <w:u w:val="single"/>
        </w:rPr>
        <w:t xml:space="preserve">                      （盖章） </w:t>
      </w:r>
    </w:p>
    <w:p>
      <w:pPr>
        <w:pageBreakBefore w:val="0"/>
        <w:widowControl w:val="0"/>
        <w:kinsoku/>
        <w:wordWrap/>
        <w:overflowPunct/>
        <w:topLinePunct w:val="0"/>
        <w:autoSpaceDE/>
        <w:autoSpaceDN/>
        <w:bidi w:val="0"/>
        <w:adjustRightInd/>
        <w:snapToGrid/>
        <w:spacing w:line="360" w:lineRule="auto"/>
        <w:ind w:right="-192" w:rightChars="-80" w:firstLine="0" w:firstLineChars="0"/>
        <w:jc w:val="right"/>
        <w:textAlignment w:val="auto"/>
        <w:rPr>
          <w:rFonts w:ascii="宋体" w:hAnsi="宋体" w:cs="宋体"/>
          <w:highlight w:val="none"/>
          <w:u w:val="single"/>
        </w:rPr>
      </w:pPr>
      <w:r>
        <w:rPr>
          <w:rFonts w:hint="eastAsia" w:ascii="宋体" w:hAnsi="宋体" w:cs="宋体"/>
          <w:highlight w:val="none"/>
        </w:rPr>
        <w:t>法定代表人或委托代理人：</w:t>
      </w:r>
      <w:r>
        <w:rPr>
          <w:rFonts w:hint="eastAsia" w:ascii="宋体" w:hAnsi="宋体" w:cs="宋体"/>
          <w:highlight w:val="none"/>
          <w:u w:val="single"/>
        </w:rPr>
        <w:t xml:space="preserve">（签字或盖章） </w:t>
      </w:r>
    </w:p>
    <w:p>
      <w:pPr>
        <w:pageBreakBefore w:val="0"/>
        <w:widowControl w:val="0"/>
        <w:kinsoku/>
        <w:wordWrap/>
        <w:overflowPunct/>
        <w:topLinePunct w:val="0"/>
        <w:autoSpaceDE/>
        <w:autoSpaceDN/>
        <w:bidi w:val="0"/>
        <w:adjustRightInd/>
        <w:snapToGrid/>
        <w:spacing w:line="360" w:lineRule="auto"/>
        <w:ind w:right="-192" w:rightChars="-80" w:firstLine="0" w:firstLineChars="0"/>
        <w:jc w:val="right"/>
        <w:textAlignment w:val="auto"/>
        <w:rPr>
          <w:rFonts w:ascii="宋体" w:hAnsi="宋体" w:cs="宋体"/>
          <w:highlight w:val="none"/>
        </w:rPr>
      </w:pPr>
      <w:r>
        <w:rPr>
          <w:rFonts w:hint="eastAsia" w:ascii="宋体" w:hAnsi="宋体" w:cs="宋体"/>
          <w:highlight w:val="none"/>
        </w:rPr>
        <w:t>日      期：</w:t>
      </w:r>
      <w:r>
        <w:rPr>
          <w:rFonts w:hint="eastAsia" w:ascii="宋体" w:hAnsi="宋体" w:cs="宋体"/>
          <w:highlight w:val="none"/>
          <w:u w:val="single"/>
        </w:rPr>
        <w:t xml:space="preserve">         </w:t>
      </w:r>
      <w:r>
        <w:rPr>
          <w:rFonts w:hint="eastAsia" w:ascii="宋体" w:hAnsi="宋体" w:cs="宋体"/>
          <w:highlight w:val="none"/>
        </w:rPr>
        <w:t>年</w:t>
      </w:r>
      <w:r>
        <w:rPr>
          <w:rFonts w:hint="eastAsia" w:ascii="宋体" w:hAnsi="宋体" w:cs="宋体"/>
          <w:highlight w:val="none"/>
          <w:u w:val="single"/>
        </w:rPr>
        <w:t xml:space="preserve">      </w:t>
      </w:r>
      <w:r>
        <w:rPr>
          <w:rFonts w:hint="eastAsia" w:ascii="宋体" w:hAnsi="宋体" w:cs="宋体"/>
          <w:highlight w:val="none"/>
        </w:rPr>
        <w:t>月</w:t>
      </w:r>
      <w:r>
        <w:rPr>
          <w:rFonts w:hint="eastAsia" w:ascii="宋体" w:hAnsi="宋体" w:cs="宋体"/>
          <w:highlight w:val="none"/>
          <w:u w:val="single"/>
        </w:rPr>
        <w:t xml:space="preserve">     </w:t>
      </w:r>
      <w:r>
        <w:rPr>
          <w:rFonts w:hint="eastAsia" w:ascii="宋体" w:hAnsi="宋体" w:cs="宋体"/>
          <w:highlight w:val="none"/>
        </w:rPr>
        <w:t>日</w:t>
      </w:r>
    </w:p>
    <w:bookmarkEnd w:id="264"/>
    <w:p>
      <w:pPr>
        <w:jc w:val="right"/>
        <w:rPr>
          <w:rFonts w:hint="eastAsia" w:ascii="Times New Roman" w:hAnsi="Times New Roman" w:eastAsia="宋体" w:cstheme="minorBidi"/>
          <w:b/>
          <w:bCs/>
          <w:kern w:val="2"/>
          <w:sz w:val="24"/>
          <w:szCs w:val="32"/>
          <w:highlight w:val="none"/>
          <w:lang w:val="en-US" w:eastAsia="zh-CN" w:bidi="ar-SA"/>
        </w:rPr>
      </w:pPr>
    </w:p>
    <w:p>
      <w:pPr>
        <w:rPr>
          <w:rFonts w:hint="eastAsia" w:ascii="Times New Roman" w:hAnsi="Times New Roman" w:eastAsia="宋体" w:cstheme="minorBidi"/>
          <w:b/>
          <w:bCs/>
          <w:kern w:val="2"/>
          <w:sz w:val="24"/>
          <w:szCs w:val="32"/>
          <w:highlight w:val="none"/>
          <w:lang w:val="en-US" w:eastAsia="zh-CN" w:bidi="ar-SA"/>
        </w:rPr>
        <w:sectPr>
          <w:pgSz w:w="11906" w:h="16838"/>
          <w:pgMar w:top="1418" w:right="1588" w:bottom="1418" w:left="1588" w:header="851" w:footer="992" w:gutter="0"/>
          <w:pgBorders>
            <w:top w:val="none" w:sz="0" w:space="0"/>
            <w:left w:val="none" w:sz="0" w:space="0"/>
            <w:bottom w:val="none" w:sz="0" w:space="0"/>
            <w:right w:val="none" w:sz="0" w:space="0"/>
          </w:pgBorders>
          <w:pgNumType w:fmt="decimal"/>
          <w:cols w:space="425" w:num="1"/>
          <w:docGrid w:linePitch="326" w:charSpace="0"/>
        </w:sectPr>
      </w:pPr>
      <w:r>
        <w:rPr>
          <w:rFonts w:hint="eastAsia" w:ascii="Times New Roman" w:hAnsi="Times New Roman" w:eastAsia="宋体" w:cstheme="minorBidi"/>
          <w:b/>
          <w:bCs/>
          <w:kern w:val="2"/>
          <w:sz w:val="24"/>
          <w:szCs w:val="32"/>
          <w:highlight w:val="none"/>
          <w:lang w:val="en-US" w:eastAsia="zh-CN" w:bidi="ar-SA"/>
        </w:rPr>
        <w:br w:type="page"/>
      </w:r>
    </w:p>
    <w:p>
      <w:pPr>
        <w:rPr>
          <w:rFonts w:hint="eastAsia" w:ascii="Times New Roman" w:hAnsi="Times New Roman" w:eastAsia="宋体" w:cstheme="minorBidi"/>
          <w:b/>
          <w:bCs/>
          <w:kern w:val="2"/>
          <w:sz w:val="24"/>
          <w:szCs w:val="32"/>
          <w:highlight w:val="none"/>
          <w:lang w:val="en-US" w:eastAsia="zh-CN" w:bidi="ar-SA"/>
        </w:rPr>
      </w:pPr>
    </w:p>
    <w:p>
      <w:pPr>
        <w:widowControl/>
        <w:spacing w:line="240" w:lineRule="auto"/>
        <w:ind w:firstLine="0" w:firstLineChars="0"/>
        <w:jc w:val="left"/>
        <w:rPr>
          <w:rFonts w:hint="eastAsia" w:ascii="Times New Roman" w:hAnsi="Times New Roman" w:eastAsia="宋体" w:cstheme="minorBidi"/>
          <w:b/>
          <w:bCs/>
          <w:kern w:val="2"/>
          <w:sz w:val="24"/>
          <w:szCs w:val="32"/>
          <w:highlight w:val="none"/>
          <w:lang w:val="en-US" w:eastAsia="zh-CN" w:bidi="ar-SA"/>
        </w:rPr>
      </w:pPr>
      <w:r>
        <w:rPr>
          <w:rFonts w:hint="eastAsia" w:cstheme="minorBidi"/>
          <w:b/>
          <w:bCs/>
          <w:kern w:val="2"/>
          <w:sz w:val="24"/>
          <w:szCs w:val="32"/>
          <w:highlight w:val="none"/>
          <w:lang w:val="en-US" w:eastAsia="zh-CN" w:bidi="ar-SA"/>
        </w:rPr>
        <w:t>7</w:t>
      </w:r>
      <w:r>
        <w:rPr>
          <w:rFonts w:hint="eastAsia" w:ascii="Times New Roman" w:hAnsi="Times New Roman" w:eastAsia="宋体" w:cstheme="minorBidi"/>
          <w:b/>
          <w:bCs/>
          <w:kern w:val="2"/>
          <w:sz w:val="24"/>
          <w:szCs w:val="32"/>
          <w:highlight w:val="none"/>
          <w:lang w:val="en-US" w:eastAsia="zh-CN" w:bidi="ar-SA"/>
        </w:rPr>
        <w:t>业绩要求</w:t>
      </w:r>
    </w:p>
    <w:p>
      <w:pPr>
        <w:ind w:firstLine="0" w:firstLineChars="0"/>
        <w:jc w:val="center"/>
        <w:rPr>
          <w:rFonts w:hint="eastAsia"/>
          <w:b/>
          <w:highlight w:val="none"/>
        </w:rPr>
      </w:pPr>
    </w:p>
    <w:p>
      <w:pPr>
        <w:ind w:firstLine="0" w:firstLineChars="0"/>
        <w:jc w:val="center"/>
        <w:rPr>
          <w:b/>
          <w:highlight w:val="none"/>
        </w:rPr>
      </w:pPr>
      <w:r>
        <w:rPr>
          <w:rFonts w:hint="eastAsia"/>
          <w:b/>
          <w:highlight w:val="none"/>
        </w:rPr>
        <w:t>企业业绩一览表</w:t>
      </w:r>
    </w:p>
    <w:tbl>
      <w:tblPr>
        <w:tblStyle w:val="26"/>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9"/>
        <w:gridCol w:w="1999"/>
        <w:gridCol w:w="1997"/>
        <w:gridCol w:w="1999"/>
        <w:gridCol w:w="2398"/>
        <w:gridCol w:w="3598"/>
        <w:gridCol w:w="12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8" w:type="pct"/>
          </w:tcPr>
          <w:p>
            <w:pPr>
              <w:ind w:firstLine="0" w:firstLineChars="0"/>
              <w:jc w:val="center"/>
              <w:rPr>
                <w:rFonts w:hint="eastAsia"/>
                <w:b/>
                <w:highlight w:val="none"/>
              </w:rPr>
            </w:pPr>
            <w:r>
              <w:rPr>
                <w:rFonts w:hint="eastAsia"/>
                <w:b/>
                <w:highlight w:val="none"/>
              </w:rPr>
              <w:t>序号</w:t>
            </w:r>
          </w:p>
        </w:tc>
        <w:tc>
          <w:tcPr>
            <w:tcW w:w="703" w:type="pct"/>
          </w:tcPr>
          <w:p>
            <w:pPr>
              <w:ind w:firstLine="0" w:firstLineChars="0"/>
              <w:jc w:val="center"/>
              <w:rPr>
                <w:rFonts w:hint="eastAsia"/>
                <w:b/>
                <w:highlight w:val="none"/>
              </w:rPr>
            </w:pPr>
            <w:r>
              <w:rPr>
                <w:rFonts w:hint="eastAsia"/>
                <w:b/>
                <w:highlight w:val="none"/>
              </w:rPr>
              <w:t>项目名称</w:t>
            </w:r>
          </w:p>
        </w:tc>
        <w:tc>
          <w:tcPr>
            <w:tcW w:w="702" w:type="pct"/>
          </w:tcPr>
          <w:p>
            <w:pPr>
              <w:ind w:firstLine="0" w:firstLineChars="0"/>
              <w:jc w:val="center"/>
              <w:rPr>
                <w:rFonts w:hint="eastAsia"/>
                <w:b/>
                <w:highlight w:val="none"/>
              </w:rPr>
            </w:pPr>
            <w:r>
              <w:rPr>
                <w:rFonts w:hint="eastAsia"/>
                <w:b/>
                <w:highlight w:val="none"/>
              </w:rPr>
              <w:t>项目概况</w:t>
            </w:r>
          </w:p>
        </w:tc>
        <w:tc>
          <w:tcPr>
            <w:tcW w:w="703" w:type="pct"/>
          </w:tcPr>
          <w:p>
            <w:pPr>
              <w:ind w:firstLine="0" w:firstLineChars="0"/>
              <w:jc w:val="center"/>
              <w:rPr>
                <w:rFonts w:hint="eastAsia"/>
                <w:b/>
                <w:highlight w:val="none"/>
              </w:rPr>
            </w:pPr>
            <w:r>
              <w:rPr>
                <w:rFonts w:hint="eastAsia"/>
                <w:b/>
                <w:highlight w:val="none"/>
              </w:rPr>
              <w:t>合同金额</w:t>
            </w:r>
          </w:p>
        </w:tc>
        <w:tc>
          <w:tcPr>
            <w:tcW w:w="843" w:type="pct"/>
          </w:tcPr>
          <w:p>
            <w:pPr>
              <w:ind w:firstLine="0" w:firstLineChars="0"/>
              <w:jc w:val="center"/>
              <w:rPr>
                <w:rFonts w:hint="eastAsia"/>
                <w:b/>
                <w:highlight w:val="none"/>
              </w:rPr>
            </w:pPr>
            <w:r>
              <w:rPr>
                <w:rFonts w:hint="eastAsia"/>
                <w:b/>
                <w:highlight w:val="none"/>
              </w:rPr>
              <w:t>合同签订时间</w:t>
            </w:r>
          </w:p>
        </w:tc>
        <w:tc>
          <w:tcPr>
            <w:tcW w:w="1265" w:type="pct"/>
          </w:tcPr>
          <w:p>
            <w:pPr>
              <w:ind w:firstLine="0" w:firstLineChars="0"/>
              <w:jc w:val="center"/>
              <w:rPr>
                <w:rFonts w:hint="eastAsia"/>
                <w:b/>
                <w:highlight w:val="none"/>
              </w:rPr>
            </w:pPr>
            <w:r>
              <w:rPr>
                <w:rFonts w:hint="eastAsia"/>
                <w:b/>
                <w:highlight w:val="none"/>
              </w:rPr>
              <w:t>业主名称及联系方式</w:t>
            </w:r>
          </w:p>
        </w:tc>
        <w:tc>
          <w:tcPr>
            <w:tcW w:w="433" w:type="pct"/>
          </w:tcPr>
          <w:p>
            <w:pPr>
              <w:ind w:firstLine="0" w:firstLineChars="0"/>
              <w:jc w:val="center"/>
              <w:rPr>
                <w:rFonts w:hint="eastAsia"/>
                <w:b/>
                <w:highlight w:val="none"/>
              </w:rPr>
            </w:pPr>
            <w:r>
              <w:rPr>
                <w:rFonts w:hint="eastAsia"/>
                <w:b/>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8" w:type="pct"/>
          </w:tcPr>
          <w:p>
            <w:pPr>
              <w:ind w:firstLine="0" w:firstLineChars="0"/>
              <w:jc w:val="center"/>
              <w:rPr>
                <w:rFonts w:hint="eastAsia"/>
                <w:highlight w:val="none"/>
              </w:rPr>
            </w:pPr>
            <w:r>
              <w:rPr>
                <w:highlight w:val="none"/>
              </w:rPr>
              <w:t>1</w:t>
            </w:r>
          </w:p>
        </w:tc>
        <w:tc>
          <w:tcPr>
            <w:tcW w:w="703" w:type="pct"/>
          </w:tcPr>
          <w:p>
            <w:pPr>
              <w:ind w:firstLine="0" w:firstLineChars="0"/>
              <w:rPr>
                <w:rFonts w:hint="eastAsia"/>
                <w:highlight w:val="none"/>
              </w:rPr>
            </w:pPr>
          </w:p>
        </w:tc>
        <w:tc>
          <w:tcPr>
            <w:tcW w:w="702" w:type="pct"/>
          </w:tcPr>
          <w:p>
            <w:pPr>
              <w:ind w:firstLine="0" w:firstLineChars="0"/>
              <w:rPr>
                <w:rFonts w:hint="eastAsia"/>
                <w:highlight w:val="none"/>
              </w:rPr>
            </w:pPr>
          </w:p>
        </w:tc>
        <w:tc>
          <w:tcPr>
            <w:tcW w:w="703" w:type="pct"/>
          </w:tcPr>
          <w:p>
            <w:pPr>
              <w:ind w:firstLine="0" w:firstLineChars="0"/>
              <w:rPr>
                <w:rFonts w:hint="eastAsia"/>
                <w:highlight w:val="none"/>
              </w:rPr>
            </w:pPr>
          </w:p>
        </w:tc>
        <w:tc>
          <w:tcPr>
            <w:tcW w:w="843" w:type="pct"/>
          </w:tcPr>
          <w:p>
            <w:pPr>
              <w:ind w:firstLine="0" w:firstLineChars="0"/>
              <w:rPr>
                <w:rFonts w:hint="eastAsia"/>
                <w:highlight w:val="none"/>
              </w:rPr>
            </w:pPr>
          </w:p>
        </w:tc>
        <w:tc>
          <w:tcPr>
            <w:tcW w:w="1265" w:type="pct"/>
          </w:tcPr>
          <w:p>
            <w:pPr>
              <w:ind w:firstLine="0" w:firstLineChars="0"/>
              <w:rPr>
                <w:rFonts w:hint="eastAsia"/>
                <w:highlight w:val="none"/>
              </w:rPr>
            </w:pPr>
          </w:p>
        </w:tc>
        <w:tc>
          <w:tcPr>
            <w:tcW w:w="433" w:type="pct"/>
          </w:tcPr>
          <w:p>
            <w:pPr>
              <w:ind w:firstLine="0" w:firstLineChars="0"/>
              <w:rPr>
                <w:rFonts w:hint="eastAsia"/>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8" w:type="pct"/>
          </w:tcPr>
          <w:p>
            <w:pPr>
              <w:ind w:firstLine="0" w:firstLineChars="0"/>
              <w:jc w:val="center"/>
              <w:rPr>
                <w:rFonts w:hint="eastAsia"/>
                <w:highlight w:val="none"/>
              </w:rPr>
            </w:pPr>
            <w:r>
              <w:rPr>
                <w:rFonts w:hint="eastAsia"/>
                <w:highlight w:val="none"/>
              </w:rPr>
              <w:t>2</w:t>
            </w:r>
          </w:p>
        </w:tc>
        <w:tc>
          <w:tcPr>
            <w:tcW w:w="703" w:type="pct"/>
          </w:tcPr>
          <w:p>
            <w:pPr>
              <w:ind w:firstLine="0" w:firstLineChars="0"/>
              <w:rPr>
                <w:rFonts w:hint="eastAsia"/>
                <w:highlight w:val="none"/>
              </w:rPr>
            </w:pPr>
          </w:p>
        </w:tc>
        <w:tc>
          <w:tcPr>
            <w:tcW w:w="702" w:type="pct"/>
          </w:tcPr>
          <w:p>
            <w:pPr>
              <w:ind w:firstLine="0" w:firstLineChars="0"/>
              <w:rPr>
                <w:rFonts w:hint="eastAsia"/>
                <w:highlight w:val="none"/>
              </w:rPr>
            </w:pPr>
          </w:p>
        </w:tc>
        <w:tc>
          <w:tcPr>
            <w:tcW w:w="703" w:type="pct"/>
          </w:tcPr>
          <w:p>
            <w:pPr>
              <w:ind w:firstLine="0" w:firstLineChars="0"/>
              <w:rPr>
                <w:rFonts w:hint="eastAsia"/>
                <w:highlight w:val="none"/>
              </w:rPr>
            </w:pPr>
          </w:p>
        </w:tc>
        <w:tc>
          <w:tcPr>
            <w:tcW w:w="843" w:type="pct"/>
          </w:tcPr>
          <w:p>
            <w:pPr>
              <w:ind w:firstLine="0" w:firstLineChars="0"/>
              <w:rPr>
                <w:rFonts w:hint="eastAsia"/>
                <w:highlight w:val="none"/>
              </w:rPr>
            </w:pPr>
          </w:p>
        </w:tc>
        <w:tc>
          <w:tcPr>
            <w:tcW w:w="1265" w:type="pct"/>
          </w:tcPr>
          <w:p>
            <w:pPr>
              <w:ind w:firstLine="0" w:firstLineChars="0"/>
              <w:rPr>
                <w:rFonts w:hint="eastAsia"/>
                <w:highlight w:val="none"/>
              </w:rPr>
            </w:pPr>
          </w:p>
        </w:tc>
        <w:tc>
          <w:tcPr>
            <w:tcW w:w="433" w:type="pct"/>
          </w:tcPr>
          <w:p>
            <w:pPr>
              <w:ind w:firstLine="0" w:firstLineChars="0"/>
              <w:rPr>
                <w:rFonts w:hint="eastAsia"/>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8" w:type="pct"/>
          </w:tcPr>
          <w:p>
            <w:pPr>
              <w:ind w:firstLine="0" w:firstLineChars="0"/>
              <w:rPr>
                <w:rFonts w:hint="eastAsia"/>
                <w:highlight w:val="none"/>
              </w:rPr>
            </w:pPr>
            <w:r>
              <w:rPr>
                <w:highlight w:val="none"/>
              </w:rPr>
              <w:t>…</w:t>
            </w:r>
          </w:p>
        </w:tc>
        <w:tc>
          <w:tcPr>
            <w:tcW w:w="703" w:type="pct"/>
          </w:tcPr>
          <w:p>
            <w:pPr>
              <w:ind w:firstLine="0" w:firstLineChars="0"/>
              <w:rPr>
                <w:rFonts w:hint="eastAsia"/>
                <w:highlight w:val="none"/>
              </w:rPr>
            </w:pPr>
          </w:p>
        </w:tc>
        <w:tc>
          <w:tcPr>
            <w:tcW w:w="702" w:type="pct"/>
          </w:tcPr>
          <w:p>
            <w:pPr>
              <w:ind w:firstLine="0" w:firstLineChars="0"/>
              <w:rPr>
                <w:rFonts w:hint="eastAsia"/>
                <w:highlight w:val="none"/>
              </w:rPr>
            </w:pPr>
          </w:p>
        </w:tc>
        <w:tc>
          <w:tcPr>
            <w:tcW w:w="703" w:type="pct"/>
          </w:tcPr>
          <w:p>
            <w:pPr>
              <w:ind w:firstLine="0" w:firstLineChars="0"/>
              <w:rPr>
                <w:rFonts w:hint="eastAsia"/>
                <w:highlight w:val="none"/>
              </w:rPr>
            </w:pPr>
          </w:p>
        </w:tc>
        <w:tc>
          <w:tcPr>
            <w:tcW w:w="843" w:type="pct"/>
          </w:tcPr>
          <w:p>
            <w:pPr>
              <w:ind w:firstLine="0" w:firstLineChars="0"/>
              <w:rPr>
                <w:rFonts w:hint="eastAsia"/>
                <w:highlight w:val="none"/>
              </w:rPr>
            </w:pPr>
          </w:p>
        </w:tc>
        <w:tc>
          <w:tcPr>
            <w:tcW w:w="1265" w:type="pct"/>
          </w:tcPr>
          <w:p>
            <w:pPr>
              <w:ind w:firstLine="0" w:firstLineChars="0"/>
              <w:rPr>
                <w:rFonts w:hint="eastAsia"/>
                <w:highlight w:val="none"/>
              </w:rPr>
            </w:pPr>
          </w:p>
        </w:tc>
        <w:tc>
          <w:tcPr>
            <w:tcW w:w="433" w:type="pct"/>
          </w:tcPr>
          <w:p>
            <w:pPr>
              <w:ind w:firstLine="0" w:firstLineChars="0"/>
              <w:rPr>
                <w:rFonts w:hint="eastAsia"/>
                <w:highlight w:val="none"/>
              </w:rPr>
            </w:pPr>
          </w:p>
        </w:tc>
      </w:tr>
    </w:tbl>
    <w:p>
      <w:pPr>
        <w:keepNext w:val="0"/>
        <w:keepLines w:val="0"/>
        <w:pageBreakBefore w:val="0"/>
        <w:widowControl w:val="0"/>
        <w:kinsoku/>
        <w:wordWrap/>
        <w:overflowPunct/>
        <w:topLinePunct w:val="0"/>
        <w:autoSpaceDE/>
        <w:autoSpaceDN/>
        <w:bidi w:val="0"/>
        <w:adjustRightInd/>
        <w:snapToGrid/>
        <w:spacing w:before="164" w:beforeLines="50"/>
        <w:ind w:firstLine="0" w:firstLineChars="0"/>
        <w:textAlignment w:val="auto"/>
        <w:rPr>
          <w:rFonts w:hint="eastAsia"/>
          <w:b/>
          <w:highlight w:val="none"/>
        </w:rPr>
      </w:pPr>
      <w:r>
        <w:rPr>
          <w:rFonts w:hint="eastAsia"/>
          <w:b/>
          <w:highlight w:val="none"/>
        </w:rPr>
        <w:t>注：</w:t>
      </w:r>
      <w:r>
        <w:rPr>
          <w:rFonts w:hint="eastAsia"/>
          <w:b/>
          <w:highlight w:val="none"/>
          <w:lang w:eastAsia="zh-CN"/>
        </w:rPr>
        <w:t>结合第三章评审办法填写企业业绩，须提供业绩证明材料</w:t>
      </w:r>
      <w:r>
        <w:rPr>
          <w:rFonts w:hint="eastAsia"/>
          <w:b/>
          <w:highlight w:val="none"/>
        </w:rPr>
        <w:t>。</w:t>
      </w:r>
    </w:p>
    <w:p>
      <w:pPr>
        <w:rPr>
          <w:rFonts w:hint="eastAsia" w:cstheme="minorBidi"/>
          <w:b/>
          <w:bCs/>
          <w:kern w:val="2"/>
          <w:sz w:val="24"/>
          <w:szCs w:val="32"/>
          <w:highlight w:val="none"/>
          <w:lang w:val="en-US" w:eastAsia="zh-CN" w:bidi="ar-SA"/>
        </w:rPr>
      </w:pPr>
    </w:p>
    <w:p>
      <w:pPr>
        <w:rPr>
          <w:rFonts w:hint="eastAsia" w:cstheme="minorBidi"/>
          <w:b/>
          <w:bCs/>
          <w:kern w:val="2"/>
          <w:sz w:val="24"/>
          <w:szCs w:val="32"/>
          <w:highlight w:val="none"/>
          <w:lang w:val="en-US" w:eastAsia="zh-CN" w:bidi="ar-SA"/>
        </w:rPr>
        <w:sectPr>
          <w:pgSz w:w="16838" w:h="11906" w:orient="landscape"/>
          <w:pgMar w:top="1588" w:right="1418" w:bottom="1588" w:left="1418" w:header="851" w:footer="992" w:gutter="0"/>
          <w:pgBorders>
            <w:top w:val="none" w:sz="0" w:space="0"/>
            <w:left w:val="none" w:sz="0" w:space="0"/>
            <w:bottom w:val="none" w:sz="0" w:space="0"/>
            <w:right w:val="none" w:sz="0" w:space="0"/>
          </w:pgBorders>
          <w:pgNumType w:fmt="decimal"/>
          <w:cols w:space="425" w:num="1"/>
          <w:docGrid w:linePitch="326" w:charSpace="0"/>
        </w:sectPr>
      </w:pPr>
      <w:r>
        <w:rPr>
          <w:rFonts w:hint="eastAsia" w:cstheme="minorBidi"/>
          <w:b/>
          <w:bCs/>
          <w:kern w:val="2"/>
          <w:sz w:val="24"/>
          <w:szCs w:val="32"/>
          <w:highlight w:val="none"/>
          <w:lang w:val="en-US" w:eastAsia="zh-CN" w:bidi="ar-SA"/>
        </w:rPr>
        <w:br w:type="page"/>
      </w:r>
    </w:p>
    <w:p>
      <w:pPr>
        <w:rPr>
          <w:rFonts w:hint="eastAsia" w:cstheme="minorBidi"/>
          <w:b/>
          <w:bCs/>
          <w:kern w:val="2"/>
          <w:sz w:val="24"/>
          <w:szCs w:val="32"/>
          <w:highlight w:val="none"/>
          <w:lang w:val="en-US" w:eastAsia="zh-CN" w:bidi="ar-SA"/>
        </w:rPr>
      </w:pPr>
    </w:p>
    <w:p>
      <w:pPr>
        <w:widowControl/>
        <w:spacing w:line="240" w:lineRule="auto"/>
        <w:ind w:firstLine="0" w:firstLineChars="0"/>
        <w:jc w:val="left"/>
        <w:rPr>
          <w:highlight w:val="none"/>
        </w:rPr>
      </w:pPr>
      <w:r>
        <w:rPr>
          <w:rFonts w:hint="eastAsia" w:cstheme="minorBidi"/>
          <w:b/>
          <w:bCs/>
          <w:kern w:val="2"/>
          <w:sz w:val="24"/>
          <w:szCs w:val="32"/>
          <w:highlight w:val="none"/>
          <w:lang w:val="en-US" w:eastAsia="zh-CN" w:bidi="ar-SA"/>
        </w:rPr>
        <w:t>8投标人</w:t>
      </w:r>
      <w:r>
        <w:rPr>
          <w:rFonts w:hint="eastAsia" w:ascii="Times New Roman" w:hAnsi="Times New Roman" w:eastAsia="宋体" w:cstheme="minorBidi"/>
          <w:b/>
          <w:bCs/>
          <w:kern w:val="2"/>
          <w:sz w:val="24"/>
          <w:szCs w:val="32"/>
          <w:highlight w:val="none"/>
          <w:lang w:val="en-US" w:eastAsia="zh-CN" w:bidi="ar-SA"/>
        </w:rPr>
        <w:t>认为需要提交的其他资料</w:t>
      </w:r>
    </w:p>
    <w:p>
      <w:pPr>
        <w:ind w:firstLine="480"/>
        <w:rPr>
          <w:highlight w:val="none"/>
        </w:rPr>
      </w:pPr>
    </w:p>
    <w:p>
      <w:pPr>
        <w:ind w:firstLine="480"/>
        <w:rPr>
          <w:highlight w:val="none"/>
        </w:rPr>
      </w:pPr>
    </w:p>
    <w:p>
      <w:pPr>
        <w:spacing w:line="240" w:lineRule="auto"/>
        <w:ind w:firstLine="0" w:firstLineChars="0"/>
        <w:rPr>
          <w:highlight w:val="none"/>
        </w:rPr>
      </w:pPr>
    </w:p>
    <w:p>
      <w:pPr>
        <w:ind w:firstLine="480"/>
        <w:rPr>
          <w:highlight w:val="none"/>
        </w:rPr>
      </w:pPr>
    </w:p>
    <w:p>
      <w:pPr>
        <w:ind w:firstLine="480"/>
        <w:rPr>
          <w:highlight w:val="none"/>
        </w:rPr>
      </w:pPr>
    </w:p>
    <w:p>
      <w:pPr>
        <w:ind w:firstLine="480"/>
        <w:rPr>
          <w:highlight w:val="none"/>
        </w:rPr>
      </w:pPr>
    </w:p>
    <w:p>
      <w:pPr>
        <w:ind w:firstLine="480"/>
        <w:rPr>
          <w:highlight w:val="none"/>
        </w:rPr>
      </w:pPr>
    </w:p>
    <w:p>
      <w:pPr>
        <w:ind w:firstLine="480"/>
        <w:rPr>
          <w:highlight w:val="none"/>
        </w:rPr>
      </w:pPr>
    </w:p>
    <w:p>
      <w:pPr>
        <w:ind w:firstLine="0" w:firstLineChars="0"/>
        <w:jc w:val="center"/>
        <w:rPr>
          <w:rFonts w:ascii="宋体" w:hAnsi="宋体" w:cs="宋体"/>
          <w:highlight w:val="none"/>
          <w:u w:val="single"/>
        </w:rPr>
      </w:pPr>
    </w:p>
    <w:p>
      <w:pPr>
        <w:ind w:firstLine="0" w:firstLineChars="0"/>
        <w:jc w:val="center"/>
        <w:rPr>
          <w:rFonts w:ascii="宋体" w:hAnsi="宋体" w:cs="宋体"/>
          <w:highlight w:val="none"/>
          <w:u w:val="single"/>
        </w:rPr>
      </w:pPr>
    </w:p>
    <w:p>
      <w:pPr>
        <w:ind w:firstLine="0" w:firstLineChars="0"/>
        <w:jc w:val="center"/>
        <w:rPr>
          <w:rFonts w:ascii="宋体" w:hAnsi="宋体" w:cs="宋体"/>
          <w:highlight w:val="none"/>
          <w:u w:val="single"/>
        </w:rPr>
      </w:pPr>
    </w:p>
    <w:p>
      <w:pPr>
        <w:ind w:firstLine="0" w:firstLineChars="0"/>
        <w:jc w:val="center"/>
        <w:rPr>
          <w:rFonts w:ascii="宋体" w:hAnsi="宋体" w:cs="宋体"/>
          <w:highlight w:val="none"/>
          <w:u w:val="single"/>
        </w:rPr>
      </w:pPr>
    </w:p>
    <w:p>
      <w:pPr>
        <w:ind w:firstLine="0" w:firstLineChars="0"/>
        <w:jc w:val="center"/>
        <w:rPr>
          <w:rFonts w:ascii="宋体" w:hAnsi="宋体" w:cs="宋体"/>
          <w:highlight w:val="none"/>
          <w:u w:val="single"/>
        </w:rPr>
      </w:pPr>
    </w:p>
    <w:p>
      <w:pPr>
        <w:ind w:firstLine="0" w:firstLineChars="0"/>
        <w:jc w:val="center"/>
        <w:rPr>
          <w:rFonts w:ascii="宋体" w:hAnsi="宋体" w:cs="宋体"/>
          <w:highlight w:val="none"/>
          <w:u w:val="single"/>
        </w:rPr>
      </w:pPr>
    </w:p>
    <w:p>
      <w:pPr>
        <w:ind w:firstLine="0" w:firstLineChars="0"/>
        <w:jc w:val="center"/>
        <w:rPr>
          <w:rFonts w:ascii="宋体" w:hAnsi="宋体" w:cs="宋体"/>
          <w:highlight w:val="none"/>
          <w:u w:val="single"/>
        </w:rPr>
      </w:pPr>
    </w:p>
    <w:p>
      <w:pPr>
        <w:ind w:firstLine="0" w:firstLineChars="0"/>
        <w:jc w:val="center"/>
        <w:rPr>
          <w:rFonts w:ascii="宋体" w:hAnsi="宋体" w:cs="宋体"/>
          <w:highlight w:val="none"/>
          <w:u w:val="single"/>
        </w:rPr>
      </w:pPr>
    </w:p>
    <w:p>
      <w:pPr>
        <w:ind w:firstLine="0" w:firstLineChars="0"/>
        <w:jc w:val="center"/>
        <w:rPr>
          <w:rFonts w:ascii="宋体" w:hAnsi="宋体" w:cs="宋体"/>
          <w:highlight w:val="none"/>
          <w:u w:val="single"/>
        </w:rPr>
      </w:pPr>
    </w:p>
    <w:p>
      <w:pPr>
        <w:ind w:firstLine="0" w:firstLineChars="0"/>
        <w:jc w:val="center"/>
        <w:rPr>
          <w:rFonts w:ascii="宋体" w:hAnsi="宋体" w:cs="宋体"/>
          <w:highlight w:val="none"/>
          <w:u w:val="single"/>
        </w:rPr>
      </w:pPr>
    </w:p>
    <w:p>
      <w:pPr>
        <w:ind w:firstLine="0" w:firstLineChars="0"/>
        <w:jc w:val="center"/>
        <w:rPr>
          <w:rFonts w:ascii="宋体" w:hAnsi="宋体" w:cs="宋体"/>
          <w:highlight w:val="none"/>
          <w:u w:val="single"/>
        </w:rPr>
      </w:pPr>
    </w:p>
    <w:p>
      <w:pPr>
        <w:ind w:firstLine="0" w:firstLineChars="0"/>
        <w:jc w:val="center"/>
        <w:rPr>
          <w:rFonts w:ascii="宋体" w:hAnsi="宋体" w:cs="宋体"/>
          <w:highlight w:val="none"/>
          <w:u w:val="single"/>
        </w:rPr>
      </w:pPr>
    </w:p>
    <w:p>
      <w:pPr>
        <w:ind w:firstLine="0" w:firstLineChars="0"/>
        <w:jc w:val="center"/>
        <w:rPr>
          <w:rFonts w:ascii="宋体" w:hAnsi="宋体" w:cs="宋体"/>
          <w:highlight w:val="none"/>
          <w:u w:val="single"/>
        </w:rPr>
      </w:pPr>
    </w:p>
    <w:p>
      <w:pPr>
        <w:ind w:firstLine="0" w:firstLineChars="0"/>
        <w:jc w:val="center"/>
        <w:rPr>
          <w:rFonts w:ascii="宋体" w:hAnsi="宋体" w:cs="宋体"/>
          <w:highlight w:val="none"/>
          <w:u w:val="single"/>
        </w:rPr>
      </w:pPr>
    </w:p>
    <w:p>
      <w:pPr>
        <w:ind w:firstLine="0" w:firstLineChars="0"/>
        <w:jc w:val="center"/>
        <w:rPr>
          <w:rFonts w:ascii="宋体" w:hAnsi="宋体" w:cs="宋体"/>
          <w:highlight w:val="none"/>
          <w:u w:val="single"/>
        </w:rPr>
      </w:pPr>
    </w:p>
    <w:p>
      <w:pPr>
        <w:ind w:firstLine="0" w:firstLineChars="0"/>
        <w:jc w:val="center"/>
        <w:rPr>
          <w:rFonts w:ascii="宋体" w:hAnsi="宋体" w:cs="宋体"/>
          <w:highlight w:val="none"/>
          <w:u w:val="single"/>
        </w:rPr>
      </w:pPr>
    </w:p>
    <w:p>
      <w:pPr>
        <w:ind w:firstLine="0" w:firstLineChars="0"/>
        <w:jc w:val="center"/>
        <w:rPr>
          <w:rFonts w:ascii="宋体" w:hAnsi="宋体" w:cs="宋体"/>
          <w:highlight w:val="none"/>
          <w:u w:val="single"/>
        </w:rPr>
      </w:pPr>
    </w:p>
    <w:p>
      <w:pPr>
        <w:ind w:firstLine="0" w:firstLineChars="0"/>
        <w:jc w:val="center"/>
        <w:rPr>
          <w:rFonts w:ascii="宋体" w:hAnsi="宋体" w:cs="宋体"/>
          <w:highlight w:val="none"/>
          <w:u w:val="single"/>
        </w:rPr>
      </w:pPr>
    </w:p>
    <w:p>
      <w:pPr>
        <w:ind w:firstLine="0" w:firstLineChars="0"/>
        <w:jc w:val="center"/>
        <w:rPr>
          <w:rFonts w:ascii="宋体" w:hAnsi="宋体" w:cs="宋体"/>
          <w:highlight w:val="none"/>
          <w:u w:val="single"/>
        </w:rPr>
      </w:pPr>
    </w:p>
    <w:p>
      <w:pPr>
        <w:ind w:firstLine="0" w:firstLineChars="0"/>
        <w:jc w:val="center"/>
        <w:rPr>
          <w:rFonts w:ascii="宋体" w:hAnsi="宋体" w:cs="宋体"/>
          <w:highlight w:val="none"/>
          <w:u w:val="single"/>
        </w:rPr>
      </w:pPr>
    </w:p>
    <w:p>
      <w:pPr>
        <w:widowControl/>
        <w:spacing w:line="240" w:lineRule="auto"/>
        <w:ind w:firstLine="0" w:firstLineChars="0"/>
        <w:jc w:val="left"/>
        <w:rPr>
          <w:rFonts w:cstheme="majorBidi"/>
          <w:b/>
          <w:bCs/>
          <w:szCs w:val="32"/>
          <w:highlight w:val="none"/>
        </w:rPr>
      </w:pPr>
      <w:r>
        <w:rPr>
          <w:highlight w:val="none"/>
        </w:rPr>
        <w:br w:type="page"/>
      </w:r>
    </w:p>
    <w:p>
      <w:pPr>
        <w:pStyle w:val="4"/>
        <w:ind w:firstLine="0" w:firstLineChars="0"/>
        <w:rPr>
          <w:highlight w:val="none"/>
        </w:rPr>
      </w:pPr>
      <w:r>
        <w:rPr>
          <w:highlight w:val="none"/>
        </w:rPr>
        <w:t>第</w:t>
      </w:r>
      <w:r>
        <w:rPr>
          <w:rFonts w:hint="eastAsia"/>
          <w:highlight w:val="none"/>
        </w:rPr>
        <w:t>二</w:t>
      </w:r>
      <w:r>
        <w:rPr>
          <w:highlight w:val="none"/>
        </w:rPr>
        <w:t>册</w:t>
      </w:r>
      <w:r>
        <w:rPr>
          <w:rFonts w:hint="eastAsia"/>
          <w:highlight w:val="none"/>
        </w:rPr>
        <w:t xml:space="preserve"> 商务技术部分</w:t>
      </w:r>
    </w:p>
    <w:p>
      <w:pPr>
        <w:ind w:firstLine="480"/>
        <w:jc w:val="right"/>
        <w:rPr>
          <w:rFonts w:ascii="宋体" w:hAnsi="宋体" w:cs="宋体"/>
          <w:bCs/>
          <w:sz w:val="36"/>
          <w:szCs w:val="36"/>
          <w:highlight w:val="none"/>
        </w:rPr>
      </w:pPr>
      <w:r>
        <w:rPr>
          <w:rFonts w:hint="eastAsia" w:ascii="宋体" w:hAnsi="宋体" w:cs="宋体"/>
          <w:highlight w:val="none"/>
        </w:rPr>
        <w:t>正本/副本</w:t>
      </w:r>
    </w:p>
    <w:p>
      <w:pPr>
        <w:ind w:firstLine="0" w:firstLineChars="0"/>
        <w:jc w:val="center"/>
        <w:rPr>
          <w:rFonts w:ascii="宋体" w:hAnsi="宋体" w:cs="宋体"/>
          <w:b/>
          <w:sz w:val="40"/>
          <w:szCs w:val="40"/>
          <w:highlight w:val="none"/>
        </w:rPr>
      </w:pPr>
    </w:p>
    <w:p>
      <w:pPr>
        <w:ind w:firstLine="0" w:firstLineChars="0"/>
        <w:jc w:val="center"/>
        <w:rPr>
          <w:rFonts w:hint="eastAsia" w:ascii="宋体" w:hAnsi="宋体" w:eastAsia="宋体" w:cs="宋体"/>
          <w:b/>
          <w:sz w:val="40"/>
          <w:szCs w:val="40"/>
          <w:highlight w:val="none"/>
          <w:lang w:eastAsia="zh-CN"/>
        </w:rPr>
      </w:pPr>
      <w:r>
        <w:rPr>
          <w:rFonts w:hint="eastAsia" w:ascii="宋体" w:hAnsi="宋体" w:cs="宋体"/>
          <w:b/>
          <w:sz w:val="40"/>
          <w:szCs w:val="40"/>
          <w:highlight w:val="none"/>
          <w:lang w:eastAsia="zh-CN"/>
        </w:rPr>
        <w:t>南通轨道交通集团有限公司运营分公司2026-2029年2号线结构监测委外维保项目</w:t>
      </w:r>
    </w:p>
    <w:p>
      <w:pPr>
        <w:ind w:firstLine="0" w:firstLineChars="0"/>
        <w:jc w:val="center"/>
        <w:rPr>
          <w:rFonts w:ascii="宋体" w:hAnsi="宋体" w:cs="宋体"/>
          <w:bCs/>
          <w:sz w:val="36"/>
          <w:szCs w:val="36"/>
          <w:highlight w:val="none"/>
        </w:rPr>
      </w:pPr>
      <w:r>
        <w:rPr>
          <w:rFonts w:hint="eastAsia" w:ascii="宋体" w:hAnsi="宋体" w:cs="宋体"/>
          <w:b/>
          <w:sz w:val="40"/>
          <w:szCs w:val="40"/>
          <w:highlight w:val="none"/>
        </w:rPr>
        <w:t>（项目编号：</w:t>
      </w:r>
      <w:r>
        <w:rPr>
          <w:rFonts w:hint="eastAsia" w:ascii="宋体" w:hAnsi="宋体" w:cs="宋体"/>
          <w:b/>
          <w:sz w:val="40"/>
          <w:szCs w:val="40"/>
          <w:highlight w:val="none"/>
          <w:lang w:eastAsia="zh-CN"/>
        </w:rPr>
        <w:t>NTGY-2026-FW-ZB-034</w:t>
      </w:r>
      <w:r>
        <w:rPr>
          <w:rFonts w:hint="eastAsia" w:ascii="宋体" w:hAnsi="宋体" w:cs="宋体"/>
          <w:b/>
          <w:sz w:val="40"/>
          <w:szCs w:val="40"/>
          <w:highlight w:val="none"/>
        </w:rPr>
        <w:t>）</w:t>
      </w:r>
    </w:p>
    <w:p>
      <w:pPr>
        <w:ind w:firstLine="0" w:firstLineChars="0"/>
        <w:jc w:val="center"/>
        <w:rPr>
          <w:rFonts w:ascii="宋体" w:hAnsi="宋体" w:cs="宋体"/>
          <w:bCs/>
          <w:sz w:val="36"/>
          <w:szCs w:val="36"/>
          <w:highlight w:val="none"/>
        </w:rPr>
      </w:pPr>
    </w:p>
    <w:p>
      <w:pPr>
        <w:ind w:firstLine="0" w:firstLineChars="0"/>
        <w:jc w:val="center"/>
        <w:rPr>
          <w:rFonts w:ascii="宋体" w:hAnsi="宋体" w:cs="宋体"/>
          <w:bCs/>
          <w:sz w:val="36"/>
          <w:szCs w:val="36"/>
          <w:highlight w:val="none"/>
        </w:rPr>
      </w:pPr>
    </w:p>
    <w:p>
      <w:pPr>
        <w:ind w:firstLine="0" w:firstLineChars="0"/>
        <w:jc w:val="center"/>
        <w:rPr>
          <w:rFonts w:ascii="宋体" w:hAnsi="宋体" w:cs="宋体"/>
          <w:bCs/>
          <w:sz w:val="36"/>
          <w:szCs w:val="36"/>
          <w:highlight w:val="none"/>
        </w:rPr>
      </w:pPr>
    </w:p>
    <w:p>
      <w:pPr>
        <w:ind w:firstLine="0" w:firstLineChars="0"/>
        <w:jc w:val="center"/>
        <w:rPr>
          <w:rFonts w:hint="eastAsia" w:ascii="宋体" w:hAnsi="宋体" w:eastAsia="宋体" w:cs="宋体"/>
          <w:bCs/>
          <w:sz w:val="52"/>
          <w:szCs w:val="52"/>
          <w:highlight w:val="none"/>
          <w:lang w:eastAsia="zh-CN"/>
        </w:rPr>
      </w:pPr>
      <w:r>
        <w:rPr>
          <w:rFonts w:hint="eastAsia" w:ascii="宋体" w:hAnsi="宋体" w:cs="宋体"/>
          <w:bCs/>
          <w:sz w:val="52"/>
          <w:szCs w:val="52"/>
          <w:highlight w:val="none"/>
          <w:lang w:eastAsia="zh-CN"/>
        </w:rPr>
        <w:t>投标文件</w:t>
      </w:r>
    </w:p>
    <w:p>
      <w:pPr>
        <w:ind w:firstLine="0" w:firstLineChars="0"/>
        <w:jc w:val="center"/>
        <w:rPr>
          <w:rFonts w:ascii="宋体" w:hAnsi="宋体" w:cs="宋体"/>
          <w:bCs/>
          <w:sz w:val="32"/>
          <w:szCs w:val="32"/>
          <w:highlight w:val="none"/>
        </w:rPr>
      </w:pPr>
      <w:r>
        <w:rPr>
          <w:rFonts w:hint="eastAsia" w:ascii="宋体" w:hAnsi="宋体" w:cs="宋体"/>
          <w:bCs/>
          <w:sz w:val="32"/>
          <w:szCs w:val="32"/>
          <w:highlight w:val="none"/>
        </w:rPr>
        <w:t>第二册 商务技术部分</w:t>
      </w:r>
    </w:p>
    <w:p>
      <w:pPr>
        <w:ind w:firstLine="0" w:firstLineChars="0"/>
        <w:jc w:val="center"/>
        <w:rPr>
          <w:rFonts w:ascii="宋体" w:hAnsi="宋体" w:cs="宋体"/>
          <w:b/>
          <w:sz w:val="36"/>
          <w:szCs w:val="36"/>
          <w:highlight w:val="none"/>
        </w:rPr>
      </w:pPr>
    </w:p>
    <w:p>
      <w:pPr>
        <w:ind w:firstLine="0" w:firstLineChars="0"/>
        <w:jc w:val="center"/>
        <w:rPr>
          <w:rFonts w:ascii="宋体" w:hAnsi="宋体" w:cs="宋体"/>
          <w:b/>
          <w:sz w:val="36"/>
          <w:szCs w:val="36"/>
          <w:highlight w:val="none"/>
        </w:rPr>
      </w:pPr>
    </w:p>
    <w:p>
      <w:pPr>
        <w:ind w:firstLine="0" w:firstLineChars="0"/>
        <w:jc w:val="center"/>
        <w:rPr>
          <w:rFonts w:ascii="宋体" w:hAnsi="宋体" w:cs="宋体"/>
          <w:b/>
          <w:sz w:val="36"/>
          <w:szCs w:val="36"/>
          <w:highlight w:val="none"/>
        </w:rPr>
      </w:pPr>
    </w:p>
    <w:p>
      <w:pPr>
        <w:ind w:firstLine="0" w:firstLineChars="0"/>
        <w:jc w:val="center"/>
        <w:rPr>
          <w:rFonts w:ascii="宋体" w:hAnsi="宋体" w:cs="宋体"/>
          <w:b/>
          <w:sz w:val="36"/>
          <w:szCs w:val="36"/>
          <w:highlight w:val="none"/>
        </w:rPr>
      </w:pPr>
    </w:p>
    <w:p>
      <w:pPr>
        <w:ind w:firstLine="0" w:firstLineChars="0"/>
        <w:jc w:val="center"/>
        <w:rPr>
          <w:rFonts w:ascii="宋体" w:hAnsi="宋体" w:cs="宋体"/>
          <w:b/>
          <w:sz w:val="36"/>
          <w:szCs w:val="36"/>
          <w:highlight w:val="none"/>
        </w:rPr>
      </w:pPr>
    </w:p>
    <w:p>
      <w:pPr>
        <w:ind w:firstLine="0" w:firstLineChars="0"/>
        <w:jc w:val="center"/>
        <w:rPr>
          <w:rFonts w:ascii="宋体" w:hAnsi="宋体" w:cs="宋体"/>
          <w:b/>
          <w:sz w:val="36"/>
          <w:szCs w:val="36"/>
          <w:highlight w:val="none"/>
        </w:rPr>
      </w:pPr>
    </w:p>
    <w:p>
      <w:pPr>
        <w:ind w:firstLine="0" w:firstLineChars="0"/>
        <w:jc w:val="center"/>
        <w:rPr>
          <w:rFonts w:ascii="宋体" w:hAnsi="宋体" w:cs="宋体"/>
          <w:highlight w:val="none"/>
          <w:u w:val="single"/>
        </w:rPr>
      </w:pPr>
      <w:r>
        <w:rPr>
          <w:rFonts w:hint="eastAsia" w:ascii="宋体" w:hAnsi="宋体" w:cs="宋体"/>
          <w:highlight w:val="none"/>
          <w:lang w:eastAsia="zh-CN"/>
        </w:rPr>
        <w:t>投标人</w:t>
      </w:r>
      <w:r>
        <w:rPr>
          <w:rFonts w:hint="eastAsia" w:ascii="宋体" w:hAnsi="宋体" w:cs="宋体"/>
          <w:highlight w:val="none"/>
        </w:rPr>
        <w:t>：</w:t>
      </w:r>
      <w:r>
        <w:rPr>
          <w:rFonts w:hint="eastAsia" w:ascii="宋体" w:hAnsi="宋体" w:cs="宋体"/>
          <w:highlight w:val="none"/>
          <w:u w:val="single"/>
        </w:rPr>
        <w:t xml:space="preserve">               （加盖公章）</w:t>
      </w:r>
    </w:p>
    <w:p>
      <w:pPr>
        <w:ind w:firstLine="0" w:firstLineChars="0"/>
        <w:jc w:val="center"/>
        <w:rPr>
          <w:rFonts w:ascii="宋体" w:hAnsi="宋体" w:cs="宋体"/>
          <w:highlight w:val="none"/>
          <w:u w:val="single"/>
        </w:rPr>
      </w:pPr>
      <w:r>
        <w:rPr>
          <w:rFonts w:hint="eastAsia" w:ascii="宋体" w:hAnsi="宋体" w:cs="宋体"/>
          <w:highlight w:val="none"/>
        </w:rPr>
        <w:t>法定代表人或授权代理人：</w:t>
      </w:r>
      <w:r>
        <w:rPr>
          <w:rFonts w:hint="eastAsia" w:ascii="宋体" w:hAnsi="宋体" w:cs="宋体"/>
          <w:highlight w:val="none"/>
          <w:u w:val="single"/>
        </w:rPr>
        <w:t xml:space="preserve">   （签字）</w:t>
      </w:r>
    </w:p>
    <w:p>
      <w:pPr>
        <w:ind w:firstLine="0" w:firstLineChars="0"/>
        <w:jc w:val="center"/>
        <w:rPr>
          <w:rFonts w:ascii="宋体" w:hAnsi="宋体" w:cs="宋体"/>
          <w:highlight w:val="none"/>
          <w:u w:val="single"/>
        </w:rPr>
      </w:pPr>
      <w:r>
        <w:rPr>
          <w:rFonts w:hint="eastAsia" w:ascii="宋体" w:hAnsi="宋体" w:cs="宋体"/>
          <w:highlight w:val="none"/>
        </w:rPr>
        <w:t>日期：</w:t>
      </w:r>
      <w:r>
        <w:rPr>
          <w:rFonts w:hint="eastAsia" w:ascii="宋体" w:hAnsi="宋体" w:cs="宋体"/>
          <w:highlight w:val="none"/>
          <w:u w:val="single"/>
        </w:rPr>
        <w:t xml:space="preserve">        </w:t>
      </w:r>
      <w:r>
        <w:rPr>
          <w:rFonts w:hint="eastAsia" w:ascii="宋体" w:hAnsi="宋体" w:cs="宋体"/>
          <w:highlight w:val="none"/>
        </w:rPr>
        <w:t>年</w:t>
      </w:r>
      <w:r>
        <w:rPr>
          <w:rFonts w:hint="eastAsia" w:ascii="宋体" w:hAnsi="宋体" w:cs="宋体"/>
          <w:highlight w:val="none"/>
          <w:u w:val="single"/>
        </w:rPr>
        <w:t xml:space="preserve">      </w:t>
      </w:r>
      <w:r>
        <w:rPr>
          <w:rFonts w:hint="eastAsia" w:ascii="宋体" w:hAnsi="宋体" w:cs="宋体"/>
          <w:highlight w:val="none"/>
        </w:rPr>
        <w:t>月</w:t>
      </w:r>
      <w:r>
        <w:rPr>
          <w:rFonts w:hint="eastAsia" w:ascii="宋体" w:hAnsi="宋体" w:cs="宋体"/>
          <w:highlight w:val="none"/>
          <w:u w:val="single"/>
        </w:rPr>
        <w:t xml:space="preserve">      </w:t>
      </w:r>
      <w:r>
        <w:rPr>
          <w:rFonts w:hint="eastAsia" w:ascii="宋体" w:hAnsi="宋体" w:cs="宋体"/>
          <w:highlight w:val="none"/>
        </w:rPr>
        <w:t>日</w:t>
      </w:r>
    </w:p>
    <w:p>
      <w:pPr>
        <w:pStyle w:val="5"/>
        <w:ind w:firstLine="482"/>
        <w:jc w:val="center"/>
        <w:rPr>
          <w:highlight w:val="none"/>
        </w:rPr>
      </w:pPr>
      <w:r>
        <w:rPr>
          <w:rFonts w:hint="eastAsia"/>
          <w:highlight w:val="none"/>
        </w:rPr>
        <w:t>目录</w:t>
      </w:r>
    </w:p>
    <w:p>
      <w:pPr>
        <w:widowControl/>
        <w:numPr>
          <w:ilvl w:val="0"/>
          <w:numId w:val="3"/>
        </w:numPr>
        <w:ind w:firstLine="480"/>
        <w:jc w:val="left"/>
        <w:rPr>
          <w:highlight w:val="none"/>
        </w:rPr>
      </w:pPr>
      <w:r>
        <w:rPr>
          <w:rFonts w:hint="eastAsia"/>
          <w:highlight w:val="none"/>
        </w:rPr>
        <w:t>商务和技术偏离表</w:t>
      </w:r>
    </w:p>
    <w:p>
      <w:pPr>
        <w:widowControl/>
        <w:ind w:firstLine="480"/>
        <w:jc w:val="left"/>
        <w:rPr>
          <w:rFonts w:hint="default" w:eastAsia="宋体"/>
          <w:highlight w:val="none"/>
          <w:lang w:val="en-US" w:eastAsia="zh-CN"/>
        </w:rPr>
      </w:pPr>
      <w:r>
        <w:rPr>
          <w:highlight w:val="none"/>
        </w:rPr>
        <w:t>2</w:t>
      </w:r>
      <w:r>
        <w:rPr>
          <w:rFonts w:hint="eastAsia"/>
          <w:highlight w:val="none"/>
        </w:rPr>
        <w:t>、</w:t>
      </w:r>
      <w:r>
        <w:rPr>
          <w:rFonts w:hint="eastAsia"/>
          <w:highlight w:val="none"/>
          <w:lang w:val="en-US" w:eastAsia="zh-CN"/>
        </w:rPr>
        <w:t>商务部分</w:t>
      </w:r>
    </w:p>
    <w:p>
      <w:pPr>
        <w:widowControl/>
        <w:ind w:firstLine="480"/>
        <w:jc w:val="left"/>
        <w:rPr>
          <w:rFonts w:hint="default" w:eastAsia="宋体"/>
          <w:highlight w:val="none"/>
          <w:lang w:val="en-US" w:eastAsia="zh-CN"/>
        </w:rPr>
      </w:pPr>
      <w:r>
        <w:rPr>
          <w:rFonts w:hint="eastAsia"/>
          <w:color w:val="000000" w:themeColor="text1"/>
          <w:highlight w:val="none"/>
          <w14:textFill>
            <w14:solidFill>
              <w14:schemeClr w14:val="tx1"/>
            </w14:solidFill>
          </w14:textFill>
        </w:rPr>
        <w:t>3、</w:t>
      </w:r>
      <w:r>
        <w:rPr>
          <w:rFonts w:hint="eastAsia"/>
          <w:color w:val="000000" w:themeColor="text1"/>
          <w:highlight w:val="none"/>
          <w:lang w:val="en-US" w:eastAsia="zh-CN"/>
          <w14:textFill>
            <w14:solidFill>
              <w14:schemeClr w14:val="tx1"/>
            </w14:solidFill>
          </w14:textFill>
        </w:rPr>
        <w:t>技术部分</w:t>
      </w:r>
    </w:p>
    <w:p>
      <w:pPr>
        <w:widowControl/>
        <w:spacing w:line="240" w:lineRule="auto"/>
        <w:ind w:firstLine="0" w:firstLineChars="0"/>
        <w:jc w:val="left"/>
        <w:rPr>
          <w:highlight w:val="none"/>
        </w:rPr>
      </w:pPr>
    </w:p>
    <w:p>
      <w:pPr>
        <w:widowControl/>
        <w:spacing w:line="240" w:lineRule="auto"/>
        <w:ind w:firstLine="0" w:firstLineChars="0"/>
        <w:jc w:val="center"/>
        <w:rPr>
          <w:rFonts w:cstheme="majorBidi"/>
          <w:b/>
          <w:bCs/>
          <w:szCs w:val="32"/>
          <w:highlight w:val="none"/>
        </w:rPr>
      </w:pPr>
    </w:p>
    <w:p>
      <w:pPr>
        <w:widowControl/>
        <w:spacing w:line="240" w:lineRule="auto"/>
        <w:ind w:firstLine="0" w:firstLineChars="0"/>
        <w:jc w:val="center"/>
        <w:rPr>
          <w:rFonts w:cstheme="majorBidi"/>
          <w:b/>
          <w:bCs/>
          <w:szCs w:val="32"/>
          <w:highlight w:val="none"/>
        </w:rPr>
      </w:pPr>
    </w:p>
    <w:p>
      <w:pPr>
        <w:widowControl/>
        <w:spacing w:line="240" w:lineRule="auto"/>
        <w:ind w:firstLine="0" w:firstLineChars="0"/>
        <w:jc w:val="center"/>
        <w:rPr>
          <w:rFonts w:cstheme="majorBidi"/>
          <w:b/>
          <w:bCs/>
          <w:szCs w:val="32"/>
          <w:highlight w:val="none"/>
        </w:rPr>
      </w:pPr>
    </w:p>
    <w:p>
      <w:pPr>
        <w:widowControl/>
        <w:spacing w:line="240" w:lineRule="auto"/>
        <w:ind w:firstLine="0" w:firstLineChars="0"/>
        <w:jc w:val="center"/>
        <w:rPr>
          <w:rFonts w:cstheme="majorBidi"/>
          <w:b/>
          <w:bCs/>
          <w:szCs w:val="32"/>
          <w:highlight w:val="none"/>
        </w:rPr>
      </w:pPr>
    </w:p>
    <w:p>
      <w:pPr>
        <w:widowControl/>
        <w:spacing w:line="240" w:lineRule="auto"/>
        <w:ind w:firstLine="0" w:firstLineChars="0"/>
        <w:jc w:val="center"/>
        <w:rPr>
          <w:rFonts w:cstheme="majorBidi"/>
          <w:b/>
          <w:bCs/>
          <w:szCs w:val="32"/>
          <w:highlight w:val="none"/>
        </w:rPr>
      </w:pPr>
    </w:p>
    <w:p>
      <w:pPr>
        <w:widowControl/>
        <w:spacing w:line="240" w:lineRule="auto"/>
        <w:ind w:firstLine="0" w:firstLineChars="0"/>
        <w:jc w:val="center"/>
        <w:rPr>
          <w:rFonts w:cstheme="majorBidi"/>
          <w:b/>
          <w:bCs/>
          <w:szCs w:val="32"/>
          <w:highlight w:val="none"/>
        </w:rPr>
      </w:pPr>
    </w:p>
    <w:p>
      <w:pPr>
        <w:widowControl/>
        <w:spacing w:line="240" w:lineRule="auto"/>
        <w:ind w:firstLine="0" w:firstLineChars="0"/>
        <w:jc w:val="center"/>
        <w:rPr>
          <w:rFonts w:cstheme="majorBidi"/>
          <w:b/>
          <w:bCs/>
          <w:szCs w:val="32"/>
          <w:highlight w:val="none"/>
        </w:rPr>
      </w:pPr>
    </w:p>
    <w:p>
      <w:pPr>
        <w:widowControl/>
        <w:spacing w:line="240" w:lineRule="auto"/>
        <w:ind w:firstLine="0" w:firstLineChars="0"/>
        <w:jc w:val="center"/>
        <w:rPr>
          <w:rFonts w:cstheme="majorBidi"/>
          <w:b/>
          <w:bCs/>
          <w:szCs w:val="32"/>
          <w:highlight w:val="none"/>
        </w:rPr>
      </w:pPr>
    </w:p>
    <w:p>
      <w:pPr>
        <w:widowControl/>
        <w:spacing w:line="240" w:lineRule="auto"/>
        <w:ind w:firstLine="0" w:firstLineChars="0"/>
        <w:jc w:val="center"/>
        <w:rPr>
          <w:rFonts w:cstheme="majorBidi"/>
          <w:b/>
          <w:bCs/>
          <w:szCs w:val="32"/>
          <w:highlight w:val="none"/>
        </w:rPr>
      </w:pPr>
    </w:p>
    <w:p>
      <w:pPr>
        <w:widowControl/>
        <w:spacing w:line="240" w:lineRule="auto"/>
        <w:ind w:firstLine="0" w:firstLineChars="0"/>
        <w:jc w:val="center"/>
        <w:rPr>
          <w:rFonts w:cstheme="majorBidi"/>
          <w:b/>
          <w:bCs/>
          <w:szCs w:val="32"/>
          <w:highlight w:val="none"/>
        </w:rPr>
      </w:pPr>
    </w:p>
    <w:p>
      <w:pPr>
        <w:widowControl/>
        <w:spacing w:line="240" w:lineRule="auto"/>
        <w:ind w:firstLine="0" w:firstLineChars="0"/>
        <w:jc w:val="center"/>
        <w:rPr>
          <w:rFonts w:cstheme="majorBidi"/>
          <w:b/>
          <w:bCs/>
          <w:szCs w:val="32"/>
          <w:highlight w:val="none"/>
        </w:rPr>
      </w:pPr>
    </w:p>
    <w:p>
      <w:pPr>
        <w:widowControl/>
        <w:spacing w:line="240" w:lineRule="auto"/>
        <w:ind w:firstLine="0" w:firstLineChars="0"/>
        <w:jc w:val="center"/>
        <w:rPr>
          <w:rFonts w:cstheme="majorBidi"/>
          <w:b/>
          <w:bCs/>
          <w:szCs w:val="32"/>
          <w:highlight w:val="none"/>
        </w:rPr>
      </w:pPr>
    </w:p>
    <w:p>
      <w:pPr>
        <w:widowControl/>
        <w:spacing w:line="240" w:lineRule="auto"/>
        <w:ind w:firstLine="0" w:firstLineChars="0"/>
        <w:jc w:val="center"/>
        <w:rPr>
          <w:rFonts w:cstheme="majorBidi"/>
          <w:b/>
          <w:bCs/>
          <w:szCs w:val="32"/>
          <w:highlight w:val="none"/>
        </w:rPr>
      </w:pPr>
    </w:p>
    <w:p>
      <w:pPr>
        <w:widowControl/>
        <w:spacing w:line="240" w:lineRule="auto"/>
        <w:ind w:firstLine="0" w:firstLineChars="0"/>
        <w:jc w:val="center"/>
        <w:rPr>
          <w:rFonts w:cstheme="majorBidi"/>
          <w:b/>
          <w:bCs/>
          <w:szCs w:val="32"/>
          <w:highlight w:val="none"/>
        </w:rPr>
      </w:pPr>
    </w:p>
    <w:p>
      <w:pPr>
        <w:widowControl/>
        <w:spacing w:line="240" w:lineRule="auto"/>
        <w:ind w:firstLine="0" w:firstLineChars="0"/>
        <w:jc w:val="center"/>
        <w:rPr>
          <w:rFonts w:cstheme="majorBidi"/>
          <w:b/>
          <w:bCs/>
          <w:szCs w:val="32"/>
          <w:highlight w:val="none"/>
        </w:rPr>
      </w:pPr>
    </w:p>
    <w:p>
      <w:pPr>
        <w:widowControl/>
        <w:spacing w:line="240" w:lineRule="auto"/>
        <w:ind w:firstLine="0" w:firstLineChars="0"/>
        <w:jc w:val="center"/>
        <w:rPr>
          <w:rFonts w:cstheme="majorBidi"/>
          <w:b/>
          <w:bCs/>
          <w:szCs w:val="32"/>
          <w:highlight w:val="none"/>
        </w:rPr>
      </w:pPr>
    </w:p>
    <w:p>
      <w:pPr>
        <w:widowControl/>
        <w:spacing w:line="240" w:lineRule="auto"/>
        <w:ind w:firstLine="0" w:firstLineChars="0"/>
        <w:jc w:val="center"/>
        <w:rPr>
          <w:rFonts w:cstheme="majorBidi"/>
          <w:b/>
          <w:bCs/>
          <w:szCs w:val="32"/>
          <w:highlight w:val="none"/>
        </w:rPr>
      </w:pPr>
    </w:p>
    <w:p>
      <w:pPr>
        <w:widowControl/>
        <w:spacing w:line="240" w:lineRule="auto"/>
        <w:ind w:firstLine="0" w:firstLineChars="0"/>
        <w:jc w:val="center"/>
        <w:rPr>
          <w:rFonts w:cstheme="majorBidi"/>
          <w:b/>
          <w:bCs/>
          <w:szCs w:val="32"/>
          <w:highlight w:val="none"/>
        </w:rPr>
      </w:pPr>
    </w:p>
    <w:p>
      <w:pPr>
        <w:widowControl/>
        <w:spacing w:line="240" w:lineRule="auto"/>
        <w:ind w:firstLine="0" w:firstLineChars="0"/>
        <w:jc w:val="center"/>
        <w:rPr>
          <w:rFonts w:cstheme="majorBidi"/>
          <w:b/>
          <w:bCs/>
          <w:szCs w:val="32"/>
          <w:highlight w:val="none"/>
        </w:rPr>
      </w:pPr>
    </w:p>
    <w:p>
      <w:pPr>
        <w:widowControl/>
        <w:spacing w:line="240" w:lineRule="auto"/>
        <w:ind w:firstLine="0" w:firstLineChars="0"/>
        <w:jc w:val="center"/>
        <w:rPr>
          <w:rFonts w:cstheme="majorBidi"/>
          <w:b/>
          <w:bCs/>
          <w:szCs w:val="32"/>
          <w:highlight w:val="none"/>
        </w:rPr>
      </w:pPr>
    </w:p>
    <w:p>
      <w:pPr>
        <w:widowControl/>
        <w:spacing w:line="240" w:lineRule="auto"/>
        <w:ind w:firstLine="0" w:firstLineChars="0"/>
        <w:jc w:val="center"/>
        <w:rPr>
          <w:rFonts w:cstheme="majorBidi"/>
          <w:b/>
          <w:bCs/>
          <w:szCs w:val="32"/>
          <w:highlight w:val="none"/>
        </w:rPr>
      </w:pPr>
    </w:p>
    <w:p>
      <w:pPr>
        <w:widowControl/>
        <w:spacing w:line="240" w:lineRule="auto"/>
        <w:ind w:firstLine="0" w:firstLineChars="0"/>
        <w:jc w:val="center"/>
        <w:rPr>
          <w:rFonts w:cstheme="majorBidi"/>
          <w:b/>
          <w:bCs/>
          <w:szCs w:val="32"/>
          <w:highlight w:val="none"/>
        </w:rPr>
      </w:pPr>
    </w:p>
    <w:p>
      <w:pPr>
        <w:widowControl/>
        <w:spacing w:line="240" w:lineRule="auto"/>
        <w:ind w:firstLine="0" w:firstLineChars="0"/>
        <w:jc w:val="center"/>
        <w:rPr>
          <w:rFonts w:cstheme="majorBidi"/>
          <w:b/>
          <w:bCs/>
          <w:szCs w:val="32"/>
          <w:highlight w:val="none"/>
        </w:rPr>
      </w:pPr>
    </w:p>
    <w:p>
      <w:pPr>
        <w:widowControl/>
        <w:spacing w:line="240" w:lineRule="auto"/>
        <w:ind w:firstLine="0" w:firstLineChars="0"/>
        <w:jc w:val="center"/>
        <w:rPr>
          <w:rFonts w:cstheme="majorBidi"/>
          <w:b/>
          <w:bCs/>
          <w:szCs w:val="32"/>
          <w:highlight w:val="none"/>
        </w:rPr>
      </w:pPr>
    </w:p>
    <w:p>
      <w:pPr>
        <w:widowControl/>
        <w:spacing w:line="240" w:lineRule="auto"/>
        <w:ind w:firstLine="0" w:firstLineChars="0"/>
        <w:jc w:val="center"/>
        <w:rPr>
          <w:rFonts w:cstheme="majorBidi"/>
          <w:b/>
          <w:bCs/>
          <w:szCs w:val="32"/>
          <w:highlight w:val="none"/>
        </w:rPr>
      </w:pPr>
    </w:p>
    <w:p>
      <w:pPr>
        <w:widowControl/>
        <w:spacing w:line="240" w:lineRule="auto"/>
        <w:ind w:firstLine="0" w:firstLineChars="0"/>
        <w:jc w:val="center"/>
        <w:rPr>
          <w:rFonts w:cstheme="majorBidi"/>
          <w:b/>
          <w:bCs/>
          <w:szCs w:val="32"/>
          <w:highlight w:val="none"/>
        </w:rPr>
      </w:pPr>
    </w:p>
    <w:p>
      <w:pPr>
        <w:widowControl/>
        <w:spacing w:line="240" w:lineRule="auto"/>
        <w:ind w:firstLine="0" w:firstLineChars="0"/>
        <w:jc w:val="center"/>
        <w:rPr>
          <w:rFonts w:cstheme="majorBidi"/>
          <w:b/>
          <w:bCs/>
          <w:szCs w:val="32"/>
          <w:highlight w:val="none"/>
        </w:rPr>
      </w:pPr>
    </w:p>
    <w:p>
      <w:pPr>
        <w:widowControl/>
        <w:spacing w:line="240" w:lineRule="auto"/>
        <w:ind w:firstLine="0" w:firstLineChars="0"/>
        <w:jc w:val="center"/>
        <w:rPr>
          <w:rFonts w:cstheme="majorBidi"/>
          <w:b/>
          <w:bCs/>
          <w:szCs w:val="32"/>
          <w:highlight w:val="none"/>
        </w:rPr>
      </w:pPr>
    </w:p>
    <w:p>
      <w:pPr>
        <w:widowControl/>
        <w:spacing w:line="240" w:lineRule="auto"/>
        <w:ind w:firstLine="0" w:firstLineChars="0"/>
        <w:jc w:val="left"/>
        <w:rPr>
          <w:b/>
          <w:bCs/>
          <w:szCs w:val="32"/>
          <w:highlight w:val="none"/>
        </w:rPr>
      </w:pPr>
      <w:r>
        <w:rPr>
          <w:highlight w:val="none"/>
        </w:rPr>
        <w:br w:type="page"/>
      </w:r>
    </w:p>
    <w:p>
      <w:pPr>
        <w:pStyle w:val="5"/>
        <w:ind w:firstLine="0" w:firstLineChars="0"/>
        <w:rPr>
          <w:highlight w:val="none"/>
        </w:rPr>
      </w:pPr>
      <w:r>
        <w:rPr>
          <w:rFonts w:hint="eastAsia"/>
          <w:highlight w:val="none"/>
        </w:rPr>
        <w:t>1商务和技术偏离表</w:t>
      </w:r>
    </w:p>
    <w:p>
      <w:pPr>
        <w:widowControl/>
        <w:spacing w:line="240" w:lineRule="auto"/>
        <w:ind w:firstLine="0" w:firstLineChars="0"/>
        <w:jc w:val="center"/>
        <w:rPr>
          <w:rFonts w:cstheme="majorBidi"/>
          <w:b/>
          <w:bCs/>
          <w:szCs w:val="32"/>
          <w:highlight w:val="none"/>
        </w:rPr>
      </w:pPr>
      <w:r>
        <w:rPr>
          <w:rFonts w:hint="eastAsia" w:cstheme="majorBidi"/>
          <w:b/>
          <w:bCs/>
          <w:szCs w:val="32"/>
          <w:highlight w:val="none"/>
        </w:rPr>
        <w:t>商务和技术偏离表</w:t>
      </w:r>
    </w:p>
    <w:p>
      <w:pPr>
        <w:ind w:firstLine="0" w:firstLineChars="0"/>
        <w:rPr>
          <w:rFonts w:hint="eastAsia" w:eastAsia="宋体" w:cstheme="majorBidi"/>
          <w:szCs w:val="32"/>
          <w:highlight w:val="none"/>
          <w:u w:val="single"/>
          <w:lang w:eastAsia="zh-CN"/>
        </w:rPr>
      </w:pPr>
      <w:r>
        <w:rPr>
          <w:rFonts w:hint="eastAsia" w:cstheme="majorBidi"/>
          <w:szCs w:val="32"/>
          <w:highlight w:val="none"/>
        </w:rPr>
        <w:t>项目名称：</w:t>
      </w:r>
      <w:r>
        <w:rPr>
          <w:rFonts w:hint="eastAsia" w:cstheme="majorBidi"/>
          <w:szCs w:val="32"/>
          <w:highlight w:val="none"/>
          <w:u w:val="single"/>
          <w:lang w:eastAsia="zh-CN"/>
        </w:rPr>
        <w:t>南通轨道交通集团有限公司运营分公司2026-2029年2号线结构监测委外维保项目</w:t>
      </w:r>
    </w:p>
    <w:p>
      <w:pPr>
        <w:ind w:firstLine="0" w:firstLineChars="0"/>
        <w:rPr>
          <w:rFonts w:cstheme="majorBidi"/>
          <w:szCs w:val="32"/>
          <w:highlight w:val="none"/>
          <w:u w:val="single"/>
        </w:rPr>
      </w:pPr>
      <w:r>
        <w:rPr>
          <w:rFonts w:hint="eastAsia" w:cstheme="majorBidi"/>
          <w:szCs w:val="32"/>
          <w:highlight w:val="none"/>
          <w:u w:val="single"/>
        </w:rPr>
        <w:t>（项目编号：</w:t>
      </w:r>
      <w:r>
        <w:rPr>
          <w:rFonts w:hint="eastAsia" w:cstheme="majorBidi"/>
          <w:szCs w:val="32"/>
          <w:highlight w:val="none"/>
          <w:u w:val="single"/>
          <w:lang w:eastAsia="zh-CN"/>
        </w:rPr>
        <w:t>NTGY-2026-FW-ZB-034</w:t>
      </w:r>
      <w:r>
        <w:rPr>
          <w:rFonts w:hint="eastAsia" w:cstheme="majorBidi"/>
          <w:szCs w:val="32"/>
          <w:highlight w:val="none"/>
          <w:u w:val="single"/>
        </w:rPr>
        <w:t>）</w:t>
      </w:r>
    </w:p>
    <w:tbl>
      <w:tblPr>
        <w:tblStyle w:val="26"/>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8"/>
        <w:gridCol w:w="3362"/>
        <w:gridCol w:w="3056"/>
        <w:gridCol w:w="17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5" w:type="pct"/>
            <w:vAlign w:val="center"/>
          </w:tcPr>
          <w:p>
            <w:pPr>
              <w:ind w:firstLine="0" w:firstLineChars="0"/>
              <w:jc w:val="center"/>
              <w:rPr>
                <w:rFonts w:ascii="宋体" w:hAnsi="宋体"/>
                <w:sz w:val="24"/>
                <w:szCs w:val="24"/>
                <w:highlight w:val="none"/>
              </w:rPr>
            </w:pPr>
            <w:r>
              <w:rPr>
                <w:rFonts w:hint="eastAsia" w:ascii="宋体" w:hAnsi="宋体"/>
                <w:sz w:val="24"/>
                <w:szCs w:val="24"/>
                <w:highlight w:val="none"/>
              </w:rPr>
              <w:t>序号</w:t>
            </w:r>
          </w:p>
        </w:tc>
        <w:tc>
          <w:tcPr>
            <w:tcW w:w="1879" w:type="pct"/>
            <w:vAlign w:val="center"/>
          </w:tcPr>
          <w:p>
            <w:pPr>
              <w:ind w:firstLine="0" w:firstLineChars="0"/>
              <w:jc w:val="center"/>
              <w:rPr>
                <w:rFonts w:ascii="宋体" w:hAnsi="宋体"/>
                <w:sz w:val="24"/>
                <w:szCs w:val="24"/>
                <w:highlight w:val="none"/>
              </w:rPr>
            </w:pPr>
            <w:r>
              <w:rPr>
                <w:rFonts w:hint="eastAsia" w:ascii="宋体" w:hAnsi="宋体" w:cstheme="minorEastAsia"/>
                <w:bCs/>
                <w:color w:val="000000"/>
                <w:kern w:val="0"/>
                <w:sz w:val="24"/>
                <w:szCs w:val="24"/>
                <w:highlight w:val="none"/>
                <w:lang w:eastAsia="zh-CN"/>
              </w:rPr>
              <w:t>招标文件</w:t>
            </w:r>
            <w:r>
              <w:rPr>
                <w:rFonts w:hint="eastAsia" w:ascii="宋体" w:hAnsi="宋体" w:cstheme="minorEastAsia"/>
                <w:bCs/>
                <w:color w:val="000000"/>
                <w:kern w:val="0"/>
                <w:sz w:val="24"/>
                <w:szCs w:val="24"/>
                <w:highlight w:val="none"/>
              </w:rPr>
              <w:t>章节及条款号</w:t>
            </w:r>
          </w:p>
        </w:tc>
        <w:tc>
          <w:tcPr>
            <w:tcW w:w="1708" w:type="pct"/>
            <w:vAlign w:val="center"/>
          </w:tcPr>
          <w:p>
            <w:pPr>
              <w:ind w:firstLine="0" w:firstLineChars="0"/>
              <w:jc w:val="center"/>
              <w:rPr>
                <w:rFonts w:ascii="宋体" w:hAnsi="宋体"/>
                <w:sz w:val="24"/>
                <w:szCs w:val="24"/>
                <w:highlight w:val="none"/>
              </w:rPr>
            </w:pPr>
            <w:r>
              <w:rPr>
                <w:rFonts w:hint="eastAsia" w:ascii="宋体" w:hAnsi="宋体" w:cstheme="minorEastAsia"/>
                <w:bCs/>
                <w:color w:val="000000"/>
                <w:kern w:val="0"/>
                <w:sz w:val="24"/>
                <w:szCs w:val="24"/>
                <w:highlight w:val="none"/>
                <w:lang w:eastAsia="zh-CN"/>
              </w:rPr>
              <w:t>投标文件</w:t>
            </w:r>
            <w:r>
              <w:rPr>
                <w:rFonts w:hint="eastAsia" w:ascii="宋体" w:hAnsi="宋体" w:cstheme="minorEastAsia"/>
                <w:bCs/>
                <w:color w:val="000000"/>
                <w:kern w:val="0"/>
                <w:sz w:val="24"/>
                <w:szCs w:val="24"/>
                <w:highlight w:val="none"/>
              </w:rPr>
              <w:t>章节及条款号</w:t>
            </w:r>
          </w:p>
        </w:tc>
        <w:tc>
          <w:tcPr>
            <w:tcW w:w="977" w:type="pct"/>
            <w:vAlign w:val="center"/>
          </w:tcPr>
          <w:p>
            <w:pPr>
              <w:ind w:firstLine="0" w:firstLineChars="0"/>
              <w:jc w:val="center"/>
              <w:rPr>
                <w:rFonts w:ascii="宋体" w:hAnsi="宋体"/>
                <w:sz w:val="24"/>
                <w:szCs w:val="24"/>
                <w:highlight w:val="none"/>
              </w:rPr>
            </w:pPr>
            <w:r>
              <w:rPr>
                <w:rFonts w:hint="eastAsia" w:ascii="宋体" w:hAnsi="宋体" w:cstheme="minorEastAsia"/>
                <w:bCs/>
                <w:color w:val="000000"/>
                <w:kern w:val="0"/>
                <w:sz w:val="24"/>
                <w:szCs w:val="24"/>
                <w:highlight w:val="none"/>
              </w:rPr>
              <w:t>偏差说明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5" w:type="pct"/>
          </w:tcPr>
          <w:p>
            <w:pPr>
              <w:ind w:firstLine="0" w:firstLineChars="0"/>
              <w:jc w:val="center"/>
              <w:rPr>
                <w:rFonts w:cstheme="majorBidi"/>
                <w:sz w:val="24"/>
                <w:szCs w:val="24"/>
                <w:highlight w:val="none"/>
              </w:rPr>
            </w:pPr>
            <w:r>
              <w:rPr>
                <w:rFonts w:hint="eastAsia" w:cstheme="majorBidi"/>
                <w:sz w:val="24"/>
                <w:szCs w:val="24"/>
                <w:highlight w:val="none"/>
              </w:rPr>
              <w:t>1</w:t>
            </w:r>
          </w:p>
        </w:tc>
        <w:tc>
          <w:tcPr>
            <w:tcW w:w="1879" w:type="pct"/>
          </w:tcPr>
          <w:p>
            <w:pPr>
              <w:ind w:firstLine="0" w:firstLineChars="0"/>
              <w:rPr>
                <w:rFonts w:cstheme="majorBidi"/>
                <w:sz w:val="24"/>
                <w:szCs w:val="24"/>
                <w:highlight w:val="none"/>
              </w:rPr>
            </w:pPr>
          </w:p>
        </w:tc>
        <w:tc>
          <w:tcPr>
            <w:tcW w:w="1708" w:type="pct"/>
          </w:tcPr>
          <w:p>
            <w:pPr>
              <w:ind w:firstLine="0" w:firstLineChars="0"/>
              <w:rPr>
                <w:rFonts w:cstheme="majorBidi"/>
                <w:sz w:val="24"/>
                <w:szCs w:val="24"/>
                <w:highlight w:val="none"/>
              </w:rPr>
            </w:pPr>
          </w:p>
        </w:tc>
        <w:tc>
          <w:tcPr>
            <w:tcW w:w="977" w:type="pct"/>
          </w:tcPr>
          <w:p>
            <w:pPr>
              <w:ind w:firstLine="0" w:firstLineChars="0"/>
              <w:rPr>
                <w:rFonts w:cstheme="majorBidi"/>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5" w:type="pct"/>
          </w:tcPr>
          <w:p>
            <w:pPr>
              <w:ind w:firstLine="0" w:firstLineChars="0"/>
              <w:jc w:val="center"/>
              <w:rPr>
                <w:rFonts w:cstheme="majorBidi"/>
                <w:sz w:val="24"/>
                <w:szCs w:val="24"/>
                <w:highlight w:val="none"/>
              </w:rPr>
            </w:pPr>
            <w:r>
              <w:rPr>
                <w:rFonts w:hint="eastAsia" w:cstheme="majorBidi"/>
                <w:sz w:val="24"/>
                <w:szCs w:val="24"/>
                <w:highlight w:val="none"/>
              </w:rPr>
              <w:t>2</w:t>
            </w:r>
          </w:p>
        </w:tc>
        <w:tc>
          <w:tcPr>
            <w:tcW w:w="1879" w:type="pct"/>
          </w:tcPr>
          <w:p>
            <w:pPr>
              <w:ind w:firstLine="0" w:firstLineChars="0"/>
              <w:rPr>
                <w:rFonts w:cstheme="majorBidi"/>
                <w:sz w:val="24"/>
                <w:szCs w:val="24"/>
                <w:highlight w:val="none"/>
              </w:rPr>
            </w:pPr>
          </w:p>
        </w:tc>
        <w:tc>
          <w:tcPr>
            <w:tcW w:w="1708" w:type="pct"/>
          </w:tcPr>
          <w:p>
            <w:pPr>
              <w:ind w:firstLine="0" w:firstLineChars="0"/>
              <w:rPr>
                <w:rFonts w:cstheme="majorBidi"/>
                <w:sz w:val="24"/>
                <w:szCs w:val="24"/>
                <w:highlight w:val="none"/>
              </w:rPr>
            </w:pPr>
          </w:p>
        </w:tc>
        <w:tc>
          <w:tcPr>
            <w:tcW w:w="977" w:type="pct"/>
          </w:tcPr>
          <w:p>
            <w:pPr>
              <w:ind w:firstLine="0" w:firstLineChars="0"/>
              <w:rPr>
                <w:rFonts w:cstheme="majorBidi"/>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5" w:type="pct"/>
          </w:tcPr>
          <w:p>
            <w:pPr>
              <w:ind w:firstLine="0" w:firstLineChars="0"/>
              <w:jc w:val="center"/>
              <w:rPr>
                <w:rFonts w:cstheme="majorBidi"/>
                <w:sz w:val="24"/>
                <w:szCs w:val="24"/>
                <w:highlight w:val="none"/>
              </w:rPr>
            </w:pPr>
            <w:r>
              <w:rPr>
                <w:rFonts w:hint="eastAsia" w:cstheme="majorBidi"/>
                <w:sz w:val="24"/>
                <w:szCs w:val="24"/>
                <w:highlight w:val="none"/>
              </w:rPr>
              <w:t>3</w:t>
            </w:r>
          </w:p>
        </w:tc>
        <w:tc>
          <w:tcPr>
            <w:tcW w:w="1879" w:type="pct"/>
          </w:tcPr>
          <w:p>
            <w:pPr>
              <w:ind w:firstLine="0" w:firstLineChars="0"/>
              <w:rPr>
                <w:rFonts w:cstheme="majorBidi"/>
                <w:sz w:val="24"/>
                <w:szCs w:val="24"/>
                <w:highlight w:val="none"/>
              </w:rPr>
            </w:pPr>
          </w:p>
        </w:tc>
        <w:tc>
          <w:tcPr>
            <w:tcW w:w="1708" w:type="pct"/>
          </w:tcPr>
          <w:p>
            <w:pPr>
              <w:ind w:firstLine="0" w:firstLineChars="0"/>
              <w:rPr>
                <w:rFonts w:cstheme="majorBidi"/>
                <w:sz w:val="24"/>
                <w:szCs w:val="24"/>
                <w:highlight w:val="none"/>
              </w:rPr>
            </w:pPr>
          </w:p>
        </w:tc>
        <w:tc>
          <w:tcPr>
            <w:tcW w:w="977" w:type="pct"/>
          </w:tcPr>
          <w:p>
            <w:pPr>
              <w:ind w:firstLine="0" w:firstLineChars="0"/>
              <w:rPr>
                <w:rFonts w:cstheme="majorBidi"/>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5" w:type="pct"/>
          </w:tcPr>
          <w:p>
            <w:pPr>
              <w:ind w:firstLine="0" w:firstLineChars="0"/>
              <w:jc w:val="center"/>
              <w:rPr>
                <w:rFonts w:cstheme="majorBidi"/>
                <w:sz w:val="24"/>
                <w:szCs w:val="24"/>
                <w:highlight w:val="none"/>
              </w:rPr>
            </w:pPr>
            <w:r>
              <w:rPr>
                <w:rFonts w:cstheme="majorBidi"/>
                <w:sz w:val="24"/>
                <w:szCs w:val="24"/>
                <w:highlight w:val="none"/>
              </w:rPr>
              <w:t>…</w:t>
            </w:r>
          </w:p>
        </w:tc>
        <w:tc>
          <w:tcPr>
            <w:tcW w:w="1879" w:type="pct"/>
          </w:tcPr>
          <w:p>
            <w:pPr>
              <w:ind w:firstLine="0" w:firstLineChars="0"/>
              <w:rPr>
                <w:rFonts w:cstheme="majorBidi"/>
                <w:sz w:val="24"/>
                <w:szCs w:val="24"/>
                <w:highlight w:val="none"/>
              </w:rPr>
            </w:pPr>
          </w:p>
        </w:tc>
        <w:tc>
          <w:tcPr>
            <w:tcW w:w="1708" w:type="pct"/>
          </w:tcPr>
          <w:p>
            <w:pPr>
              <w:ind w:firstLine="0" w:firstLineChars="0"/>
              <w:rPr>
                <w:rFonts w:cstheme="majorBidi"/>
                <w:sz w:val="24"/>
                <w:szCs w:val="24"/>
                <w:highlight w:val="none"/>
              </w:rPr>
            </w:pPr>
          </w:p>
        </w:tc>
        <w:tc>
          <w:tcPr>
            <w:tcW w:w="977" w:type="pct"/>
          </w:tcPr>
          <w:p>
            <w:pPr>
              <w:ind w:firstLine="0" w:firstLineChars="0"/>
              <w:rPr>
                <w:rFonts w:cstheme="majorBidi"/>
                <w:sz w:val="24"/>
                <w:szCs w:val="24"/>
                <w:highlight w:val="none"/>
              </w:rPr>
            </w:pPr>
          </w:p>
        </w:tc>
      </w:tr>
    </w:tbl>
    <w:p>
      <w:pPr>
        <w:ind w:firstLine="480"/>
        <w:rPr>
          <w:rFonts w:cstheme="majorBidi"/>
          <w:szCs w:val="32"/>
          <w:highlight w:val="none"/>
        </w:rPr>
      </w:pPr>
      <w:r>
        <w:rPr>
          <w:rFonts w:hint="eastAsia" w:cstheme="majorBidi"/>
          <w:szCs w:val="32"/>
          <w:highlight w:val="none"/>
        </w:rPr>
        <w:t>注：</w:t>
      </w:r>
    </w:p>
    <w:p>
      <w:pPr>
        <w:ind w:firstLine="480"/>
        <w:rPr>
          <w:rFonts w:cstheme="majorBidi"/>
          <w:b/>
          <w:bCs/>
          <w:szCs w:val="32"/>
          <w:highlight w:val="none"/>
        </w:rPr>
      </w:pPr>
      <w:r>
        <w:rPr>
          <w:rFonts w:hint="eastAsia" w:cstheme="majorBidi"/>
          <w:szCs w:val="32"/>
          <w:highlight w:val="none"/>
        </w:rPr>
        <w:t>1</w:t>
      </w:r>
      <w:r>
        <w:rPr>
          <w:rFonts w:cstheme="majorBidi"/>
          <w:szCs w:val="32"/>
          <w:highlight w:val="none"/>
        </w:rPr>
        <w:t>.</w:t>
      </w:r>
      <w:r>
        <w:rPr>
          <w:rFonts w:hint="eastAsia" w:cstheme="majorBidi"/>
          <w:szCs w:val="32"/>
          <w:highlight w:val="none"/>
        </w:rPr>
        <w:t>本项目不允许负偏离，发生负偏离的</w:t>
      </w:r>
      <w:r>
        <w:rPr>
          <w:rFonts w:hint="eastAsia"/>
          <w:highlight w:val="none"/>
        </w:rPr>
        <w:t>其</w:t>
      </w:r>
      <w:r>
        <w:rPr>
          <w:rFonts w:hint="eastAsia"/>
          <w:highlight w:val="none"/>
          <w:lang w:eastAsia="zh-CN"/>
        </w:rPr>
        <w:t>投标文件</w:t>
      </w:r>
      <w:r>
        <w:rPr>
          <w:rFonts w:hint="eastAsia"/>
          <w:highlight w:val="none"/>
        </w:rPr>
        <w:t>将被视为无效，</w:t>
      </w:r>
      <w:r>
        <w:rPr>
          <w:rFonts w:hint="eastAsia"/>
          <w:b/>
          <w:bCs/>
          <w:highlight w:val="none"/>
        </w:rPr>
        <w:t>没有偏离的则</w:t>
      </w:r>
      <w:r>
        <w:rPr>
          <w:rFonts w:hint="eastAsia"/>
          <w:b/>
          <w:bCs/>
          <w:highlight w:val="none"/>
          <w:lang w:eastAsia="zh-CN"/>
        </w:rPr>
        <w:t>在序号</w:t>
      </w:r>
      <w:r>
        <w:rPr>
          <w:rFonts w:hint="eastAsia"/>
          <w:b/>
          <w:bCs/>
          <w:highlight w:val="none"/>
          <w:lang w:val="en-US" w:eastAsia="zh-CN"/>
        </w:rPr>
        <w:t>1偏差说明</w:t>
      </w:r>
      <w:r>
        <w:rPr>
          <w:rFonts w:hint="eastAsia"/>
          <w:b/>
          <w:bCs/>
          <w:highlight w:val="none"/>
        </w:rPr>
        <w:t>填“无”。</w:t>
      </w:r>
    </w:p>
    <w:p>
      <w:pPr>
        <w:ind w:firstLine="480"/>
        <w:rPr>
          <w:rFonts w:cstheme="majorBidi"/>
          <w:szCs w:val="32"/>
          <w:highlight w:val="none"/>
        </w:rPr>
      </w:pPr>
      <w:r>
        <w:rPr>
          <w:rFonts w:hint="eastAsia" w:cstheme="majorBidi"/>
          <w:szCs w:val="32"/>
          <w:highlight w:val="none"/>
        </w:rPr>
        <w:t>2</w:t>
      </w:r>
      <w:r>
        <w:rPr>
          <w:rFonts w:cstheme="majorBidi"/>
          <w:szCs w:val="32"/>
          <w:highlight w:val="none"/>
        </w:rPr>
        <w:t>.</w:t>
      </w:r>
      <w:r>
        <w:rPr>
          <w:rFonts w:hint="eastAsia" w:cstheme="majorBidi"/>
          <w:szCs w:val="32"/>
          <w:highlight w:val="none"/>
          <w:lang w:eastAsia="zh-CN"/>
        </w:rPr>
        <w:t>投标人</w:t>
      </w:r>
      <w:r>
        <w:rPr>
          <w:rFonts w:hint="eastAsia" w:cstheme="majorBidi"/>
          <w:szCs w:val="32"/>
          <w:highlight w:val="none"/>
        </w:rPr>
        <w:t>承诺：除本表列出的偏差以外，</w:t>
      </w:r>
      <w:r>
        <w:rPr>
          <w:rFonts w:hint="eastAsia" w:cstheme="majorBidi"/>
          <w:szCs w:val="32"/>
          <w:highlight w:val="none"/>
          <w:lang w:eastAsia="zh-CN"/>
        </w:rPr>
        <w:t>投标人</w:t>
      </w:r>
      <w:r>
        <w:rPr>
          <w:rFonts w:hint="eastAsia" w:cstheme="majorBidi"/>
          <w:szCs w:val="32"/>
          <w:highlight w:val="none"/>
        </w:rPr>
        <w:t>响应</w:t>
      </w:r>
      <w:r>
        <w:rPr>
          <w:rFonts w:hint="eastAsia" w:cstheme="majorBidi"/>
          <w:szCs w:val="32"/>
          <w:highlight w:val="none"/>
          <w:lang w:eastAsia="zh-CN"/>
        </w:rPr>
        <w:t>招标文件</w:t>
      </w:r>
      <w:r>
        <w:rPr>
          <w:rFonts w:hint="eastAsia" w:cstheme="majorBidi"/>
          <w:szCs w:val="32"/>
          <w:highlight w:val="none"/>
        </w:rPr>
        <w:t>的全部内容。</w:t>
      </w:r>
    </w:p>
    <w:p>
      <w:pPr>
        <w:ind w:firstLine="480"/>
        <w:jc w:val="right"/>
        <w:rPr>
          <w:highlight w:val="none"/>
        </w:rPr>
      </w:pPr>
    </w:p>
    <w:p>
      <w:pPr>
        <w:ind w:firstLine="480"/>
        <w:jc w:val="right"/>
        <w:rPr>
          <w:highlight w:val="none"/>
        </w:rPr>
      </w:pPr>
    </w:p>
    <w:p>
      <w:pPr>
        <w:ind w:firstLine="480"/>
        <w:jc w:val="right"/>
        <w:rPr>
          <w:highlight w:val="none"/>
        </w:rPr>
      </w:pPr>
    </w:p>
    <w:p>
      <w:pPr>
        <w:ind w:firstLine="480"/>
        <w:jc w:val="right"/>
        <w:rPr>
          <w:highlight w:val="none"/>
        </w:rPr>
      </w:pPr>
      <w:r>
        <w:rPr>
          <w:rFonts w:hint="eastAsia"/>
          <w:highlight w:val="none"/>
          <w:lang w:eastAsia="zh-CN"/>
        </w:rPr>
        <w:t>投标人</w:t>
      </w:r>
      <w:r>
        <w:rPr>
          <w:rFonts w:hint="eastAsia"/>
          <w:highlight w:val="none"/>
        </w:rPr>
        <w:t>：（加盖公章）</w:t>
      </w:r>
    </w:p>
    <w:p>
      <w:pPr>
        <w:ind w:firstLine="480"/>
        <w:jc w:val="right"/>
        <w:rPr>
          <w:highlight w:val="none"/>
        </w:rPr>
      </w:pPr>
      <w:r>
        <w:rPr>
          <w:rFonts w:hint="eastAsia"/>
          <w:highlight w:val="none"/>
        </w:rPr>
        <w:t>法定代表人或授权代理人：（签字或盖章）</w:t>
      </w:r>
    </w:p>
    <w:p>
      <w:pPr>
        <w:ind w:firstLine="480"/>
        <w:jc w:val="right"/>
        <w:rPr>
          <w:highlight w:val="none"/>
        </w:rPr>
      </w:pPr>
      <w:r>
        <w:rPr>
          <w:rFonts w:hint="eastAsia"/>
          <w:highlight w:val="none"/>
        </w:rPr>
        <w:t>　　　年　  月 　 日</w:t>
      </w:r>
    </w:p>
    <w:p>
      <w:pPr>
        <w:pStyle w:val="2"/>
        <w:rPr>
          <w:highlight w:val="none"/>
        </w:rPr>
      </w:pPr>
    </w:p>
    <w:p>
      <w:pPr>
        <w:ind w:firstLine="480"/>
        <w:rPr>
          <w:highlight w:val="none"/>
        </w:rPr>
      </w:pPr>
    </w:p>
    <w:p>
      <w:pPr>
        <w:pStyle w:val="2"/>
        <w:rPr>
          <w:highlight w:val="none"/>
        </w:rPr>
      </w:pPr>
    </w:p>
    <w:p>
      <w:pPr>
        <w:ind w:firstLine="480"/>
        <w:rPr>
          <w:highlight w:val="none"/>
        </w:rPr>
      </w:pPr>
    </w:p>
    <w:p>
      <w:pPr>
        <w:pStyle w:val="2"/>
        <w:rPr>
          <w:highlight w:val="none"/>
        </w:rPr>
      </w:pPr>
    </w:p>
    <w:p>
      <w:pPr>
        <w:ind w:firstLine="480"/>
        <w:rPr>
          <w:highlight w:val="none"/>
        </w:rPr>
      </w:pPr>
    </w:p>
    <w:p>
      <w:pPr>
        <w:widowControl/>
        <w:spacing w:line="240" w:lineRule="auto"/>
        <w:ind w:firstLine="0" w:firstLineChars="0"/>
        <w:jc w:val="left"/>
        <w:rPr>
          <w:b/>
          <w:bCs/>
          <w:szCs w:val="32"/>
          <w:highlight w:val="none"/>
        </w:rPr>
      </w:pPr>
      <w:r>
        <w:rPr>
          <w:highlight w:val="none"/>
        </w:rPr>
        <w:br w:type="page"/>
      </w:r>
    </w:p>
    <w:p>
      <w:pPr>
        <w:pStyle w:val="5"/>
        <w:ind w:firstLine="0" w:firstLineChars="0"/>
        <w:rPr>
          <w:rFonts w:hint="default" w:eastAsia="宋体"/>
          <w:highlight w:val="none"/>
          <w:lang w:val="en-US" w:eastAsia="zh-CN"/>
        </w:rPr>
      </w:pPr>
      <w:r>
        <w:rPr>
          <w:highlight w:val="none"/>
        </w:rPr>
        <w:t>2</w:t>
      </w:r>
      <w:r>
        <w:rPr>
          <w:rFonts w:hint="eastAsia"/>
          <w:highlight w:val="none"/>
          <w:lang w:val="en-US" w:eastAsia="zh-CN"/>
        </w:rPr>
        <w:t>商务部分</w:t>
      </w:r>
    </w:p>
    <w:p>
      <w:pPr>
        <w:ind w:firstLine="0" w:firstLineChars="0"/>
        <w:jc w:val="center"/>
        <w:rPr>
          <w:b/>
          <w:highlight w:val="none"/>
        </w:rPr>
      </w:pPr>
      <w:bookmarkStart w:id="265" w:name="_Toc218710269"/>
      <w:r>
        <w:rPr>
          <w:rFonts w:hint="eastAsia"/>
          <w:b/>
          <w:highlight w:val="none"/>
          <w:lang w:val="en-US" w:eastAsia="zh-CN"/>
        </w:rPr>
        <w:t>2.1</w:t>
      </w:r>
      <w:r>
        <w:rPr>
          <w:rFonts w:hint="eastAsia"/>
          <w:b/>
          <w:highlight w:val="none"/>
        </w:rPr>
        <w:t>企业业绩一览表</w:t>
      </w:r>
    </w:p>
    <w:tbl>
      <w:tblPr>
        <w:tblStyle w:val="2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6"/>
        <w:gridCol w:w="1205"/>
        <w:gridCol w:w="1259"/>
        <w:gridCol w:w="1259"/>
        <w:gridCol w:w="1497"/>
        <w:gridCol w:w="2206"/>
        <w:gridCol w:w="8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00" w:type="pct"/>
            <w:vAlign w:val="center"/>
          </w:tcPr>
          <w:p>
            <w:pPr>
              <w:ind w:firstLine="0" w:firstLineChars="0"/>
              <w:jc w:val="center"/>
              <w:rPr>
                <w:rFonts w:hint="eastAsia"/>
                <w:b/>
                <w:highlight w:val="none"/>
              </w:rPr>
            </w:pPr>
            <w:r>
              <w:rPr>
                <w:rFonts w:hint="eastAsia"/>
                <w:b/>
                <w:highlight w:val="none"/>
              </w:rPr>
              <w:t>序号</w:t>
            </w:r>
          </w:p>
        </w:tc>
        <w:tc>
          <w:tcPr>
            <w:tcW w:w="673" w:type="pct"/>
            <w:vAlign w:val="center"/>
          </w:tcPr>
          <w:p>
            <w:pPr>
              <w:ind w:firstLine="0" w:firstLineChars="0"/>
              <w:jc w:val="center"/>
              <w:rPr>
                <w:rFonts w:hint="eastAsia"/>
                <w:b/>
                <w:highlight w:val="none"/>
              </w:rPr>
            </w:pPr>
            <w:r>
              <w:rPr>
                <w:rFonts w:hint="eastAsia"/>
                <w:b/>
                <w:highlight w:val="none"/>
              </w:rPr>
              <w:t>项目名称</w:t>
            </w:r>
          </w:p>
        </w:tc>
        <w:tc>
          <w:tcPr>
            <w:tcW w:w="703" w:type="pct"/>
            <w:vAlign w:val="center"/>
          </w:tcPr>
          <w:p>
            <w:pPr>
              <w:ind w:firstLine="0" w:firstLineChars="0"/>
              <w:jc w:val="center"/>
              <w:rPr>
                <w:rFonts w:hint="eastAsia"/>
                <w:b/>
                <w:highlight w:val="none"/>
              </w:rPr>
            </w:pPr>
            <w:r>
              <w:rPr>
                <w:rFonts w:hint="eastAsia"/>
                <w:b/>
                <w:highlight w:val="none"/>
              </w:rPr>
              <w:t>项目概况</w:t>
            </w:r>
          </w:p>
        </w:tc>
        <w:tc>
          <w:tcPr>
            <w:tcW w:w="703" w:type="pct"/>
            <w:vAlign w:val="center"/>
          </w:tcPr>
          <w:p>
            <w:pPr>
              <w:ind w:firstLine="0" w:firstLineChars="0"/>
              <w:jc w:val="center"/>
              <w:rPr>
                <w:rFonts w:hint="eastAsia"/>
                <w:b/>
                <w:highlight w:val="none"/>
              </w:rPr>
            </w:pPr>
            <w:r>
              <w:rPr>
                <w:rFonts w:hint="eastAsia"/>
                <w:b/>
                <w:highlight w:val="none"/>
              </w:rPr>
              <w:t>合同金额</w:t>
            </w:r>
          </w:p>
        </w:tc>
        <w:tc>
          <w:tcPr>
            <w:tcW w:w="836" w:type="pct"/>
            <w:vAlign w:val="center"/>
          </w:tcPr>
          <w:p>
            <w:pPr>
              <w:ind w:firstLine="0" w:firstLineChars="0"/>
              <w:jc w:val="center"/>
              <w:rPr>
                <w:rFonts w:hint="eastAsia"/>
                <w:b/>
                <w:highlight w:val="none"/>
              </w:rPr>
            </w:pPr>
            <w:r>
              <w:rPr>
                <w:rFonts w:hint="eastAsia"/>
                <w:b/>
                <w:highlight w:val="none"/>
              </w:rPr>
              <w:t>合同签订时间</w:t>
            </w:r>
          </w:p>
        </w:tc>
        <w:tc>
          <w:tcPr>
            <w:tcW w:w="1232" w:type="pct"/>
            <w:vAlign w:val="center"/>
          </w:tcPr>
          <w:p>
            <w:pPr>
              <w:ind w:firstLine="0" w:firstLineChars="0"/>
              <w:jc w:val="center"/>
              <w:rPr>
                <w:rFonts w:hint="eastAsia"/>
                <w:b/>
                <w:highlight w:val="none"/>
              </w:rPr>
            </w:pPr>
            <w:r>
              <w:rPr>
                <w:rFonts w:hint="eastAsia"/>
                <w:b/>
                <w:highlight w:val="none"/>
              </w:rPr>
              <w:t>业主名称及联系方式</w:t>
            </w:r>
          </w:p>
        </w:tc>
        <w:tc>
          <w:tcPr>
            <w:tcW w:w="449" w:type="pct"/>
            <w:vAlign w:val="center"/>
          </w:tcPr>
          <w:p>
            <w:pPr>
              <w:ind w:firstLine="0" w:firstLineChars="0"/>
              <w:jc w:val="center"/>
              <w:rPr>
                <w:rFonts w:hint="eastAsia"/>
                <w:b/>
                <w:highlight w:val="none"/>
              </w:rPr>
            </w:pPr>
            <w:r>
              <w:rPr>
                <w:rFonts w:hint="eastAsia"/>
                <w:b/>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00" w:type="pct"/>
            <w:vAlign w:val="center"/>
          </w:tcPr>
          <w:p>
            <w:pPr>
              <w:ind w:firstLine="0" w:firstLineChars="0"/>
              <w:jc w:val="center"/>
              <w:rPr>
                <w:rFonts w:hint="eastAsia"/>
                <w:highlight w:val="none"/>
              </w:rPr>
            </w:pPr>
            <w:r>
              <w:rPr>
                <w:highlight w:val="none"/>
              </w:rPr>
              <w:t>1</w:t>
            </w:r>
          </w:p>
        </w:tc>
        <w:tc>
          <w:tcPr>
            <w:tcW w:w="673" w:type="pct"/>
            <w:vAlign w:val="center"/>
          </w:tcPr>
          <w:p>
            <w:pPr>
              <w:ind w:firstLine="0" w:firstLineChars="0"/>
              <w:jc w:val="center"/>
              <w:rPr>
                <w:rFonts w:hint="eastAsia"/>
                <w:highlight w:val="none"/>
              </w:rPr>
            </w:pPr>
          </w:p>
        </w:tc>
        <w:tc>
          <w:tcPr>
            <w:tcW w:w="703" w:type="pct"/>
            <w:vAlign w:val="center"/>
          </w:tcPr>
          <w:p>
            <w:pPr>
              <w:ind w:firstLine="0" w:firstLineChars="0"/>
              <w:jc w:val="center"/>
              <w:rPr>
                <w:rFonts w:hint="eastAsia"/>
                <w:highlight w:val="none"/>
              </w:rPr>
            </w:pPr>
          </w:p>
        </w:tc>
        <w:tc>
          <w:tcPr>
            <w:tcW w:w="703" w:type="pct"/>
            <w:vAlign w:val="center"/>
          </w:tcPr>
          <w:p>
            <w:pPr>
              <w:ind w:firstLine="0" w:firstLineChars="0"/>
              <w:jc w:val="center"/>
              <w:rPr>
                <w:rFonts w:hint="eastAsia"/>
                <w:highlight w:val="none"/>
              </w:rPr>
            </w:pPr>
          </w:p>
        </w:tc>
        <w:tc>
          <w:tcPr>
            <w:tcW w:w="836" w:type="pct"/>
            <w:vAlign w:val="center"/>
          </w:tcPr>
          <w:p>
            <w:pPr>
              <w:ind w:firstLine="0" w:firstLineChars="0"/>
              <w:jc w:val="center"/>
              <w:rPr>
                <w:rFonts w:hint="eastAsia"/>
                <w:highlight w:val="none"/>
              </w:rPr>
            </w:pPr>
          </w:p>
        </w:tc>
        <w:tc>
          <w:tcPr>
            <w:tcW w:w="1232" w:type="pct"/>
            <w:vAlign w:val="center"/>
          </w:tcPr>
          <w:p>
            <w:pPr>
              <w:ind w:firstLine="0" w:firstLineChars="0"/>
              <w:jc w:val="center"/>
              <w:rPr>
                <w:rFonts w:hint="eastAsia"/>
                <w:highlight w:val="none"/>
              </w:rPr>
            </w:pPr>
          </w:p>
        </w:tc>
        <w:tc>
          <w:tcPr>
            <w:tcW w:w="449" w:type="pct"/>
            <w:vAlign w:val="center"/>
          </w:tcPr>
          <w:p>
            <w:pPr>
              <w:ind w:firstLine="0" w:firstLineChars="0"/>
              <w:jc w:val="center"/>
              <w:rPr>
                <w:rFonts w:hint="eastAsia"/>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0" w:type="pct"/>
            <w:vAlign w:val="center"/>
          </w:tcPr>
          <w:p>
            <w:pPr>
              <w:ind w:firstLine="0" w:firstLineChars="0"/>
              <w:jc w:val="center"/>
              <w:rPr>
                <w:rFonts w:hint="eastAsia"/>
                <w:highlight w:val="none"/>
              </w:rPr>
            </w:pPr>
            <w:r>
              <w:rPr>
                <w:rFonts w:hint="eastAsia"/>
                <w:highlight w:val="none"/>
              </w:rPr>
              <w:t>2</w:t>
            </w:r>
          </w:p>
        </w:tc>
        <w:tc>
          <w:tcPr>
            <w:tcW w:w="673" w:type="pct"/>
            <w:vAlign w:val="center"/>
          </w:tcPr>
          <w:p>
            <w:pPr>
              <w:ind w:firstLine="0" w:firstLineChars="0"/>
              <w:jc w:val="center"/>
              <w:rPr>
                <w:rFonts w:hint="eastAsia"/>
                <w:highlight w:val="none"/>
              </w:rPr>
            </w:pPr>
          </w:p>
        </w:tc>
        <w:tc>
          <w:tcPr>
            <w:tcW w:w="703" w:type="pct"/>
            <w:vAlign w:val="center"/>
          </w:tcPr>
          <w:p>
            <w:pPr>
              <w:ind w:firstLine="0" w:firstLineChars="0"/>
              <w:jc w:val="center"/>
              <w:rPr>
                <w:rFonts w:hint="eastAsia"/>
                <w:highlight w:val="none"/>
              </w:rPr>
            </w:pPr>
          </w:p>
        </w:tc>
        <w:tc>
          <w:tcPr>
            <w:tcW w:w="703" w:type="pct"/>
            <w:vAlign w:val="center"/>
          </w:tcPr>
          <w:p>
            <w:pPr>
              <w:ind w:firstLine="0" w:firstLineChars="0"/>
              <w:jc w:val="center"/>
              <w:rPr>
                <w:rFonts w:hint="eastAsia"/>
                <w:highlight w:val="none"/>
              </w:rPr>
            </w:pPr>
          </w:p>
        </w:tc>
        <w:tc>
          <w:tcPr>
            <w:tcW w:w="836" w:type="pct"/>
            <w:vAlign w:val="center"/>
          </w:tcPr>
          <w:p>
            <w:pPr>
              <w:ind w:firstLine="0" w:firstLineChars="0"/>
              <w:jc w:val="center"/>
              <w:rPr>
                <w:rFonts w:hint="eastAsia"/>
                <w:highlight w:val="none"/>
              </w:rPr>
            </w:pPr>
          </w:p>
        </w:tc>
        <w:tc>
          <w:tcPr>
            <w:tcW w:w="1232" w:type="pct"/>
            <w:vAlign w:val="center"/>
          </w:tcPr>
          <w:p>
            <w:pPr>
              <w:ind w:firstLine="0" w:firstLineChars="0"/>
              <w:jc w:val="center"/>
              <w:rPr>
                <w:rFonts w:hint="eastAsia"/>
                <w:highlight w:val="none"/>
              </w:rPr>
            </w:pPr>
          </w:p>
        </w:tc>
        <w:tc>
          <w:tcPr>
            <w:tcW w:w="449" w:type="pct"/>
            <w:vAlign w:val="center"/>
          </w:tcPr>
          <w:p>
            <w:pPr>
              <w:ind w:firstLine="0" w:firstLineChars="0"/>
              <w:jc w:val="center"/>
              <w:rPr>
                <w:rFonts w:hint="eastAsia"/>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0" w:type="pct"/>
            <w:vAlign w:val="center"/>
          </w:tcPr>
          <w:p>
            <w:pPr>
              <w:ind w:firstLine="0" w:firstLineChars="0"/>
              <w:jc w:val="center"/>
              <w:rPr>
                <w:rFonts w:hint="eastAsia"/>
                <w:highlight w:val="none"/>
              </w:rPr>
            </w:pPr>
            <w:r>
              <w:rPr>
                <w:highlight w:val="none"/>
              </w:rPr>
              <w:t>…</w:t>
            </w:r>
          </w:p>
        </w:tc>
        <w:tc>
          <w:tcPr>
            <w:tcW w:w="673" w:type="pct"/>
            <w:vAlign w:val="center"/>
          </w:tcPr>
          <w:p>
            <w:pPr>
              <w:ind w:firstLine="0" w:firstLineChars="0"/>
              <w:jc w:val="center"/>
              <w:rPr>
                <w:rFonts w:hint="eastAsia"/>
                <w:highlight w:val="none"/>
              </w:rPr>
            </w:pPr>
          </w:p>
        </w:tc>
        <w:tc>
          <w:tcPr>
            <w:tcW w:w="703" w:type="pct"/>
            <w:vAlign w:val="center"/>
          </w:tcPr>
          <w:p>
            <w:pPr>
              <w:ind w:firstLine="0" w:firstLineChars="0"/>
              <w:jc w:val="center"/>
              <w:rPr>
                <w:rFonts w:hint="eastAsia"/>
                <w:highlight w:val="none"/>
              </w:rPr>
            </w:pPr>
          </w:p>
        </w:tc>
        <w:tc>
          <w:tcPr>
            <w:tcW w:w="703" w:type="pct"/>
            <w:vAlign w:val="center"/>
          </w:tcPr>
          <w:p>
            <w:pPr>
              <w:ind w:firstLine="0" w:firstLineChars="0"/>
              <w:jc w:val="center"/>
              <w:rPr>
                <w:rFonts w:hint="eastAsia"/>
                <w:highlight w:val="none"/>
              </w:rPr>
            </w:pPr>
          </w:p>
        </w:tc>
        <w:tc>
          <w:tcPr>
            <w:tcW w:w="836" w:type="pct"/>
            <w:vAlign w:val="center"/>
          </w:tcPr>
          <w:p>
            <w:pPr>
              <w:ind w:firstLine="0" w:firstLineChars="0"/>
              <w:jc w:val="center"/>
              <w:rPr>
                <w:rFonts w:hint="eastAsia"/>
                <w:highlight w:val="none"/>
              </w:rPr>
            </w:pPr>
          </w:p>
        </w:tc>
        <w:tc>
          <w:tcPr>
            <w:tcW w:w="1232" w:type="pct"/>
            <w:vAlign w:val="center"/>
          </w:tcPr>
          <w:p>
            <w:pPr>
              <w:ind w:firstLine="0" w:firstLineChars="0"/>
              <w:jc w:val="center"/>
              <w:rPr>
                <w:rFonts w:hint="eastAsia"/>
                <w:highlight w:val="none"/>
              </w:rPr>
            </w:pPr>
          </w:p>
        </w:tc>
        <w:tc>
          <w:tcPr>
            <w:tcW w:w="449" w:type="pct"/>
            <w:vAlign w:val="center"/>
          </w:tcPr>
          <w:p>
            <w:pPr>
              <w:ind w:firstLine="0" w:firstLineChars="0"/>
              <w:jc w:val="center"/>
              <w:rPr>
                <w:rFonts w:hint="eastAsia"/>
                <w:highlight w:val="none"/>
              </w:rPr>
            </w:pPr>
          </w:p>
        </w:tc>
      </w:tr>
    </w:tbl>
    <w:p>
      <w:pPr>
        <w:rPr>
          <w:rFonts w:cs="Arial"/>
          <w:b/>
          <w:bCs/>
          <w:kern w:val="0"/>
          <w:szCs w:val="21"/>
          <w:highlight w:val="none"/>
        </w:rPr>
      </w:pPr>
      <w:r>
        <w:rPr>
          <w:rFonts w:hint="eastAsia" w:cs="Arial"/>
          <w:b/>
          <w:bCs/>
          <w:kern w:val="0"/>
          <w:szCs w:val="21"/>
          <w:highlight w:val="none"/>
        </w:rPr>
        <w:t>注：结合第三章评审办法填写</w:t>
      </w:r>
      <w:r>
        <w:rPr>
          <w:rFonts w:hint="eastAsia" w:cs="Arial"/>
          <w:b/>
          <w:bCs/>
          <w:kern w:val="0"/>
          <w:szCs w:val="21"/>
          <w:highlight w:val="none"/>
          <w:lang w:val="en-US" w:eastAsia="zh-CN"/>
        </w:rPr>
        <w:t>企业</w:t>
      </w:r>
      <w:r>
        <w:rPr>
          <w:rFonts w:hint="eastAsia" w:cs="Arial"/>
          <w:b/>
          <w:bCs/>
          <w:kern w:val="0"/>
          <w:szCs w:val="21"/>
          <w:highlight w:val="none"/>
        </w:rPr>
        <w:t>业绩，</w:t>
      </w:r>
      <w:r>
        <w:rPr>
          <w:rFonts w:hint="eastAsia" w:cs="Arial"/>
          <w:b/>
          <w:bCs/>
          <w:kern w:val="0"/>
          <w:szCs w:val="21"/>
          <w:highlight w:val="none"/>
          <w:lang w:eastAsia="zh-CN"/>
        </w:rPr>
        <w:t>须提供业绩证明材料</w:t>
      </w:r>
      <w:r>
        <w:rPr>
          <w:rFonts w:hint="eastAsia" w:cs="Arial"/>
          <w:b/>
          <w:bCs/>
          <w:kern w:val="0"/>
          <w:szCs w:val="21"/>
          <w:highlight w:val="none"/>
        </w:rPr>
        <w:t>。</w:t>
      </w:r>
    </w:p>
    <w:p>
      <w:pPr>
        <w:tabs>
          <w:tab w:val="left" w:pos="440"/>
        </w:tabs>
        <w:spacing w:line="360" w:lineRule="auto"/>
        <w:ind w:left="0" w:leftChars="0" w:right="-192" w:rightChars="-80" w:firstLine="0" w:firstLineChars="0"/>
        <w:rPr>
          <w:rFonts w:hint="eastAsia" w:ascii="宋体" w:hAnsi="宋体" w:eastAsia="宋体" w:cs="宋体"/>
          <w:highlight w:val="none"/>
        </w:rPr>
      </w:pPr>
    </w:p>
    <w:p>
      <w:pPr>
        <w:ind w:firstLine="480"/>
        <w:jc w:val="right"/>
        <w:rPr>
          <w:highlight w:val="none"/>
        </w:rPr>
      </w:pPr>
    </w:p>
    <w:p>
      <w:pPr>
        <w:ind w:firstLine="480"/>
        <w:jc w:val="right"/>
        <w:rPr>
          <w:highlight w:val="none"/>
        </w:rPr>
      </w:pPr>
    </w:p>
    <w:p>
      <w:pPr>
        <w:spacing w:line="440" w:lineRule="exact"/>
        <w:ind w:firstLine="460" w:firstLineChars="192"/>
        <w:rPr>
          <w:highlight w:val="none"/>
        </w:rPr>
      </w:pPr>
    </w:p>
    <w:p>
      <w:pPr>
        <w:spacing w:line="440" w:lineRule="exact"/>
        <w:ind w:firstLine="460" w:firstLineChars="192"/>
        <w:rPr>
          <w:highlight w:val="none"/>
        </w:rPr>
      </w:pPr>
    </w:p>
    <w:p>
      <w:pPr>
        <w:rPr>
          <w:highlight w:val="none"/>
        </w:rPr>
      </w:pPr>
      <w:r>
        <w:rPr>
          <w:rFonts w:ascii="Times New Roman" w:hAnsi="Times New Roman"/>
          <w:sz w:val="24"/>
          <w:szCs w:val="24"/>
          <w:highlight w:val="none"/>
        </w:rPr>
        <w:br w:type="page"/>
      </w:r>
      <w:bookmarkEnd w:id="265"/>
      <w:bookmarkStart w:id="266" w:name="_Toc29658"/>
      <w:bookmarkStart w:id="267" w:name="_Toc3697"/>
      <w:bookmarkStart w:id="268" w:name="_Toc10610"/>
      <w:bookmarkStart w:id="269" w:name="_Toc20296"/>
      <w:bookmarkStart w:id="270" w:name="_Toc3965"/>
    </w:p>
    <w:bookmarkEnd w:id="266"/>
    <w:bookmarkEnd w:id="267"/>
    <w:bookmarkEnd w:id="268"/>
    <w:bookmarkEnd w:id="269"/>
    <w:bookmarkEnd w:id="270"/>
    <w:p>
      <w:pPr>
        <w:ind w:firstLine="0" w:firstLineChars="0"/>
        <w:jc w:val="center"/>
        <w:rPr>
          <w:b/>
          <w:highlight w:val="none"/>
        </w:rPr>
      </w:pPr>
      <w:r>
        <w:rPr>
          <w:rFonts w:hint="eastAsia"/>
          <w:b/>
          <w:highlight w:val="none"/>
          <w:lang w:val="en-US" w:eastAsia="zh-CN"/>
        </w:rPr>
        <w:t>2.2项目负责人</w:t>
      </w:r>
      <w:r>
        <w:rPr>
          <w:rFonts w:hint="eastAsia"/>
          <w:b/>
          <w:highlight w:val="none"/>
        </w:rPr>
        <w:t>业绩一览表</w:t>
      </w:r>
    </w:p>
    <w:tbl>
      <w:tblPr>
        <w:tblStyle w:val="2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5"/>
        <w:gridCol w:w="1206"/>
        <w:gridCol w:w="1259"/>
        <w:gridCol w:w="1259"/>
        <w:gridCol w:w="1497"/>
        <w:gridCol w:w="2206"/>
        <w:gridCol w:w="8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0" w:type="pct"/>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b/>
                <w:highlight w:val="none"/>
              </w:rPr>
            </w:pPr>
            <w:r>
              <w:rPr>
                <w:rFonts w:hint="eastAsia"/>
                <w:b/>
                <w:highlight w:val="none"/>
              </w:rPr>
              <w:t>序号</w:t>
            </w:r>
          </w:p>
        </w:tc>
        <w:tc>
          <w:tcPr>
            <w:tcW w:w="674" w:type="pct"/>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b/>
                <w:highlight w:val="none"/>
              </w:rPr>
            </w:pPr>
            <w:r>
              <w:rPr>
                <w:rFonts w:hint="eastAsia"/>
                <w:b/>
                <w:highlight w:val="none"/>
              </w:rPr>
              <w:t>项目名称</w:t>
            </w:r>
          </w:p>
        </w:tc>
        <w:tc>
          <w:tcPr>
            <w:tcW w:w="703" w:type="pct"/>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b/>
                <w:highlight w:val="none"/>
              </w:rPr>
            </w:pPr>
            <w:r>
              <w:rPr>
                <w:rFonts w:hint="eastAsia"/>
                <w:b/>
                <w:highlight w:val="none"/>
              </w:rPr>
              <w:t>项目概况</w:t>
            </w:r>
          </w:p>
        </w:tc>
        <w:tc>
          <w:tcPr>
            <w:tcW w:w="703" w:type="pct"/>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b/>
                <w:highlight w:val="none"/>
              </w:rPr>
            </w:pPr>
            <w:r>
              <w:rPr>
                <w:rFonts w:hint="eastAsia"/>
                <w:b/>
                <w:highlight w:val="none"/>
              </w:rPr>
              <w:t>合同金额</w:t>
            </w:r>
          </w:p>
        </w:tc>
        <w:tc>
          <w:tcPr>
            <w:tcW w:w="836" w:type="pct"/>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b/>
                <w:highlight w:val="none"/>
              </w:rPr>
            </w:pPr>
            <w:r>
              <w:rPr>
                <w:rFonts w:hint="eastAsia"/>
                <w:b/>
                <w:highlight w:val="none"/>
              </w:rPr>
              <w:t>合同签订时间</w:t>
            </w:r>
          </w:p>
        </w:tc>
        <w:tc>
          <w:tcPr>
            <w:tcW w:w="1232" w:type="pct"/>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b/>
                <w:highlight w:val="none"/>
              </w:rPr>
            </w:pPr>
            <w:r>
              <w:rPr>
                <w:rFonts w:hint="eastAsia"/>
                <w:b/>
                <w:highlight w:val="none"/>
              </w:rPr>
              <w:t>业主名称及联系方式</w:t>
            </w:r>
          </w:p>
        </w:tc>
        <w:tc>
          <w:tcPr>
            <w:tcW w:w="449" w:type="pct"/>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b/>
                <w:highlight w:val="none"/>
              </w:rPr>
            </w:pPr>
            <w:r>
              <w:rPr>
                <w:rFonts w:hint="eastAsia"/>
                <w:b/>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0" w:type="pct"/>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highlight w:val="none"/>
              </w:rPr>
            </w:pPr>
            <w:r>
              <w:rPr>
                <w:highlight w:val="none"/>
              </w:rPr>
              <w:t>1</w:t>
            </w:r>
          </w:p>
        </w:tc>
        <w:tc>
          <w:tcPr>
            <w:tcW w:w="674" w:type="pct"/>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highlight w:val="none"/>
              </w:rPr>
            </w:pPr>
          </w:p>
        </w:tc>
        <w:tc>
          <w:tcPr>
            <w:tcW w:w="703" w:type="pct"/>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highlight w:val="none"/>
              </w:rPr>
            </w:pPr>
          </w:p>
        </w:tc>
        <w:tc>
          <w:tcPr>
            <w:tcW w:w="703" w:type="pct"/>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highlight w:val="none"/>
              </w:rPr>
            </w:pPr>
          </w:p>
        </w:tc>
        <w:tc>
          <w:tcPr>
            <w:tcW w:w="836" w:type="pct"/>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highlight w:val="none"/>
              </w:rPr>
            </w:pPr>
          </w:p>
        </w:tc>
        <w:tc>
          <w:tcPr>
            <w:tcW w:w="1232" w:type="pct"/>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highlight w:val="none"/>
              </w:rPr>
            </w:pPr>
          </w:p>
        </w:tc>
        <w:tc>
          <w:tcPr>
            <w:tcW w:w="449" w:type="pct"/>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0" w:type="pct"/>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highlight w:val="none"/>
              </w:rPr>
            </w:pPr>
            <w:r>
              <w:rPr>
                <w:rFonts w:hint="eastAsia"/>
                <w:highlight w:val="none"/>
              </w:rPr>
              <w:t>2</w:t>
            </w:r>
          </w:p>
        </w:tc>
        <w:tc>
          <w:tcPr>
            <w:tcW w:w="674" w:type="pct"/>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highlight w:val="none"/>
              </w:rPr>
            </w:pPr>
          </w:p>
        </w:tc>
        <w:tc>
          <w:tcPr>
            <w:tcW w:w="703" w:type="pct"/>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highlight w:val="none"/>
              </w:rPr>
            </w:pPr>
          </w:p>
        </w:tc>
        <w:tc>
          <w:tcPr>
            <w:tcW w:w="703" w:type="pct"/>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highlight w:val="none"/>
              </w:rPr>
            </w:pPr>
          </w:p>
        </w:tc>
        <w:tc>
          <w:tcPr>
            <w:tcW w:w="836" w:type="pct"/>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highlight w:val="none"/>
              </w:rPr>
            </w:pPr>
          </w:p>
        </w:tc>
        <w:tc>
          <w:tcPr>
            <w:tcW w:w="1232" w:type="pct"/>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highlight w:val="none"/>
              </w:rPr>
            </w:pPr>
          </w:p>
        </w:tc>
        <w:tc>
          <w:tcPr>
            <w:tcW w:w="449" w:type="pct"/>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0" w:type="pct"/>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highlight w:val="none"/>
              </w:rPr>
            </w:pPr>
            <w:r>
              <w:rPr>
                <w:highlight w:val="none"/>
              </w:rPr>
              <w:t>…</w:t>
            </w:r>
          </w:p>
        </w:tc>
        <w:tc>
          <w:tcPr>
            <w:tcW w:w="674" w:type="pct"/>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highlight w:val="none"/>
              </w:rPr>
            </w:pPr>
          </w:p>
        </w:tc>
        <w:tc>
          <w:tcPr>
            <w:tcW w:w="703" w:type="pct"/>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highlight w:val="none"/>
              </w:rPr>
            </w:pPr>
          </w:p>
        </w:tc>
        <w:tc>
          <w:tcPr>
            <w:tcW w:w="703" w:type="pct"/>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highlight w:val="none"/>
              </w:rPr>
            </w:pPr>
          </w:p>
        </w:tc>
        <w:tc>
          <w:tcPr>
            <w:tcW w:w="836" w:type="pct"/>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highlight w:val="none"/>
              </w:rPr>
            </w:pPr>
          </w:p>
        </w:tc>
        <w:tc>
          <w:tcPr>
            <w:tcW w:w="1232" w:type="pct"/>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highlight w:val="none"/>
              </w:rPr>
            </w:pPr>
          </w:p>
        </w:tc>
        <w:tc>
          <w:tcPr>
            <w:tcW w:w="449" w:type="pct"/>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highlight w:val="none"/>
              </w:rPr>
            </w:pPr>
          </w:p>
        </w:tc>
      </w:tr>
    </w:tbl>
    <w:p>
      <w:pPr>
        <w:rPr>
          <w:rFonts w:cs="Arial"/>
          <w:b/>
          <w:bCs/>
          <w:kern w:val="0"/>
          <w:szCs w:val="21"/>
          <w:highlight w:val="none"/>
        </w:rPr>
      </w:pPr>
      <w:r>
        <w:rPr>
          <w:rFonts w:hint="eastAsia" w:cs="Arial"/>
          <w:b/>
          <w:bCs/>
          <w:kern w:val="0"/>
          <w:szCs w:val="21"/>
          <w:highlight w:val="none"/>
        </w:rPr>
        <w:t>注：结合第三章评审办法填写</w:t>
      </w:r>
      <w:r>
        <w:rPr>
          <w:rFonts w:hint="eastAsia"/>
          <w:b/>
          <w:highlight w:val="none"/>
          <w:lang w:val="en-US" w:eastAsia="zh-CN"/>
        </w:rPr>
        <w:t>项目负责人</w:t>
      </w:r>
      <w:r>
        <w:rPr>
          <w:rFonts w:hint="eastAsia" w:cs="Arial"/>
          <w:b/>
          <w:bCs/>
          <w:kern w:val="0"/>
          <w:szCs w:val="21"/>
          <w:highlight w:val="none"/>
        </w:rPr>
        <w:t>业绩，</w:t>
      </w:r>
      <w:r>
        <w:rPr>
          <w:rFonts w:hint="eastAsia" w:cs="Arial"/>
          <w:b/>
          <w:bCs/>
          <w:kern w:val="0"/>
          <w:szCs w:val="21"/>
          <w:highlight w:val="none"/>
          <w:lang w:eastAsia="zh-CN"/>
        </w:rPr>
        <w:t>须提供业绩证明材料</w:t>
      </w:r>
      <w:r>
        <w:rPr>
          <w:rFonts w:hint="eastAsia" w:cs="Arial"/>
          <w:b/>
          <w:bCs/>
          <w:kern w:val="0"/>
          <w:szCs w:val="21"/>
          <w:highlight w:val="none"/>
        </w:rPr>
        <w:t>。</w:t>
      </w:r>
    </w:p>
    <w:p>
      <w:pPr>
        <w:tabs>
          <w:tab w:val="left" w:pos="440"/>
        </w:tabs>
        <w:spacing w:line="360" w:lineRule="auto"/>
        <w:ind w:left="0" w:leftChars="0" w:right="-192" w:rightChars="-80" w:firstLine="0" w:firstLineChars="0"/>
        <w:rPr>
          <w:rFonts w:hint="eastAsia" w:ascii="宋体" w:hAnsi="宋体" w:eastAsia="宋体" w:cs="宋体"/>
          <w:highlight w:val="none"/>
        </w:rPr>
      </w:pPr>
    </w:p>
    <w:p>
      <w:pPr>
        <w:ind w:firstLine="480"/>
        <w:jc w:val="right"/>
        <w:rPr>
          <w:highlight w:val="none"/>
        </w:rPr>
      </w:pPr>
    </w:p>
    <w:p>
      <w:pPr>
        <w:tabs>
          <w:tab w:val="left" w:pos="440"/>
        </w:tabs>
        <w:spacing w:line="360" w:lineRule="auto"/>
        <w:ind w:left="0" w:leftChars="0" w:right="-192" w:rightChars="-80" w:firstLine="0" w:firstLineChars="0"/>
        <w:rPr>
          <w:rFonts w:hint="eastAsia" w:ascii="宋体" w:hAnsi="宋体" w:eastAsia="宋体" w:cs="宋体"/>
          <w:highlight w:val="none"/>
        </w:rPr>
      </w:pPr>
    </w:p>
    <w:p>
      <w:pPr>
        <w:ind w:firstLine="480"/>
        <w:jc w:val="right"/>
        <w:rPr>
          <w:highlight w:val="none"/>
        </w:rPr>
      </w:pPr>
    </w:p>
    <w:p>
      <w:pPr>
        <w:pStyle w:val="5"/>
        <w:ind w:firstLine="0" w:firstLineChars="0"/>
        <w:rPr>
          <w:rFonts w:hint="eastAsia"/>
          <w:highlight w:val="none"/>
          <w:lang w:val="en-US" w:eastAsia="zh-CN"/>
        </w:rPr>
      </w:pPr>
    </w:p>
    <w:p>
      <w:pPr>
        <w:rPr>
          <w:rFonts w:hint="eastAsia"/>
          <w:highlight w:val="none"/>
          <w:lang w:val="en-US" w:eastAsia="zh-CN"/>
        </w:rPr>
      </w:pPr>
      <w:r>
        <w:rPr>
          <w:rFonts w:hint="eastAsia"/>
          <w:highlight w:val="none"/>
          <w:lang w:val="en-US" w:eastAsia="zh-CN"/>
        </w:rPr>
        <w:br w:type="page"/>
      </w:r>
    </w:p>
    <w:p>
      <w:pPr>
        <w:pStyle w:val="5"/>
        <w:ind w:firstLine="0" w:firstLineChars="0"/>
        <w:rPr>
          <w:rFonts w:hint="eastAsia"/>
          <w:highlight w:val="none"/>
          <w:lang w:val="en-US" w:eastAsia="zh-CN"/>
        </w:rPr>
      </w:pPr>
      <w:r>
        <w:rPr>
          <w:rFonts w:hint="eastAsia"/>
          <w:highlight w:val="none"/>
          <w:lang w:val="en-US" w:eastAsia="zh-CN"/>
        </w:rPr>
        <w:t>3技术部分</w:t>
      </w:r>
    </w:p>
    <w:p>
      <w:pPr>
        <w:bidi w:val="0"/>
        <w:rPr>
          <w:rFonts w:hint="eastAsia"/>
          <w:highlight w:val="none"/>
          <w:lang w:val="en-US" w:eastAsia="zh-CN"/>
        </w:rPr>
      </w:pPr>
      <w:r>
        <w:rPr>
          <w:rFonts w:hint="eastAsia"/>
          <w:highlight w:val="none"/>
          <w:lang w:val="en-US" w:eastAsia="zh-CN"/>
        </w:rPr>
        <w:t>投标人根据第三章评审方法技术部分相关评分点（为方便评委评审，请投标人按评审办法中所涉及的事项顺序进行编制，可以补充相关材料）</w:t>
      </w:r>
    </w:p>
    <w:p>
      <w:pPr>
        <w:ind w:firstLine="480"/>
        <w:jc w:val="right"/>
        <w:rPr>
          <w:highlight w:val="none"/>
        </w:rPr>
      </w:pPr>
    </w:p>
    <w:p>
      <w:pPr>
        <w:ind w:firstLine="480"/>
        <w:jc w:val="right"/>
        <w:rPr>
          <w:highlight w:val="none"/>
        </w:rPr>
      </w:pPr>
    </w:p>
    <w:p>
      <w:pPr>
        <w:ind w:firstLine="480"/>
        <w:jc w:val="right"/>
        <w:rPr>
          <w:highlight w:val="none"/>
        </w:rPr>
      </w:pPr>
    </w:p>
    <w:p>
      <w:pPr>
        <w:ind w:firstLine="480"/>
        <w:jc w:val="right"/>
        <w:rPr>
          <w:highlight w:val="none"/>
        </w:rPr>
      </w:pPr>
    </w:p>
    <w:p>
      <w:pPr>
        <w:ind w:firstLine="480"/>
        <w:jc w:val="right"/>
        <w:rPr>
          <w:highlight w:val="none"/>
        </w:rPr>
      </w:pPr>
    </w:p>
    <w:p>
      <w:pPr>
        <w:ind w:firstLine="480"/>
        <w:jc w:val="right"/>
        <w:rPr>
          <w:highlight w:val="none"/>
        </w:rPr>
      </w:pPr>
    </w:p>
    <w:p>
      <w:pPr>
        <w:ind w:firstLine="480"/>
        <w:jc w:val="right"/>
        <w:rPr>
          <w:highlight w:val="none"/>
        </w:rPr>
      </w:pPr>
    </w:p>
    <w:p>
      <w:pPr>
        <w:ind w:firstLine="480"/>
        <w:jc w:val="right"/>
        <w:rPr>
          <w:highlight w:val="none"/>
        </w:rPr>
      </w:pPr>
    </w:p>
    <w:p>
      <w:pPr>
        <w:ind w:firstLine="480"/>
        <w:jc w:val="right"/>
        <w:rPr>
          <w:highlight w:val="none"/>
        </w:rPr>
      </w:pPr>
    </w:p>
    <w:p>
      <w:pPr>
        <w:ind w:firstLine="480"/>
        <w:jc w:val="right"/>
        <w:rPr>
          <w:highlight w:val="none"/>
        </w:rPr>
      </w:pPr>
    </w:p>
    <w:p>
      <w:pPr>
        <w:ind w:firstLine="480"/>
        <w:jc w:val="right"/>
        <w:rPr>
          <w:highlight w:val="none"/>
        </w:rPr>
      </w:pPr>
    </w:p>
    <w:p>
      <w:pPr>
        <w:ind w:firstLine="480"/>
        <w:jc w:val="right"/>
        <w:rPr>
          <w:highlight w:val="none"/>
        </w:rPr>
      </w:pPr>
      <w:r>
        <w:rPr>
          <w:rFonts w:hint="eastAsia"/>
          <w:highlight w:val="none"/>
        </w:rPr>
        <w:t xml:space="preserve"> </w:t>
      </w:r>
    </w:p>
    <w:p>
      <w:pPr>
        <w:ind w:firstLine="480"/>
        <w:rPr>
          <w:highlight w:val="none"/>
        </w:rPr>
      </w:pPr>
    </w:p>
    <w:p>
      <w:pPr>
        <w:ind w:firstLine="480"/>
        <w:rPr>
          <w:highlight w:val="none"/>
        </w:rPr>
      </w:pPr>
      <w:r>
        <w:rPr>
          <w:rFonts w:hint="eastAsia"/>
          <w:highlight w:val="none"/>
        </w:rPr>
        <w:br w:type="page"/>
      </w:r>
    </w:p>
    <w:p>
      <w:pPr>
        <w:pStyle w:val="4"/>
        <w:ind w:firstLine="0" w:firstLineChars="0"/>
        <w:rPr>
          <w:highlight w:val="none"/>
        </w:rPr>
      </w:pPr>
      <w:r>
        <w:rPr>
          <w:highlight w:val="none"/>
        </w:rPr>
        <w:t>第</w:t>
      </w:r>
      <w:r>
        <w:rPr>
          <w:rFonts w:hint="eastAsia"/>
          <w:highlight w:val="none"/>
        </w:rPr>
        <w:t>三</w:t>
      </w:r>
      <w:r>
        <w:rPr>
          <w:highlight w:val="none"/>
        </w:rPr>
        <w:t>册</w:t>
      </w:r>
      <w:r>
        <w:rPr>
          <w:rFonts w:hint="eastAsia"/>
          <w:highlight w:val="none"/>
        </w:rPr>
        <w:t xml:space="preserve"> 报价部分</w:t>
      </w:r>
    </w:p>
    <w:p>
      <w:pPr>
        <w:ind w:firstLine="480"/>
        <w:jc w:val="right"/>
        <w:rPr>
          <w:rFonts w:ascii="宋体" w:hAnsi="宋体" w:cs="宋体"/>
          <w:bCs/>
          <w:sz w:val="36"/>
          <w:szCs w:val="36"/>
          <w:highlight w:val="none"/>
        </w:rPr>
      </w:pPr>
      <w:r>
        <w:rPr>
          <w:rFonts w:hint="eastAsia" w:ascii="宋体" w:hAnsi="宋体" w:cs="宋体"/>
          <w:highlight w:val="none"/>
        </w:rPr>
        <w:t xml:space="preserve"> </w:t>
      </w:r>
      <w:r>
        <w:rPr>
          <w:rFonts w:ascii="宋体" w:hAnsi="宋体" w:cs="宋体"/>
          <w:highlight w:val="none"/>
        </w:rPr>
        <w:t xml:space="preserve">                                                                    </w:t>
      </w:r>
      <w:r>
        <w:rPr>
          <w:rFonts w:hint="eastAsia" w:ascii="宋体" w:hAnsi="宋体" w:cs="宋体"/>
          <w:highlight w:val="none"/>
        </w:rPr>
        <w:t>正本/副本</w:t>
      </w:r>
    </w:p>
    <w:p>
      <w:pPr>
        <w:ind w:firstLine="0" w:firstLineChars="0"/>
        <w:jc w:val="center"/>
        <w:rPr>
          <w:rFonts w:ascii="宋体" w:hAnsi="宋体" w:cs="宋体"/>
          <w:b/>
          <w:sz w:val="40"/>
          <w:szCs w:val="40"/>
          <w:highlight w:val="none"/>
        </w:rPr>
      </w:pPr>
    </w:p>
    <w:p>
      <w:pPr>
        <w:ind w:firstLine="0" w:firstLineChars="0"/>
        <w:jc w:val="center"/>
        <w:rPr>
          <w:rFonts w:hint="eastAsia" w:ascii="宋体" w:hAnsi="宋体" w:eastAsia="宋体" w:cs="宋体"/>
          <w:b/>
          <w:sz w:val="40"/>
          <w:szCs w:val="40"/>
          <w:highlight w:val="none"/>
          <w:lang w:eastAsia="zh-CN"/>
        </w:rPr>
      </w:pPr>
      <w:r>
        <w:rPr>
          <w:rFonts w:hint="eastAsia" w:ascii="宋体" w:hAnsi="宋体" w:cs="宋体"/>
          <w:b/>
          <w:sz w:val="40"/>
          <w:szCs w:val="40"/>
          <w:highlight w:val="none"/>
          <w:lang w:eastAsia="zh-CN"/>
        </w:rPr>
        <w:t>南通轨道交通集团有限公司运营分公司2026-2029年2号线结构监测委外维保项目</w:t>
      </w:r>
    </w:p>
    <w:p>
      <w:pPr>
        <w:ind w:firstLine="0" w:firstLineChars="0"/>
        <w:jc w:val="center"/>
        <w:rPr>
          <w:rFonts w:ascii="宋体" w:hAnsi="宋体" w:cs="宋体"/>
          <w:bCs/>
          <w:sz w:val="36"/>
          <w:szCs w:val="36"/>
          <w:highlight w:val="none"/>
        </w:rPr>
      </w:pPr>
      <w:r>
        <w:rPr>
          <w:rFonts w:hint="eastAsia" w:ascii="宋体" w:hAnsi="宋体" w:cs="宋体"/>
          <w:b/>
          <w:sz w:val="40"/>
          <w:szCs w:val="40"/>
          <w:highlight w:val="none"/>
        </w:rPr>
        <w:t>（项目编号：</w:t>
      </w:r>
      <w:r>
        <w:rPr>
          <w:rFonts w:hint="eastAsia" w:ascii="宋体" w:hAnsi="宋体" w:cs="宋体"/>
          <w:b/>
          <w:sz w:val="40"/>
          <w:szCs w:val="40"/>
          <w:highlight w:val="none"/>
          <w:lang w:eastAsia="zh-CN"/>
        </w:rPr>
        <w:t>NTGY-2026-FW-ZB-034</w:t>
      </w:r>
      <w:r>
        <w:rPr>
          <w:rFonts w:hint="eastAsia" w:ascii="宋体" w:hAnsi="宋体" w:cs="宋体"/>
          <w:b/>
          <w:sz w:val="40"/>
          <w:szCs w:val="40"/>
          <w:highlight w:val="none"/>
        </w:rPr>
        <w:t>）</w:t>
      </w:r>
    </w:p>
    <w:p>
      <w:pPr>
        <w:ind w:firstLine="0" w:firstLineChars="0"/>
        <w:jc w:val="center"/>
        <w:rPr>
          <w:rFonts w:ascii="宋体" w:hAnsi="宋体" w:cs="宋体"/>
          <w:bCs/>
          <w:sz w:val="36"/>
          <w:szCs w:val="36"/>
          <w:highlight w:val="none"/>
        </w:rPr>
      </w:pPr>
    </w:p>
    <w:p>
      <w:pPr>
        <w:ind w:firstLine="0" w:firstLineChars="0"/>
        <w:jc w:val="center"/>
        <w:rPr>
          <w:rFonts w:ascii="宋体" w:hAnsi="宋体" w:cs="宋体"/>
          <w:bCs/>
          <w:sz w:val="36"/>
          <w:szCs w:val="36"/>
          <w:highlight w:val="none"/>
        </w:rPr>
      </w:pPr>
    </w:p>
    <w:p>
      <w:pPr>
        <w:ind w:firstLine="0" w:firstLineChars="0"/>
        <w:jc w:val="center"/>
        <w:rPr>
          <w:rFonts w:ascii="宋体" w:hAnsi="宋体" w:cs="宋体"/>
          <w:bCs/>
          <w:sz w:val="36"/>
          <w:szCs w:val="36"/>
          <w:highlight w:val="none"/>
        </w:rPr>
      </w:pPr>
    </w:p>
    <w:p>
      <w:pPr>
        <w:ind w:firstLine="0" w:firstLineChars="0"/>
        <w:jc w:val="center"/>
        <w:rPr>
          <w:rFonts w:hint="eastAsia" w:ascii="宋体" w:hAnsi="宋体" w:eastAsia="宋体" w:cs="宋体"/>
          <w:bCs/>
          <w:sz w:val="52"/>
          <w:szCs w:val="52"/>
          <w:highlight w:val="none"/>
          <w:lang w:eastAsia="zh-CN"/>
        </w:rPr>
      </w:pPr>
      <w:r>
        <w:rPr>
          <w:rFonts w:hint="eastAsia" w:ascii="宋体" w:hAnsi="宋体" w:cs="宋体"/>
          <w:bCs/>
          <w:sz w:val="52"/>
          <w:szCs w:val="52"/>
          <w:highlight w:val="none"/>
          <w:lang w:eastAsia="zh-CN"/>
        </w:rPr>
        <w:t>投标文件</w:t>
      </w:r>
    </w:p>
    <w:p>
      <w:pPr>
        <w:ind w:firstLine="0" w:firstLineChars="0"/>
        <w:jc w:val="center"/>
        <w:rPr>
          <w:rFonts w:ascii="宋体" w:hAnsi="宋体" w:cs="宋体"/>
          <w:bCs/>
          <w:sz w:val="32"/>
          <w:szCs w:val="32"/>
          <w:highlight w:val="none"/>
        </w:rPr>
      </w:pPr>
      <w:r>
        <w:rPr>
          <w:rFonts w:hint="eastAsia" w:ascii="宋体" w:hAnsi="宋体" w:cs="宋体"/>
          <w:bCs/>
          <w:sz w:val="32"/>
          <w:szCs w:val="32"/>
          <w:highlight w:val="none"/>
        </w:rPr>
        <w:t>第三册 报价部分</w:t>
      </w:r>
    </w:p>
    <w:p>
      <w:pPr>
        <w:ind w:firstLine="0" w:firstLineChars="0"/>
        <w:jc w:val="center"/>
        <w:rPr>
          <w:rFonts w:ascii="宋体" w:hAnsi="宋体" w:cs="宋体"/>
          <w:b/>
          <w:sz w:val="36"/>
          <w:szCs w:val="36"/>
          <w:highlight w:val="none"/>
        </w:rPr>
      </w:pPr>
    </w:p>
    <w:p>
      <w:pPr>
        <w:ind w:firstLine="0" w:firstLineChars="0"/>
        <w:jc w:val="center"/>
        <w:rPr>
          <w:rFonts w:ascii="宋体" w:hAnsi="宋体" w:cs="宋体"/>
          <w:b/>
          <w:sz w:val="36"/>
          <w:szCs w:val="36"/>
          <w:highlight w:val="none"/>
        </w:rPr>
      </w:pPr>
    </w:p>
    <w:p>
      <w:pPr>
        <w:ind w:firstLine="0" w:firstLineChars="0"/>
        <w:jc w:val="center"/>
        <w:rPr>
          <w:rFonts w:ascii="宋体" w:hAnsi="宋体" w:cs="宋体"/>
          <w:b/>
          <w:sz w:val="36"/>
          <w:szCs w:val="36"/>
          <w:highlight w:val="none"/>
        </w:rPr>
      </w:pPr>
    </w:p>
    <w:p>
      <w:pPr>
        <w:ind w:firstLine="0" w:firstLineChars="0"/>
        <w:jc w:val="center"/>
        <w:rPr>
          <w:rFonts w:ascii="宋体" w:hAnsi="宋体" w:cs="宋体"/>
          <w:b/>
          <w:sz w:val="36"/>
          <w:szCs w:val="36"/>
          <w:highlight w:val="none"/>
        </w:rPr>
      </w:pPr>
    </w:p>
    <w:p>
      <w:pPr>
        <w:ind w:firstLine="0" w:firstLineChars="0"/>
        <w:jc w:val="center"/>
        <w:rPr>
          <w:rFonts w:ascii="宋体" w:hAnsi="宋体" w:cs="宋体"/>
          <w:b/>
          <w:sz w:val="36"/>
          <w:szCs w:val="36"/>
          <w:highlight w:val="none"/>
        </w:rPr>
      </w:pPr>
    </w:p>
    <w:p>
      <w:pPr>
        <w:ind w:firstLine="0" w:firstLineChars="0"/>
        <w:jc w:val="center"/>
        <w:rPr>
          <w:rFonts w:ascii="宋体" w:hAnsi="宋体" w:cs="宋体"/>
          <w:b/>
          <w:sz w:val="36"/>
          <w:szCs w:val="36"/>
          <w:highlight w:val="none"/>
        </w:rPr>
      </w:pPr>
    </w:p>
    <w:p>
      <w:pPr>
        <w:ind w:firstLine="0" w:firstLineChars="0"/>
        <w:jc w:val="center"/>
        <w:rPr>
          <w:rFonts w:ascii="宋体" w:hAnsi="宋体" w:cs="宋体"/>
          <w:highlight w:val="none"/>
          <w:u w:val="single"/>
        </w:rPr>
      </w:pPr>
      <w:r>
        <w:rPr>
          <w:rFonts w:hint="eastAsia" w:ascii="宋体" w:hAnsi="宋体" w:cs="宋体"/>
          <w:highlight w:val="none"/>
          <w:lang w:eastAsia="zh-CN"/>
        </w:rPr>
        <w:t>投标人</w:t>
      </w:r>
      <w:r>
        <w:rPr>
          <w:rFonts w:hint="eastAsia" w:ascii="宋体" w:hAnsi="宋体" w:cs="宋体"/>
          <w:highlight w:val="none"/>
        </w:rPr>
        <w:t>：</w:t>
      </w:r>
      <w:r>
        <w:rPr>
          <w:rFonts w:hint="eastAsia" w:ascii="宋体" w:hAnsi="宋体" w:cs="宋体"/>
          <w:highlight w:val="none"/>
          <w:u w:val="single"/>
        </w:rPr>
        <w:t xml:space="preserve">               （加盖公章）</w:t>
      </w:r>
    </w:p>
    <w:p>
      <w:pPr>
        <w:ind w:firstLine="0" w:firstLineChars="0"/>
        <w:jc w:val="center"/>
        <w:rPr>
          <w:rFonts w:ascii="宋体" w:hAnsi="宋体" w:cs="宋体"/>
          <w:highlight w:val="none"/>
          <w:u w:val="single"/>
        </w:rPr>
      </w:pPr>
      <w:r>
        <w:rPr>
          <w:rFonts w:hint="eastAsia" w:ascii="宋体" w:hAnsi="宋体" w:cs="宋体"/>
          <w:highlight w:val="none"/>
        </w:rPr>
        <w:t>法定代表人或授权代理人：</w:t>
      </w:r>
      <w:r>
        <w:rPr>
          <w:rFonts w:hint="eastAsia" w:ascii="宋体" w:hAnsi="宋体" w:cs="宋体"/>
          <w:highlight w:val="none"/>
          <w:u w:val="single"/>
        </w:rPr>
        <w:t xml:space="preserve">   （签字）</w:t>
      </w:r>
    </w:p>
    <w:p>
      <w:pPr>
        <w:ind w:firstLine="0" w:firstLineChars="0"/>
        <w:jc w:val="center"/>
        <w:rPr>
          <w:rFonts w:ascii="宋体" w:hAnsi="宋体" w:cs="宋体"/>
          <w:highlight w:val="none"/>
          <w:u w:val="single"/>
        </w:rPr>
      </w:pPr>
      <w:r>
        <w:rPr>
          <w:rFonts w:hint="eastAsia" w:ascii="宋体" w:hAnsi="宋体" w:cs="宋体"/>
          <w:highlight w:val="none"/>
        </w:rPr>
        <w:t>日期：</w:t>
      </w:r>
      <w:r>
        <w:rPr>
          <w:rFonts w:hint="eastAsia" w:ascii="宋体" w:hAnsi="宋体" w:cs="宋体"/>
          <w:highlight w:val="none"/>
          <w:u w:val="single"/>
        </w:rPr>
        <w:t xml:space="preserve">        </w:t>
      </w:r>
      <w:r>
        <w:rPr>
          <w:rFonts w:hint="eastAsia" w:ascii="宋体" w:hAnsi="宋体" w:cs="宋体"/>
          <w:highlight w:val="none"/>
        </w:rPr>
        <w:t>年</w:t>
      </w:r>
      <w:r>
        <w:rPr>
          <w:rFonts w:hint="eastAsia" w:ascii="宋体" w:hAnsi="宋体" w:cs="宋体"/>
          <w:highlight w:val="none"/>
          <w:u w:val="single"/>
        </w:rPr>
        <w:t xml:space="preserve">      </w:t>
      </w:r>
      <w:r>
        <w:rPr>
          <w:rFonts w:hint="eastAsia" w:ascii="宋体" w:hAnsi="宋体" w:cs="宋体"/>
          <w:highlight w:val="none"/>
        </w:rPr>
        <w:t>月</w:t>
      </w:r>
      <w:r>
        <w:rPr>
          <w:rFonts w:hint="eastAsia" w:ascii="宋体" w:hAnsi="宋体" w:cs="宋体"/>
          <w:highlight w:val="none"/>
          <w:u w:val="single"/>
        </w:rPr>
        <w:t xml:space="preserve">      </w:t>
      </w:r>
      <w:r>
        <w:rPr>
          <w:rFonts w:hint="eastAsia" w:ascii="宋体" w:hAnsi="宋体" w:cs="宋体"/>
          <w:highlight w:val="none"/>
        </w:rPr>
        <w:t>日</w:t>
      </w:r>
    </w:p>
    <w:p>
      <w:pPr>
        <w:pStyle w:val="5"/>
        <w:ind w:firstLine="0" w:firstLineChars="0"/>
        <w:jc w:val="center"/>
        <w:rPr>
          <w:highlight w:val="none"/>
        </w:rPr>
      </w:pPr>
      <w:r>
        <w:rPr>
          <w:rFonts w:hint="eastAsia"/>
          <w:highlight w:val="none"/>
        </w:rPr>
        <w:t>目录</w:t>
      </w:r>
    </w:p>
    <w:p>
      <w:pPr>
        <w:ind w:firstLine="480"/>
        <w:rPr>
          <w:rFonts w:hint="eastAsia"/>
          <w:highlight w:val="none"/>
          <w:lang w:val="en-US" w:eastAsia="zh-CN"/>
        </w:rPr>
      </w:pPr>
      <w:r>
        <w:rPr>
          <w:rFonts w:hint="eastAsia"/>
          <w:highlight w:val="none"/>
          <w:lang w:val="en-US" w:eastAsia="zh-CN"/>
        </w:rPr>
        <w:t>1响应函</w:t>
      </w:r>
    </w:p>
    <w:p>
      <w:pPr>
        <w:pStyle w:val="7"/>
        <w:keepNext w:val="0"/>
        <w:keepLines w:val="0"/>
        <w:pageBreakBefore w:val="0"/>
        <w:widowControl w:val="0"/>
        <w:kinsoku/>
        <w:wordWrap/>
        <w:overflowPunct/>
        <w:topLinePunct w:val="0"/>
        <w:autoSpaceDE/>
        <w:autoSpaceDN/>
        <w:bidi w:val="0"/>
        <w:adjustRightInd/>
        <w:snapToGrid/>
        <w:spacing w:line="200" w:lineRule="atLeast"/>
        <w:textAlignment w:val="auto"/>
        <w:rPr>
          <w:rFonts w:hint="default" w:ascii="Times New Roman" w:hAnsi="Times New Roman" w:eastAsia="宋体" w:cstheme="minorBidi"/>
          <w:kern w:val="2"/>
          <w:sz w:val="24"/>
          <w:szCs w:val="22"/>
          <w:highlight w:val="none"/>
          <w:lang w:val="en-US" w:eastAsia="zh-CN" w:bidi="ar-SA"/>
        </w:rPr>
      </w:pPr>
      <w:r>
        <w:rPr>
          <w:rFonts w:hint="eastAsia" w:cstheme="minorBidi"/>
          <w:kern w:val="2"/>
          <w:sz w:val="24"/>
          <w:szCs w:val="22"/>
          <w:highlight w:val="none"/>
          <w:lang w:val="en-US" w:eastAsia="zh-CN" w:bidi="ar-SA"/>
        </w:rPr>
        <w:t>2分项报价表</w:t>
      </w:r>
    </w:p>
    <w:p>
      <w:pPr>
        <w:pStyle w:val="54"/>
        <w:rPr>
          <w:highlight w:val="none"/>
        </w:rPr>
      </w:pPr>
      <w:r>
        <w:rPr>
          <w:highlight w:val="none"/>
        </w:rPr>
        <w:br w:type="page"/>
      </w:r>
    </w:p>
    <w:p>
      <w:pPr>
        <w:pStyle w:val="5"/>
        <w:ind w:firstLine="0" w:firstLineChars="0"/>
        <w:rPr>
          <w:color w:val="auto"/>
          <w:highlight w:val="none"/>
        </w:rPr>
      </w:pPr>
      <w:r>
        <w:rPr>
          <w:color w:val="auto"/>
          <w:highlight w:val="none"/>
        </w:rPr>
        <w:t>1响应函</w:t>
      </w:r>
    </w:p>
    <w:p>
      <w:pPr>
        <w:spacing w:line="400" w:lineRule="exact"/>
        <w:ind w:firstLine="560"/>
        <w:jc w:val="center"/>
        <w:rPr>
          <w:rFonts w:asciiTheme="minorEastAsia" w:hAnsiTheme="minorEastAsia" w:eastAsiaTheme="minorEastAsia" w:cstheme="minorEastAsia"/>
          <w:b/>
          <w:color w:val="auto"/>
          <w:sz w:val="28"/>
          <w:szCs w:val="28"/>
          <w:highlight w:val="none"/>
        </w:rPr>
      </w:pPr>
      <w:r>
        <w:rPr>
          <w:rFonts w:hint="eastAsia" w:asciiTheme="minorEastAsia" w:hAnsiTheme="minorEastAsia" w:eastAsiaTheme="minorEastAsia" w:cstheme="minorEastAsia"/>
          <w:b/>
          <w:color w:val="auto"/>
          <w:sz w:val="28"/>
          <w:szCs w:val="28"/>
          <w:highlight w:val="none"/>
        </w:rPr>
        <w:t>响应函</w:t>
      </w:r>
    </w:p>
    <w:p>
      <w:pPr>
        <w:ind w:firstLine="0" w:firstLineChars="0"/>
        <w:rPr>
          <w:color w:val="auto"/>
          <w:highlight w:val="none"/>
        </w:rPr>
      </w:pPr>
      <w:r>
        <w:rPr>
          <w:rFonts w:hint="eastAsia"/>
          <w:color w:val="auto"/>
          <w:highlight w:val="none"/>
        </w:rPr>
        <w:t>致</w:t>
      </w:r>
      <w:r>
        <w:rPr>
          <w:rFonts w:hint="eastAsia"/>
          <w:color w:val="auto"/>
          <w:highlight w:val="none"/>
          <w:u w:val="single"/>
        </w:rPr>
        <w:t>南通轨道交通集团有限公司运营分公司</w:t>
      </w:r>
      <w:r>
        <w:rPr>
          <w:rFonts w:hint="eastAsia"/>
          <w:color w:val="auto"/>
          <w:highlight w:val="none"/>
        </w:rPr>
        <w:t>：</w:t>
      </w:r>
    </w:p>
    <w:p>
      <w:pPr>
        <w:ind w:firstLine="480"/>
        <w:rPr>
          <w:color w:val="auto"/>
          <w:highlight w:val="none"/>
        </w:rPr>
      </w:pPr>
      <w:r>
        <w:rPr>
          <w:rFonts w:hint="eastAsia"/>
          <w:color w:val="auto"/>
          <w:highlight w:val="none"/>
        </w:rPr>
        <w:t>我司已仔细阅读研究了</w:t>
      </w:r>
      <w:r>
        <w:rPr>
          <w:rFonts w:hint="eastAsia"/>
          <w:color w:val="auto"/>
          <w:highlight w:val="none"/>
          <w:u w:val="single"/>
          <w:lang w:eastAsia="zh-CN"/>
        </w:rPr>
        <w:t>南通轨道交通集团有限公司运营分公司2026-2029年2号线结构监测委外维保项目</w:t>
      </w:r>
      <w:r>
        <w:rPr>
          <w:rFonts w:hint="eastAsia"/>
          <w:color w:val="auto"/>
          <w:highlight w:val="none"/>
          <w:u w:val="single"/>
        </w:rPr>
        <w:t>（项目编号：</w:t>
      </w:r>
      <w:r>
        <w:rPr>
          <w:rFonts w:hint="eastAsia"/>
          <w:color w:val="auto"/>
          <w:highlight w:val="none"/>
          <w:u w:val="single"/>
          <w:lang w:eastAsia="zh-CN"/>
        </w:rPr>
        <w:t>NTGY-2026-FW-ZB-034</w:t>
      </w:r>
      <w:r>
        <w:rPr>
          <w:rFonts w:hint="eastAsia"/>
          <w:color w:val="auto"/>
          <w:highlight w:val="none"/>
          <w:u w:val="single"/>
        </w:rPr>
        <w:t>）</w:t>
      </w:r>
      <w:r>
        <w:rPr>
          <w:rFonts w:hint="eastAsia"/>
          <w:color w:val="auto"/>
          <w:highlight w:val="none"/>
          <w:lang w:eastAsia="zh-CN"/>
        </w:rPr>
        <w:t>招标文件</w:t>
      </w:r>
      <w:r>
        <w:rPr>
          <w:rFonts w:hint="eastAsia"/>
          <w:color w:val="auto"/>
          <w:highlight w:val="none"/>
        </w:rPr>
        <w:t>的全部内容，愿以含税价人民币（大写）</w:t>
      </w:r>
      <w:r>
        <w:rPr>
          <w:rFonts w:hint="eastAsia"/>
          <w:color w:val="auto"/>
          <w:highlight w:val="none"/>
          <w:u w:val="single"/>
        </w:rPr>
        <w:t xml:space="preserve"> </w:t>
      </w:r>
      <w:r>
        <w:rPr>
          <w:color w:val="auto"/>
          <w:highlight w:val="none"/>
          <w:u w:val="single"/>
        </w:rPr>
        <w:t xml:space="preserve">         </w:t>
      </w:r>
      <w:r>
        <w:rPr>
          <w:rFonts w:hint="eastAsia"/>
          <w:color w:val="auto"/>
          <w:highlight w:val="none"/>
        </w:rPr>
        <w:t>（¥</w:t>
      </w:r>
      <w:r>
        <w:rPr>
          <w:color w:val="auto"/>
          <w:highlight w:val="none"/>
          <w:u w:val="single"/>
        </w:rPr>
        <w:t xml:space="preserve">         </w:t>
      </w:r>
      <w:r>
        <w:rPr>
          <w:rFonts w:hint="eastAsia"/>
          <w:color w:val="auto"/>
          <w:highlight w:val="none"/>
        </w:rPr>
        <w:t>元）的总报价（其中，增值税税率</w:t>
      </w:r>
      <w:r>
        <w:rPr>
          <w:rFonts w:hint="eastAsia"/>
          <w:color w:val="auto"/>
          <w:highlight w:val="none"/>
          <w:u w:val="single"/>
        </w:rPr>
        <w:t xml:space="preserve"> </w:t>
      </w:r>
      <w:r>
        <w:rPr>
          <w:color w:val="auto"/>
          <w:highlight w:val="none"/>
          <w:u w:val="single"/>
        </w:rPr>
        <w:t xml:space="preserve"> </w:t>
      </w:r>
      <w:r>
        <w:rPr>
          <w:color w:val="auto"/>
          <w:highlight w:val="none"/>
        </w:rPr>
        <w:t>%</w:t>
      </w:r>
      <w:r>
        <w:rPr>
          <w:rFonts w:hint="eastAsia"/>
          <w:color w:val="auto"/>
          <w:highlight w:val="none"/>
        </w:rPr>
        <w:t>），提供本项目</w:t>
      </w:r>
      <w:r>
        <w:rPr>
          <w:rFonts w:hint="eastAsia"/>
          <w:color w:val="auto"/>
          <w:highlight w:val="none"/>
          <w:lang w:eastAsia="zh-CN"/>
        </w:rPr>
        <w:t>招标文件</w:t>
      </w:r>
      <w:r>
        <w:rPr>
          <w:rFonts w:hint="eastAsia"/>
          <w:color w:val="auto"/>
          <w:highlight w:val="none"/>
        </w:rPr>
        <w:t>要求的所有内容，并按合同约定履行义务。</w:t>
      </w:r>
    </w:p>
    <w:p>
      <w:pPr>
        <w:ind w:firstLine="480"/>
        <w:rPr>
          <w:color w:val="auto"/>
          <w:highlight w:val="none"/>
        </w:rPr>
      </w:pPr>
      <w:r>
        <w:rPr>
          <w:rFonts w:hint="eastAsia"/>
          <w:color w:val="auto"/>
          <w:highlight w:val="none"/>
        </w:rPr>
        <w:t>一、本</w:t>
      </w:r>
      <w:r>
        <w:rPr>
          <w:rFonts w:hint="eastAsia"/>
          <w:color w:val="auto"/>
          <w:highlight w:val="none"/>
          <w:lang w:eastAsia="zh-CN"/>
        </w:rPr>
        <w:t>投标文件</w:t>
      </w:r>
      <w:r>
        <w:rPr>
          <w:rFonts w:hint="eastAsia"/>
          <w:color w:val="auto"/>
          <w:highlight w:val="none"/>
        </w:rPr>
        <w:t>自递交</w:t>
      </w:r>
      <w:r>
        <w:rPr>
          <w:rFonts w:hint="eastAsia"/>
          <w:color w:val="auto"/>
          <w:highlight w:val="none"/>
          <w:lang w:eastAsia="zh-CN"/>
        </w:rPr>
        <w:t>投标文件</w:t>
      </w:r>
      <w:r>
        <w:rPr>
          <w:rFonts w:hint="eastAsia"/>
          <w:color w:val="auto"/>
          <w:highlight w:val="none"/>
        </w:rPr>
        <w:t>的截止时间起</w:t>
      </w:r>
      <w:r>
        <w:rPr>
          <w:rFonts w:hint="eastAsia"/>
          <w:color w:val="auto"/>
          <w:highlight w:val="none"/>
          <w:u w:val="single"/>
        </w:rPr>
        <w:t>90</w:t>
      </w:r>
      <w:r>
        <w:rPr>
          <w:rFonts w:hint="eastAsia"/>
          <w:color w:val="auto"/>
          <w:highlight w:val="none"/>
        </w:rPr>
        <w:t>日内有效。</w:t>
      </w:r>
    </w:p>
    <w:p>
      <w:pPr>
        <w:ind w:firstLine="480"/>
        <w:rPr>
          <w:color w:val="auto"/>
          <w:highlight w:val="none"/>
        </w:rPr>
      </w:pPr>
      <w:r>
        <w:rPr>
          <w:rFonts w:hint="eastAsia"/>
          <w:color w:val="auto"/>
          <w:highlight w:val="none"/>
        </w:rPr>
        <w:t>二、我司认为贵司有权决定</w:t>
      </w:r>
      <w:r>
        <w:rPr>
          <w:rFonts w:hint="eastAsia"/>
          <w:color w:val="auto"/>
          <w:highlight w:val="none"/>
          <w:lang w:eastAsia="zh-CN"/>
        </w:rPr>
        <w:t>中标人</w:t>
      </w:r>
      <w:r>
        <w:rPr>
          <w:rFonts w:hint="eastAsia"/>
          <w:color w:val="auto"/>
          <w:highlight w:val="none"/>
        </w:rPr>
        <w:t>，还认为贵司有权接受或拒绝所有的响应</w:t>
      </w:r>
      <w:r>
        <w:rPr>
          <w:rFonts w:hint="eastAsia"/>
          <w:color w:val="auto"/>
          <w:highlight w:val="none"/>
          <w:lang w:eastAsia="zh-CN"/>
        </w:rPr>
        <w:t>投标人</w:t>
      </w:r>
      <w:r>
        <w:rPr>
          <w:rFonts w:hint="eastAsia"/>
          <w:color w:val="auto"/>
          <w:highlight w:val="none"/>
        </w:rPr>
        <w:t>。</w:t>
      </w:r>
    </w:p>
    <w:p>
      <w:pPr>
        <w:ind w:firstLine="480"/>
        <w:rPr>
          <w:color w:val="auto"/>
          <w:highlight w:val="none"/>
        </w:rPr>
      </w:pPr>
      <w:r>
        <w:rPr>
          <w:rFonts w:hint="eastAsia"/>
          <w:color w:val="auto"/>
          <w:highlight w:val="none"/>
        </w:rPr>
        <w:t>三、我司愿提供</w:t>
      </w:r>
      <w:r>
        <w:rPr>
          <w:rFonts w:hint="eastAsia"/>
          <w:color w:val="auto"/>
          <w:highlight w:val="none"/>
          <w:lang w:eastAsia="zh-CN"/>
        </w:rPr>
        <w:t>招标文件</w:t>
      </w:r>
      <w:r>
        <w:rPr>
          <w:rFonts w:hint="eastAsia"/>
          <w:color w:val="auto"/>
          <w:highlight w:val="none"/>
        </w:rPr>
        <w:t>中要求的全部资料，并配合</w:t>
      </w:r>
      <w:r>
        <w:rPr>
          <w:rFonts w:hint="eastAsia"/>
          <w:color w:val="auto"/>
          <w:highlight w:val="none"/>
          <w:lang w:eastAsia="zh-CN"/>
        </w:rPr>
        <w:t>招标人</w:t>
      </w:r>
      <w:r>
        <w:rPr>
          <w:rFonts w:hint="eastAsia"/>
          <w:color w:val="auto"/>
          <w:highlight w:val="none"/>
        </w:rPr>
        <w:t>对资料的真实性进行验证。</w:t>
      </w:r>
    </w:p>
    <w:p>
      <w:pPr>
        <w:ind w:firstLine="480"/>
        <w:rPr>
          <w:color w:val="auto"/>
          <w:highlight w:val="none"/>
        </w:rPr>
      </w:pPr>
      <w:r>
        <w:rPr>
          <w:rFonts w:hint="eastAsia"/>
          <w:color w:val="auto"/>
          <w:highlight w:val="none"/>
        </w:rPr>
        <w:t>四、</w:t>
      </w:r>
      <w:r>
        <w:rPr>
          <w:color w:val="auto"/>
          <w:highlight w:val="none"/>
        </w:rPr>
        <w:t>如我</w:t>
      </w:r>
      <w:r>
        <w:rPr>
          <w:rFonts w:hint="eastAsia"/>
          <w:color w:val="auto"/>
          <w:highlight w:val="none"/>
        </w:rPr>
        <w:t>司成为</w:t>
      </w:r>
      <w:r>
        <w:rPr>
          <w:rFonts w:hint="eastAsia"/>
          <w:color w:val="auto"/>
          <w:highlight w:val="none"/>
          <w:lang w:eastAsia="zh-CN"/>
        </w:rPr>
        <w:t>中标人</w:t>
      </w:r>
      <w:r>
        <w:rPr>
          <w:color w:val="auto"/>
          <w:highlight w:val="none"/>
        </w:rPr>
        <w:t>，我方承诺：</w:t>
      </w:r>
    </w:p>
    <w:p>
      <w:pPr>
        <w:ind w:firstLine="480"/>
        <w:rPr>
          <w:color w:val="auto"/>
          <w:highlight w:val="none"/>
        </w:rPr>
      </w:pPr>
      <w:r>
        <w:rPr>
          <w:rFonts w:hint="eastAsia"/>
          <w:color w:val="auto"/>
          <w:highlight w:val="none"/>
        </w:rPr>
        <w:t>（1）</w:t>
      </w:r>
      <w:r>
        <w:rPr>
          <w:color w:val="auto"/>
          <w:highlight w:val="none"/>
        </w:rPr>
        <w:t>在收到</w:t>
      </w:r>
      <w:r>
        <w:rPr>
          <w:rFonts w:hint="eastAsia"/>
          <w:color w:val="auto"/>
          <w:highlight w:val="none"/>
        </w:rPr>
        <w:t>成交</w:t>
      </w:r>
      <w:r>
        <w:rPr>
          <w:color w:val="auto"/>
          <w:highlight w:val="none"/>
        </w:rPr>
        <w:t>通知书后，在</w:t>
      </w:r>
      <w:r>
        <w:rPr>
          <w:rFonts w:hint="eastAsia"/>
          <w:color w:val="auto"/>
          <w:highlight w:val="none"/>
        </w:rPr>
        <w:t>成交</w:t>
      </w:r>
      <w:r>
        <w:rPr>
          <w:color w:val="auto"/>
          <w:highlight w:val="none"/>
        </w:rPr>
        <w:t>通知书规定的期限内与</w:t>
      </w:r>
      <w:r>
        <w:rPr>
          <w:rFonts w:hint="eastAsia"/>
          <w:color w:val="auto"/>
          <w:highlight w:val="none"/>
        </w:rPr>
        <w:t>贵司</w:t>
      </w:r>
      <w:r>
        <w:rPr>
          <w:color w:val="auto"/>
          <w:highlight w:val="none"/>
        </w:rPr>
        <w:t>签订合同；</w:t>
      </w:r>
    </w:p>
    <w:p>
      <w:pPr>
        <w:ind w:firstLine="480"/>
        <w:rPr>
          <w:color w:val="auto"/>
          <w:highlight w:val="none"/>
        </w:rPr>
      </w:pPr>
      <w:r>
        <w:rPr>
          <w:color w:val="auto"/>
          <w:highlight w:val="none"/>
        </w:rPr>
        <w:t>（2）在签订合同时不向</w:t>
      </w:r>
      <w:r>
        <w:rPr>
          <w:rFonts w:hint="eastAsia"/>
          <w:color w:val="auto"/>
          <w:highlight w:val="none"/>
        </w:rPr>
        <w:t>贵司</w:t>
      </w:r>
      <w:r>
        <w:rPr>
          <w:color w:val="auto"/>
          <w:highlight w:val="none"/>
        </w:rPr>
        <w:t>提出附加条件；</w:t>
      </w:r>
    </w:p>
    <w:p>
      <w:pPr>
        <w:ind w:firstLine="480"/>
        <w:rPr>
          <w:color w:val="auto"/>
          <w:highlight w:val="none"/>
        </w:rPr>
      </w:pPr>
      <w:r>
        <w:rPr>
          <w:color w:val="auto"/>
          <w:highlight w:val="none"/>
        </w:rPr>
        <w:t>（3）按照</w:t>
      </w:r>
      <w:r>
        <w:rPr>
          <w:rFonts w:hint="eastAsia"/>
          <w:color w:val="auto"/>
          <w:highlight w:val="none"/>
          <w:lang w:eastAsia="zh-CN"/>
        </w:rPr>
        <w:t>招标文件</w:t>
      </w:r>
      <w:r>
        <w:rPr>
          <w:color w:val="auto"/>
          <w:highlight w:val="none"/>
        </w:rPr>
        <w:t>要求提交履约保证金；</w:t>
      </w:r>
    </w:p>
    <w:p>
      <w:pPr>
        <w:ind w:firstLine="480"/>
        <w:rPr>
          <w:color w:val="auto"/>
          <w:highlight w:val="none"/>
        </w:rPr>
      </w:pPr>
      <w:r>
        <w:rPr>
          <w:color w:val="auto"/>
          <w:highlight w:val="none"/>
        </w:rPr>
        <w:t>（4）在合同约定的期限内完成合同规定的全部义务。</w:t>
      </w:r>
    </w:p>
    <w:p>
      <w:pPr>
        <w:ind w:firstLine="480"/>
        <w:rPr>
          <w:color w:val="auto"/>
          <w:highlight w:val="none"/>
        </w:rPr>
      </w:pPr>
    </w:p>
    <w:p>
      <w:pPr>
        <w:ind w:firstLine="480"/>
        <w:jc w:val="right"/>
        <w:rPr>
          <w:color w:val="auto"/>
          <w:highlight w:val="none"/>
        </w:rPr>
      </w:pPr>
      <w:r>
        <w:rPr>
          <w:rFonts w:hint="eastAsia"/>
          <w:color w:val="auto"/>
          <w:highlight w:val="none"/>
          <w:lang w:eastAsia="zh-CN"/>
        </w:rPr>
        <w:t>投标人</w:t>
      </w:r>
      <w:r>
        <w:rPr>
          <w:rFonts w:hint="eastAsia"/>
          <w:color w:val="auto"/>
          <w:highlight w:val="none"/>
        </w:rPr>
        <w:t>： （加盖公章）</w:t>
      </w:r>
    </w:p>
    <w:p>
      <w:pPr>
        <w:ind w:firstLine="480"/>
        <w:jc w:val="right"/>
        <w:rPr>
          <w:color w:val="auto"/>
          <w:highlight w:val="none"/>
        </w:rPr>
      </w:pPr>
      <w:r>
        <w:rPr>
          <w:rFonts w:hint="eastAsia"/>
          <w:color w:val="auto"/>
          <w:highlight w:val="none"/>
        </w:rPr>
        <w:t>法定代表人或授权代理人：（签字或盖章）</w:t>
      </w:r>
    </w:p>
    <w:p>
      <w:pPr>
        <w:wordWrap w:val="0"/>
        <w:ind w:firstLine="480"/>
        <w:jc w:val="right"/>
        <w:rPr>
          <w:color w:val="auto"/>
          <w:highlight w:val="none"/>
        </w:rPr>
      </w:pPr>
      <w:r>
        <w:rPr>
          <w:rFonts w:hint="eastAsia"/>
          <w:color w:val="auto"/>
          <w:highlight w:val="none"/>
        </w:rPr>
        <w:t xml:space="preserve">地址： </w:t>
      </w:r>
      <w:r>
        <w:rPr>
          <w:color w:val="auto"/>
          <w:highlight w:val="none"/>
        </w:rPr>
        <w:t xml:space="preserve"> </w:t>
      </w:r>
      <w:r>
        <w:rPr>
          <w:rFonts w:hint="eastAsia"/>
          <w:color w:val="auto"/>
          <w:highlight w:val="none"/>
        </w:rPr>
        <w:t xml:space="preserve"> </w:t>
      </w:r>
      <w:r>
        <w:rPr>
          <w:color w:val="auto"/>
          <w:highlight w:val="none"/>
        </w:rPr>
        <w:t xml:space="preserve">          </w:t>
      </w:r>
    </w:p>
    <w:p>
      <w:pPr>
        <w:wordWrap w:val="0"/>
        <w:ind w:firstLine="480"/>
        <w:jc w:val="right"/>
        <w:rPr>
          <w:color w:val="auto"/>
          <w:highlight w:val="none"/>
        </w:rPr>
      </w:pPr>
      <w:r>
        <w:rPr>
          <w:rFonts w:hint="eastAsia"/>
          <w:color w:val="auto"/>
          <w:highlight w:val="none"/>
        </w:rPr>
        <w:t xml:space="preserve">电话： </w:t>
      </w:r>
      <w:r>
        <w:rPr>
          <w:color w:val="auto"/>
          <w:highlight w:val="none"/>
        </w:rPr>
        <w:t xml:space="preserve"> </w:t>
      </w:r>
      <w:r>
        <w:rPr>
          <w:rFonts w:hint="eastAsia"/>
          <w:color w:val="auto"/>
          <w:highlight w:val="none"/>
        </w:rPr>
        <w:t xml:space="preserve"> </w:t>
      </w:r>
      <w:r>
        <w:rPr>
          <w:color w:val="auto"/>
          <w:highlight w:val="none"/>
        </w:rPr>
        <w:t xml:space="preserve">          </w:t>
      </w:r>
    </w:p>
    <w:p>
      <w:pPr>
        <w:tabs>
          <w:tab w:val="left" w:pos="3296"/>
          <w:tab w:val="right" w:pos="8426"/>
        </w:tabs>
        <w:wordWrap w:val="0"/>
        <w:ind w:firstLine="480"/>
        <w:jc w:val="left"/>
        <w:rPr>
          <w:color w:val="auto"/>
          <w:highlight w:val="none"/>
        </w:rPr>
      </w:pPr>
      <w:r>
        <w:rPr>
          <w:rFonts w:hint="eastAsia"/>
          <w:color w:val="auto"/>
          <w:highlight w:val="none"/>
        </w:rPr>
        <w:tab/>
      </w:r>
      <w:r>
        <w:rPr>
          <w:rFonts w:hint="eastAsia"/>
          <w:color w:val="auto"/>
          <w:highlight w:val="none"/>
        </w:rPr>
        <w:tab/>
      </w:r>
      <w:r>
        <w:rPr>
          <w:rFonts w:hint="eastAsia"/>
          <w:color w:val="auto"/>
          <w:highlight w:val="none"/>
          <w:lang w:val="en-US" w:eastAsia="zh-CN"/>
        </w:rPr>
        <w:t xml:space="preserve">     </w:t>
      </w:r>
      <w:r>
        <w:rPr>
          <w:rFonts w:hint="eastAsia"/>
          <w:color w:val="auto"/>
          <w:highlight w:val="none"/>
        </w:rPr>
        <w:t>公司邮箱：</w:t>
      </w:r>
      <w:r>
        <w:rPr>
          <w:rFonts w:hint="eastAsia"/>
          <w:color w:val="auto"/>
          <w:highlight w:val="none"/>
          <w:lang w:val="en-US" w:eastAsia="zh-CN"/>
        </w:rPr>
        <w:t xml:space="preserve"> </w:t>
      </w:r>
      <w:r>
        <w:rPr>
          <w:color w:val="auto"/>
          <w:highlight w:val="none"/>
        </w:rPr>
        <w:t xml:space="preserve">      </w:t>
      </w:r>
    </w:p>
    <w:p>
      <w:pPr>
        <w:pStyle w:val="5"/>
        <w:ind w:firstLine="0" w:firstLineChars="0"/>
        <w:jc w:val="right"/>
        <w:rPr>
          <w:rFonts w:hint="eastAsia" w:ascii="Times New Roman" w:hAnsi="Times New Roman" w:eastAsia="宋体" w:cstheme="minorBidi"/>
          <w:b w:val="0"/>
          <w:bCs w:val="0"/>
          <w:color w:val="auto"/>
          <w:kern w:val="2"/>
          <w:sz w:val="24"/>
          <w:szCs w:val="22"/>
          <w:highlight w:val="none"/>
          <w:lang w:val="en-US" w:eastAsia="zh-CN" w:bidi="ar-SA"/>
        </w:rPr>
      </w:pPr>
      <w:r>
        <w:rPr>
          <w:rFonts w:hint="eastAsia" w:ascii="Times New Roman" w:hAnsi="Times New Roman" w:eastAsia="宋体" w:cstheme="minorBidi"/>
          <w:b w:val="0"/>
          <w:bCs w:val="0"/>
          <w:color w:val="auto"/>
          <w:kern w:val="2"/>
          <w:sz w:val="24"/>
          <w:szCs w:val="22"/>
          <w:highlight w:val="none"/>
          <w:lang w:val="en-US" w:eastAsia="zh-CN" w:bidi="ar-SA"/>
        </w:rPr>
        <w:t>年  　月　  日</w:t>
      </w:r>
    </w:p>
    <w:p>
      <w:pPr>
        <w:rPr>
          <w:highlight w:val="none"/>
          <w:lang w:val="en-US" w:eastAsia="zh-CN"/>
        </w:rPr>
      </w:pPr>
    </w:p>
    <w:p>
      <w:pPr>
        <w:rPr>
          <w:highlight w:val="none"/>
          <w:lang w:val="en-US" w:eastAsia="zh-CN"/>
        </w:rPr>
      </w:pPr>
    </w:p>
    <w:p>
      <w:pPr>
        <w:rPr>
          <w:highlight w:val="none"/>
          <w:lang w:val="en-US" w:eastAsia="zh-CN"/>
        </w:rPr>
      </w:pPr>
    </w:p>
    <w:p>
      <w:pPr>
        <w:rPr>
          <w:highlight w:val="none"/>
          <w:lang w:val="en-US" w:eastAsia="zh-CN"/>
        </w:rPr>
      </w:pPr>
    </w:p>
    <w:p>
      <w:pPr>
        <w:rPr>
          <w:highlight w:val="none"/>
          <w:lang w:val="en-US" w:eastAsia="zh-CN"/>
        </w:rPr>
      </w:pPr>
    </w:p>
    <w:p>
      <w:pPr>
        <w:rPr>
          <w:highlight w:val="none"/>
          <w:lang w:val="en-US" w:eastAsia="zh-CN"/>
        </w:rPr>
      </w:pPr>
    </w:p>
    <w:p>
      <w:pPr>
        <w:pStyle w:val="5"/>
        <w:ind w:firstLine="0" w:firstLineChars="0"/>
        <w:rPr>
          <w:rFonts w:hint="eastAsia"/>
          <w:color w:val="auto"/>
          <w:highlight w:val="none"/>
          <w:lang w:val="en-US" w:eastAsia="zh-CN"/>
        </w:rPr>
      </w:pPr>
      <w:r>
        <w:rPr>
          <w:rFonts w:hint="eastAsia"/>
          <w:color w:val="auto"/>
          <w:highlight w:val="none"/>
          <w:lang w:val="en-US" w:eastAsia="zh-CN"/>
        </w:rPr>
        <w:t>2分项报价表</w:t>
      </w:r>
    </w:p>
    <w:p>
      <w:pPr>
        <w:pStyle w:val="5"/>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olor w:val="auto"/>
          <w:sz w:val="28"/>
          <w:szCs w:val="36"/>
          <w:highlight w:val="none"/>
          <w:lang w:val="en-US" w:eastAsia="zh-CN"/>
        </w:rPr>
      </w:pPr>
      <w:r>
        <w:rPr>
          <w:rFonts w:hint="eastAsia"/>
          <w:color w:val="auto"/>
          <w:sz w:val="28"/>
          <w:szCs w:val="36"/>
          <w:highlight w:val="none"/>
          <w:lang w:val="en-US" w:eastAsia="zh-CN"/>
        </w:rPr>
        <w:t>分项报价表</w:t>
      </w:r>
    </w:p>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eastAsia" w:cstheme="minorBidi"/>
          <w:kern w:val="2"/>
          <w:sz w:val="22"/>
          <w:szCs w:val="22"/>
          <w:highlight w:val="none"/>
          <w:lang w:val="en-US" w:eastAsia="zh-CN" w:bidi="ar-SA"/>
        </w:rPr>
      </w:pPr>
      <w:r>
        <w:rPr>
          <w:rFonts w:hint="eastAsia" w:cstheme="minorBidi"/>
          <w:kern w:val="2"/>
          <w:sz w:val="22"/>
          <w:szCs w:val="22"/>
          <w:highlight w:val="none"/>
          <w:lang w:val="en-US" w:eastAsia="zh-CN" w:bidi="ar-SA"/>
        </w:rPr>
        <w:t>项目名称：</w:t>
      </w:r>
    </w:p>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eastAsia" w:cstheme="minorBidi"/>
          <w:kern w:val="2"/>
          <w:sz w:val="22"/>
          <w:szCs w:val="22"/>
          <w:highlight w:val="none"/>
          <w:lang w:val="en-US" w:eastAsia="zh-CN" w:bidi="ar-SA"/>
        </w:rPr>
      </w:pPr>
    </w:p>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eastAsia" w:cstheme="minorBidi"/>
          <w:kern w:val="2"/>
          <w:sz w:val="22"/>
          <w:szCs w:val="22"/>
          <w:highlight w:val="none"/>
          <w:lang w:val="en-US" w:eastAsia="zh-CN" w:bidi="ar-SA"/>
        </w:rPr>
      </w:pPr>
      <w:r>
        <w:rPr>
          <w:rFonts w:hint="eastAsia" w:cstheme="minorBidi"/>
          <w:kern w:val="2"/>
          <w:sz w:val="22"/>
          <w:szCs w:val="22"/>
          <w:highlight w:val="none"/>
          <w:lang w:val="en-US" w:eastAsia="zh-CN" w:bidi="ar-SA"/>
        </w:rPr>
        <w:t>项目编号：</w:t>
      </w:r>
    </w:p>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cstheme="minorBidi"/>
          <w:kern w:val="2"/>
          <w:sz w:val="22"/>
          <w:szCs w:val="22"/>
          <w:highlight w:val="none"/>
          <w:lang w:val="en-US" w:eastAsia="zh-CN" w:bidi="ar-SA"/>
        </w:rPr>
      </w:pPr>
    </w:p>
    <w:tbl>
      <w:tblPr>
        <w:tblStyle w:val="25"/>
        <w:tblW w:w="5669"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524"/>
        <w:gridCol w:w="2506"/>
        <w:gridCol w:w="835"/>
        <w:gridCol w:w="1261"/>
        <w:gridCol w:w="753"/>
        <w:gridCol w:w="1263"/>
        <w:gridCol w:w="593"/>
        <w:gridCol w:w="1090"/>
        <w:gridCol w:w="108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40" w:hRule="atLeast"/>
          <w:jc w:val="center"/>
        </w:trPr>
        <w:tc>
          <w:tcPr>
            <w:tcW w:w="26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b/>
                <w:bCs/>
                <w:color w:val="auto"/>
                <w:sz w:val="21"/>
                <w:szCs w:val="21"/>
                <w:highlight w:val="none"/>
                <w:lang w:val="en-US" w:eastAsia="zh-CN"/>
              </w:rPr>
            </w:pPr>
            <w:r>
              <w:rPr>
                <w:rFonts w:hint="eastAsia" w:ascii="宋体" w:hAnsi="宋体" w:eastAsia="宋体" w:cs="宋体"/>
                <w:b/>
                <w:bCs/>
                <w:i w:val="0"/>
                <w:iCs w:val="0"/>
                <w:color w:val="auto"/>
                <w:kern w:val="0"/>
                <w:sz w:val="21"/>
                <w:szCs w:val="21"/>
                <w:highlight w:val="none"/>
                <w:u w:val="none"/>
                <w:lang w:val="en-US" w:eastAsia="zh-CN" w:bidi="ar"/>
              </w:rPr>
              <w:t>序号</w:t>
            </w:r>
          </w:p>
        </w:tc>
        <w:tc>
          <w:tcPr>
            <w:tcW w:w="126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项目名称</w:t>
            </w:r>
          </w:p>
        </w:tc>
        <w:tc>
          <w:tcPr>
            <w:tcW w:w="42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b/>
                <w:bCs/>
                <w:i w:val="0"/>
                <w:iCs w:val="0"/>
                <w:color w:val="auto"/>
                <w:sz w:val="21"/>
                <w:szCs w:val="21"/>
                <w:highlight w:val="none"/>
                <w:u w:val="none"/>
                <w:lang w:val="en-US" w:eastAsia="zh-CN" w:bidi="ar-SA"/>
              </w:rPr>
            </w:pPr>
            <w:r>
              <w:rPr>
                <w:rFonts w:hint="eastAsia" w:ascii="宋体" w:hAnsi="宋体" w:eastAsia="宋体" w:cs="宋体"/>
                <w:b/>
                <w:bCs/>
                <w:i w:val="0"/>
                <w:iCs w:val="0"/>
                <w:color w:val="auto"/>
                <w:kern w:val="0"/>
                <w:sz w:val="21"/>
                <w:szCs w:val="21"/>
                <w:highlight w:val="none"/>
                <w:u w:val="none"/>
                <w:lang w:val="en-US" w:eastAsia="zh-CN" w:bidi="ar"/>
              </w:rPr>
              <w:t>单次工作量</w:t>
            </w:r>
          </w:p>
        </w:tc>
        <w:tc>
          <w:tcPr>
            <w:tcW w:w="63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监测频次</w:t>
            </w:r>
          </w:p>
        </w:tc>
        <w:tc>
          <w:tcPr>
            <w:tcW w:w="3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b/>
                <w:bCs/>
                <w:i w:val="0"/>
                <w:iCs w:val="0"/>
                <w:color w:val="auto"/>
                <w:sz w:val="21"/>
                <w:szCs w:val="21"/>
                <w:highlight w:val="none"/>
                <w:u w:val="none"/>
                <w:lang w:val="en-US" w:eastAsia="zh-CN" w:bidi="ar-SA"/>
              </w:rPr>
            </w:pPr>
            <w:r>
              <w:rPr>
                <w:rFonts w:hint="eastAsia" w:ascii="宋体" w:hAnsi="宋体" w:eastAsia="宋体" w:cs="宋体"/>
                <w:b/>
                <w:bCs/>
                <w:i w:val="0"/>
                <w:iCs w:val="0"/>
                <w:color w:val="auto"/>
                <w:kern w:val="0"/>
                <w:sz w:val="21"/>
                <w:szCs w:val="21"/>
                <w:highlight w:val="none"/>
                <w:u w:val="none"/>
                <w:lang w:val="en-US" w:eastAsia="zh-CN" w:bidi="ar"/>
              </w:rPr>
              <w:t>监测次数</w:t>
            </w:r>
          </w:p>
        </w:tc>
        <w:tc>
          <w:tcPr>
            <w:tcW w:w="637" w:type="pct"/>
            <w:tcBorders>
              <w:top w:val="single" w:color="000000" w:sz="4" w:space="0"/>
              <w:left w:val="single" w:color="000000" w:sz="4" w:space="0"/>
              <w:bottom w:val="single" w:color="000000" w:sz="4" w:space="0"/>
              <w:right w:val="single" w:color="auto" w:sz="4" w:space="0"/>
            </w:tcBorders>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合计工作量</w:t>
            </w:r>
          </w:p>
        </w:tc>
        <w:tc>
          <w:tcPr>
            <w:tcW w:w="299" w:type="pct"/>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b/>
                <w:bCs/>
                <w:i w:val="0"/>
                <w:iCs w:val="0"/>
                <w:color w:val="auto"/>
                <w:sz w:val="21"/>
                <w:szCs w:val="21"/>
                <w:highlight w:val="none"/>
                <w:u w:val="none"/>
                <w:lang w:val="en-US" w:eastAsia="zh-CN" w:bidi="ar-SA"/>
              </w:rPr>
            </w:pPr>
            <w:r>
              <w:rPr>
                <w:rFonts w:hint="eastAsia" w:ascii="宋体" w:hAnsi="宋体" w:eastAsia="宋体" w:cs="宋体"/>
                <w:b/>
                <w:bCs/>
                <w:i w:val="0"/>
                <w:iCs w:val="0"/>
                <w:color w:val="auto"/>
                <w:kern w:val="0"/>
                <w:sz w:val="21"/>
                <w:szCs w:val="21"/>
                <w:highlight w:val="none"/>
                <w:u w:val="none"/>
                <w:lang w:val="en-US" w:eastAsia="zh-CN" w:bidi="ar"/>
              </w:rPr>
              <w:t>单位</w:t>
            </w:r>
          </w:p>
        </w:tc>
        <w:tc>
          <w:tcPr>
            <w:tcW w:w="547" w:type="pct"/>
            <w:tcBorders>
              <w:top w:val="single" w:color="000000" w:sz="4" w:space="0"/>
              <w:left w:val="single" w:color="auto" w:sz="4" w:space="0"/>
              <w:bottom w:val="single" w:color="000000" w:sz="4" w:space="0"/>
              <w:right w:val="single" w:color="000000" w:sz="4" w:space="0"/>
            </w:tcBorders>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cs="宋体"/>
                <w:b/>
                <w:bCs/>
                <w:i w:val="0"/>
                <w:iCs w:val="0"/>
                <w:color w:val="auto"/>
                <w:kern w:val="0"/>
                <w:sz w:val="21"/>
                <w:szCs w:val="21"/>
                <w:highlight w:val="none"/>
                <w:u w:val="none"/>
                <w:lang w:val="en-US" w:eastAsia="zh-CN" w:bidi="ar"/>
              </w:rPr>
              <w:t>单价（元）</w:t>
            </w:r>
          </w:p>
        </w:tc>
        <w:tc>
          <w:tcPr>
            <w:tcW w:w="547" w:type="pct"/>
            <w:tcBorders>
              <w:top w:val="single" w:color="000000" w:sz="4" w:space="0"/>
              <w:left w:val="single" w:color="auto" w:sz="4" w:space="0"/>
              <w:bottom w:val="single" w:color="000000" w:sz="4" w:space="0"/>
              <w:right w:val="single" w:color="000000" w:sz="4" w:space="0"/>
            </w:tcBorders>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cs="宋体"/>
                <w:b/>
                <w:bCs/>
                <w:i w:val="0"/>
                <w:iCs w:val="0"/>
                <w:color w:val="auto"/>
                <w:kern w:val="0"/>
                <w:sz w:val="21"/>
                <w:szCs w:val="21"/>
                <w:highlight w:val="none"/>
                <w:u w:val="none"/>
                <w:lang w:val="en-US" w:eastAsia="zh-CN" w:bidi="ar"/>
              </w:rPr>
              <w:t>合价（元）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2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一</w:t>
            </w:r>
          </w:p>
        </w:tc>
        <w:tc>
          <w:tcPr>
            <w:tcW w:w="126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沉降监测</w:t>
            </w:r>
          </w:p>
        </w:tc>
        <w:tc>
          <w:tcPr>
            <w:tcW w:w="4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宋体" w:hAnsi="宋体" w:eastAsia="宋体" w:cs="宋体"/>
                <w:i w:val="0"/>
                <w:iCs w:val="0"/>
                <w:color w:val="auto"/>
                <w:sz w:val="21"/>
                <w:szCs w:val="21"/>
                <w:highlight w:val="none"/>
                <w:u w:val="none"/>
                <w:lang w:val="en-US" w:eastAsia="zh-CN" w:bidi="ar-SA"/>
              </w:rPr>
            </w:pPr>
          </w:p>
        </w:tc>
        <w:tc>
          <w:tcPr>
            <w:tcW w:w="6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宋体" w:hAnsi="宋体" w:eastAsia="宋体" w:cs="宋体"/>
                <w:i w:val="0"/>
                <w:iCs w:val="0"/>
                <w:color w:val="auto"/>
                <w:sz w:val="21"/>
                <w:szCs w:val="21"/>
                <w:highlight w:val="none"/>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宋体" w:hAnsi="宋体" w:eastAsia="宋体" w:cs="宋体"/>
                <w:i w:val="0"/>
                <w:iCs w:val="0"/>
                <w:color w:val="auto"/>
                <w:sz w:val="21"/>
                <w:szCs w:val="21"/>
                <w:highlight w:val="none"/>
                <w:u w:val="none"/>
                <w:lang w:val="en-US" w:eastAsia="zh-CN" w:bidi="ar-SA"/>
              </w:rPr>
            </w:pPr>
          </w:p>
        </w:tc>
        <w:tc>
          <w:tcPr>
            <w:tcW w:w="637" w:type="pct"/>
            <w:tcBorders>
              <w:top w:val="single" w:color="000000" w:sz="4" w:space="0"/>
              <w:left w:val="single" w:color="000000" w:sz="4" w:space="0"/>
              <w:bottom w:val="single" w:color="000000" w:sz="4" w:space="0"/>
              <w:right w:val="single" w:color="auto" w:sz="4" w:space="0"/>
            </w:tcBorders>
            <w:shd w:val="clear" w:color="auto" w:fill="FFFFFF"/>
            <w:noWrap w:val="0"/>
            <w:vAlign w:val="center"/>
          </w:tcPr>
          <w:p>
            <w:pPr>
              <w:jc w:val="center"/>
              <w:rPr>
                <w:rFonts w:hint="eastAsia" w:ascii="宋体" w:hAnsi="宋体" w:eastAsia="宋体" w:cs="宋体"/>
                <w:i w:val="0"/>
                <w:iCs w:val="0"/>
                <w:color w:val="auto"/>
                <w:sz w:val="21"/>
                <w:szCs w:val="21"/>
                <w:highlight w:val="none"/>
                <w:u w:val="none"/>
              </w:rPr>
            </w:pPr>
          </w:p>
        </w:tc>
        <w:tc>
          <w:tcPr>
            <w:tcW w:w="299" w:type="pct"/>
            <w:tcBorders>
              <w:top w:val="single" w:color="auto" w:sz="4" w:space="0"/>
              <w:left w:val="single" w:color="auto" w:sz="4" w:space="0"/>
              <w:bottom w:val="single" w:color="auto" w:sz="4" w:space="0"/>
              <w:right w:val="single" w:color="auto" w:sz="4" w:space="0"/>
            </w:tcBorders>
            <w:shd w:val="clear" w:color="auto" w:fill="FFFFFF"/>
            <w:noWrap w:val="0"/>
            <w:vAlign w:val="center"/>
          </w:tcPr>
          <w:p>
            <w:pPr>
              <w:jc w:val="center"/>
              <w:rPr>
                <w:rFonts w:hint="eastAsia" w:ascii="宋体" w:hAnsi="宋体" w:eastAsia="宋体" w:cs="宋体"/>
                <w:i w:val="0"/>
                <w:iCs w:val="0"/>
                <w:color w:val="auto"/>
                <w:sz w:val="21"/>
                <w:szCs w:val="21"/>
                <w:highlight w:val="none"/>
                <w:u w:val="none"/>
                <w:lang w:val="en-US" w:eastAsia="zh-CN" w:bidi="ar-SA"/>
              </w:rPr>
            </w:pPr>
          </w:p>
        </w:tc>
        <w:tc>
          <w:tcPr>
            <w:tcW w:w="547" w:type="pct"/>
            <w:tcBorders>
              <w:top w:val="single" w:color="000000" w:sz="4" w:space="0"/>
              <w:left w:val="single" w:color="auto" w:sz="4" w:space="0"/>
              <w:bottom w:val="single" w:color="000000" w:sz="4" w:space="0"/>
              <w:right w:val="single" w:color="000000" w:sz="4" w:space="0"/>
            </w:tcBorders>
            <w:shd w:val="clear" w:color="auto" w:fill="FFFFFF"/>
            <w:noWrap w:val="0"/>
            <w:vAlign w:val="center"/>
          </w:tcPr>
          <w:p>
            <w:pPr>
              <w:jc w:val="center"/>
              <w:rPr>
                <w:rFonts w:hint="eastAsia" w:ascii="宋体" w:hAnsi="宋体" w:eastAsia="宋体" w:cs="宋体"/>
                <w:i w:val="0"/>
                <w:iCs w:val="0"/>
                <w:color w:val="auto"/>
                <w:sz w:val="21"/>
                <w:szCs w:val="21"/>
                <w:highlight w:val="none"/>
                <w:u w:val="none"/>
              </w:rPr>
            </w:pPr>
          </w:p>
        </w:tc>
        <w:tc>
          <w:tcPr>
            <w:tcW w:w="547" w:type="pct"/>
            <w:tcBorders>
              <w:top w:val="single" w:color="000000" w:sz="4" w:space="0"/>
              <w:left w:val="single" w:color="auto" w:sz="4" w:space="0"/>
              <w:bottom w:val="single" w:color="000000" w:sz="4" w:space="0"/>
              <w:right w:val="single" w:color="000000" w:sz="4" w:space="0"/>
            </w:tcBorders>
            <w:shd w:val="clear" w:color="auto" w:fill="FFFFFF"/>
            <w:noWrap w:val="0"/>
            <w:vAlign w:val="center"/>
          </w:tcPr>
          <w:p>
            <w:pPr>
              <w:jc w:val="center"/>
              <w:rPr>
                <w:rFonts w:hint="eastAsia" w:ascii="宋体" w:hAnsi="宋体" w:eastAsia="宋体" w:cs="宋体"/>
                <w:i w:val="0"/>
                <w:iCs w:val="0"/>
                <w:color w:val="auto"/>
                <w:sz w:val="21"/>
                <w:szCs w:val="21"/>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2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sz w:val="21"/>
                <w:szCs w:val="21"/>
                <w:highlight w:val="none"/>
                <w:u w:val="none"/>
                <w:lang w:val="en-US" w:eastAsia="zh-CN"/>
              </w:rPr>
              <w:t>1</w:t>
            </w:r>
          </w:p>
        </w:tc>
        <w:tc>
          <w:tcPr>
            <w:tcW w:w="126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地下车站主体结构</w:t>
            </w:r>
          </w:p>
        </w:tc>
        <w:tc>
          <w:tcPr>
            <w:tcW w:w="4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r>
              <w:rPr>
                <w:rFonts w:hint="eastAsia" w:ascii="宋体" w:hAnsi="宋体" w:eastAsia="宋体" w:cs="宋体"/>
                <w:i w:val="0"/>
                <w:iCs w:val="0"/>
                <w:color w:val="auto"/>
                <w:sz w:val="21"/>
                <w:szCs w:val="21"/>
                <w:highlight w:val="none"/>
                <w:u w:val="none"/>
                <w:lang w:val="en-US" w:eastAsia="zh-CN" w:bidi="ar-SA"/>
              </w:rPr>
              <w:t>240</w:t>
            </w:r>
          </w:p>
        </w:tc>
        <w:tc>
          <w:tcPr>
            <w:tcW w:w="6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r>
              <w:rPr>
                <w:rFonts w:hint="eastAsia" w:ascii="宋体" w:hAnsi="宋体" w:eastAsia="宋体" w:cs="宋体"/>
                <w:i w:val="0"/>
                <w:iCs w:val="0"/>
                <w:color w:val="auto"/>
                <w:sz w:val="21"/>
                <w:szCs w:val="21"/>
                <w:highlight w:val="none"/>
                <w:u w:val="none"/>
                <w:lang w:val="en-US" w:eastAsia="zh-CN" w:bidi="ar-SA"/>
              </w:rPr>
              <w:t>1次/半年</w:t>
            </w:r>
          </w:p>
        </w:tc>
        <w:tc>
          <w:tcPr>
            <w:tcW w:w="3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r>
              <w:rPr>
                <w:rFonts w:hint="eastAsia" w:ascii="宋体" w:hAnsi="宋体" w:eastAsia="宋体" w:cs="宋体"/>
                <w:i w:val="0"/>
                <w:iCs w:val="0"/>
                <w:color w:val="auto"/>
                <w:sz w:val="21"/>
                <w:szCs w:val="21"/>
                <w:highlight w:val="none"/>
                <w:u w:val="none"/>
                <w:lang w:val="en-US" w:eastAsia="zh-CN" w:bidi="ar-SA"/>
              </w:rPr>
              <w:t>6</w:t>
            </w:r>
          </w:p>
        </w:tc>
        <w:tc>
          <w:tcPr>
            <w:tcW w:w="637" w:type="pct"/>
            <w:tcBorders>
              <w:top w:val="single" w:color="000000" w:sz="4" w:space="0"/>
              <w:left w:val="single" w:color="000000" w:sz="4" w:space="0"/>
              <w:bottom w:val="single" w:color="000000" w:sz="4" w:space="0"/>
              <w:right w:val="single" w:color="auto"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r>
              <w:rPr>
                <w:rFonts w:hint="eastAsia" w:ascii="宋体" w:hAnsi="宋体" w:eastAsia="宋体" w:cs="宋体"/>
                <w:i w:val="0"/>
                <w:iCs w:val="0"/>
                <w:color w:val="auto"/>
                <w:sz w:val="21"/>
                <w:szCs w:val="21"/>
                <w:highlight w:val="none"/>
                <w:u w:val="none"/>
                <w:lang w:val="en-US" w:eastAsia="zh-CN" w:bidi="ar-SA"/>
              </w:rPr>
              <w:t>1440</w:t>
            </w:r>
          </w:p>
        </w:tc>
        <w:tc>
          <w:tcPr>
            <w:tcW w:w="299" w:type="pct"/>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r>
              <w:rPr>
                <w:rFonts w:hint="eastAsia" w:ascii="宋体" w:hAnsi="宋体" w:eastAsia="宋体" w:cs="宋体"/>
                <w:i w:val="0"/>
                <w:iCs w:val="0"/>
                <w:color w:val="auto"/>
                <w:sz w:val="21"/>
                <w:szCs w:val="21"/>
                <w:highlight w:val="none"/>
                <w:u w:val="none"/>
                <w:lang w:val="en-US" w:eastAsia="zh-CN" w:bidi="ar-SA"/>
              </w:rPr>
              <w:t>点</w:t>
            </w:r>
          </w:p>
        </w:tc>
        <w:tc>
          <w:tcPr>
            <w:tcW w:w="547" w:type="pct"/>
            <w:tcBorders>
              <w:top w:val="single" w:color="000000" w:sz="4" w:space="0"/>
              <w:left w:val="single" w:color="auto"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p>
        </w:tc>
        <w:tc>
          <w:tcPr>
            <w:tcW w:w="547" w:type="pct"/>
            <w:tcBorders>
              <w:top w:val="single" w:color="000000" w:sz="4" w:space="0"/>
              <w:left w:val="single" w:color="auto"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2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sz w:val="21"/>
                <w:szCs w:val="21"/>
                <w:highlight w:val="none"/>
                <w:u w:val="none"/>
                <w:lang w:val="en-US" w:eastAsia="zh-CN"/>
              </w:rPr>
              <w:t>2</w:t>
            </w:r>
          </w:p>
        </w:tc>
        <w:tc>
          <w:tcPr>
            <w:tcW w:w="126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盾构隧道</w:t>
            </w:r>
          </w:p>
        </w:tc>
        <w:tc>
          <w:tcPr>
            <w:tcW w:w="4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r>
              <w:rPr>
                <w:rFonts w:hint="eastAsia" w:ascii="宋体" w:hAnsi="宋体" w:eastAsia="宋体" w:cs="宋体"/>
                <w:i w:val="0"/>
                <w:iCs w:val="0"/>
                <w:color w:val="auto"/>
                <w:sz w:val="21"/>
                <w:szCs w:val="21"/>
                <w:highlight w:val="none"/>
                <w:u w:val="none"/>
                <w:lang w:val="en-US" w:eastAsia="zh-CN" w:bidi="ar-SA"/>
              </w:rPr>
              <w:t>1376</w:t>
            </w:r>
          </w:p>
        </w:tc>
        <w:tc>
          <w:tcPr>
            <w:tcW w:w="6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r>
              <w:rPr>
                <w:rFonts w:hint="eastAsia" w:ascii="宋体" w:hAnsi="宋体" w:eastAsia="宋体" w:cs="宋体"/>
                <w:i w:val="0"/>
                <w:iCs w:val="0"/>
                <w:color w:val="auto"/>
                <w:sz w:val="21"/>
                <w:szCs w:val="21"/>
                <w:highlight w:val="none"/>
                <w:u w:val="none"/>
                <w:lang w:val="en-US" w:eastAsia="zh-CN" w:bidi="ar-SA"/>
              </w:rPr>
              <w:t>1次/半年</w:t>
            </w:r>
          </w:p>
        </w:tc>
        <w:tc>
          <w:tcPr>
            <w:tcW w:w="3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r>
              <w:rPr>
                <w:rFonts w:hint="eastAsia" w:ascii="宋体" w:hAnsi="宋体" w:eastAsia="宋体" w:cs="宋体"/>
                <w:i w:val="0"/>
                <w:iCs w:val="0"/>
                <w:color w:val="auto"/>
                <w:sz w:val="21"/>
                <w:szCs w:val="21"/>
                <w:highlight w:val="none"/>
                <w:u w:val="none"/>
                <w:lang w:val="en-US" w:eastAsia="zh-CN" w:bidi="ar-SA"/>
              </w:rPr>
              <w:t>6</w:t>
            </w:r>
          </w:p>
        </w:tc>
        <w:tc>
          <w:tcPr>
            <w:tcW w:w="637" w:type="pct"/>
            <w:tcBorders>
              <w:top w:val="single" w:color="000000" w:sz="4" w:space="0"/>
              <w:left w:val="single" w:color="000000" w:sz="4" w:space="0"/>
              <w:bottom w:val="single" w:color="000000" w:sz="4" w:space="0"/>
              <w:right w:val="single" w:color="auto"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r>
              <w:rPr>
                <w:rFonts w:hint="eastAsia" w:ascii="宋体" w:hAnsi="宋体" w:eastAsia="宋体" w:cs="宋体"/>
                <w:i w:val="0"/>
                <w:iCs w:val="0"/>
                <w:color w:val="auto"/>
                <w:sz w:val="21"/>
                <w:szCs w:val="21"/>
                <w:highlight w:val="none"/>
                <w:u w:val="none"/>
                <w:lang w:val="en-US" w:eastAsia="zh-CN" w:bidi="ar-SA"/>
              </w:rPr>
              <w:t>8256</w:t>
            </w:r>
          </w:p>
        </w:tc>
        <w:tc>
          <w:tcPr>
            <w:tcW w:w="299" w:type="pct"/>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r>
              <w:rPr>
                <w:rFonts w:hint="eastAsia" w:ascii="宋体" w:hAnsi="宋体" w:eastAsia="宋体" w:cs="宋体"/>
                <w:i w:val="0"/>
                <w:iCs w:val="0"/>
                <w:color w:val="auto"/>
                <w:sz w:val="21"/>
                <w:szCs w:val="21"/>
                <w:highlight w:val="none"/>
                <w:u w:val="none"/>
                <w:lang w:val="en-US" w:eastAsia="zh-CN" w:bidi="ar-SA"/>
              </w:rPr>
              <w:t>点</w:t>
            </w:r>
          </w:p>
        </w:tc>
        <w:tc>
          <w:tcPr>
            <w:tcW w:w="547" w:type="pct"/>
            <w:tcBorders>
              <w:top w:val="single" w:color="000000" w:sz="4" w:space="0"/>
              <w:left w:val="single" w:color="auto"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p>
        </w:tc>
        <w:tc>
          <w:tcPr>
            <w:tcW w:w="547" w:type="pct"/>
            <w:tcBorders>
              <w:top w:val="single" w:color="000000" w:sz="4" w:space="0"/>
              <w:left w:val="single" w:color="auto"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2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sz w:val="21"/>
                <w:szCs w:val="21"/>
                <w:highlight w:val="none"/>
                <w:u w:val="none"/>
                <w:lang w:val="en-US" w:eastAsia="zh-CN"/>
              </w:rPr>
              <w:t>3</w:t>
            </w:r>
          </w:p>
        </w:tc>
        <w:tc>
          <w:tcPr>
            <w:tcW w:w="126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both"/>
              <w:textAlignment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i w:val="0"/>
                <w:iCs w:val="0"/>
                <w:color w:val="auto"/>
                <w:kern w:val="0"/>
                <w:sz w:val="21"/>
                <w:szCs w:val="21"/>
                <w:highlight w:val="none"/>
                <w:u w:val="none"/>
                <w:lang w:val="en-US" w:eastAsia="zh-CN" w:bidi="ar"/>
              </w:rPr>
              <w:t>车站与隧道交接处结构</w:t>
            </w:r>
          </w:p>
        </w:tc>
        <w:tc>
          <w:tcPr>
            <w:tcW w:w="4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r>
              <w:rPr>
                <w:rFonts w:hint="eastAsia" w:ascii="宋体" w:hAnsi="宋体" w:eastAsia="宋体" w:cs="宋体"/>
                <w:i w:val="0"/>
                <w:iCs w:val="0"/>
                <w:color w:val="auto"/>
                <w:sz w:val="21"/>
                <w:szCs w:val="21"/>
                <w:highlight w:val="none"/>
                <w:u w:val="none"/>
                <w:lang w:val="en-US" w:eastAsia="zh-CN" w:bidi="ar-SA"/>
              </w:rPr>
              <w:t>136</w:t>
            </w:r>
          </w:p>
        </w:tc>
        <w:tc>
          <w:tcPr>
            <w:tcW w:w="6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r>
              <w:rPr>
                <w:rFonts w:hint="eastAsia" w:ascii="宋体" w:hAnsi="宋体" w:eastAsia="宋体" w:cs="宋体"/>
                <w:i w:val="0"/>
                <w:iCs w:val="0"/>
                <w:color w:val="auto"/>
                <w:sz w:val="21"/>
                <w:szCs w:val="21"/>
                <w:highlight w:val="none"/>
                <w:u w:val="none"/>
                <w:lang w:val="en-US" w:eastAsia="zh-CN" w:bidi="ar-SA"/>
              </w:rPr>
              <w:t>1次/半年</w:t>
            </w:r>
          </w:p>
        </w:tc>
        <w:tc>
          <w:tcPr>
            <w:tcW w:w="3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r>
              <w:rPr>
                <w:rFonts w:hint="eastAsia" w:ascii="宋体" w:hAnsi="宋体" w:eastAsia="宋体" w:cs="宋体"/>
                <w:i w:val="0"/>
                <w:iCs w:val="0"/>
                <w:color w:val="auto"/>
                <w:sz w:val="21"/>
                <w:szCs w:val="21"/>
                <w:highlight w:val="none"/>
                <w:u w:val="none"/>
                <w:lang w:val="en-US" w:eastAsia="zh-CN" w:bidi="ar-SA"/>
              </w:rPr>
              <w:t>6</w:t>
            </w:r>
          </w:p>
        </w:tc>
        <w:tc>
          <w:tcPr>
            <w:tcW w:w="637" w:type="pct"/>
            <w:tcBorders>
              <w:top w:val="single" w:color="000000" w:sz="4" w:space="0"/>
              <w:left w:val="single" w:color="000000" w:sz="4" w:space="0"/>
              <w:bottom w:val="single" w:color="000000" w:sz="4" w:space="0"/>
              <w:right w:val="single" w:color="auto"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r>
              <w:rPr>
                <w:rFonts w:hint="eastAsia" w:ascii="宋体" w:hAnsi="宋体" w:eastAsia="宋体" w:cs="宋体"/>
                <w:i w:val="0"/>
                <w:iCs w:val="0"/>
                <w:color w:val="auto"/>
                <w:sz w:val="21"/>
                <w:szCs w:val="21"/>
                <w:highlight w:val="none"/>
                <w:u w:val="none"/>
                <w:lang w:val="en-US" w:eastAsia="zh-CN" w:bidi="ar-SA"/>
              </w:rPr>
              <w:t>816</w:t>
            </w:r>
          </w:p>
        </w:tc>
        <w:tc>
          <w:tcPr>
            <w:tcW w:w="299" w:type="pct"/>
            <w:tcBorders>
              <w:top w:val="single" w:color="auto" w:sz="4" w:space="0"/>
              <w:left w:val="single" w:color="auto" w:sz="4" w:space="0"/>
              <w:bottom w:val="single" w:color="000000" w:sz="4" w:space="0"/>
              <w:right w:val="single" w:color="auto"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r>
              <w:rPr>
                <w:rFonts w:hint="eastAsia" w:ascii="宋体" w:hAnsi="宋体" w:eastAsia="宋体" w:cs="宋体"/>
                <w:i w:val="0"/>
                <w:iCs w:val="0"/>
                <w:color w:val="auto"/>
                <w:sz w:val="21"/>
                <w:szCs w:val="21"/>
                <w:highlight w:val="none"/>
                <w:u w:val="none"/>
                <w:lang w:val="en-US" w:eastAsia="zh-CN" w:bidi="ar-SA"/>
              </w:rPr>
              <w:t>点</w:t>
            </w:r>
          </w:p>
        </w:tc>
        <w:tc>
          <w:tcPr>
            <w:tcW w:w="547" w:type="pct"/>
            <w:tcBorders>
              <w:top w:val="single" w:color="000000" w:sz="4" w:space="0"/>
              <w:left w:val="single" w:color="auto"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p>
        </w:tc>
        <w:tc>
          <w:tcPr>
            <w:tcW w:w="547" w:type="pct"/>
            <w:tcBorders>
              <w:top w:val="single" w:color="000000" w:sz="4" w:space="0"/>
              <w:left w:val="single" w:color="auto"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2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sz w:val="21"/>
                <w:szCs w:val="21"/>
                <w:highlight w:val="none"/>
                <w:u w:val="none"/>
                <w:lang w:val="en-US" w:eastAsia="zh-CN"/>
              </w:rPr>
              <w:t>4</w:t>
            </w:r>
          </w:p>
        </w:tc>
        <w:tc>
          <w:tcPr>
            <w:tcW w:w="126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联络通道</w:t>
            </w:r>
          </w:p>
        </w:tc>
        <w:tc>
          <w:tcPr>
            <w:tcW w:w="4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r>
              <w:rPr>
                <w:rFonts w:hint="eastAsia" w:ascii="宋体" w:hAnsi="宋体" w:eastAsia="宋体" w:cs="宋体"/>
                <w:i w:val="0"/>
                <w:iCs w:val="0"/>
                <w:color w:val="auto"/>
                <w:sz w:val="21"/>
                <w:szCs w:val="21"/>
                <w:highlight w:val="none"/>
                <w:u w:val="none"/>
                <w:lang w:val="en-US" w:eastAsia="zh-CN" w:bidi="ar-SA"/>
              </w:rPr>
              <w:t>105</w:t>
            </w:r>
          </w:p>
        </w:tc>
        <w:tc>
          <w:tcPr>
            <w:tcW w:w="6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r>
              <w:rPr>
                <w:rFonts w:hint="eastAsia" w:ascii="宋体" w:hAnsi="宋体" w:eastAsia="宋体" w:cs="宋体"/>
                <w:i w:val="0"/>
                <w:iCs w:val="0"/>
                <w:color w:val="auto"/>
                <w:sz w:val="21"/>
                <w:szCs w:val="21"/>
                <w:highlight w:val="none"/>
                <w:u w:val="none"/>
                <w:lang w:val="en-US" w:eastAsia="zh-CN" w:bidi="ar-SA"/>
              </w:rPr>
              <w:t>1次/半年</w:t>
            </w:r>
          </w:p>
        </w:tc>
        <w:tc>
          <w:tcPr>
            <w:tcW w:w="3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r>
              <w:rPr>
                <w:rFonts w:hint="eastAsia" w:ascii="宋体" w:hAnsi="宋体" w:eastAsia="宋体" w:cs="宋体"/>
                <w:i w:val="0"/>
                <w:iCs w:val="0"/>
                <w:color w:val="auto"/>
                <w:sz w:val="21"/>
                <w:szCs w:val="21"/>
                <w:highlight w:val="none"/>
                <w:u w:val="none"/>
                <w:lang w:val="en-US" w:eastAsia="zh-CN" w:bidi="ar-SA"/>
              </w:rPr>
              <w:t>6</w:t>
            </w:r>
          </w:p>
        </w:tc>
        <w:tc>
          <w:tcPr>
            <w:tcW w:w="637" w:type="pct"/>
            <w:tcBorders>
              <w:top w:val="single" w:color="000000" w:sz="4" w:space="0"/>
              <w:left w:val="single" w:color="000000" w:sz="4" w:space="0"/>
              <w:bottom w:val="single" w:color="000000" w:sz="4" w:space="0"/>
              <w:right w:val="single" w:color="auto"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r>
              <w:rPr>
                <w:rFonts w:hint="eastAsia" w:ascii="宋体" w:hAnsi="宋体" w:eastAsia="宋体" w:cs="宋体"/>
                <w:i w:val="0"/>
                <w:iCs w:val="0"/>
                <w:color w:val="auto"/>
                <w:sz w:val="21"/>
                <w:szCs w:val="21"/>
                <w:highlight w:val="none"/>
                <w:u w:val="none"/>
                <w:lang w:val="en-US" w:eastAsia="zh-CN" w:bidi="ar-SA"/>
              </w:rPr>
              <w:t>630</w:t>
            </w:r>
          </w:p>
        </w:tc>
        <w:tc>
          <w:tcPr>
            <w:tcW w:w="299" w:type="pct"/>
            <w:tcBorders>
              <w:top w:val="single" w:color="000000" w:sz="4" w:space="0"/>
              <w:left w:val="single" w:color="auto" w:sz="4" w:space="0"/>
              <w:bottom w:val="single" w:color="auto" w:sz="4" w:space="0"/>
              <w:right w:val="single" w:color="auto"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r>
              <w:rPr>
                <w:rFonts w:hint="eastAsia" w:ascii="宋体" w:hAnsi="宋体" w:eastAsia="宋体" w:cs="宋体"/>
                <w:i w:val="0"/>
                <w:iCs w:val="0"/>
                <w:color w:val="auto"/>
                <w:sz w:val="21"/>
                <w:szCs w:val="21"/>
                <w:highlight w:val="none"/>
                <w:u w:val="none"/>
                <w:lang w:val="en-US" w:eastAsia="zh-CN" w:bidi="ar-SA"/>
              </w:rPr>
              <w:t>点</w:t>
            </w:r>
          </w:p>
        </w:tc>
        <w:tc>
          <w:tcPr>
            <w:tcW w:w="547" w:type="pct"/>
            <w:tcBorders>
              <w:top w:val="single" w:color="000000" w:sz="4" w:space="0"/>
              <w:left w:val="single" w:color="auto"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p>
        </w:tc>
        <w:tc>
          <w:tcPr>
            <w:tcW w:w="547" w:type="pct"/>
            <w:tcBorders>
              <w:top w:val="single" w:color="000000" w:sz="4" w:space="0"/>
              <w:left w:val="single" w:color="auto"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2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sz w:val="21"/>
                <w:szCs w:val="21"/>
                <w:highlight w:val="none"/>
                <w:u w:val="none"/>
                <w:lang w:val="en-US" w:eastAsia="zh-CN"/>
              </w:rPr>
              <w:t>二</w:t>
            </w:r>
          </w:p>
        </w:tc>
        <w:tc>
          <w:tcPr>
            <w:tcW w:w="126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b/>
                <w:bCs/>
                <w:i w:val="0"/>
                <w:iCs w:val="0"/>
                <w:color w:val="auto"/>
                <w:sz w:val="21"/>
                <w:szCs w:val="21"/>
                <w:highlight w:val="none"/>
                <w:u w:val="none"/>
                <w:lang w:val="en-US"/>
              </w:rPr>
            </w:pPr>
            <w:r>
              <w:rPr>
                <w:rFonts w:hint="eastAsia" w:ascii="宋体" w:hAnsi="宋体" w:eastAsia="宋体" w:cs="宋体"/>
                <w:b/>
                <w:bCs/>
                <w:i w:val="0"/>
                <w:iCs w:val="0"/>
                <w:color w:val="auto"/>
                <w:kern w:val="0"/>
                <w:sz w:val="21"/>
                <w:szCs w:val="21"/>
                <w:highlight w:val="none"/>
                <w:u w:val="none"/>
                <w:lang w:val="en-US" w:eastAsia="zh-CN" w:bidi="ar"/>
              </w:rPr>
              <w:t>净空收敛</w:t>
            </w:r>
          </w:p>
        </w:tc>
        <w:tc>
          <w:tcPr>
            <w:tcW w:w="4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p>
        </w:tc>
        <w:tc>
          <w:tcPr>
            <w:tcW w:w="6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p>
        </w:tc>
        <w:tc>
          <w:tcPr>
            <w:tcW w:w="637" w:type="pct"/>
            <w:tcBorders>
              <w:top w:val="single" w:color="000000" w:sz="4" w:space="0"/>
              <w:left w:val="single" w:color="000000" w:sz="4" w:space="0"/>
              <w:bottom w:val="single" w:color="000000" w:sz="4" w:space="0"/>
              <w:right w:val="single" w:color="auto"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p>
        </w:tc>
        <w:tc>
          <w:tcPr>
            <w:tcW w:w="299" w:type="pct"/>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p>
        </w:tc>
        <w:tc>
          <w:tcPr>
            <w:tcW w:w="547" w:type="pct"/>
            <w:tcBorders>
              <w:top w:val="single" w:color="000000" w:sz="4" w:space="0"/>
              <w:left w:val="single" w:color="auto"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p>
        </w:tc>
        <w:tc>
          <w:tcPr>
            <w:tcW w:w="547" w:type="pct"/>
            <w:tcBorders>
              <w:top w:val="single" w:color="000000" w:sz="4" w:space="0"/>
              <w:left w:val="single" w:color="auto"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2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sz w:val="21"/>
                <w:szCs w:val="21"/>
                <w:highlight w:val="none"/>
                <w:u w:val="none"/>
                <w:lang w:val="en-US" w:eastAsia="zh-CN"/>
              </w:rPr>
              <w:t>1</w:t>
            </w:r>
          </w:p>
        </w:tc>
        <w:tc>
          <w:tcPr>
            <w:tcW w:w="126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盾构隧道断面</w:t>
            </w:r>
          </w:p>
        </w:tc>
        <w:tc>
          <w:tcPr>
            <w:tcW w:w="4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r>
              <w:rPr>
                <w:rFonts w:hint="eastAsia" w:ascii="宋体" w:hAnsi="宋体" w:eastAsia="宋体" w:cs="宋体"/>
                <w:i w:val="0"/>
                <w:iCs w:val="0"/>
                <w:color w:val="auto"/>
                <w:sz w:val="21"/>
                <w:szCs w:val="21"/>
                <w:highlight w:val="none"/>
                <w:u w:val="none"/>
                <w:lang w:val="en-US" w:eastAsia="zh-CN" w:bidi="ar-SA"/>
              </w:rPr>
              <w:t>1360</w:t>
            </w:r>
          </w:p>
        </w:tc>
        <w:tc>
          <w:tcPr>
            <w:tcW w:w="6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r>
              <w:rPr>
                <w:rFonts w:hint="eastAsia" w:ascii="宋体" w:hAnsi="宋体" w:eastAsia="宋体" w:cs="宋体"/>
                <w:i w:val="0"/>
                <w:iCs w:val="0"/>
                <w:color w:val="auto"/>
                <w:sz w:val="21"/>
                <w:szCs w:val="21"/>
                <w:highlight w:val="none"/>
                <w:u w:val="none"/>
                <w:lang w:val="en-US" w:eastAsia="zh-CN" w:bidi="ar-SA"/>
              </w:rPr>
              <w:t>1次/半年</w:t>
            </w:r>
          </w:p>
        </w:tc>
        <w:tc>
          <w:tcPr>
            <w:tcW w:w="3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r>
              <w:rPr>
                <w:rFonts w:hint="eastAsia" w:ascii="宋体" w:hAnsi="宋体" w:eastAsia="宋体" w:cs="宋体"/>
                <w:i w:val="0"/>
                <w:iCs w:val="0"/>
                <w:color w:val="auto"/>
                <w:sz w:val="21"/>
                <w:szCs w:val="21"/>
                <w:highlight w:val="none"/>
                <w:u w:val="none"/>
                <w:lang w:val="en-US" w:eastAsia="zh-CN" w:bidi="ar-SA"/>
              </w:rPr>
              <w:t>6</w:t>
            </w:r>
          </w:p>
        </w:tc>
        <w:tc>
          <w:tcPr>
            <w:tcW w:w="637" w:type="pct"/>
            <w:tcBorders>
              <w:top w:val="single" w:color="000000" w:sz="4" w:space="0"/>
              <w:left w:val="single" w:color="000000" w:sz="4" w:space="0"/>
              <w:bottom w:val="single" w:color="000000" w:sz="4" w:space="0"/>
              <w:right w:val="single" w:color="auto"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r>
              <w:rPr>
                <w:rFonts w:hint="eastAsia" w:ascii="宋体" w:hAnsi="宋体" w:eastAsia="宋体" w:cs="宋体"/>
                <w:i w:val="0"/>
                <w:iCs w:val="0"/>
                <w:color w:val="auto"/>
                <w:sz w:val="21"/>
                <w:szCs w:val="21"/>
                <w:highlight w:val="none"/>
                <w:u w:val="none"/>
                <w:lang w:val="en-US" w:eastAsia="zh-CN" w:bidi="ar-SA"/>
              </w:rPr>
              <w:t>8160</w:t>
            </w:r>
          </w:p>
        </w:tc>
        <w:tc>
          <w:tcPr>
            <w:tcW w:w="299" w:type="pct"/>
            <w:tcBorders>
              <w:top w:val="single" w:color="auto" w:sz="4" w:space="0"/>
              <w:left w:val="single" w:color="auto" w:sz="4" w:space="0"/>
              <w:bottom w:val="single" w:color="000000" w:sz="4" w:space="0"/>
              <w:right w:val="single" w:color="auto"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r>
              <w:rPr>
                <w:rFonts w:hint="eastAsia" w:ascii="宋体" w:hAnsi="宋体" w:eastAsia="宋体" w:cs="宋体"/>
                <w:i w:val="0"/>
                <w:iCs w:val="0"/>
                <w:color w:val="auto"/>
                <w:sz w:val="21"/>
                <w:szCs w:val="21"/>
                <w:highlight w:val="none"/>
                <w:u w:val="none"/>
                <w:lang w:val="en-US" w:eastAsia="zh-CN" w:bidi="ar-SA"/>
              </w:rPr>
              <w:t>点</w:t>
            </w:r>
          </w:p>
        </w:tc>
        <w:tc>
          <w:tcPr>
            <w:tcW w:w="547" w:type="pct"/>
            <w:tcBorders>
              <w:top w:val="single" w:color="000000" w:sz="4" w:space="0"/>
              <w:left w:val="single" w:color="auto"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p>
        </w:tc>
        <w:tc>
          <w:tcPr>
            <w:tcW w:w="547" w:type="pct"/>
            <w:tcBorders>
              <w:top w:val="single" w:color="000000" w:sz="4" w:space="0"/>
              <w:left w:val="single" w:color="auto"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2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sz w:val="21"/>
                <w:szCs w:val="21"/>
                <w:highlight w:val="none"/>
                <w:u w:val="none"/>
                <w:lang w:val="en-US" w:eastAsia="zh-CN"/>
              </w:rPr>
              <w:t>2</w:t>
            </w:r>
          </w:p>
        </w:tc>
        <w:tc>
          <w:tcPr>
            <w:tcW w:w="126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地下车站轨顶风道</w:t>
            </w:r>
          </w:p>
        </w:tc>
        <w:tc>
          <w:tcPr>
            <w:tcW w:w="4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r>
              <w:rPr>
                <w:rFonts w:hint="eastAsia" w:ascii="宋体" w:hAnsi="宋体" w:eastAsia="宋体" w:cs="宋体"/>
                <w:i w:val="0"/>
                <w:iCs w:val="0"/>
                <w:color w:val="auto"/>
                <w:sz w:val="21"/>
                <w:szCs w:val="21"/>
                <w:highlight w:val="none"/>
                <w:u w:val="none"/>
                <w:lang w:val="en-US" w:eastAsia="zh-CN" w:bidi="ar-SA"/>
              </w:rPr>
              <w:t>240</w:t>
            </w:r>
          </w:p>
        </w:tc>
        <w:tc>
          <w:tcPr>
            <w:tcW w:w="6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r>
              <w:rPr>
                <w:rFonts w:hint="eastAsia" w:ascii="宋体" w:hAnsi="宋体" w:eastAsia="宋体" w:cs="宋体"/>
                <w:i w:val="0"/>
                <w:iCs w:val="0"/>
                <w:color w:val="auto"/>
                <w:sz w:val="21"/>
                <w:szCs w:val="21"/>
                <w:highlight w:val="none"/>
                <w:u w:val="none"/>
                <w:lang w:val="en-US" w:eastAsia="zh-CN" w:bidi="ar-SA"/>
              </w:rPr>
              <w:t>1次/半年</w:t>
            </w:r>
          </w:p>
        </w:tc>
        <w:tc>
          <w:tcPr>
            <w:tcW w:w="3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r>
              <w:rPr>
                <w:rFonts w:hint="eastAsia" w:ascii="宋体" w:hAnsi="宋体" w:eastAsia="宋体" w:cs="宋体"/>
                <w:i w:val="0"/>
                <w:iCs w:val="0"/>
                <w:color w:val="auto"/>
                <w:sz w:val="21"/>
                <w:szCs w:val="21"/>
                <w:highlight w:val="none"/>
                <w:u w:val="none"/>
                <w:lang w:val="en-US" w:eastAsia="zh-CN" w:bidi="ar-SA"/>
              </w:rPr>
              <w:t>6</w:t>
            </w:r>
          </w:p>
        </w:tc>
        <w:tc>
          <w:tcPr>
            <w:tcW w:w="637" w:type="pct"/>
            <w:tcBorders>
              <w:top w:val="single" w:color="000000" w:sz="4" w:space="0"/>
              <w:left w:val="single" w:color="000000" w:sz="4" w:space="0"/>
              <w:bottom w:val="single" w:color="000000" w:sz="4" w:space="0"/>
              <w:right w:val="single" w:color="auto"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r>
              <w:rPr>
                <w:rFonts w:hint="eastAsia" w:ascii="宋体" w:hAnsi="宋体" w:eastAsia="宋体" w:cs="宋体"/>
                <w:i w:val="0"/>
                <w:iCs w:val="0"/>
                <w:color w:val="auto"/>
                <w:sz w:val="21"/>
                <w:szCs w:val="21"/>
                <w:highlight w:val="none"/>
                <w:u w:val="none"/>
                <w:lang w:val="en-US" w:eastAsia="zh-CN" w:bidi="ar-SA"/>
              </w:rPr>
              <w:t>1440</w:t>
            </w:r>
          </w:p>
        </w:tc>
        <w:tc>
          <w:tcPr>
            <w:tcW w:w="299" w:type="pct"/>
            <w:tcBorders>
              <w:top w:val="single" w:color="000000" w:sz="4" w:space="0"/>
              <w:left w:val="single" w:color="auto" w:sz="4" w:space="0"/>
              <w:bottom w:val="single" w:color="auto" w:sz="4" w:space="0"/>
              <w:right w:val="single" w:color="auto"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r>
              <w:rPr>
                <w:rFonts w:hint="eastAsia" w:ascii="宋体" w:hAnsi="宋体" w:eastAsia="宋体" w:cs="宋体"/>
                <w:i w:val="0"/>
                <w:iCs w:val="0"/>
                <w:color w:val="auto"/>
                <w:sz w:val="21"/>
                <w:szCs w:val="21"/>
                <w:highlight w:val="none"/>
                <w:u w:val="none"/>
                <w:lang w:val="en-US" w:eastAsia="zh-CN" w:bidi="ar-SA"/>
              </w:rPr>
              <w:t>点</w:t>
            </w:r>
          </w:p>
        </w:tc>
        <w:tc>
          <w:tcPr>
            <w:tcW w:w="547" w:type="pct"/>
            <w:tcBorders>
              <w:top w:val="single" w:color="000000" w:sz="4" w:space="0"/>
              <w:left w:val="single" w:color="auto"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p>
        </w:tc>
        <w:tc>
          <w:tcPr>
            <w:tcW w:w="547" w:type="pct"/>
            <w:tcBorders>
              <w:top w:val="single" w:color="000000" w:sz="4" w:space="0"/>
              <w:left w:val="single" w:color="auto"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2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sz w:val="21"/>
                <w:szCs w:val="21"/>
                <w:highlight w:val="none"/>
                <w:u w:val="none"/>
                <w:lang w:val="en-US" w:eastAsia="zh-CN"/>
              </w:rPr>
              <w:t>三</w:t>
            </w:r>
          </w:p>
        </w:tc>
        <w:tc>
          <w:tcPr>
            <w:tcW w:w="126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建（构）筑物沉降监测</w:t>
            </w:r>
          </w:p>
        </w:tc>
        <w:tc>
          <w:tcPr>
            <w:tcW w:w="4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p>
        </w:tc>
        <w:tc>
          <w:tcPr>
            <w:tcW w:w="6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p>
        </w:tc>
        <w:tc>
          <w:tcPr>
            <w:tcW w:w="637" w:type="pct"/>
            <w:tcBorders>
              <w:top w:val="single" w:color="000000" w:sz="4" w:space="0"/>
              <w:left w:val="single" w:color="000000" w:sz="4" w:space="0"/>
              <w:bottom w:val="single" w:color="000000" w:sz="4" w:space="0"/>
              <w:right w:val="single" w:color="auto"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p>
        </w:tc>
        <w:tc>
          <w:tcPr>
            <w:tcW w:w="299" w:type="pct"/>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p>
        </w:tc>
        <w:tc>
          <w:tcPr>
            <w:tcW w:w="547" w:type="pct"/>
            <w:tcBorders>
              <w:top w:val="single" w:color="000000" w:sz="4" w:space="0"/>
              <w:left w:val="single" w:color="auto"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p>
        </w:tc>
        <w:tc>
          <w:tcPr>
            <w:tcW w:w="547" w:type="pct"/>
            <w:tcBorders>
              <w:top w:val="single" w:color="000000" w:sz="4" w:space="0"/>
              <w:left w:val="single" w:color="auto"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2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sz w:val="21"/>
                <w:szCs w:val="21"/>
                <w:highlight w:val="none"/>
                <w:u w:val="none"/>
                <w:lang w:val="en-US" w:eastAsia="zh-CN"/>
              </w:rPr>
              <w:t>1</w:t>
            </w:r>
          </w:p>
        </w:tc>
        <w:tc>
          <w:tcPr>
            <w:tcW w:w="126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sz w:val="21"/>
                <w:szCs w:val="21"/>
                <w:highlight w:val="none"/>
                <w:u w:val="none"/>
                <w:lang w:val="en-US"/>
              </w:rPr>
            </w:pPr>
            <w:r>
              <w:rPr>
                <w:rFonts w:hint="eastAsia" w:ascii="宋体" w:hAnsi="宋体" w:eastAsia="宋体" w:cs="宋体"/>
                <w:i w:val="0"/>
                <w:iCs w:val="0"/>
                <w:color w:val="auto"/>
                <w:kern w:val="0"/>
                <w:sz w:val="21"/>
                <w:szCs w:val="21"/>
                <w:highlight w:val="none"/>
                <w:u w:val="none"/>
                <w:lang w:val="en-US" w:eastAsia="zh-CN" w:bidi="ar"/>
              </w:rPr>
              <w:t>幸福车辆段各单体建筑</w:t>
            </w:r>
          </w:p>
        </w:tc>
        <w:tc>
          <w:tcPr>
            <w:tcW w:w="4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r>
              <w:rPr>
                <w:rFonts w:hint="eastAsia" w:ascii="宋体" w:hAnsi="宋体" w:eastAsia="宋体" w:cs="宋体"/>
                <w:i w:val="0"/>
                <w:iCs w:val="0"/>
                <w:color w:val="auto"/>
                <w:sz w:val="21"/>
                <w:szCs w:val="21"/>
                <w:highlight w:val="none"/>
                <w:u w:val="none"/>
                <w:lang w:val="en-US" w:eastAsia="zh-CN" w:bidi="ar-SA"/>
              </w:rPr>
              <w:t>193</w:t>
            </w:r>
          </w:p>
        </w:tc>
        <w:tc>
          <w:tcPr>
            <w:tcW w:w="6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r>
              <w:rPr>
                <w:rFonts w:hint="eastAsia" w:ascii="宋体" w:hAnsi="宋体" w:eastAsia="宋体" w:cs="宋体"/>
                <w:i w:val="0"/>
                <w:iCs w:val="0"/>
                <w:color w:val="auto"/>
                <w:sz w:val="21"/>
                <w:szCs w:val="21"/>
                <w:highlight w:val="none"/>
                <w:u w:val="none"/>
                <w:lang w:val="en-US" w:eastAsia="zh-CN" w:bidi="ar-SA"/>
              </w:rPr>
              <w:t>1次/年</w:t>
            </w:r>
          </w:p>
        </w:tc>
        <w:tc>
          <w:tcPr>
            <w:tcW w:w="3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r>
              <w:rPr>
                <w:rFonts w:hint="eastAsia" w:ascii="宋体" w:hAnsi="宋体" w:eastAsia="宋体" w:cs="宋体"/>
                <w:i w:val="0"/>
                <w:iCs w:val="0"/>
                <w:color w:val="auto"/>
                <w:sz w:val="21"/>
                <w:szCs w:val="21"/>
                <w:highlight w:val="none"/>
                <w:u w:val="none"/>
                <w:lang w:val="en-US" w:eastAsia="zh-CN" w:bidi="ar-SA"/>
              </w:rPr>
              <w:t>3</w:t>
            </w:r>
          </w:p>
        </w:tc>
        <w:tc>
          <w:tcPr>
            <w:tcW w:w="637" w:type="pct"/>
            <w:tcBorders>
              <w:top w:val="single" w:color="000000" w:sz="4" w:space="0"/>
              <w:left w:val="single" w:color="000000" w:sz="4" w:space="0"/>
              <w:bottom w:val="single" w:color="000000" w:sz="4" w:space="0"/>
              <w:right w:val="single" w:color="auto"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r>
              <w:rPr>
                <w:rFonts w:hint="eastAsia" w:ascii="宋体" w:hAnsi="宋体" w:eastAsia="宋体" w:cs="宋体"/>
                <w:i w:val="0"/>
                <w:iCs w:val="0"/>
                <w:color w:val="auto"/>
                <w:sz w:val="21"/>
                <w:szCs w:val="21"/>
                <w:highlight w:val="none"/>
                <w:u w:val="none"/>
                <w:lang w:val="en-US" w:eastAsia="zh-CN" w:bidi="ar-SA"/>
              </w:rPr>
              <w:t>579</w:t>
            </w:r>
          </w:p>
        </w:tc>
        <w:tc>
          <w:tcPr>
            <w:tcW w:w="299" w:type="pct"/>
            <w:tcBorders>
              <w:top w:val="single" w:color="auto" w:sz="4" w:space="0"/>
              <w:left w:val="single" w:color="auto" w:sz="4" w:space="0"/>
              <w:bottom w:val="single" w:color="000000" w:sz="4" w:space="0"/>
              <w:right w:val="single" w:color="auto"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r>
              <w:rPr>
                <w:rFonts w:hint="eastAsia" w:ascii="宋体" w:hAnsi="宋体" w:eastAsia="宋体" w:cs="宋体"/>
                <w:i w:val="0"/>
                <w:iCs w:val="0"/>
                <w:color w:val="auto"/>
                <w:sz w:val="21"/>
                <w:szCs w:val="21"/>
                <w:highlight w:val="none"/>
                <w:u w:val="none"/>
                <w:lang w:val="en-US" w:eastAsia="zh-CN" w:bidi="ar-SA"/>
              </w:rPr>
              <w:t>点</w:t>
            </w:r>
          </w:p>
        </w:tc>
        <w:tc>
          <w:tcPr>
            <w:tcW w:w="547" w:type="pct"/>
            <w:tcBorders>
              <w:top w:val="single" w:color="000000" w:sz="4" w:space="0"/>
              <w:left w:val="single" w:color="auto"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p>
        </w:tc>
        <w:tc>
          <w:tcPr>
            <w:tcW w:w="547" w:type="pct"/>
            <w:tcBorders>
              <w:top w:val="single" w:color="000000" w:sz="4" w:space="0"/>
              <w:left w:val="single" w:color="auto"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2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b/>
                <w:bCs/>
                <w:i w:val="0"/>
                <w:iCs w:val="0"/>
                <w:color w:val="auto"/>
                <w:sz w:val="21"/>
                <w:szCs w:val="21"/>
                <w:highlight w:val="none"/>
                <w:u w:val="none"/>
                <w:lang w:val="en-US" w:eastAsia="zh-CN"/>
              </w:rPr>
            </w:pPr>
            <w:r>
              <w:rPr>
                <w:rFonts w:hint="eastAsia" w:ascii="宋体" w:hAnsi="宋体" w:eastAsia="宋体" w:cs="宋体"/>
                <w:b/>
                <w:bCs/>
                <w:i w:val="0"/>
                <w:iCs w:val="0"/>
                <w:color w:val="auto"/>
                <w:sz w:val="21"/>
                <w:szCs w:val="21"/>
                <w:highlight w:val="none"/>
                <w:u w:val="none"/>
                <w:lang w:val="en-US" w:eastAsia="zh-CN"/>
              </w:rPr>
              <w:t>2</w:t>
            </w:r>
          </w:p>
        </w:tc>
        <w:tc>
          <w:tcPr>
            <w:tcW w:w="126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南通电视塔</w:t>
            </w:r>
          </w:p>
        </w:tc>
        <w:tc>
          <w:tcPr>
            <w:tcW w:w="4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r>
              <w:rPr>
                <w:rFonts w:hint="eastAsia" w:ascii="宋体" w:hAnsi="宋体" w:eastAsia="宋体" w:cs="宋体"/>
                <w:i w:val="0"/>
                <w:iCs w:val="0"/>
                <w:color w:val="auto"/>
                <w:sz w:val="21"/>
                <w:szCs w:val="21"/>
                <w:highlight w:val="none"/>
                <w:u w:val="none"/>
                <w:lang w:val="en-US" w:eastAsia="zh-CN" w:bidi="ar-SA"/>
              </w:rPr>
              <w:t>16</w:t>
            </w:r>
          </w:p>
        </w:tc>
        <w:tc>
          <w:tcPr>
            <w:tcW w:w="6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r>
              <w:rPr>
                <w:rFonts w:hint="eastAsia" w:ascii="宋体" w:hAnsi="宋体" w:eastAsia="宋体" w:cs="宋体"/>
                <w:i w:val="0"/>
                <w:iCs w:val="0"/>
                <w:color w:val="auto"/>
                <w:sz w:val="21"/>
                <w:szCs w:val="21"/>
                <w:highlight w:val="none"/>
                <w:u w:val="none"/>
                <w:lang w:val="en-US" w:eastAsia="zh-CN" w:bidi="ar-SA"/>
              </w:rPr>
              <w:t>1次/半年</w:t>
            </w:r>
          </w:p>
        </w:tc>
        <w:tc>
          <w:tcPr>
            <w:tcW w:w="3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r>
              <w:rPr>
                <w:rFonts w:hint="eastAsia" w:ascii="宋体" w:hAnsi="宋体" w:eastAsia="宋体" w:cs="宋体"/>
                <w:i w:val="0"/>
                <w:iCs w:val="0"/>
                <w:color w:val="auto"/>
                <w:sz w:val="21"/>
                <w:szCs w:val="21"/>
                <w:highlight w:val="none"/>
                <w:u w:val="none"/>
                <w:lang w:val="en-US" w:eastAsia="zh-CN" w:bidi="ar-SA"/>
              </w:rPr>
              <w:t>6</w:t>
            </w:r>
          </w:p>
        </w:tc>
        <w:tc>
          <w:tcPr>
            <w:tcW w:w="637" w:type="pct"/>
            <w:tcBorders>
              <w:top w:val="single" w:color="000000" w:sz="4" w:space="0"/>
              <w:left w:val="single" w:color="000000" w:sz="4" w:space="0"/>
              <w:bottom w:val="single" w:color="000000" w:sz="4" w:space="0"/>
              <w:right w:val="single" w:color="auto"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r>
              <w:rPr>
                <w:rFonts w:hint="eastAsia" w:ascii="宋体" w:hAnsi="宋体" w:eastAsia="宋体" w:cs="宋体"/>
                <w:i w:val="0"/>
                <w:iCs w:val="0"/>
                <w:color w:val="auto"/>
                <w:sz w:val="21"/>
                <w:szCs w:val="21"/>
                <w:highlight w:val="none"/>
                <w:u w:val="none"/>
                <w:lang w:val="en-US" w:eastAsia="zh-CN" w:bidi="ar-SA"/>
              </w:rPr>
              <w:t>96</w:t>
            </w:r>
          </w:p>
        </w:tc>
        <w:tc>
          <w:tcPr>
            <w:tcW w:w="299" w:type="pct"/>
            <w:tcBorders>
              <w:top w:val="single" w:color="000000" w:sz="4" w:space="0"/>
              <w:left w:val="single" w:color="auto" w:sz="4" w:space="0"/>
              <w:bottom w:val="single" w:color="auto" w:sz="4" w:space="0"/>
              <w:right w:val="single" w:color="auto"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r>
              <w:rPr>
                <w:rFonts w:hint="eastAsia" w:ascii="宋体" w:hAnsi="宋体" w:eastAsia="宋体" w:cs="宋体"/>
                <w:i w:val="0"/>
                <w:iCs w:val="0"/>
                <w:color w:val="auto"/>
                <w:sz w:val="21"/>
                <w:szCs w:val="21"/>
                <w:highlight w:val="none"/>
                <w:u w:val="none"/>
                <w:lang w:val="en-US" w:eastAsia="zh-CN" w:bidi="ar-SA"/>
              </w:rPr>
              <w:t>点</w:t>
            </w:r>
          </w:p>
        </w:tc>
        <w:tc>
          <w:tcPr>
            <w:tcW w:w="547" w:type="pct"/>
            <w:tcBorders>
              <w:top w:val="single" w:color="000000" w:sz="4" w:space="0"/>
              <w:left w:val="single" w:color="auto"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p>
        </w:tc>
        <w:tc>
          <w:tcPr>
            <w:tcW w:w="547" w:type="pct"/>
            <w:tcBorders>
              <w:top w:val="single" w:color="000000" w:sz="4" w:space="0"/>
              <w:left w:val="single" w:color="auto"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2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sz w:val="21"/>
                <w:szCs w:val="21"/>
                <w:highlight w:val="none"/>
                <w:u w:val="none"/>
                <w:lang w:val="en-US" w:eastAsia="zh-CN"/>
              </w:rPr>
              <w:t>四</w:t>
            </w:r>
          </w:p>
        </w:tc>
        <w:tc>
          <w:tcPr>
            <w:tcW w:w="126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地面水准控制网复测</w:t>
            </w:r>
          </w:p>
        </w:tc>
        <w:tc>
          <w:tcPr>
            <w:tcW w:w="4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p>
        </w:tc>
        <w:tc>
          <w:tcPr>
            <w:tcW w:w="6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p>
        </w:tc>
        <w:tc>
          <w:tcPr>
            <w:tcW w:w="637" w:type="pct"/>
            <w:tcBorders>
              <w:top w:val="single" w:color="000000" w:sz="4" w:space="0"/>
              <w:left w:val="single" w:color="000000" w:sz="4" w:space="0"/>
              <w:bottom w:val="single" w:color="000000" w:sz="4" w:space="0"/>
              <w:right w:val="single" w:color="auto"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p>
        </w:tc>
        <w:tc>
          <w:tcPr>
            <w:tcW w:w="299" w:type="pct"/>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p>
        </w:tc>
        <w:tc>
          <w:tcPr>
            <w:tcW w:w="547" w:type="pct"/>
            <w:tcBorders>
              <w:top w:val="single" w:color="000000" w:sz="4" w:space="0"/>
              <w:left w:val="single" w:color="auto"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p>
        </w:tc>
        <w:tc>
          <w:tcPr>
            <w:tcW w:w="547" w:type="pct"/>
            <w:tcBorders>
              <w:top w:val="single" w:color="000000" w:sz="4" w:space="0"/>
              <w:left w:val="single" w:color="auto"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2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sz w:val="21"/>
                <w:szCs w:val="21"/>
                <w:highlight w:val="none"/>
                <w:u w:val="none"/>
                <w:lang w:val="en-US" w:eastAsia="zh-CN"/>
              </w:rPr>
              <w:t>1</w:t>
            </w:r>
          </w:p>
        </w:tc>
        <w:tc>
          <w:tcPr>
            <w:tcW w:w="126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控制网复测</w:t>
            </w:r>
          </w:p>
        </w:tc>
        <w:tc>
          <w:tcPr>
            <w:tcW w:w="4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r>
              <w:rPr>
                <w:rFonts w:hint="eastAsia" w:ascii="宋体" w:hAnsi="宋体" w:eastAsia="宋体" w:cs="宋体"/>
                <w:i w:val="0"/>
                <w:iCs w:val="0"/>
                <w:color w:val="auto"/>
                <w:sz w:val="21"/>
                <w:szCs w:val="21"/>
                <w:highlight w:val="none"/>
                <w:u w:val="none"/>
                <w:lang w:val="en-US" w:eastAsia="zh-CN" w:bidi="ar-SA"/>
              </w:rPr>
              <w:t>41</w:t>
            </w:r>
          </w:p>
        </w:tc>
        <w:tc>
          <w:tcPr>
            <w:tcW w:w="6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r>
              <w:rPr>
                <w:rFonts w:hint="eastAsia" w:ascii="宋体" w:hAnsi="宋体" w:eastAsia="宋体" w:cs="宋体"/>
                <w:i w:val="0"/>
                <w:iCs w:val="0"/>
                <w:color w:val="auto"/>
                <w:sz w:val="21"/>
                <w:szCs w:val="21"/>
                <w:highlight w:val="none"/>
                <w:u w:val="none"/>
                <w:lang w:val="en-US" w:eastAsia="zh-CN" w:bidi="ar-SA"/>
              </w:rPr>
              <w:t>1次/年</w:t>
            </w:r>
          </w:p>
        </w:tc>
        <w:tc>
          <w:tcPr>
            <w:tcW w:w="3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r>
              <w:rPr>
                <w:rFonts w:hint="eastAsia" w:ascii="宋体" w:hAnsi="宋体" w:eastAsia="宋体" w:cs="宋体"/>
                <w:i w:val="0"/>
                <w:iCs w:val="0"/>
                <w:color w:val="auto"/>
                <w:sz w:val="21"/>
                <w:szCs w:val="21"/>
                <w:highlight w:val="none"/>
                <w:u w:val="none"/>
                <w:lang w:val="en-US" w:eastAsia="zh-CN" w:bidi="ar-SA"/>
              </w:rPr>
              <w:t>3</w:t>
            </w:r>
          </w:p>
        </w:tc>
        <w:tc>
          <w:tcPr>
            <w:tcW w:w="637" w:type="pct"/>
            <w:tcBorders>
              <w:top w:val="single" w:color="000000" w:sz="4" w:space="0"/>
              <w:left w:val="single" w:color="000000" w:sz="4" w:space="0"/>
              <w:bottom w:val="single" w:color="000000" w:sz="4" w:space="0"/>
              <w:right w:val="single" w:color="auto"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r>
              <w:rPr>
                <w:rFonts w:hint="eastAsia" w:ascii="宋体" w:hAnsi="宋体" w:eastAsia="宋体" w:cs="宋体"/>
                <w:i w:val="0"/>
                <w:iCs w:val="0"/>
                <w:color w:val="auto"/>
                <w:sz w:val="21"/>
                <w:szCs w:val="21"/>
                <w:highlight w:val="none"/>
                <w:u w:val="none"/>
                <w:lang w:val="en-US" w:eastAsia="zh-CN" w:bidi="ar-SA"/>
              </w:rPr>
              <w:t>123</w:t>
            </w:r>
          </w:p>
        </w:tc>
        <w:tc>
          <w:tcPr>
            <w:tcW w:w="299" w:type="pct"/>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r>
              <w:rPr>
                <w:rFonts w:hint="eastAsia" w:ascii="宋体" w:hAnsi="宋体" w:eastAsia="宋体" w:cs="宋体"/>
                <w:i w:val="0"/>
                <w:iCs w:val="0"/>
                <w:color w:val="auto"/>
                <w:sz w:val="21"/>
                <w:szCs w:val="21"/>
                <w:highlight w:val="none"/>
                <w:u w:val="none"/>
                <w:lang w:val="en-US" w:eastAsia="zh-CN" w:bidi="ar-SA"/>
              </w:rPr>
              <w:t>公里</w:t>
            </w:r>
          </w:p>
        </w:tc>
        <w:tc>
          <w:tcPr>
            <w:tcW w:w="547" w:type="pct"/>
            <w:tcBorders>
              <w:top w:val="single" w:color="000000" w:sz="4" w:space="0"/>
              <w:left w:val="single" w:color="auto"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p>
        </w:tc>
        <w:tc>
          <w:tcPr>
            <w:tcW w:w="547" w:type="pct"/>
            <w:tcBorders>
              <w:top w:val="single" w:color="000000" w:sz="4" w:space="0"/>
              <w:left w:val="single" w:color="auto"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2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sz w:val="21"/>
                <w:szCs w:val="21"/>
                <w:highlight w:val="none"/>
                <w:u w:val="none"/>
                <w:lang w:val="en-US" w:eastAsia="zh-CN"/>
              </w:rPr>
              <w:t>五</w:t>
            </w:r>
          </w:p>
        </w:tc>
        <w:tc>
          <w:tcPr>
            <w:tcW w:w="126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重点区段监测</w:t>
            </w:r>
          </w:p>
        </w:tc>
        <w:tc>
          <w:tcPr>
            <w:tcW w:w="4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p>
        </w:tc>
        <w:tc>
          <w:tcPr>
            <w:tcW w:w="6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p>
        </w:tc>
        <w:tc>
          <w:tcPr>
            <w:tcW w:w="637" w:type="pct"/>
            <w:tcBorders>
              <w:top w:val="single" w:color="000000" w:sz="4" w:space="0"/>
              <w:left w:val="single" w:color="000000" w:sz="4" w:space="0"/>
              <w:bottom w:val="single" w:color="000000" w:sz="4" w:space="0"/>
              <w:right w:val="single" w:color="auto"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p>
        </w:tc>
        <w:tc>
          <w:tcPr>
            <w:tcW w:w="299" w:type="pct"/>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p>
        </w:tc>
        <w:tc>
          <w:tcPr>
            <w:tcW w:w="547" w:type="pct"/>
            <w:tcBorders>
              <w:top w:val="single" w:color="000000" w:sz="4" w:space="0"/>
              <w:left w:val="single" w:color="auto"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p>
        </w:tc>
        <w:tc>
          <w:tcPr>
            <w:tcW w:w="547" w:type="pct"/>
            <w:tcBorders>
              <w:top w:val="single" w:color="000000" w:sz="4" w:space="0"/>
              <w:left w:val="single" w:color="auto"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2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sz w:val="21"/>
                <w:szCs w:val="21"/>
                <w:highlight w:val="none"/>
                <w:u w:val="none"/>
                <w:lang w:val="en-US" w:eastAsia="zh-CN"/>
              </w:rPr>
              <w:t>1</w:t>
            </w:r>
          </w:p>
        </w:tc>
        <w:tc>
          <w:tcPr>
            <w:tcW w:w="126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沉降监测</w:t>
            </w:r>
          </w:p>
        </w:tc>
        <w:tc>
          <w:tcPr>
            <w:tcW w:w="4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r>
              <w:rPr>
                <w:rFonts w:hint="eastAsia" w:ascii="宋体" w:hAnsi="宋体" w:eastAsia="宋体" w:cs="宋体"/>
                <w:i w:val="0"/>
                <w:iCs w:val="0"/>
                <w:color w:val="auto"/>
                <w:sz w:val="21"/>
                <w:szCs w:val="21"/>
                <w:highlight w:val="none"/>
                <w:u w:val="none"/>
                <w:lang w:val="en-US" w:eastAsia="zh-CN" w:bidi="ar-SA"/>
              </w:rPr>
              <w:t>262</w:t>
            </w:r>
          </w:p>
        </w:tc>
        <w:tc>
          <w:tcPr>
            <w:tcW w:w="6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r>
              <w:rPr>
                <w:rFonts w:hint="eastAsia" w:ascii="宋体" w:hAnsi="宋体" w:eastAsia="宋体" w:cs="宋体"/>
                <w:i w:val="0"/>
                <w:iCs w:val="0"/>
                <w:color w:val="auto"/>
                <w:sz w:val="21"/>
                <w:szCs w:val="21"/>
                <w:highlight w:val="none"/>
                <w:u w:val="none"/>
                <w:lang w:val="en-US" w:eastAsia="zh-CN" w:bidi="ar-SA"/>
              </w:rPr>
              <w:t>1次/季度</w:t>
            </w:r>
          </w:p>
        </w:tc>
        <w:tc>
          <w:tcPr>
            <w:tcW w:w="3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r>
              <w:rPr>
                <w:rFonts w:hint="eastAsia" w:ascii="宋体" w:hAnsi="宋体" w:eastAsia="宋体" w:cs="宋体"/>
                <w:i w:val="0"/>
                <w:iCs w:val="0"/>
                <w:color w:val="auto"/>
                <w:sz w:val="21"/>
                <w:szCs w:val="21"/>
                <w:highlight w:val="none"/>
                <w:u w:val="none"/>
                <w:lang w:val="en-US" w:eastAsia="zh-CN" w:bidi="ar-SA"/>
              </w:rPr>
              <w:t>12</w:t>
            </w:r>
          </w:p>
        </w:tc>
        <w:tc>
          <w:tcPr>
            <w:tcW w:w="637" w:type="pct"/>
            <w:tcBorders>
              <w:top w:val="single" w:color="000000" w:sz="4" w:space="0"/>
              <w:left w:val="single" w:color="000000" w:sz="4" w:space="0"/>
              <w:bottom w:val="single" w:color="000000" w:sz="4" w:space="0"/>
              <w:right w:val="single" w:color="auto"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r>
              <w:rPr>
                <w:rFonts w:hint="eastAsia" w:ascii="宋体" w:hAnsi="宋体" w:eastAsia="宋体" w:cs="宋体"/>
                <w:i w:val="0"/>
                <w:iCs w:val="0"/>
                <w:color w:val="auto"/>
                <w:sz w:val="21"/>
                <w:szCs w:val="21"/>
                <w:highlight w:val="none"/>
                <w:u w:val="none"/>
                <w:lang w:val="en-US" w:eastAsia="zh-CN" w:bidi="ar-SA"/>
              </w:rPr>
              <w:t>3144</w:t>
            </w:r>
          </w:p>
        </w:tc>
        <w:tc>
          <w:tcPr>
            <w:tcW w:w="299" w:type="pct"/>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r>
              <w:rPr>
                <w:rFonts w:hint="eastAsia" w:ascii="宋体" w:hAnsi="宋体" w:eastAsia="宋体" w:cs="宋体"/>
                <w:i w:val="0"/>
                <w:iCs w:val="0"/>
                <w:color w:val="auto"/>
                <w:sz w:val="21"/>
                <w:szCs w:val="21"/>
                <w:highlight w:val="none"/>
                <w:u w:val="none"/>
                <w:lang w:val="en-US" w:eastAsia="zh-CN" w:bidi="ar-SA"/>
              </w:rPr>
              <w:t>点</w:t>
            </w:r>
          </w:p>
        </w:tc>
        <w:tc>
          <w:tcPr>
            <w:tcW w:w="547" w:type="pct"/>
            <w:tcBorders>
              <w:top w:val="single" w:color="000000" w:sz="4" w:space="0"/>
              <w:left w:val="single" w:color="auto"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p>
        </w:tc>
        <w:tc>
          <w:tcPr>
            <w:tcW w:w="547" w:type="pct"/>
            <w:tcBorders>
              <w:top w:val="single" w:color="000000" w:sz="4" w:space="0"/>
              <w:left w:val="single" w:color="auto"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2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sz w:val="21"/>
                <w:szCs w:val="21"/>
                <w:highlight w:val="none"/>
                <w:u w:val="none"/>
                <w:lang w:val="en-US" w:eastAsia="zh-CN"/>
              </w:rPr>
              <w:t>2</w:t>
            </w:r>
          </w:p>
        </w:tc>
        <w:tc>
          <w:tcPr>
            <w:tcW w:w="126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收敛监测</w:t>
            </w:r>
          </w:p>
        </w:tc>
        <w:tc>
          <w:tcPr>
            <w:tcW w:w="4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r>
              <w:rPr>
                <w:rFonts w:hint="eastAsia" w:ascii="宋体" w:hAnsi="宋体" w:eastAsia="宋体" w:cs="宋体"/>
                <w:i w:val="0"/>
                <w:iCs w:val="0"/>
                <w:color w:val="auto"/>
                <w:sz w:val="21"/>
                <w:szCs w:val="21"/>
                <w:highlight w:val="none"/>
                <w:u w:val="none"/>
                <w:lang w:val="en-US" w:eastAsia="zh-CN" w:bidi="ar-SA"/>
              </w:rPr>
              <w:t>262</w:t>
            </w:r>
          </w:p>
        </w:tc>
        <w:tc>
          <w:tcPr>
            <w:tcW w:w="6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r>
              <w:rPr>
                <w:rFonts w:hint="eastAsia" w:ascii="宋体" w:hAnsi="宋体" w:eastAsia="宋体" w:cs="宋体"/>
                <w:i w:val="0"/>
                <w:iCs w:val="0"/>
                <w:color w:val="auto"/>
                <w:sz w:val="21"/>
                <w:szCs w:val="21"/>
                <w:highlight w:val="none"/>
                <w:u w:val="none"/>
                <w:lang w:val="en-US" w:eastAsia="zh-CN" w:bidi="ar-SA"/>
              </w:rPr>
              <w:t>1次/季度</w:t>
            </w:r>
          </w:p>
        </w:tc>
        <w:tc>
          <w:tcPr>
            <w:tcW w:w="3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r>
              <w:rPr>
                <w:rFonts w:hint="eastAsia" w:ascii="宋体" w:hAnsi="宋体" w:eastAsia="宋体" w:cs="宋体"/>
                <w:i w:val="0"/>
                <w:iCs w:val="0"/>
                <w:color w:val="auto"/>
                <w:sz w:val="21"/>
                <w:szCs w:val="21"/>
                <w:highlight w:val="none"/>
                <w:u w:val="none"/>
                <w:lang w:val="en-US" w:eastAsia="zh-CN" w:bidi="ar-SA"/>
              </w:rPr>
              <w:t>12</w:t>
            </w:r>
          </w:p>
        </w:tc>
        <w:tc>
          <w:tcPr>
            <w:tcW w:w="637" w:type="pct"/>
            <w:tcBorders>
              <w:top w:val="single" w:color="000000" w:sz="4" w:space="0"/>
              <w:left w:val="single" w:color="000000" w:sz="4" w:space="0"/>
              <w:bottom w:val="single" w:color="000000" w:sz="4" w:space="0"/>
              <w:right w:val="single" w:color="auto"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r>
              <w:rPr>
                <w:rFonts w:hint="eastAsia" w:ascii="宋体" w:hAnsi="宋体" w:eastAsia="宋体" w:cs="宋体"/>
                <w:i w:val="0"/>
                <w:iCs w:val="0"/>
                <w:color w:val="auto"/>
                <w:sz w:val="21"/>
                <w:szCs w:val="21"/>
                <w:highlight w:val="none"/>
                <w:u w:val="none"/>
                <w:lang w:val="en-US" w:eastAsia="zh-CN" w:bidi="ar-SA"/>
              </w:rPr>
              <w:t>3144</w:t>
            </w:r>
          </w:p>
        </w:tc>
        <w:tc>
          <w:tcPr>
            <w:tcW w:w="299" w:type="pct"/>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r>
              <w:rPr>
                <w:rFonts w:hint="eastAsia" w:ascii="宋体" w:hAnsi="宋体" w:eastAsia="宋体" w:cs="宋体"/>
                <w:i w:val="0"/>
                <w:iCs w:val="0"/>
                <w:color w:val="auto"/>
                <w:sz w:val="21"/>
                <w:szCs w:val="21"/>
                <w:highlight w:val="none"/>
                <w:u w:val="none"/>
                <w:lang w:val="en-US" w:eastAsia="zh-CN" w:bidi="ar-SA"/>
              </w:rPr>
              <w:t>点</w:t>
            </w:r>
          </w:p>
        </w:tc>
        <w:tc>
          <w:tcPr>
            <w:tcW w:w="547" w:type="pct"/>
            <w:tcBorders>
              <w:top w:val="single" w:color="000000" w:sz="4" w:space="0"/>
              <w:left w:val="single" w:color="auto"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p>
        </w:tc>
        <w:tc>
          <w:tcPr>
            <w:tcW w:w="547" w:type="pct"/>
            <w:tcBorders>
              <w:top w:val="single" w:color="000000" w:sz="4" w:space="0"/>
              <w:left w:val="single" w:color="auto"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2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b/>
                <w:bCs/>
                <w:i w:val="0"/>
                <w:iCs w:val="0"/>
                <w:color w:val="auto"/>
                <w:sz w:val="21"/>
                <w:szCs w:val="21"/>
                <w:highlight w:val="none"/>
                <w:u w:val="none"/>
                <w:lang w:val="en-US" w:eastAsia="zh-CN"/>
              </w:rPr>
            </w:pPr>
            <w:r>
              <w:rPr>
                <w:rFonts w:hint="eastAsia" w:ascii="宋体" w:hAnsi="宋体" w:eastAsia="宋体" w:cs="宋体"/>
                <w:b/>
                <w:bCs/>
                <w:i w:val="0"/>
                <w:iCs w:val="0"/>
                <w:color w:val="auto"/>
                <w:sz w:val="21"/>
                <w:szCs w:val="21"/>
                <w:highlight w:val="none"/>
                <w:u w:val="none"/>
                <w:lang w:val="en-US" w:eastAsia="zh-CN"/>
              </w:rPr>
              <w:t>六</w:t>
            </w:r>
          </w:p>
        </w:tc>
        <w:tc>
          <w:tcPr>
            <w:tcW w:w="126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保护区运营施工配合</w:t>
            </w:r>
          </w:p>
        </w:tc>
        <w:tc>
          <w:tcPr>
            <w:tcW w:w="4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p>
        </w:tc>
        <w:tc>
          <w:tcPr>
            <w:tcW w:w="6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p>
        </w:tc>
        <w:tc>
          <w:tcPr>
            <w:tcW w:w="637" w:type="pct"/>
            <w:tcBorders>
              <w:top w:val="single" w:color="000000" w:sz="4" w:space="0"/>
              <w:left w:val="single" w:color="000000" w:sz="4" w:space="0"/>
              <w:bottom w:val="single" w:color="000000" w:sz="4" w:space="0"/>
              <w:right w:val="single" w:color="auto"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p>
        </w:tc>
        <w:tc>
          <w:tcPr>
            <w:tcW w:w="299" w:type="pct"/>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p>
        </w:tc>
        <w:tc>
          <w:tcPr>
            <w:tcW w:w="547" w:type="pct"/>
            <w:tcBorders>
              <w:top w:val="single" w:color="000000" w:sz="4" w:space="0"/>
              <w:left w:val="single" w:color="auto"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p>
        </w:tc>
        <w:tc>
          <w:tcPr>
            <w:tcW w:w="547" w:type="pct"/>
            <w:tcBorders>
              <w:top w:val="single" w:color="000000" w:sz="4" w:space="0"/>
              <w:left w:val="single" w:color="auto"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2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b/>
                <w:bCs/>
                <w:i w:val="0"/>
                <w:iCs w:val="0"/>
                <w:color w:val="auto"/>
                <w:sz w:val="21"/>
                <w:szCs w:val="21"/>
                <w:highlight w:val="none"/>
                <w:u w:val="none"/>
                <w:lang w:val="en-US" w:eastAsia="zh-CN"/>
              </w:rPr>
            </w:pPr>
            <w:r>
              <w:rPr>
                <w:rFonts w:hint="eastAsia" w:ascii="宋体" w:hAnsi="宋体" w:eastAsia="宋体" w:cs="宋体"/>
                <w:b/>
                <w:bCs/>
                <w:i w:val="0"/>
                <w:iCs w:val="0"/>
                <w:color w:val="auto"/>
                <w:sz w:val="21"/>
                <w:szCs w:val="21"/>
                <w:highlight w:val="none"/>
                <w:u w:val="none"/>
                <w:lang w:val="en-US" w:eastAsia="zh-CN"/>
              </w:rPr>
              <w:t>1</w:t>
            </w:r>
          </w:p>
        </w:tc>
        <w:tc>
          <w:tcPr>
            <w:tcW w:w="126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施工监管</w:t>
            </w:r>
          </w:p>
        </w:tc>
        <w:tc>
          <w:tcPr>
            <w:tcW w:w="4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r>
              <w:rPr>
                <w:rFonts w:hint="eastAsia" w:ascii="宋体" w:hAnsi="宋体" w:eastAsia="宋体" w:cs="宋体"/>
                <w:i w:val="0"/>
                <w:iCs w:val="0"/>
                <w:color w:val="auto"/>
                <w:sz w:val="21"/>
                <w:szCs w:val="21"/>
                <w:highlight w:val="none"/>
                <w:u w:val="none"/>
                <w:lang w:val="en-US" w:eastAsia="zh-CN" w:bidi="ar-SA"/>
              </w:rPr>
              <w:t>108</w:t>
            </w:r>
          </w:p>
        </w:tc>
        <w:tc>
          <w:tcPr>
            <w:tcW w:w="6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r>
              <w:rPr>
                <w:rFonts w:hint="eastAsia" w:ascii="宋体" w:hAnsi="宋体" w:eastAsia="宋体" w:cs="宋体"/>
                <w:i w:val="0"/>
                <w:iCs w:val="0"/>
                <w:color w:val="auto"/>
                <w:sz w:val="21"/>
                <w:szCs w:val="21"/>
                <w:highlight w:val="none"/>
                <w:u w:val="none"/>
                <w:lang w:val="en-US" w:eastAsia="zh-CN" w:bidi="ar-SA"/>
              </w:rPr>
              <w:t>/</w:t>
            </w:r>
          </w:p>
        </w:tc>
        <w:tc>
          <w:tcPr>
            <w:tcW w:w="3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r>
              <w:rPr>
                <w:rFonts w:hint="eastAsia" w:ascii="宋体" w:hAnsi="宋体" w:eastAsia="宋体" w:cs="宋体"/>
                <w:i w:val="0"/>
                <w:iCs w:val="0"/>
                <w:color w:val="auto"/>
                <w:sz w:val="21"/>
                <w:szCs w:val="21"/>
                <w:highlight w:val="none"/>
                <w:u w:val="none"/>
                <w:lang w:val="en-US" w:eastAsia="zh-CN" w:bidi="ar-SA"/>
              </w:rPr>
              <w:t>3</w:t>
            </w:r>
          </w:p>
        </w:tc>
        <w:tc>
          <w:tcPr>
            <w:tcW w:w="637" w:type="pct"/>
            <w:tcBorders>
              <w:top w:val="single" w:color="000000" w:sz="4" w:space="0"/>
              <w:left w:val="single" w:color="000000" w:sz="4" w:space="0"/>
              <w:bottom w:val="single" w:color="000000" w:sz="4" w:space="0"/>
              <w:right w:val="single" w:color="auto"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r>
              <w:rPr>
                <w:rFonts w:hint="eastAsia" w:ascii="宋体" w:hAnsi="宋体" w:eastAsia="宋体" w:cs="宋体"/>
                <w:i w:val="0"/>
                <w:iCs w:val="0"/>
                <w:color w:val="auto"/>
                <w:sz w:val="21"/>
                <w:szCs w:val="21"/>
                <w:highlight w:val="none"/>
                <w:u w:val="none"/>
                <w:lang w:val="en-US" w:eastAsia="zh-CN" w:bidi="ar-SA"/>
              </w:rPr>
              <w:t>324</w:t>
            </w:r>
          </w:p>
        </w:tc>
        <w:tc>
          <w:tcPr>
            <w:tcW w:w="299" w:type="pct"/>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r>
              <w:rPr>
                <w:rFonts w:hint="eastAsia" w:ascii="宋体" w:hAnsi="宋体" w:eastAsia="宋体" w:cs="宋体"/>
                <w:i w:val="0"/>
                <w:iCs w:val="0"/>
                <w:color w:val="auto"/>
                <w:sz w:val="21"/>
                <w:szCs w:val="21"/>
                <w:highlight w:val="none"/>
                <w:u w:val="none"/>
                <w:lang w:val="en-US" w:eastAsia="zh-CN" w:bidi="ar-SA"/>
              </w:rPr>
              <w:t>人次</w:t>
            </w:r>
          </w:p>
        </w:tc>
        <w:tc>
          <w:tcPr>
            <w:tcW w:w="547" w:type="pct"/>
            <w:tcBorders>
              <w:top w:val="single" w:color="000000" w:sz="4" w:space="0"/>
              <w:left w:val="single" w:color="auto"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p>
        </w:tc>
        <w:tc>
          <w:tcPr>
            <w:tcW w:w="547" w:type="pct"/>
            <w:tcBorders>
              <w:top w:val="single" w:color="000000" w:sz="4" w:space="0"/>
              <w:left w:val="single" w:color="auto"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2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b/>
                <w:bCs/>
                <w:i w:val="0"/>
                <w:iCs w:val="0"/>
                <w:color w:val="auto"/>
                <w:sz w:val="21"/>
                <w:szCs w:val="21"/>
                <w:highlight w:val="none"/>
                <w:u w:val="none"/>
                <w:lang w:val="en-US" w:eastAsia="zh-CN"/>
              </w:rPr>
            </w:pPr>
            <w:r>
              <w:rPr>
                <w:rFonts w:hint="eastAsia" w:ascii="宋体" w:hAnsi="宋体" w:eastAsia="宋体" w:cs="宋体"/>
                <w:b/>
                <w:bCs/>
                <w:i w:val="0"/>
                <w:iCs w:val="0"/>
                <w:color w:val="auto"/>
                <w:sz w:val="21"/>
                <w:szCs w:val="21"/>
                <w:highlight w:val="none"/>
                <w:u w:val="none"/>
                <w:lang w:val="en-US" w:eastAsia="zh-CN"/>
              </w:rPr>
              <w:t>七</w:t>
            </w:r>
          </w:p>
        </w:tc>
        <w:tc>
          <w:tcPr>
            <w:tcW w:w="126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隧道结构技术状况评价</w:t>
            </w:r>
          </w:p>
        </w:tc>
        <w:tc>
          <w:tcPr>
            <w:tcW w:w="4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p>
        </w:tc>
        <w:tc>
          <w:tcPr>
            <w:tcW w:w="6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p>
        </w:tc>
        <w:tc>
          <w:tcPr>
            <w:tcW w:w="637" w:type="pct"/>
            <w:tcBorders>
              <w:top w:val="single" w:color="000000" w:sz="4" w:space="0"/>
              <w:left w:val="single" w:color="000000" w:sz="4" w:space="0"/>
              <w:bottom w:val="single" w:color="000000" w:sz="4" w:space="0"/>
              <w:right w:val="single" w:color="auto"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p>
        </w:tc>
        <w:tc>
          <w:tcPr>
            <w:tcW w:w="299" w:type="pct"/>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p>
        </w:tc>
        <w:tc>
          <w:tcPr>
            <w:tcW w:w="547" w:type="pct"/>
            <w:tcBorders>
              <w:top w:val="single" w:color="000000" w:sz="4" w:space="0"/>
              <w:left w:val="single" w:color="auto"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p>
        </w:tc>
        <w:tc>
          <w:tcPr>
            <w:tcW w:w="547" w:type="pct"/>
            <w:tcBorders>
              <w:top w:val="single" w:color="000000" w:sz="4" w:space="0"/>
              <w:left w:val="single" w:color="auto"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2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b/>
                <w:bCs/>
                <w:i w:val="0"/>
                <w:iCs w:val="0"/>
                <w:color w:val="auto"/>
                <w:sz w:val="21"/>
                <w:szCs w:val="21"/>
                <w:highlight w:val="none"/>
                <w:u w:val="none"/>
                <w:lang w:val="en-US" w:eastAsia="zh-CN"/>
              </w:rPr>
            </w:pPr>
            <w:r>
              <w:rPr>
                <w:rFonts w:hint="eastAsia" w:ascii="宋体" w:hAnsi="宋体" w:eastAsia="宋体" w:cs="宋体"/>
                <w:b/>
                <w:bCs/>
                <w:i w:val="0"/>
                <w:iCs w:val="0"/>
                <w:color w:val="auto"/>
                <w:sz w:val="21"/>
                <w:szCs w:val="21"/>
                <w:highlight w:val="none"/>
                <w:u w:val="none"/>
                <w:lang w:val="en-US" w:eastAsia="zh-CN"/>
              </w:rPr>
              <w:t>1</w:t>
            </w:r>
          </w:p>
        </w:tc>
        <w:tc>
          <w:tcPr>
            <w:tcW w:w="126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明挖结构</w:t>
            </w:r>
          </w:p>
        </w:tc>
        <w:tc>
          <w:tcPr>
            <w:tcW w:w="4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r>
              <w:rPr>
                <w:rFonts w:hint="eastAsia" w:ascii="宋体" w:hAnsi="宋体" w:eastAsia="宋体" w:cs="宋体"/>
                <w:i w:val="0"/>
                <w:iCs w:val="0"/>
                <w:color w:val="auto"/>
                <w:sz w:val="21"/>
                <w:szCs w:val="21"/>
                <w:highlight w:val="none"/>
                <w:u w:val="none"/>
                <w:lang w:val="en-US" w:eastAsia="zh-CN" w:bidi="ar-SA"/>
              </w:rPr>
              <w:t>4</w:t>
            </w:r>
          </w:p>
        </w:tc>
        <w:tc>
          <w:tcPr>
            <w:tcW w:w="6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r>
              <w:rPr>
                <w:rFonts w:hint="eastAsia" w:ascii="宋体" w:hAnsi="宋体" w:eastAsia="宋体" w:cs="宋体"/>
                <w:i w:val="0"/>
                <w:iCs w:val="0"/>
                <w:color w:val="auto"/>
                <w:sz w:val="21"/>
                <w:szCs w:val="21"/>
                <w:highlight w:val="none"/>
                <w:u w:val="none"/>
                <w:lang w:val="en-US" w:eastAsia="zh-CN" w:bidi="ar-SA"/>
              </w:rPr>
              <w:t>1次/年</w:t>
            </w:r>
          </w:p>
        </w:tc>
        <w:tc>
          <w:tcPr>
            <w:tcW w:w="3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r>
              <w:rPr>
                <w:rFonts w:hint="eastAsia" w:ascii="宋体" w:hAnsi="宋体" w:eastAsia="宋体" w:cs="宋体"/>
                <w:i w:val="0"/>
                <w:iCs w:val="0"/>
                <w:color w:val="auto"/>
                <w:sz w:val="21"/>
                <w:szCs w:val="21"/>
                <w:highlight w:val="none"/>
                <w:u w:val="none"/>
                <w:lang w:val="en-US" w:eastAsia="zh-CN" w:bidi="ar-SA"/>
              </w:rPr>
              <w:t>3</w:t>
            </w:r>
          </w:p>
        </w:tc>
        <w:tc>
          <w:tcPr>
            <w:tcW w:w="637" w:type="pct"/>
            <w:tcBorders>
              <w:top w:val="single" w:color="000000" w:sz="4" w:space="0"/>
              <w:left w:val="single" w:color="000000" w:sz="4" w:space="0"/>
              <w:bottom w:val="single" w:color="000000" w:sz="4" w:space="0"/>
              <w:right w:val="single" w:color="auto"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r>
              <w:rPr>
                <w:rFonts w:hint="eastAsia" w:ascii="宋体" w:hAnsi="宋体" w:eastAsia="宋体" w:cs="宋体"/>
                <w:i w:val="0"/>
                <w:iCs w:val="0"/>
                <w:color w:val="auto"/>
                <w:sz w:val="21"/>
                <w:szCs w:val="21"/>
                <w:highlight w:val="none"/>
                <w:u w:val="none"/>
                <w:lang w:val="en-US" w:eastAsia="zh-CN" w:bidi="ar-SA"/>
              </w:rPr>
              <w:t>12</w:t>
            </w:r>
          </w:p>
        </w:tc>
        <w:tc>
          <w:tcPr>
            <w:tcW w:w="299" w:type="pct"/>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r>
              <w:rPr>
                <w:rFonts w:hint="eastAsia" w:ascii="宋体" w:hAnsi="宋体" w:eastAsia="宋体" w:cs="宋体"/>
                <w:i w:val="0"/>
                <w:iCs w:val="0"/>
                <w:color w:val="auto"/>
                <w:sz w:val="21"/>
                <w:szCs w:val="21"/>
                <w:highlight w:val="none"/>
                <w:u w:val="none"/>
                <w:lang w:val="en-US" w:eastAsia="zh-CN" w:bidi="ar-SA"/>
              </w:rPr>
              <w:t>公里</w:t>
            </w:r>
          </w:p>
        </w:tc>
        <w:tc>
          <w:tcPr>
            <w:tcW w:w="547" w:type="pct"/>
            <w:tcBorders>
              <w:top w:val="single" w:color="000000" w:sz="4" w:space="0"/>
              <w:left w:val="single" w:color="auto"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p>
        </w:tc>
        <w:tc>
          <w:tcPr>
            <w:tcW w:w="547" w:type="pct"/>
            <w:tcBorders>
              <w:top w:val="single" w:color="000000" w:sz="4" w:space="0"/>
              <w:left w:val="single" w:color="auto"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2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b/>
                <w:bCs/>
                <w:i w:val="0"/>
                <w:iCs w:val="0"/>
                <w:color w:val="auto"/>
                <w:sz w:val="21"/>
                <w:szCs w:val="21"/>
                <w:highlight w:val="none"/>
                <w:u w:val="none"/>
                <w:lang w:val="en-US" w:eastAsia="zh-CN"/>
              </w:rPr>
            </w:pPr>
            <w:r>
              <w:rPr>
                <w:rFonts w:hint="eastAsia" w:ascii="宋体" w:hAnsi="宋体" w:eastAsia="宋体" w:cs="宋体"/>
                <w:b/>
                <w:bCs/>
                <w:i w:val="0"/>
                <w:iCs w:val="0"/>
                <w:color w:val="auto"/>
                <w:sz w:val="21"/>
                <w:szCs w:val="21"/>
                <w:highlight w:val="none"/>
                <w:u w:val="none"/>
                <w:lang w:val="en-US" w:eastAsia="zh-CN"/>
              </w:rPr>
              <w:t>2</w:t>
            </w:r>
          </w:p>
        </w:tc>
        <w:tc>
          <w:tcPr>
            <w:tcW w:w="126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both"/>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盾构隧道</w:t>
            </w:r>
          </w:p>
        </w:tc>
        <w:tc>
          <w:tcPr>
            <w:tcW w:w="4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r>
              <w:rPr>
                <w:rFonts w:hint="eastAsia" w:ascii="宋体" w:hAnsi="宋体" w:eastAsia="宋体" w:cs="宋体"/>
                <w:i w:val="0"/>
                <w:iCs w:val="0"/>
                <w:color w:val="auto"/>
                <w:sz w:val="21"/>
                <w:szCs w:val="21"/>
                <w:highlight w:val="none"/>
                <w:u w:val="none"/>
                <w:lang w:val="en-US" w:eastAsia="zh-CN" w:bidi="ar-SA"/>
              </w:rPr>
              <w:t>26900</w:t>
            </w:r>
          </w:p>
        </w:tc>
        <w:tc>
          <w:tcPr>
            <w:tcW w:w="6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r>
              <w:rPr>
                <w:rFonts w:hint="eastAsia" w:ascii="宋体" w:hAnsi="宋体" w:eastAsia="宋体" w:cs="宋体"/>
                <w:i w:val="0"/>
                <w:iCs w:val="0"/>
                <w:color w:val="auto"/>
                <w:sz w:val="21"/>
                <w:szCs w:val="21"/>
                <w:highlight w:val="none"/>
                <w:u w:val="none"/>
                <w:lang w:val="en-US" w:eastAsia="zh-CN" w:bidi="ar-SA"/>
              </w:rPr>
              <w:t>1次/年</w:t>
            </w:r>
          </w:p>
        </w:tc>
        <w:tc>
          <w:tcPr>
            <w:tcW w:w="3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r>
              <w:rPr>
                <w:rFonts w:hint="eastAsia" w:ascii="宋体" w:hAnsi="宋体" w:eastAsia="宋体" w:cs="宋体"/>
                <w:i w:val="0"/>
                <w:iCs w:val="0"/>
                <w:color w:val="auto"/>
                <w:sz w:val="21"/>
                <w:szCs w:val="21"/>
                <w:highlight w:val="none"/>
                <w:u w:val="none"/>
                <w:lang w:val="en-US" w:eastAsia="zh-CN" w:bidi="ar-SA"/>
              </w:rPr>
              <w:t>3</w:t>
            </w:r>
          </w:p>
        </w:tc>
        <w:tc>
          <w:tcPr>
            <w:tcW w:w="637" w:type="pct"/>
            <w:tcBorders>
              <w:top w:val="single" w:color="000000" w:sz="4" w:space="0"/>
              <w:left w:val="single" w:color="000000" w:sz="4" w:space="0"/>
              <w:bottom w:val="single" w:color="000000" w:sz="4" w:space="0"/>
              <w:right w:val="single" w:color="auto"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r>
              <w:rPr>
                <w:rFonts w:hint="eastAsia" w:ascii="宋体" w:hAnsi="宋体" w:eastAsia="宋体" w:cs="宋体"/>
                <w:i w:val="0"/>
                <w:iCs w:val="0"/>
                <w:color w:val="auto"/>
                <w:sz w:val="21"/>
                <w:szCs w:val="21"/>
                <w:highlight w:val="none"/>
                <w:u w:val="none"/>
                <w:lang w:val="en-US" w:eastAsia="zh-CN" w:bidi="ar-SA"/>
              </w:rPr>
              <w:t>80700</w:t>
            </w:r>
          </w:p>
        </w:tc>
        <w:tc>
          <w:tcPr>
            <w:tcW w:w="299" w:type="pct"/>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r>
              <w:rPr>
                <w:rFonts w:hint="eastAsia" w:ascii="宋体" w:hAnsi="宋体" w:eastAsia="宋体" w:cs="宋体"/>
                <w:i w:val="0"/>
                <w:iCs w:val="0"/>
                <w:color w:val="auto"/>
                <w:sz w:val="21"/>
                <w:szCs w:val="21"/>
                <w:highlight w:val="none"/>
                <w:u w:val="none"/>
                <w:lang w:val="en-US" w:eastAsia="zh-CN" w:bidi="ar-SA"/>
              </w:rPr>
              <w:t>环</w:t>
            </w:r>
          </w:p>
        </w:tc>
        <w:tc>
          <w:tcPr>
            <w:tcW w:w="547" w:type="pct"/>
            <w:tcBorders>
              <w:top w:val="single" w:color="000000" w:sz="4" w:space="0"/>
              <w:left w:val="single" w:color="auto"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p>
        </w:tc>
        <w:tc>
          <w:tcPr>
            <w:tcW w:w="547" w:type="pct"/>
            <w:tcBorders>
              <w:top w:val="single" w:color="000000" w:sz="4" w:space="0"/>
              <w:left w:val="single" w:color="auto"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4452" w:type="pct"/>
            <w:gridSpan w:val="8"/>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sz w:val="21"/>
                <w:szCs w:val="21"/>
                <w:highlight w:val="none"/>
                <w:u w:val="none"/>
                <w:lang w:val="en-US" w:eastAsia="zh-CN" w:bidi="ar-SA"/>
              </w:rPr>
              <w:t>合计（元）</w:t>
            </w:r>
          </w:p>
        </w:tc>
        <w:tc>
          <w:tcPr>
            <w:tcW w:w="547" w:type="pct"/>
            <w:tcBorders>
              <w:top w:val="single" w:color="000000" w:sz="4" w:space="0"/>
              <w:left w:val="single" w:color="auto"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p>
        </w:tc>
      </w:tr>
    </w:tbl>
    <w:p>
      <w:pPr>
        <w:ind w:firstLine="480"/>
        <w:jc w:val="right"/>
        <w:rPr>
          <w:color w:val="auto"/>
          <w:highlight w:val="none"/>
        </w:rPr>
      </w:pPr>
      <w:r>
        <w:rPr>
          <w:rFonts w:hint="eastAsia"/>
          <w:color w:val="auto"/>
          <w:highlight w:val="none"/>
          <w:lang w:eastAsia="zh-CN"/>
        </w:rPr>
        <w:t>投标人</w:t>
      </w:r>
      <w:r>
        <w:rPr>
          <w:rFonts w:hint="eastAsia"/>
          <w:color w:val="auto"/>
          <w:highlight w:val="none"/>
        </w:rPr>
        <w:t>： （加盖公章）</w:t>
      </w:r>
    </w:p>
    <w:p>
      <w:pPr>
        <w:ind w:firstLine="480"/>
        <w:jc w:val="right"/>
        <w:rPr>
          <w:color w:val="auto"/>
          <w:highlight w:val="none"/>
        </w:rPr>
      </w:pPr>
      <w:r>
        <w:rPr>
          <w:rFonts w:hint="eastAsia"/>
          <w:color w:val="auto"/>
          <w:highlight w:val="none"/>
        </w:rPr>
        <w:t>法定代表人或授权代理人：（签字或盖章）</w:t>
      </w:r>
    </w:p>
    <w:p>
      <w:pPr>
        <w:pStyle w:val="5"/>
        <w:ind w:firstLine="0" w:firstLineChars="0"/>
        <w:jc w:val="right"/>
        <w:rPr>
          <w:rFonts w:hint="eastAsia" w:ascii="Times New Roman" w:hAnsi="Times New Roman" w:eastAsia="宋体" w:cstheme="minorBidi"/>
          <w:b w:val="0"/>
          <w:bCs w:val="0"/>
          <w:color w:val="auto"/>
          <w:kern w:val="2"/>
          <w:sz w:val="24"/>
          <w:szCs w:val="22"/>
          <w:highlight w:val="none"/>
          <w:lang w:val="en-US" w:eastAsia="zh-CN" w:bidi="ar-SA"/>
        </w:rPr>
      </w:pPr>
      <w:r>
        <w:rPr>
          <w:rFonts w:hint="eastAsia" w:ascii="Times New Roman" w:hAnsi="Times New Roman" w:eastAsia="宋体" w:cstheme="minorBidi"/>
          <w:b w:val="0"/>
          <w:bCs w:val="0"/>
          <w:color w:val="auto"/>
          <w:kern w:val="2"/>
          <w:sz w:val="24"/>
          <w:szCs w:val="22"/>
          <w:highlight w:val="none"/>
          <w:lang w:val="en-US" w:eastAsia="zh-CN" w:bidi="ar-SA"/>
        </w:rPr>
        <w:t>年  　月　  日</w:t>
      </w:r>
    </w:p>
    <w:p>
      <w:pPr>
        <w:ind w:left="0" w:leftChars="0" w:firstLine="0" w:firstLineChars="0"/>
        <w:rPr>
          <w:rFonts w:hint="default"/>
          <w:highlight w:val="none"/>
          <w:lang w:val="en-US" w:eastAsia="zh-CN"/>
        </w:rPr>
      </w:pPr>
    </w:p>
    <w:sectPr>
      <w:pgSz w:w="11906" w:h="16838"/>
      <w:pgMar w:top="1418" w:right="1588" w:bottom="1418" w:left="1588" w:header="851" w:footer="992" w:gutter="0"/>
      <w:pgBorders>
        <w:top w:val="none" w:sz="0" w:space="0"/>
        <w:left w:val="none" w:sz="0" w:space="0"/>
        <w:bottom w:val="none" w:sz="0" w:space="0"/>
        <w:right w:val="none" w:sz="0" w:space="0"/>
      </w:pgBorders>
      <w:pgNumType w:fmt="decimal"/>
      <w:cols w:space="425" w:num="1"/>
      <w:docGrid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D1E4AF68-9B67-4255-829C-16F4697A2E3E}"/>
  </w:font>
  <w:font w:name="黑体">
    <w:panose1 w:val="02010609060101010101"/>
    <w:charset w:val="86"/>
    <w:family w:val="auto"/>
    <w:pitch w:val="default"/>
    <w:sig w:usb0="800002BF" w:usb1="38CF7CFA" w:usb2="00000016" w:usb3="00000000" w:csb0="00040001" w:csb1="00000000"/>
    <w:embedRegular r:id="rId2" w:fontKey="{082D832A-CE0A-426D-A837-25517D06CF8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4E84F83C-2F8B-4373-B938-F84D8818009D}"/>
  </w:font>
  <w:font w:name="等线 Light">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embedRegular r:id="rId4" w:fontKey="{E935A01E-9415-4170-AD28-1465F28A63D3}"/>
  </w:font>
  <w:font w:name="ÀŒÃÂ">
    <w:altName w:val="Segoe Print"/>
    <w:panose1 w:val="00000000000000000000"/>
    <w:charset w:val="00"/>
    <w:family w:val="roman"/>
    <w:pitch w:val="default"/>
    <w:sig w:usb0="00000000" w:usb1="00000000" w:usb2="00000000" w:usb3="00000000" w:csb0="0000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embedRegular r:id="rId5" w:fontKey="{828D34E7-DF2F-4771-8B58-8C5526CBC541}"/>
  </w:font>
  <w:font w:name="Segoe UI">
    <w:panose1 w:val="020B0502040204020203"/>
    <w:charset w:val="00"/>
    <w:family w:val="swiss"/>
    <w:pitch w:val="default"/>
    <w:sig w:usb0="E4002EFF" w:usb1="C000E47F" w:usb2="00000009" w:usb3="00000000" w:csb0="200001FF" w:csb1="00000000"/>
    <w:embedRegular r:id="rId6" w:fontKey="{93B0DCC2-3BBF-4108-8B6F-881FB2299393}"/>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ind w:firstLine="36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19"/>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ind w:firstLine="360"/>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19"/>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ind w:left="0" w:leftChars="0" w:firstLine="0" w:firstLineChars="0"/>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pPr>
                      <w:pStyle w:val="19"/>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keepNext w:val="0"/>
      <w:keepLines w:val="0"/>
      <w:pageBreakBefore w:val="0"/>
      <w:widowControl w:val="0"/>
      <w:kinsoku/>
      <w:wordWrap/>
      <w:overflowPunct/>
      <w:topLinePunct w:val="0"/>
      <w:bidi w:val="0"/>
      <w:adjustRightInd/>
      <w:snapToGrid/>
      <w:spacing w:line="236" w:lineRule="auto"/>
      <w:ind w:left="0" w:leftChars="0" w:firstLine="0" w:firstLineChars="0"/>
      <w:jc w:val="center"/>
      <w:textAlignment w:val="auto"/>
      <w:rPr>
        <w:rFonts w:ascii="Calibri" w:hAnsi="Calibri" w:eastAsia="Calibri" w:cs="Calibri"/>
        <w:sz w:val="18"/>
        <w:szCs w:val="18"/>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9"/>
                          </w:pPr>
                          <w:r>
                            <w:fldChar w:fldCharType="begin"/>
                          </w:r>
                          <w:r>
                            <w:instrText xml:space="preserve"> PAGE  \* MERGEFORMAT </w:instrText>
                          </w:r>
                          <w:r>
                            <w:fldChar w:fldCharType="separate"/>
                          </w:r>
                          <w:r>
                            <w:t>21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pPr>
                      <w:pStyle w:val="19"/>
                    </w:pPr>
                    <w:r>
                      <w:fldChar w:fldCharType="begin"/>
                    </w:r>
                    <w:r>
                      <w:instrText xml:space="preserve"> PAGE  \* MERGEFORMAT </w:instrText>
                    </w:r>
                    <w:r>
                      <w:fldChar w:fldCharType="separate"/>
                    </w:r>
                    <w:r>
                      <w:t>21</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ind w:firstLine="360"/>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205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19"/>
                            <w:ind w:firstLine="360"/>
                            <w:jc w:val="center"/>
                          </w:pPr>
                          <w:r>
                            <w:fldChar w:fldCharType="begin"/>
                          </w:r>
                          <w:r>
                            <w:instrText xml:space="preserve"> PAGE   \* MERGEFORMAT </w:instrText>
                          </w:r>
                          <w:r>
                            <w:fldChar w:fldCharType="separate"/>
                          </w:r>
                          <w:r>
                            <w:rPr>
                              <w:lang w:val="zh-CN"/>
                            </w:rPr>
                            <w:t>41</w:t>
                          </w:r>
                          <w:r>
                            <w:rPr>
                              <w:lang w:val="zh-CN"/>
                            </w:rPr>
                            <w:fldChar w:fldCharType="end"/>
                          </w:r>
                        </w:p>
                      </w:txbxContent>
                    </wps:txbx>
                    <wps:bodyPr wrap="none" lIns="0" tIns="0" rIns="0" bIns="0">
                      <a:spAutoFit/>
                    </wps:bodyPr>
                  </wps:wsp>
                </a:graphicData>
              </a:graphic>
            </wp:anchor>
          </w:drawing>
        </mc:Choice>
        <mc:Fallback>
          <w:pict>
            <v:shape id="文本框 2050"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zXiPSyQEAAJ4DAAAOAAAAAAAAAAEAIAAAAB4BAABkcnMvZTJvRG9j&#10;LnhtbFBLBQYAAAAABgAGAFkBAABZBQAAAAA=&#10;">
              <v:fill on="f" focussize="0,0"/>
              <v:stroke on="f"/>
              <v:imagedata o:title=""/>
              <o:lock v:ext="edit" aspectratio="f"/>
              <v:textbox inset="0mm,0mm,0mm,0mm" style="mso-fit-shape-to-text:t;">
                <w:txbxContent>
                  <w:p>
                    <w:pPr>
                      <w:pStyle w:val="19"/>
                      <w:ind w:firstLine="360"/>
                      <w:jc w:val="center"/>
                    </w:pPr>
                    <w:r>
                      <w:fldChar w:fldCharType="begin"/>
                    </w:r>
                    <w:r>
                      <w:instrText xml:space="preserve"> PAGE   \* MERGEFORMAT </w:instrText>
                    </w:r>
                    <w:r>
                      <w:fldChar w:fldCharType="separate"/>
                    </w:r>
                    <w:r>
                      <w:rPr>
                        <w:lang w:val="zh-CN"/>
                      </w:rPr>
                      <w:t>41</w:t>
                    </w:r>
                    <w:r>
                      <w:rPr>
                        <w:lang w:val="zh-CN"/>
                      </w:rPr>
                      <w:fldChar w:fldCharType="end"/>
                    </w:r>
                  </w:p>
                </w:txbxContent>
              </v:textbox>
            </v:shape>
          </w:pict>
        </mc:Fallback>
      </mc:AlternateContent>
    </w:r>
  </w:p>
  <w:p>
    <w:pPr>
      <w:pStyle w:val="19"/>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48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D1C7D1"/>
    <w:multiLevelType w:val="singleLevel"/>
    <w:tmpl w:val="9BD1C7D1"/>
    <w:lvl w:ilvl="0" w:tentative="0">
      <w:start w:val="1"/>
      <w:numFmt w:val="decimal"/>
      <w:suff w:val="nothing"/>
      <w:lvlText w:val="（%1）"/>
      <w:lvlJc w:val="left"/>
    </w:lvl>
  </w:abstractNum>
  <w:abstractNum w:abstractNumId="1">
    <w:nsid w:val="7542A9A2"/>
    <w:multiLevelType w:val="singleLevel"/>
    <w:tmpl w:val="7542A9A2"/>
    <w:lvl w:ilvl="0" w:tentative="0">
      <w:start w:val="1"/>
      <w:numFmt w:val="decimal"/>
      <w:suff w:val="nothing"/>
      <w:lvlText w:val="%1、"/>
      <w:lvlJc w:val="left"/>
    </w:lvl>
  </w:abstractNum>
  <w:abstractNum w:abstractNumId="2">
    <w:nsid w:val="7A53FA2C"/>
    <w:multiLevelType w:val="singleLevel"/>
    <w:tmpl w:val="7A53FA2C"/>
    <w:lvl w:ilvl="0" w:tentative="0">
      <w:start w:val="1"/>
      <w:numFmt w:val="decimal"/>
      <w:suff w:val="nothing"/>
      <w:lvlText w:val="（%1）"/>
      <w:lvlJc w:val="left"/>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UxNjYyMjA5Njc4Zjk3NmZmYTc1NGUyNmQzMTkzNmMifQ=="/>
    <w:docVar w:name="KSO_WPS_MARK_KEY" w:val="f8c41460-45f3-4e97-a46d-60fb1505db61"/>
  </w:docVars>
  <w:rsids>
    <w:rsidRoot w:val="007A01CF"/>
    <w:rsid w:val="00011FFA"/>
    <w:rsid w:val="0001531F"/>
    <w:rsid w:val="00015C92"/>
    <w:rsid w:val="000409E4"/>
    <w:rsid w:val="00054D77"/>
    <w:rsid w:val="0006127B"/>
    <w:rsid w:val="000660EE"/>
    <w:rsid w:val="00070ABA"/>
    <w:rsid w:val="00083333"/>
    <w:rsid w:val="00083B75"/>
    <w:rsid w:val="000862AA"/>
    <w:rsid w:val="000D2078"/>
    <w:rsid w:val="000E091F"/>
    <w:rsid w:val="000F2309"/>
    <w:rsid w:val="000F634E"/>
    <w:rsid w:val="00104F13"/>
    <w:rsid w:val="00112FF2"/>
    <w:rsid w:val="0012363A"/>
    <w:rsid w:val="001322CC"/>
    <w:rsid w:val="00134F89"/>
    <w:rsid w:val="0013614D"/>
    <w:rsid w:val="001417AD"/>
    <w:rsid w:val="00161C9B"/>
    <w:rsid w:val="00167299"/>
    <w:rsid w:val="00171B15"/>
    <w:rsid w:val="0018099E"/>
    <w:rsid w:val="00192400"/>
    <w:rsid w:val="00194B1E"/>
    <w:rsid w:val="001A0B6E"/>
    <w:rsid w:val="001A659A"/>
    <w:rsid w:val="001C0F5C"/>
    <w:rsid w:val="001D1372"/>
    <w:rsid w:val="001D5B3B"/>
    <w:rsid w:val="001E0618"/>
    <w:rsid w:val="001F678C"/>
    <w:rsid w:val="002511A1"/>
    <w:rsid w:val="00272EA5"/>
    <w:rsid w:val="00297E49"/>
    <w:rsid w:val="002A077D"/>
    <w:rsid w:val="002A1C15"/>
    <w:rsid w:val="002C276E"/>
    <w:rsid w:val="002D5F85"/>
    <w:rsid w:val="00300C72"/>
    <w:rsid w:val="003165BC"/>
    <w:rsid w:val="00317C9C"/>
    <w:rsid w:val="00350741"/>
    <w:rsid w:val="00350AF1"/>
    <w:rsid w:val="00353D18"/>
    <w:rsid w:val="00381766"/>
    <w:rsid w:val="00384D15"/>
    <w:rsid w:val="00387895"/>
    <w:rsid w:val="00397BA8"/>
    <w:rsid w:val="003A60EE"/>
    <w:rsid w:val="003B13E1"/>
    <w:rsid w:val="003B28E9"/>
    <w:rsid w:val="003B645B"/>
    <w:rsid w:val="003B6AF8"/>
    <w:rsid w:val="003D0AC3"/>
    <w:rsid w:val="003D5232"/>
    <w:rsid w:val="003E2AF9"/>
    <w:rsid w:val="003E469B"/>
    <w:rsid w:val="003F0A14"/>
    <w:rsid w:val="003F23CE"/>
    <w:rsid w:val="00420B1E"/>
    <w:rsid w:val="00432133"/>
    <w:rsid w:val="00434394"/>
    <w:rsid w:val="00435722"/>
    <w:rsid w:val="00450E5D"/>
    <w:rsid w:val="004658FA"/>
    <w:rsid w:val="00470198"/>
    <w:rsid w:val="00494E3D"/>
    <w:rsid w:val="004A01A2"/>
    <w:rsid w:val="004A5F85"/>
    <w:rsid w:val="004C6100"/>
    <w:rsid w:val="004D2546"/>
    <w:rsid w:val="004D6D82"/>
    <w:rsid w:val="004E0D2E"/>
    <w:rsid w:val="004E5841"/>
    <w:rsid w:val="004E7CE3"/>
    <w:rsid w:val="005021E5"/>
    <w:rsid w:val="00554B7B"/>
    <w:rsid w:val="00566DF4"/>
    <w:rsid w:val="0059595E"/>
    <w:rsid w:val="005A1D15"/>
    <w:rsid w:val="005A2A77"/>
    <w:rsid w:val="005A2CBD"/>
    <w:rsid w:val="005A3DD5"/>
    <w:rsid w:val="005A677E"/>
    <w:rsid w:val="005B4FC7"/>
    <w:rsid w:val="005C3545"/>
    <w:rsid w:val="005C76EF"/>
    <w:rsid w:val="005E0AA6"/>
    <w:rsid w:val="005E615E"/>
    <w:rsid w:val="00605B73"/>
    <w:rsid w:val="006371D8"/>
    <w:rsid w:val="006447A3"/>
    <w:rsid w:val="0066225C"/>
    <w:rsid w:val="006706F9"/>
    <w:rsid w:val="00673C4E"/>
    <w:rsid w:val="00675481"/>
    <w:rsid w:val="006A495B"/>
    <w:rsid w:val="006A5FE7"/>
    <w:rsid w:val="006C09E8"/>
    <w:rsid w:val="006C466D"/>
    <w:rsid w:val="006D25BC"/>
    <w:rsid w:val="006E68E5"/>
    <w:rsid w:val="006F3C56"/>
    <w:rsid w:val="006F631C"/>
    <w:rsid w:val="0072667C"/>
    <w:rsid w:val="007408E8"/>
    <w:rsid w:val="00744229"/>
    <w:rsid w:val="00744352"/>
    <w:rsid w:val="0074535B"/>
    <w:rsid w:val="007661AA"/>
    <w:rsid w:val="00781AA4"/>
    <w:rsid w:val="007858C9"/>
    <w:rsid w:val="007A01CF"/>
    <w:rsid w:val="007B2B1B"/>
    <w:rsid w:val="007C4963"/>
    <w:rsid w:val="007C4EF2"/>
    <w:rsid w:val="007E5859"/>
    <w:rsid w:val="00807791"/>
    <w:rsid w:val="0081173D"/>
    <w:rsid w:val="008238E1"/>
    <w:rsid w:val="008270E1"/>
    <w:rsid w:val="0083050D"/>
    <w:rsid w:val="0084062D"/>
    <w:rsid w:val="00843E61"/>
    <w:rsid w:val="008540ED"/>
    <w:rsid w:val="0086106C"/>
    <w:rsid w:val="008628D2"/>
    <w:rsid w:val="00863ACC"/>
    <w:rsid w:val="00864DE4"/>
    <w:rsid w:val="008711D8"/>
    <w:rsid w:val="00896FEC"/>
    <w:rsid w:val="008A5475"/>
    <w:rsid w:val="008A7539"/>
    <w:rsid w:val="008B6B41"/>
    <w:rsid w:val="008C2087"/>
    <w:rsid w:val="008C4E37"/>
    <w:rsid w:val="008D05FD"/>
    <w:rsid w:val="00912CF7"/>
    <w:rsid w:val="00925705"/>
    <w:rsid w:val="00932455"/>
    <w:rsid w:val="00932D82"/>
    <w:rsid w:val="009424A2"/>
    <w:rsid w:val="00960A3D"/>
    <w:rsid w:val="00963D4F"/>
    <w:rsid w:val="00977C4C"/>
    <w:rsid w:val="00977DA9"/>
    <w:rsid w:val="00981819"/>
    <w:rsid w:val="00982CFA"/>
    <w:rsid w:val="00990915"/>
    <w:rsid w:val="00996FA6"/>
    <w:rsid w:val="009A26EB"/>
    <w:rsid w:val="009C04A0"/>
    <w:rsid w:val="009D00D1"/>
    <w:rsid w:val="009E0178"/>
    <w:rsid w:val="009E0996"/>
    <w:rsid w:val="009F333E"/>
    <w:rsid w:val="009F53F6"/>
    <w:rsid w:val="00A12865"/>
    <w:rsid w:val="00A23B14"/>
    <w:rsid w:val="00A503C4"/>
    <w:rsid w:val="00A62DC3"/>
    <w:rsid w:val="00A72B98"/>
    <w:rsid w:val="00A83001"/>
    <w:rsid w:val="00A835C4"/>
    <w:rsid w:val="00A83E97"/>
    <w:rsid w:val="00A918DC"/>
    <w:rsid w:val="00A931BB"/>
    <w:rsid w:val="00AA719B"/>
    <w:rsid w:val="00AC10EF"/>
    <w:rsid w:val="00AD592A"/>
    <w:rsid w:val="00AE30B0"/>
    <w:rsid w:val="00AF6972"/>
    <w:rsid w:val="00AF7876"/>
    <w:rsid w:val="00B00CD8"/>
    <w:rsid w:val="00B0507A"/>
    <w:rsid w:val="00B12DF7"/>
    <w:rsid w:val="00B157E4"/>
    <w:rsid w:val="00B3012E"/>
    <w:rsid w:val="00B52BFF"/>
    <w:rsid w:val="00B65064"/>
    <w:rsid w:val="00B65E5F"/>
    <w:rsid w:val="00B90E36"/>
    <w:rsid w:val="00B9620E"/>
    <w:rsid w:val="00BA371B"/>
    <w:rsid w:val="00BA7E08"/>
    <w:rsid w:val="00BC5279"/>
    <w:rsid w:val="00BD030F"/>
    <w:rsid w:val="00BD454F"/>
    <w:rsid w:val="00C022E8"/>
    <w:rsid w:val="00C062AD"/>
    <w:rsid w:val="00C10473"/>
    <w:rsid w:val="00C15E63"/>
    <w:rsid w:val="00C33697"/>
    <w:rsid w:val="00C44474"/>
    <w:rsid w:val="00C8683F"/>
    <w:rsid w:val="00CA1AB4"/>
    <w:rsid w:val="00CA2C77"/>
    <w:rsid w:val="00CA3080"/>
    <w:rsid w:val="00CB1F15"/>
    <w:rsid w:val="00CB2A8A"/>
    <w:rsid w:val="00CB6E9D"/>
    <w:rsid w:val="00CD6A36"/>
    <w:rsid w:val="00D016F1"/>
    <w:rsid w:val="00D03654"/>
    <w:rsid w:val="00D04A35"/>
    <w:rsid w:val="00D073CD"/>
    <w:rsid w:val="00D07896"/>
    <w:rsid w:val="00D11230"/>
    <w:rsid w:val="00D242B6"/>
    <w:rsid w:val="00D24FBD"/>
    <w:rsid w:val="00D26CF6"/>
    <w:rsid w:val="00D41C4D"/>
    <w:rsid w:val="00D54823"/>
    <w:rsid w:val="00D60C8C"/>
    <w:rsid w:val="00D6459B"/>
    <w:rsid w:val="00D765CE"/>
    <w:rsid w:val="00D80B89"/>
    <w:rsid w:val="00D85D30"/>
    <w:rsid w:val="00D94987"/>
    <w:rsid w:val="00E003A7"/>
    <w:rsid w:val="00E34AC0"/>
    <w:rsid w:val="00E53C54"/>
    <w:rsid w:val="00E54B4E"/>
    <w:rsid w:val="00E571C9"/>
    <w:rsid w:val="00E5721A"/>
    <w:rsid w:val="00E62FB0"/>
    <w:rsid w:val="00EC6222"/>
    <w:rsid w:val="00EE1CC5"/>
    <w:rsid w:val="00EF1EAA"/>
    <w:rsid w:val="00F0251F"/>
    <w:rsid w:val="00F175E9"/>
    <w:rsid w:val="00F20784"/>
    <w:rsid w:val="00F2266C"/>
    <w:rsid w:val="00F2317A"/>
    <w:rsid w:val="00F25C05"/>
    <w:rsid w:val="00F267D8"/>
    <w:rsid w:val="00F37953"/>
    <w:rsid w:val="00F838F1"/>
    <w:rsid w:val="00F95CC9"/>
    <w:rsid w:val="00FA3095"/>
    <w:rsid w:val="00FA35F2"/>
    <w:rsid w:val="00FE2D33"/>
    <w:rsid w:val="00FE5124"/>
    <w:rsid w:val="00FE7608"/>
    <w:rsid w:val="01457570"/>
    <w:rsid w:val="016C71F3"/>
    <w:rsid w:val="016D6AC7"/>
    <w:rsid w:val="01714809"/>
    <w:rsid w:val="01B81F4E"/>
    <w:rsid w:val="01E225A2"/>
    <w:rsid w:val="01E60F36"/>
    <w:rsid w:val="01EA04ED"/>
    <w:rsid w:val="020B07BA"/>
    <w:rsid w:val="022509EE"/>
    <w:rsid w:val="022A4E77"/>
    <w:rsid w:val="022E44A8"/>
    <w:rsid w:val="02346EF6"/>
    <w:rsid w:val="02691984"/>
    <w:rsid w:val="026A2E36"/>
    <w:rsid w:val="026D4B89"/>
    <w:rsid w:val="028265A2"/>
    <w:rsid w:val="02852841"/>
    <w:rsid w:val="02913441"/>
    <w:rsid w:val="02AF383B"/>
    <w:rsid w:val="02B64A8D"/>
    <w:rsid w:val="02DE5ECF"/>
    <w:rsid w:val="02EC1CA9"/>
    <w:rsid w:val="03065425"/>
    <w:rsid w:val="030C130F"/>
    <w:rsid w:val="034B4414"/>
    <w:rsid w:val="03563241"/>
    <w:rsid w:val="03AF3136"/>
    <w:rsid w:val="03D72E95"/>
    <w:rsid w:val="03DB6D68"/>
    <w:rsid w:val="040354C1"/>
    <w:rsid w:val="0405071D"/>
    <w:rsid w:val="04130CF3"/>
    <w:rsid w:val="043A5387"/>
    <w:rsid w:val="046B19E4"/>
    <w:rsid w:val="047A3C82"/>
    <w:rsid w:val="04B32967"/>
    <w:rsid w:val="04C46EBC"/>
    <w:rsid w:val="04D26084"/>
    <w:rsid w:val="052120A3"/>
    <w:rsid w:val="053733E3"/>
    <w:rsid w:val="054F4E62"/>
    <w:rsid w:val="055E6E53"/>
    <w:rsid w:val="056A57F8"/>
    <w:rsid w:val="056D227B"/>
    <w:rsid w:val="057228FE"/>
    <w:rsid w:val="05B47727"/>
    <w:rsid w:val="05E0020A"/>
    <w:rsid w:val="06071298"/>
    <w:rsid w:val="062647CB"/>
    <w:rsid w:val="063D19BA"/>
    <w:rsid w:val="064D7481"/>
    <w:rsid w:val="065048F3"/>
    <w:rsid w:val="06540256"/>
    <w:rsid w:val="06691F53"/>
    <w:rsid w:val="06897EFF"/>
    <w:rsid w:val="069074E0"/>
    <w:rsid w:val="06A72A7B"/>
    <w:rsid w:val="06BB2083"/>
    <w:rsid w:val="06BB3B5B"/>
    <w:rsid w:val="06BE0191"/>
    <w:rsid w:val="06BE1C50"/>
    <w:rsid w:val="06C6731D"/>
    <w:rsid w:val="06CC1AEC"/>
    <w:rsid w:val="06DD36FA"/>
    <w:rsid w:val="06F305C5"/>
    <w:rsid w:val="07034156"/>
    <w:rsid w:val="070B6B66"/>
    <w:rsid w:val="0712477A"/>
    <w:rsid w:val="07153AA1"/>
    <w:rsid w:val="07165CD4"/>
    <w:rsid w:val="071D7F32"/>
    <w:rsid w:val="07247C28"/>
    <w:rsid w:val="07697D31"/>
    <w:rsid w:val="077706A0"/>
    <w:rsid w:val="077D556B"/>
    <w:rsid w:val="082779D0"/>
    <w:rsid w:val="082A5712"/>
    <w:rsid w:val="083D5469"/>
    <w:rsid w:val="08547ECE"/>
    <w:rsid w:val="088A443D"/>
    <w:rsid w:val="089A512A"/>
    <w:rsid w:val="08A2799E"/>
    <w:rsid w:val="08AC4379"/>
    <w:rsid w:val="08AE00F1"/>
    <w:rsid w:val="08FD1DEA"/>
    <w:rsid w:val="08FD26D2"/>
    <w:rsid w:val="093305F6"/>
    <w:rsid w:val="093B0A01"/>
    <w:rsid w:val="097A6637"/>
    <w:rsid w:val="097F383C"/>
    <w:rsid w:val="09826A8C"/>
    <w:rsid w:val="09A13015"/>
    <w:rsid w:val="09B41A12"/>
    <w:rsid w:val="09C851E3"/>
    <w:rsid w:val="09DC2A3C"/>
    <w:rsid w:val="0A05340D"/>
    <w:rsid w:val="0A104E7E"/>
    <w:rsid w:val="0A122961"/>
    <w:rsid w:val="0A200B7B"/>
    <w:rsid w:val="0A30240D"/>
    <w:rsid w:val="0ABA12FC"/>
    <w:rsid w:val="0AC7549A"/>
    <w:rsid w:val="0AF53DB5"/>
    <w:rsid w:val="0AFB7861"/>
    <w:rsid w:val="0B073AE9"/>
    <w:rsid w:val="0B154457"/>
    <w:rsid w:val="0B3548DA"/>
    <w:rsid w:val="0B6910EB"/>
    <w:rsid w:val="0B896BF3"/>
    <w:rsid w:val="0BA852CC"/>
    <w:rsid w:val="0BBE689D"/>
    <w:rsid w:val="0BF027CF"/>
    <w:rsid w:val="0BF978D5"/>
    <w:rsid w:val="0C05627A"/>
    <w:rsid w:val="0C0A1AE2"/>
    <w:rsid w:val="0C1D53A7"/>
    <w:rsid w:val="0C842CBC"/>
    <w:rsid w:val="0CAC2B9A"/>
    <w:rsid w:val="0CE52B68"/>
    <w:rsid w:val="0CF02FE7"/>
    <w:rsid w:val="0D1D7E46"/>
    <w:rsid w:val="0D224C0A"/>
    <w:rsid w:val="0D3F3A0E"/>
    <w:rsid w:val="0D68799F"/>
    <w:rsid w:val="0D713D7D"/>
    <w:rsid w:val="0D9E3A74"/>
    <w:rsid w:val="0DB96B40"/>
    <w:rsid w:val="0DCC19EB"/>
    <w:rsid w:val="0DE93979"/>
    <w:rsid w:val="0DFC5A51"/>
    <w:rsid w:val="0E0D58BA"/>
    <w:rsid w:val="0E146B29"/>
    <w:rsid w:val="0E1E49F8"/>
    <w:rsid w:val="0E230C39"/>
    <w:rsid w:val="0E372937"/>
    <w:rsid w:val="0E4E215A"/>
    <w:rsid w:val="0E4E725B"/>
    <w:rsid w:val="0E6B25E0"/>
    <w:rsid w:val="0E912047"/>
    <w:rsid w:val="0ED55A54"/>
    <w:rsid w:val="0EF3685E"/>
    <w:rsid w:val="0EF521B0"/>
    <w:rsid w:val="0F181A89"/>
    <w:rsid w:val="0F457653"/>
    <w:rsid w:val="0F590470"/>
    <w:rsid w:val="0F5F0397"/>
    <w:rsid w:val="0F8D136E"/>
    <w:rsid w:val="0FB87AA7"/>
    <w:rsid w:val="0FBD1570"/>
    <w:rsid w:val="0FBD50BE"/>
    <w:rsid w:val="0FDC19E8"/>
    <w:rsid w:val="104B4477"/>
    <w:rsid w:val="105C17DB"/>
    <w:rsid w:val="11180717"/>
    <w:rsid w:val="115E01DA"/>
    <w:rsid w:val="1160202D"/>
    <w:rsid w:val="1161340A"/>
    <w:rsid w:val="117164A2"/>
    <w:rsid w:val="11830360"/>
    <w:rsid w:val="11943BFC"/>
    <w:rsid w:val="11B22527"/>
    <w:rsid w:val="11C60F64"/>
    <w:rsid w:val="11E614F9"/>
    <w:rsid w:val="11E93F48"/>
    <w:rsid w:val="12061235"/>
    <w:rsid w:val="120F619E"/>
    <w:rsid w:val="123A7522"/>
    <w:rsid w:val="125F42F7"/>
    <w:rsid w:val="126A262A"/>
    <w:rsid w:val="12C30C3D"/>
    <w:rsid w:val="12E82277"/>
    <w:rsid w:val="12EB7599"/>
    <w:rsid w:val="130A123F"/>
    <w:rsid w:val="13177301"/>
    <w:rsid w:val="132B7C1A"/>
    <w:rsid w:val="134A761C"/>
    <w:rsid w:val="135A334F"/>
    <w:rsid w:val="136A730B"/>
    <w:rsid w:val="13796B66"/>
    <w:rsid w:val="13A97E33"/>
    <w:rsid w:val="13B14F39"/>
    <w:rsid w:val="13BD568C"/>
    <w:rsid w:val="13D555E0"/>
    <w:rsid w:val="13D749A0"/>
    <w:rsid w:val="14013F08"/>
    <w:rsid w:val="142D3089"/>
    <w:rsid w:val="14316687"/>
    <w:rsid w:val="14332D90"/>
    <w:rsid w:val="147A69D5"/>
    <w:rsid w:val="14836EAC"/>
    <w:rsid w:val="149635A0"/>
    <w:rsid w:val="14CD125C"/>
    <w:rsid w:val="14CD557A"/>
    <w:rsid w:val="14DF1632"/>
    <w:rsid w:val="150B2427"/>
    <w:rsid w:val="15684125"/>
    <w:rsid w:val="158175E2"/>
    <w:rsid w:val="15C2342E"/>
    <w:rsid w:val="15C9146F"/>
    <w:rsid w:val="15CA22E2"/>
    <w:rsid w:val="15DD6E58"/>
    <w:rsid w:val="15EE7D7F"/>
    <w:rsid w:val="15F31839"/>
    <w:rsid w:val="160C2960"/>
    <w:rsid w:val="161206F8"/>
    <w:rsid w:val="16183265"/>
    <w:rsid w:val="16253883"/>
    <w:rsid w:val="16315EBE"/>
    <w:rsid w:val="16333219"/>
    <w:rsid w:val="16426169"/>
    <w:rsid w:val="1649227B"/>
    <w:rsid w:val="16564FD6"/>
    <w:rsid w:val="165C511D"/>
    <w:rsid w:val="16646293"/>
    <w:rsid w:val="166718DF"/>
    <w:rsid w:val="166F4D71"/>
    <w:rsid w:val="16DB6809"/>
    <w:rsid w:val="16F70EB5"/>
    <w:rsid w:val="17155AED"/>
    <w:rsid w:val="172872C1"/>
    <w:rsid w:val="174B2FAF"/>
    <w:rsid w:val="17566402"/>
    <w:rsid w:val="17E05CE9"/>
    <w:rsid w:val="17FB49D5"/>
    <w:rsid w:val="180C006C"/>
    <w:rsid w:val="180E64B6"/>
    <w:rsid w:val="18716A45"/>
    <w:rsid w:val="187A579A"/>
    <w:rsid w:val="187C567E"/>
    <w:rsid w:val="18A46E1B"/>
    <w:rsid w:val="18EA4DA7"/>
    <w:rsid w:val="19076BA9"/>
    <w:rsid w:val="19250D1B"/>
    <w:rsid w:val="19567D24"/>
    <w:rsid w:val="19706CFD"/>
    <w:rsid w:val="199C51C6"/>
    <w:rsid w:val="19AE7CC4"/>
    <w:rsid w:val="19B94B48"/>
    <w:rsid w:val="19C55CC1"/>
    <w:rsid w:val="19F71CA7"/>
    <w:rsid w:val="1A134258"/>
    <w:rsid w:val="1A1B135F"/>
    <w:rsid w:val="1A3B730B"/>
    <w:rsid w:val="1A4408B5"/>
    <w:rsid w:val="1A6C5508"/>
    <w:rsid w:val="1A97225A"/>
    <w:rsid w:val="1A9975C9"/>
    <w:rsid w:val="1AD80C7F"/>
    <w:rsid w:val="1AE179D4"/>
    <w:rsid w:val="1AE8166C"/>
    <w:rsid w:val="1AF71484"/>
    <w:rsid w:val="1B0167A6"/>
    <w:rsid w:val="1B4E306E"/>
    <w:rsid w:val="1B522B5E"/>
    <w:rsid w:val="1B572DE3"/>
    <w:rsid w:val="1B651382"/>
    <w:rsid w:val="1B696ADA"/>
    <w:rsid w:val="1B9A62B3"/>
    <w:rsid w:val="1BB750B7"/>
    <w:rsid w:val="1BC32914"/>
    <w:rsid w:val="1BC53330"/>
    <w:rsid w:val="1BC92D5A"/>
    <w:rsid w:val="1C102A29"/>
    <w:rsid w:val="1C3B01F8"/>
    <w:rsid w:val="1C4F709D"/>
    <w:rsid w:val="1C6659C2"/>
    <w:rsid w:val="1C720D20"/>
    <w:rsid w:val="1C8E38A1"/>
    <w:rsid w:val="1CA3405A"/>
    <w:rsid w:val="1CC82D53"/>
    <w:rsid w:val="1CC86D62"/>
    <w:rsid w:val="1CD676B4"/>
    <w:rsid w:val="1CE27FBF"/>
    <w:rsid w:val="1D160BB8"/>
    <w:rsid w:val="1D3A4095"/>
    <w:rsid w:val="1D74158B"/>
    <w:rsid w:val="1D74500E"/>
    <w:rsid w:val="1DF77143"/>
    <w:rsid w:val="1E08043A"/>
    <w:rsid w:val="1E0D3B7E"/>
    <w:rsid w:val="1E290A8B"/>
    <w:rsid w:val="1E312EFF"/>
    <w:rsid w:val="1E6C03DB"/>
    <w:rsid w:val="1E8B6273"/>
    <w:rsid w:val="1EE8386E"/>
    <w:rsid w:val="1EF87ECE"/>
    <w:rsid w:val="1F29007A"/>
    <w:rsid w:val="1F6C10DE"/>
    <w:rsid w:val="1F707A57"/>
    <w:rsid w:val="1F8F0BF8"/>
    <w:rsid w:val="1FEB3581"/>
    <w:rsid w:val="1FF9343C"/>
    <w:rsid w:val="1FFC578E"/>
    <w:rsid w:val="20112FE8"/>
    <w:rsid w:val="20157DAF"/>
    <w:rsid w:val="202924C7"/>
    <w:rsid w:val="20670E5A"/>
    <w:rsid w:val="208E16CF"/>
    <w:rsid w:val="20E1361B"/>
    <w:rsid w:val="21165730"/>
    <w:rsid w:val="211C60E8"/>
    <w:rsid w:val="21537630"/>
    <w:rsid w:val="216043C0"/>
    <w:rsid w:val="218232AE"/>
    <w:rsid w:val="219C1BB2"/>
    <w:rsid w:val="21A5649F"/>
    <w:rsid w:val="21BD028C"/>
    <w:rsid w:val="21C80E8E"/>
    <w:rsid w:val="21E87AF3"/>
    <w:rsid w:val="21F62A43"/>
    <w:rsid w:val="21FB7B33"/>
    <w:rsid w:val="220D2D56"/>
    <w:rsid w:val="2214638E"/>
    <w:rsid w:val="22230B3A"/>
    <w:rsid w:val="22295AD0"/>
    <w:rsid w:val="223623F3"/>
    <w:rsid w:val="22393D7A"/>
    <w:rsid w:val="226671AC"/>
    <w:rsid w:val="229A1646"/>
    <w:rsid w:val="22AD78FE"/>
    <w:rsid w:val="22B15C30"/>
    <w:rsid w:val="22C96F48"/>
    <w:rsid w:val="23192527"/>
    <w:rsid w:val="231A6657"/>
    <w:rsid w:val="2332573A"/>
    <w:rsid w:val="233A0D5E"/>
    <w:rsid w:val="23411E26"/>
    <w:rsid w:val="236E623D"/>
    <w:rsid w:val="23BF0FAD"/>
    <w:rsid w:val="241D14BC"/>
    <w:rsid w:val="241F1A7A"/>
    <w:rsid w:val="24226184"/>
    <w:rsid w:val="24232A58"/>
    <w:rsid w:val="242341FB"/>
    <w:rsid w:val="24443260"/>
    <w:rsid w:val="24466FD8"/>
    <w:rsid w:val="244D480A"/>
    <w:rsid w:val="247578BD"/>
    <w:rsid w:val="24782C2D"/>
    <w:rsid w:val="247C21FC"/>
    <w:rsid w:val="2480698E"/>
    <w:rsid w:val="24AF2DCF"/>
    <w:rsid w:val="24BF6C72"/>
    <w:rsid w:val="24C543A1"/>
    <w:rsid w:val="24CE5D85"/>
    <w:rsid w:val="24D1473D"/>
    <w:rsid w:val="24DD5B8E"/>
    <w:rsid w:val="25162E4E"/>
    <w:rsid w:val="253232E9"/>
    <w:rsid w:val="253634F0"/>
    <w:rsid w:val="253B4663"/>
    <w:rsid w:val="255121C6"/>
    <w:rsid w:val="255E5143"/>
    <w:rsid w:val="25652D29"/>
    <w:rsid w:val="2592509A"/>
    <w:rsid w:val="25AF0E14"/>
    <w:rsid w:val="25C96113"/>
    <w:rsid w:val="25C97EC1"/>
    <w:rsid w:val="25CF7D3F"/>
    <w:rsid w:val="25D32AED"/>
    <w:rsid w:val="260A58E2"/>
    <w:rsid w:val="260B54CA"/>
    <w:rsid w:val="260C2ECE"/>
    <w:rsid w:val="261A6112"/>
    <w:rsid w:val="269009DE"/>
    <w:rsid w:val="26924756"/>
    <w:rsid w:val="26CC76FD"/>
    <w:rsid w:val="26D22DA5"/>
    <w:rsid w:val="26D848D9"/>
    <w:rsid w:val="26FC6074"/>
    <w:rsid w:val="27010CE7"/>
    <w:rsid w:val="273274D6"/>
    <w:rsid w:val="27513C7C"/>
    <w:rsid w:val="275D6B12"/>
    <w:rsid w:val="276576A9"/>
    <w:rsid w:val="276907BC"/>
    <w:rsid w:val="27826579"/>
    <w:rsid w:val="27A26C1B"/>
    <w:rsid w:val="27C3100E"/>
    <w:rsid w:val="27C46B92"/>
    <w:rsid w:val="27CC1959"/>
    <w:rsid w:val="27D03788"/>
    <w:rsid w:val="27D112AE"/>
    <w:rsid w:val="27ED501A"/>
    <w:rsid w:val="27F31225"/>
    <w:rsid w:val="28060F58"/>
    <w:rsid w:val="28101DD7"/>
    <w:rsid w:val="281C69CE"/>
    <w:rsid w:val="285F2D5E"/>
    <w:rsid w:val="2861066E"/>
    <w:rsid w:val="28847761"/>
    <w:rsid w:val="29011C41"/>
    <w:rsid w:val="29096BD2"/>
    <w:rsid w:val="291C6636"/>
    <w:rsid w:val="292673D8"/>
    <w:rsid w:val="293B10D5"/>
    <w:rsid w:val="297445E7"/>
    <w:rsid w:val="29760631"/>
    <w:rsid w:val="298F209D"/>
    <w:rsid w:val="29B00C1F"/>
    <w:rsid w:val="29B019A3"/>
    <w:rsid w:val="29BD3122"/>
    <w:rsid w:val="29C0238E"/>
    <w:rsid w:val="29E05D0E"/>
    <w:rsid w:val="2A224043"/>
    <w:rsid w:val="2A3224D8"/>
    <w:rsid w:val="2A363B85"/>
    <w:rsid w:val="2A4E4353"/>
    <w:rsid w:val="2A5A37DD"/>
    <w:rsid w:val="2A614B6C"/>
    <w:rsid w:val="2A92596F"/>
    <w:rsid w:val="2ABD408D"/>
    <w:rsid w:val="2AC12217"/>
    <w:rsid w:val="2AE0123A"/>
    <w:rsid w:val="2AEC3E4F"/>
    <w:rsid w:val="2B02634F"/>
    <w:rsid w:val="2B0379D1"/>
    <w:rsid w:val="2B1206D3"/>
    <w:rsid w:val="2B157E8C"/>
    <w:rsid w:val="2B22254D"/>
    <w:rsid w:val="2B797C93"/>
    <w:rsid w:val="2B88437A"/>
    <w:rsid w:val="2B9F2E51"/>
    <w:rsid w:val="2C075B8A"/>
    <w:rsid w:val="2C0B2FE1"/>
    <w:rsid w:val="2C19528B"/>
    <w:rsid w:val="2C346B47"/>
    <w:rsid w:val="2C3C6C8B"/>
    <w:rsid w:val="2C48086A"/>
    <w:rsid w:val="2C571A8D"/>
    <w:rsid w:val="2C5E3228"/>
    <w:rsid w:val="2C954FA0"/>
    <w:rsid w:val="2C9805ED"/>
    <w:rsid w:val="2C9A01CA"/>
    <w:rsid w:val="2CAC6259"/>
    <w:rsid w:val="2D0C305E"/>
    <w:rsid w:val="2D23435A"/>
    <w:rsid w:val="2D2929C9"/>
    <w:rsid w:val="2D5B7F98"/>
    <w:rsid w:val="2D6A3D37"/>
    <w:rsid w:val="2D744BB6"/>
    <w:rsid w:val="2D8F7C42"/>
    <w:rsid w:val="2DBD655D"/>
    <w:rsid w:val="2DC21DC5"/>
    <w:rsid w:val="2DE74D54"/>
    <w:rsid w:val="2E007756"/>
    <w:rsid w:val="2E0E6DB8"/>
    <w:rsid w:val="2E1017BF"/>
    <w:rsid w:val="2E2B5035"/>
    <w:rsid w:val="2E86045C"/>
    <w:rsid w:val="2E8B1658"/>
    <w:rsid w:val="2E9B046A"/>
    <w:rsid w:val="2EAB67C6"/>
    <w:rsid w:val="2EFE507F"/>
    <w:rsid w:val="2F146650"/>
    <w:rsid w:val="2F265028"/>
    <w:rsid w:val="2F3C1CF4"/>
    <w:rsid w:val="2F414F6C"/>
    <w:rsid w:val="2F4B69DB"/>
    <w:rsid w:val="2F757E6C"/>
    <w:rsid w:val="2F7865AA"/>
    <w:rsid w:val="2FCF5B24"/>
    <w:rsid w:val="2FDD2EE6"/>
    <w:rsid w:val="2FE04785"/>
    <w:rsid w:val="30360848"/>
    <w:rsid w:val="303E6475"/>
    <w:rsid w:val="303F3984"/>
    <w:rsid w:val="306453B6"/>
    <w:rsid w:val="308B35EB"/>
    <w:rsid w:val="3095556F"/>
    <w:rsid w:val="309D2676"/>
    <w:rsid w:val="30D140CD"/>
    <w:rsid w:val="30D2231F"/>
    <w:rsid w:val="30DF2C8E"/>
    <w:rsid w:val="30E73C6A"/>
    <w:rsid w:val="30FD4EC2"/>
    <w:rsid w:val="31101099"/>
    <w:rsid w:val="3145759A"/>
    <w:rsid w:val="314774D9"/>
    <w:rsid w:val="315D7542"/>
    <w:rsid w:val="316C2F99"/>
    <w:rsid w:val="31805AB5"/>
    <w:rsid w:val="319F1A18"/>
    <w:rsid w:val="31A041CB"/>
    <w:rsid w:val="31A67308"/>
    <w:rsid w:val="31FB4569"/>
    <w:rsid w:val="32134B55"/>
    <w:rsid w:val="32271EC3"/>
    <w:rsid w:val="325B4596"/>
    <w:rsid w:val="32786EF6"/>
    <w:rsid w:val="32894C60"/>
    <w:rsid w:val="32CC2D9E"/>
    <w:rsid w:val="32E875B7"/>
    <w:rsid w:val="33107C6F"/>
    <w:rsid w:val="3321345F"/>
    <w:rsid w:val="336631F3"/>
    <w:rsid w:val="33745910"/>
    <w:rsid w:val="33891C83"/>
    <w:rsid w:val="33B169E4"/>
    <w:rsid w:val="33CC3D84"/>
    <w:rsid w:val="33CF2B46"/>
    <w:rsid w:val="33E505BB"/>
    <w:rsid w:val="340016D5"/>
    <w:rsid w:val="340E5CED"/>
    <w:rsid w:val="34382116"/>
    <w:rsid w:val="34651A9C"/>
    <w:rsid w:val="35103416"/>
    <w:rsid w:val="3522733D"/>
    <w:rsid w:val="352C623B"/>
    <w:rsid w:val="352E1AEE"/>
    <w:rsid w:val="35610116"/>
    <w:rsid w:val="35887450"/>
    <w:rsid w:val="358E166E"/>
    <w:rsid w:val="358E6A31"/>
    <w:rsid w:val="359330B7"/>
    <w:rsid w:val="35BA3D90"/>
    <w:rsid w:val="36023AC3"/>
    <w:rsid w:val="362F2ECC"/>
    <w:rsid w:val="363D46DF"/>
    <w:rsid w:val="36486BE0"/>
    <w:rsid w:val="367C581D"/>
    <w:rsid w:val="368340BC"/>
    <w:rsid w:val="36BB20DA"/>
    <w:rsid w:val="36C02C1A"/>
    <w:rsid w:val="36CA5C2C"/>
    <w:rsid w:val="370F76FD"/>
    <w:rsid w:val="37213AEB"/>
    <w:rsid w:val="37335AE2"/>
    <w:rsid w:val="37485855"/>
    <w:rsid w:val="377A465F"/>
    <w:rsid w:val="37E478DF"/>
    <w:rsid w:val="37ED5E30"/>
    <w:rsid w:val="38065507"/>
    <w:rsid w:val="380977E7"/>
    <w:rsid w:val="384265B4"/>
    <w:rsid w:val="38591578"/>
    <w:rsid w:val="38650AC7"/>
    <w:rsid w:val="38681CB4"/>
    <w:rsid w:val="388365F5"/>
    <w:rsid w:val="38877E93"/>
    <w:rsid w:val="388C0CF0"/>
    <w:rsid w:val="38991D99"/>
    <w:rsid w:val="38B904D9"/>
    <w:rsid w:val="38C42E95"/>
    <w:rsid w:val="38C44974"/>
    <w:rsid w:val="38D303E0"/>
    <w:rsid w:val="38EE1CC0"/>
    <w:rsid w:val="3929068B"/>
    <w:rsid w:val="39295581"/>
    <w:rsid w:val="39565A32"/>
    <w:rsid w:val="397F6DBC"/>
    <w:rsid w:val="39B340A5"/>
    <w:rsid w:val="39D12EC0"/>
    <w:rsid w:val="3A127C30"/>
    <w:rsid w:val="3A18480B"/>
    <w:rsid w:val="3A1D4906"/>
    <w:rsid w:val="3A354D8F"/>
    <w:rsid w:val="3A5D4247"/>
    <w:rsid w:val="3A7461F5"/>
    <w:rsid w:val="3A8F0F13"/>
    <w:rsid w:val="3A8F302F"/>
    <w:rsid w:val="3A944F9A"/>
    <w:rsid w:val="3AB6680E"/>
    <w:rsid w:val="3AC4610C"/>
    <w:rsid w:val="3AC70A1B"/>
    <w:rsid w:val="3ADD5722"/>
    <w:rsid w:val="3AE62396"/>
    <w:rsid w:val="3AEF3ACE"/>
    <w:rsid w:val="3AFC27B3"/>
    <w:rsid w:val="3B000A80"/>
    <w:rsid w:val="3B051543"/>
    <w:rsid w:val="3B0976FC"/>
    <w:rsid w:val="3B3A4D42"/>
    <w:rsid w:val="3B605751"/>
    <w:rsid w:val="3BA26D92"/>
    <w:rsid w:val="3BB80364"/>
    <w:rsid w:val="3BC9067B"/>
    <w:rsid w:val="3BE94483"/>
    <w:rsid w:val="3C034322"/>
    <w:rsid w:val="3C1557B6"/>
    <w:rsid w:val="3C212ADA"/>
    <w:rsid w:val="3C261771"/>
    <w:rsid w:val="3C2679C3"/>
    <w:rsid w:val="3C3A3252"/>
    <w:rsid w:val="3C3D6ABB"/>
    <w:rsid w:val="3CE810C8"/>
    <w:rsid w:val="3CED2271"/>
    <w:rsid w:val="3CF36ED7"/>
    <w:rsid w:val="3D0A1454"/>
    <w:rsid w:val="3D0C6BB9"/>
    <w:rsid w:val="3D497A6B"/>
    <w:rsid w:val="3D4C16AB"/>
    <w:rsid w:val="3D5B299C"/>
    <w:rsid w:val="3D714C6E"/>
    <w:rsid w:val="3D923537"/>
    <w:rsid w:val="3D934282"/>
    <w:rsid w:val="3D9C2669"/>
    <w:rsid w:val="3D9F17DB"/>
    <w:rsid w:val="3DC740F2"/>
    <w:rsid w:val="3DEC4490"/>
    <w:rsid w:val="3E2834A0"/>
    <w:rsid w:val="3E2D4B10"/>
    <w:rsid w:val="3E377C66"/>
    <w:rsid w:val="3E497999"/>
    <w:rsid w:val="3E7739EC"/>
    <w:rsid w:val="3EA51073"/>
    <w:rsid w:val="3EDE2E0A"/>
    <w:rsid w:val="3EE17838"/>
    <w:rsid w:val="3F0F0BE2"/>
    <w:rsid w:val="3F3E3276"/>
    <w:rsid w:val="3F4C08E9"/>
    <w:rsid w:val="3FB455DD"/>
    <w:rsid w:val="3FC75019"/>
    <w:rsid w:val="3FC9719A"/>
    <w:rsid w:val="3FD6525C"/>
    <w:rsid w:val="400D3374"/>
    <w:rsid w:val="40400BE3"/>
    <w:rsid w:val="408D5C92"/>
    <w:rsid w:val="40A77E98"/>
    <w:rsid w:val="40A935D2"/>
    <w:rsid w:val="40E51BFB"/>
    <w:rsid w:val="410209B9"/>
    <w:rsid w:val="412D566A"/>
    <w:rsid w:val="415A52BC"/>
    <w:rsid w:val="415F7893"/>
    <w:rsid w:val="416D23C4"/>
    <w:rsid w:val="416F3BBA"/>
    <w:rsid w:val="41831D17"/>
    <w:rsid w:val="41B31CF9"/>
    <w:rsid w:val="41F1637D"/>
    <w:rsid w:val="41F65DB5"/>
    <w:rsid w:val="42303B15"/>
    <w:rsid w:val="42407D0F"/>
    <w:rsid w:val="42497F67"/>
    <w:rsid w:val="42597579"/>
    <w:rsid w:val="42CA569E"/>
    <w:rsid w:val="42CF0956"/>
    <w:rsid w:val="42D731AB"/>
    <w:rsid w:val="42E63A08"/>
    <w:rsid w:val="42F20DCB"/>
    <w:rsid w:val="42F80C34"/>
    <w:rsid w:val="430E60F0"/>
    <w:rsid w:val="4310512D"/>
    <w:rsid w:val="43413334"/>
    <w:rsid w:val="434846C3"/>
    <w:rsid w:val="434B21EB"/>
    <w:rsid w:val="4363652A"/>
    <w:rsid w:val="436808C1"/>
    <w:rsid w:val="43792674"/>
    <w:rsid w:val="43792ACE"/>
    <w:rsid w:val="43B613FF"/>
    <w:rsid w:val="43F42155"/>
    <w:rsid w:val="43FF5FEF"/>
    <w:rsid w:val="446612A5"/>
    <w:rsid w:val="447D039C"/>
    <w:rsid w:val="448B2AB9"/>
    <w:rsid w:val="44903204"/>
    <w:rsid w:val="44C47D79"/>
    <w:rsid w:val="44EF4A48"/>
    <w:rsid w:val="4513234C"/>
    <w:rsid w:val="45140D01"/>
    <w:rsid w:val="452D1DC2"/>
    <w:rsid w:val="452E38E1"/>
    <w:rsid w:val="4557299B"/>
    <w:rsid w:val="45584D31"/>
    <w:rsid w:val="456F4B6D"/>
    <w:rsid w:val="45A04342"/>
    <w:rsid w:val="45EF0E26"/>
    <w:rsid w:val="461A5822"/>
    <w:rsid w:val="463B22BD"/>
    <w:rsid w:val="4648606A"/>
    <w:rsid w:val="464A1597"/>
    <w:rsid w:val="464A34CB"/>
    <w:rsid w:val="465B470D"/>
    <w:rsid w:val="465F4FD9"/>
    <w:rsid w:val="469E0D49"/>
    <w:rsid w:val="46C358EC"/>
    <w:rsid w:val="46FB6188"/>
    <w:rsid w:val="47014A93"/>
    <w:rsid w:val="470E5B90"/>
    <w:rsid w:val="474927B8"/>
    <w:rsid w:val="47623CC2"/>
    <w:rsid w:val="47BB36B5"/>
    <w:rsid w:val="47EC5038"/>
    <w:rsid w:val="481F16DB"/>
    <w:rsid w:val="483B65A4"/>
    <w:rsid w:val="483F7EA7"/>
    <w:rsid w:val="48495F2C"/>
    <w:rsid w:val="48721C73"/>
    <w:rsid w:val="488D157A"/>
    <w:rsid w:val="489C3D6B"/>
    <w:rsid w:val="48B14163"/>
    <w:rsid w:val="48D103FC"/>
    <w:rsid w:val="48D80297"/>
    <w:rsid w:val="48D957E1"/>
    <w:rsid w:val="48FD1AAC"/>
    <w:rsid w:val="49030CE7"/>
    <w:rsid w:val="4924125B"/>
    <w:rsid w:val="49244145"/>
    <w:rsid w:val="49315AD9"/>
    <w:rsid w:val="49502F63"/>
    <w:rsid w:val="4951041B"/>
    <w:rsid w:val="495518E8"/>
    <w:rsid w:val="497C6E74"/>
    <w:rsid w:val="498A77E3"/>
    <w:rsid w:val="49AA1C33"/>
    <w:rsid w:val="49BE32E8"/>
    <w:rsid w:val="49D002CC"/>
    <w:rsid w:val="49D16EEC"/>
    <w:rsid w:val="49E31F95"/>
    <w:rsid w:val="4A015DB3"/>
    <w:rsid w:val="4A174DEF"/>
    <w:rsid w:val="4A1E18DE"/>
    <w:rsid w:val="4A1E1CDA"/>
    <w:rsid w:val="4A2861F7"/>
    <w:rsid w:val="4A315EB1"/>
    <w:rsid w:val="4A3277B2"/>
    <w:rsid w:val="4A8A55C1"/>
    <w:rsid w:val="4AAE5591"/>
    <w:rsid w:val="4AD827D0"/>
    <w:rsid w:val="4B137364"/>
    <w:rsid w:val="4B1D6435"/>
    <w:rsid w:val="4B321580"/>
    <w:rsid w:val="4B3F1E2E"/>
    <w:rsid w:val="4B4B688B"/>
    <w:rsid w:val="4B814C16"/>
    <w:rsid w:val="4B88653D"/>
    <w:rsid w:val="4BF34828"/>
    <w:rsid w:val="4C01710C"/>
    <w:rsid w:val="4C0C20D5"/>
    <w:rsid w:val="4C6C31D0"/>
    <w:rsid w:val="4C8D3147"/>
    <w:rsid w:val="4CBA03DF"/>
    <w:rsid w:val="4CFA4C80"/>
    <w:rsid w:val="4D096C06"/>
    <w:rsid w:val="4D0D77FD"/>
    <w:rsid w:val="4D7A32EE"/>
    <w:rsid w:val="4D892E0C"/>
    <w:rsid w:val="4D976936"/>
    <w:rsid w:val="4D9F1065"/>
    <w:rsid w:val="4DA364FA"/>
    <w:rsid w:val="4DD10DCA"/>
    <w:rsid w:val="4DEE5E67"/>
    <w:rsid w:val="4E30647F"/>
    <w:rsid w:val="4E40026B"/>
    <w:rsid w:val="4E4116FB"/>
    <w:rsid w:val="4E453CD9"/>
    <w:rsid w:val="4E5553A1"/>
    <w:rsid w:val="4E7A6D0A"/>
    <w:rsid w:val="4E813796"/>
    <w:rsid w:val="4E9F0C87"/>
    <w:rsid w:val="4EBA27E0"/>
    <w:rsid w:val="4EBE1CDD"/>
    <w:rsid w:val="4ED268AA"/>
    <w:rsid w:val="4ED33793"/>
    <w:rsid w:val="4ED75E1F"/>
    <w:rsid w:val="4ED769C9"/>
    <w:rsid w:val="4F350835"/>
    <w:rsid w:val="4F512B51"/>
    <w:rsid w:val="4F585C8E"/>
    <w:rsid w:val="4FC27B2B"/>
    <w:rsid w:val="502B33A2"/>
    <w:rsid w:val="50494728"/>
    <w:rsid w:val="50497A9C"/>
    <w:rsid w:val="50741988"/>
    <w:rsid w:val="507D1ED1"/>
    <w:rsid w:val="50830AE8"/>
    <w:rsid w:val="50D97448"/>
    <w:rsid w:val="50F746EC"/>
    <w:rsid w:val="51175160"/>
    <w:rsid w:val="51371565"/>
    <w:rsid w:val="513D4FEA"/>
    <w:rsid w:val="515D758B"/>
    <w:rsid w:val="516052CE"/>
    <w:rsid w:val="517D1AED"/>
    <w:rsid w:val="518E326A"/>
    <w:rsid w:val="519901E5"/>
    <w:rsid w:val="51B51175"/>
    <w:rsid w:val="51F5526C"/>
    <w:rsid w:val="51FF0643"/>
    <w:rsid w:val="52045C59"/>
    <w:rsid w:val="52262073"/>
    <w:rsid w:val="52432C25"/>
    <w:rsid w:val="52567A5B"/>
    <w:rsid w:val="525A3ACB"/>
    <w:rsid w:val="52691FE2"/>
    <w:rsid w:val="52767C9D"/>
    <w:rsid w:val="52880638"/>
    <w:rsid w:val="52AE5E37"/>
    <w:rsid w:val="52C13B4A"/>
    <w:rsid w:val="52C673B2"/>
    <w:rsid w:val="52CB27AB"/>
    <w:rsid w:val="53213917"/>
    <w:rsid w:val="532962B2"/>
    <w:rsid w:val="532A16EF"/>
    <w:rsid w:val="536939A8"/>
    <w:rsid w:val="538E1C7E"/>
    <w:rsid w:val="53901E9A"/>
    <w:rsid w:val="53BC47FF"/>
    <w:rsid w:val="53D321D7"/>
    <w:rsid w:val="53FC2BBB"/>
    <w:rsid w:val="541A5C08"/>
    <w:rsid w:val="54303A8C"/>
    <w:rsid w:val="54555445"/>
    <w:rsid w:val="54705828"/>
    <w:rsid w:val="547E6196"/>
    <w:rsid w:val="548B4A51"/>
    <w:rsid w:val="548D3DC7"/>
    <w:rsid w:val="54AA0D3A"/>
    <w:rsid w:val="54BC2FD3"/>
    <w:rsid w:val="54C07FFD"/>
    <w:rsid w:val="54CE5430"/>
    <w:rsid w:val="54EA55DA"/>
    <w:rsid w:val="54EB1B0B"/>
    <w:rsid w:val="54F31177"/>
    <w:rsid w:val="54F35ABD"/>
    <w:rsid w:val="552F2962"/>
    <w:rsid w:val="554D7917"/>
    <w:rsid w:val="55827B4A"/>
    <w:rsid w:val="55904B7D"/>
    <w:rsid w:val="55BC3192"/>
    <w:rsid w:val="55CC6E85"/>
    <w:rsid w:val="55DB4492"/>
    <w:rsid w:val="55F12998"/>
    <w:rsid w:val="55F66200"/>
    <w:rsid w:val="55F75C7E"/>
    <w:rsid w:val="560501F2"/>
    <w:rsid w:val="56313359"/>
    <w:rsid w:val="56382375"/>
    <w:rsid w:val="566D62CB"/>
    <w:rsid w:val="56707D61"/>
    <w:rsid w:val="56951575"/>
    <w:rsid w:val="56A1160C"/>
    <w:rsid w:val="56C02A96"/>
    <w:rsid w:val="56CF617B"/>
    <w:rsid w:val="56D21A19"/>
    <w:rsid w:val="56D96861"/>
    <w:rsid w:val="56FA51C6"/>
    <w:rsid w:val="56FE1F46"/>
    <w:rsid w:val="572A7F10"/>
    <w:rsid w:val="57376AD1"/>
    <w:rsid w:val="57596A47"/>
    <w:rsid w:val="576176AA"/>
    <w:rsid w:val="577E53CF"/>
    <w:rsid w:val="578C4726"/>
    <w:rsid w:val="578D6ABD"/>
    <w:rsid w:val="57931F59"/>
    <w:rsid w:val="57C42A69"/>
    <w:rsid w:val="57C93BCD"/>
    <w:rsid w:val="57F31103"/>
    <w:rsid w:val="58087E7D"/>
    <w:rsid w:val="584B2834"/>
    <w:rsid w:val="585711A2"/>
    <w:rsid w:val="585830BE"/>
    <w:rsid w:val="58613B20"/>
    <w:rsid w:val="58690F0C"/>
    <w:rsid w:val="586B07E0"/>
    <w:rsid w:val="58843914"/>
    <w:rsid w:val="58954FE6"/>
    <w:rsid w:val="58B37943"/>
    <w:rsid w:val="58C83E84"/>
    <w:rsid w:val="58DC7930"/>
    <w:rsid w:val="58F5454D"/>
    <w:rsid w:val="58F76517"/>
    <w:rsid w:val="59271254"/>
    <w:rsid w:val="59352B9C"/>
    <w:rsid w:val="594B649D"/>
    <w:rsid w:val="59747B68"/>
    <w:rsid w:val="598961F1"/>
    <w:rsid w:val="59943D66"/>
    <w:rsid w:val="59A4512F"/>
    <w:rsid w:val="59AF294E"/>
    <w:rsid w:val="59BF726D"/>
    <w:rsid w:val="5A186745"/>
    <w:rsid w:val="5A2901BD"/>
    <w:rsid w:val="5A4117CD"/>
    <w:rsid w:val="5A545950"/>
    <w:rsid w:val="5A647495"/>
    <w:rsid w:val="5A915D0C"/>
    <w:rsid w:val="5A961277"/>
    <w:rsid w:val="5A9F29C3"/>
    <w:rsid w:val="5ABD553F"/>
    <w:rsid w:val="5AF26F96"/>
    <w:rsid w:val="5B4077C3"/>
    <w:rsid w:val="5B4350BA"/>
    <w:rsid w:val="5B4A6DD2"/>
    <w:rsid w:val="5B6A7475"/>
    <w:rsid w:val="5BAB2BF3"/>
    <w:rsid w:val="5BCC5A12"/>
    <w:rsid w:val="5BD42B40"/>
    <w:rsid w:val="5BEC6AB5"/>
    <w:rsid w:val="5C02667C"/>
    <w:rsid w:val="5C1002AC"/>
    <w:rsid w:val="5C2238AB"/>
    <w:rsid w:val="5C2C0EA1"/>
    <w:rsid w:val="5C2F459A"/>
    <w:rsid w:val="5C4001D5"/>
    <w:rsid w:val="5C676E2A"/>
    <w:rsid w:val="5C78171D"/>
    <w:rsid w:val="5C97631A"/>
    <w:rsid w:val="5CA97B29"/>
    <w:rsid w:val="5CC93A47"/>
    <w:rsid w:val="5CD5091E"/>
    <w:rsid w:val="5CD54DC2"/>
    <w:rsid w:val="5CDD3B9D"/>
    <w:rsid w:val="5CEF67E0"/>
    <w:rsid w:val="5D276C9F"/>
    <w:rsid w:val="5D335644"/>
    <w:rsid w:val="5D534E5C"/>
    <w:rsid w:val="5D7F1B0A"/>
    <w:rsid w:val="5DB11DC8"/>
    <w:rsid w:val="5DE3706A"/>
    <w:rsid w:val="5DE40EB4"/>
    <w:rsid w:val="5DF46F7B"/>
    <w:rsid w:val="5E1E63BE"/>
    <w:rsid w:val="5E264A7C"/>
    <w:rsid w:val="5E7762D2"/>
    <w:rsid w:val="5E865FE8"/>
    <w:rsid w:val="5E8A398A"/>
    <w:rsid w:val="5E8D4131"/>
    <w:rsid w:val="5E9F11E3"/>
    <w:rsid w:val="5EAD75B7"/>
    <w:rsid w:val="5EB6652D"/>
    <w:rsid w:val="5ECE1AC8"/>
    <w:rsid w:val="5EDD61AF"/>
    <w:rsid w:val="5EDF0FC2"/>
    <w:rsid w:val="5EE8367E"/>
    <w:rsid w:val="5F1F40D2"/>
    <w:rsid w:val="5F322057"/>
    <w:rsid w:val="5F381638"/>
    <w:rsid w:val="5F3D2516"/>
    <w:rsid w:val="5F504F85"/>
    <w:rsid w:val="5F5767D6"/>
    <w:rsid w:val="5F5A3543"/>
    <w:rsid w:val="5F906D7E"/>
    <w:rsid w:val="601B6F8F"/>
    <w:rsid w:val="601E0831"/>
    <w:rsid w:val="606D695B"/>
    <w:rsid w:val="60AD0FA7"/>
    <w:rsid w:val="60B62814"/>
    <w:rsid w:val="60BD0047"/>
    <w:rsid w:val="60C37856"/>
    <w:rsid w:val="61006C51"/>
    <w:rsid w:val="61377DF9"/>
    <w:rsid w:val="61475B62"/>
    <w:rsid w:val="615616CB"/>
    <w:rsid w:val="617050B9"/>
    <w:rsid w:val="61834D22"/>
    <w:rsid w:val="618621F4"/>
    <w:rsid w:val="61A2220E"/>
    <w:rsid w:val="61A26C03"/>
    <w:rsid w:val="61A84853"/>
    <w:rsid w:val="61AD31F8"/>
    <w:rsid w:val="61AF1C88"/>
    <w:rsid w:val="61B15B2E"/>
    <w:rsid w:val="61B8587A"/>
    <w:rsid w:val="61D03DA9"/>
    <w:rsid w:val="622857DE"/>
    <w:rsid w:val="624A2082"/>
    <w:rsid w:val="62620EA5"/>
    <w:rsid w:val="628506F0"/>
    <w:rsid w:val="62AA7F74"/>
    <w:rsid w:val="62AF58EE"/>
    <w:rsid w:val="63141A74"/>
    <w:rsid w:val="632151B1"/>
    <w:rsid w:val="63424833"/>
    <w:rsid w:val="634E4F86"/>
    <w:rsid w:val="635F53E5"/>
    <w:rsid w:val="636702EF"/>
    <w:rsid w:val="637D20EC"/>
    <w:rsid w:val="63B71DA8"/>
    <w:rsid w:val="63C96D02"/>
    <w:rsid w:val="63D17BBF"/>
    <w:rsid w:val="64290EAE"/>
    <w:rsid w:val="6452020A"/>
    <w:rsid w:val="64854875"/>
    <w:rsid w:val="648F72EC"/>
    <w:rsid w:val="64CC6856"/>
    <w:rsid w:val="64D771FD"/>
    <w:rsid w:val="64F22E9E"/>
    <w:rsid w:val="652F0D3D"/>
    <w:rsid w:val="6533366C"/>
    <w:rsid w:val="65384941"/>
    <w:rsid w:val="653E102A"/>
    <w:rsid w:val="654E2431"/>
    <w:rsid w:val="655B7E2E"/>
    <w:rsid w:val="6576312A"/>
    <w:rsid w:val="658B79BE"/>
    <w:rsid w:val="659D126D"/>
    <w:rsid w:val="659D21F5"/>
    <w:rsid w:val="65A63874"/>
    <w:rsid w:val="65B732B6"/>
    <w:rsid w:val="66264771"/>
    <w:rsid w:val="6668520D"/>
    <w:rsid w:val="667B0114"/>
    <w:rsid w:val="66940880"/>
    <w:rsid w:val="66D35001"/>
    <w:rsid w:val="66F347C2"/>
    <w:rsid w:val="67086F0E"/>
    <w:rsid w:val="67087745"/>
    <w:rsid w:val="6716400D"/>
    <w:rsid w:val="67192A32"/>
    <w:rsid w:val="6722646D"/>
    <w:rsid w:val="673F5550"/>
    <w:rsid w:val="677329AB"/>
    <w:rsid w:val="67A3240E"/>
    <w:rsid w:val="67A94E81"/>
    <w:rsid w:val="67C717AB"/>
    <w:rsid w:val="67D43B66"/>
    <w:rsid w:val="67EE3D0F"/>
    <w:rsid w:val="67F0485E"/>
    <w:rsid w:val="6800399D"/>
    <w:rsid w:val="6826511C"/>
    <w:rsid w:val="682D5AB2"/>
    <w:rsid w:val="682E5386"/>
    <w:rsid w:val="6833646B"/>
    <w:rsid w:val="683A1F7D"/>
    <w:rsid w:val="685017A0"/>
    <w:rsid w:val="68730EC9"/>
    <w:rsid w:val="68972E14"/>
    <w:rsid w:val="68A67612"/>
    <w:rsid w:val="68B25FB7"/>
    <w:rsid w:val="68D0468F"/>
    <w:rsid w:val="693379DF"/>
    <w:rsid w:val="69541292"/>
    <w:rsid w:val="69662BDD"/>
    <w:rsid w:val="696C085C"/>
    <w:rsid w:val="69711424"/>
    <w:rsid w:val="69A01EFB"/>
    <w:rsid w:val="69A27E33"/>
    <w:rsid w:val="69AB44CC"/>
    <w:rsid w:val="69AD3570"/>
    <w:rsid w:val="69CA7330"/>
    <w:rsid w:val="6A0049A7"/>
    <w:rsid w:val="6A0635E2"/>
    <w:rsid w:val="6A0E36C1"/>
    <w:rsid w:val="6A160721"/>
    <w:rsid w:val="6A34487E"/>
    <w:rsid w:val="6A3C2755"/>
    <w:rsid w:val="6A5A6906"/>
    <w:rsid w:val="6A5F58D0"/>
    <w:rsid w:val="6A64096B"/>
    <w:rsid w:val="6A6D03E7"/>
    <w:rsid w:val="6A6F461D"/>
    <w:rsid w:val="6A94265F"/>
    <w:rsid w:val="6AB204F0"/>
    <w:rsid w:val="6ABE6E95"/>
    <w:rsid w:val="6AC87D14"/>
    <w:rsid w:val="6AD14111"/>
    <w:rsid w:val="6AD25ED5"/>
    <w:rsid w:val="6AF44665"/>
    <w:rsid w:val="6B006CAE"/>
    <w:rsid w:val="6B160215"/>
    <w:rsid w:val="6B2B4177"/>
    <w:rsid w:val="6B4C5683"/>
    <w:rsid w:val="6B4F1E4C"/>
    <w:rsid w:val="6B9A4681"/>
    <w:rsid w:val="6BC912DB"/>
    <w:rsid w:val="6BE93C8F"/>
    <w:rsid w:val="6C812851"/>
    <w:rsid w:val="6CA87DFD"/>
    <w:rsid w:val="6CC4450B"/>
    <w:rsid w:val="6D150CF3"/>
    <w:rsid w:val="6D154034"/>
    <w:rsid w:val="6D1D180E"/>
    <w:rsid w:val="6D4318D3"/>
    <w:rsid w:val="6D8343C6"/>
    <w:rsid w:val="6D9739CD"/>
    <w:rsid w:val="6DAD4F9F"/>
    <w:rsid w:val="6DC01176"/>
    <w:rsid w:val="6DC951C3"/>
    <w:rsid w:val="6DE36F16"/>
    <w:rsid w:val="6E10039F"/>
    <w:rsid w:val="6E201D51"/>
    <w:rsid w:val="6E4A5358"/>
    <w:rsid w:val="6E4C2A0A"/>
    <w:rsid w:val="6E5673E4"/>
    <w:rsid w:val="6E5D3388"/>
    <w:rsid w:val="6E807CF7"/>
    <w:rsid w:val="6E873EE3"/>
    <w:rsid w:val="6EBD7464"/>
    <w:rsid w:val="6EBE2716"/>
    <w:rsid w:val="6ED21161"/>
    <w:rsid w:val="6EFF9334"/>
    <w:rsid w:val="6F215C44"/>
    <w:rsid w:val="6F6C3363"/>
    <w:rsid w:val="6F814935"/>
    <w:rsid w:val="6FE37E94"/>
    <w:rsid w:val="6FEC1DAE"/>
    <w:rsid w:val="6FF24F26"/>
    <w:rsid w:val="70110CA4"/>
    <w:rsid w:val="70287453"/>
    <w:rsid w:val="702B57F4"/>
    <w:rsid w:val="703F7638"/>
    <w:rsid w:val="70A21873"/>
    <w:rsid w:val="70B07280"/>
    <w:rsid w:val="70D82F0C"/>
    <w:rsid w:val="71017ADB"/>
    <w:rsid w:val="710B2708"/>
    <w:rsid w:val="71430294"/>
    <w:rsid w:val="716D4322"/>
    <w:rsid w:val="717E2EDA"/>
    <w:rsid w:val="719C7804"/>
    <w:rsid w:val="71EA7D25"/>
    <w:rsid w:val="71F4319C"/>
    <w:rsid w:val="71F47640"/>
    <w:rsid w:val="72154882"/>
    <w:rsid w:val="721E4D83"/>
    <w:rsid w:val="72236D4F"/>
    <w:rsid w:val="7258197D"/>
    <w:rsid w:val="72604CD6"/>
    <w:rsid w:val="72EF6486"/>
    <w:rsid w:val="72F316A6"/>
    <w:rsid w:val="731D4975"/>
    <w:rsid w:val="734041AE"/>
    <w:rsid w:val="73546AD5"/>
    <w:rsid w:val="73614861"/>
    <w:rsid w:val="73691968"/>
    <w:rsid w:val="739151FB"/>
    <w:rsid w:val="739369E5"/>
    <w:rsid w:val="739A5AF4"/>
    <w:rsid w:val="73B04C2D"/>
    <w:rsid w:val="73B16901"/>
    <w:rsid w:val="73CD618F"/>
    <w:rsid w:val="73DF0768"/>
    <w:rsid w:val="742E35AD"/>
    <w:rsid w:val="743E1047"/>
    <w:rsid w:val="74443A53"/>
    <w:rsid w:val="745443C6"/>
    <w:rsid w:val="74733422"/>
    <w:rsid w:val="74A72014"/>
    <w:rsid w:val="74C90910"/>
    <w:rsid w:val="74EB3774"/>
    <w:rsid w:val="750E27C7"/>
    <w:rsid w:val="75231D3A"/>
    <w:rsid w:val="75530934"/>
    <w:rsid w:val="75571951"/>
    <w:rsid w:val="7566109E"/>
    <w:rsid w:val="757A1C0A"/>
    <w:rsid w:val="758D193E"/>
    <w:rsid w:val="758D7B90"/>
    <w:rsid w:val="758E5275"/>
    <w:rsid w:val="75907E1E"/>
    <w:rsid w:val="75C36B9F"/>
    <w:rsid w:val="75D62A0B"/>
    <w:rsid w:val="75DC4673"/>
    <w:rsid w:val="75E874BC"/>
    <w:rsid w:val="75FB71EF"/>
    <w:rsid w:val="760F67F7"/>
    <w:rsid w:val="762E22DC"/>
    <w:rsid w:val="76A07D97"/>
    <w:rsid w:val="76D8131F"/>
    <w:rsid w:val="76DB25E6"/>
    <w:rsid w:val="76E41A31"/>
    <w:rsid w:val="76F13C5F"/>
    <w:rsid w:val="77141F5A"/>
    <w:rsid w:val="776F4B46"/>
    <w:rsid w:val="77884AB3"/>
    <w:rsid w:val="779276DF"/>
    <w:rsid w:val="77C91740"/>
    <w:rsid w:val="77ED3E16"/>
    <w:rsid w:val="77ED7EF6"/>
    <w:rsid w:val="78073367"/>
    <w:rsid w:val="78174088"/>
    <w:rsid w:val="781B6EE3"/>
    <w:rsid w:val="78283BA0"/>
    <w:rsid w:val="783A38D3"/>
    <w:rsid w:val="78574485"/>
    <w:rsid w:val="786077DD"/>
    <w:rsid w:val="78690D60"/>
    <w:rsid w:val="786B0E55"/>
    <w:rsid w:val="78A0407E"/>
    <w:rsid w:val="78AF70A8"/>
    <w:rsid w:val="78B11DE7"/>
    <w:rsid w:val="790C34C1"/>
    <w:rsid w:val="79844EF9"/>
    <w:rsid w:val="799A4973"/>
    <w:rsid w:val="79B002F1"/>
    <w:rsid w:val="79C57453"/>
    <w:rsid w:val="79D35D8D"/>
    <w:rsid w:val="79F93A46"/>
    <w:rsid w:val="7A0432DF"/>
    <w:rsid w:val="7A70182E"/>
    <w:rsid w:val="7A862E00"/>
    <w:rsid w:val="7A925631"/>
    <w:rsid w:val="7AB23BF5"/>
    <w:rsid w:val="7AD46261"/>
    <w:rsid w:val="7AEF2B33"/>
    <w:rsid w:val="7B4A0FA0"/>
    <w:rsid w:val="7B516AFB"/>
    <w:rsid w:val="7B6F1AE6"/>
    <w:rsid w:val="7B810197"/>
    <w:rsid w:val="7BC160B7"/>
    <w:rsid w:val="7BD427EF"/>
    <w:rsid w:val="7BE95D3C"/>
    <w:rsid w:val="7BF070CA"/>
    <w:rsid w:val="7C136915"/>
    <w:rsid w:val="7C35285F"/>
    <w:rsid w:val="7C3662C4"/>
    <w:rsid w:val="7C541FA0"/>
    <w:rsid w:val="7C776EA4"/>
    <w:rsid w:val="7CA468AE"/>
    <w:rsid w:val="7CB24380"/>
    <w:rsid w:val="7CE87DA1"/>
    <w:rsid w:val="7CFD581C"/>
    <w:rsid w:val="7D23702C"/>
    <w:rsid w:val="7D2544C4"/>
    <w:rsid w:val="7D2F777E"/>
    <w:rsid w:val="7D4C168F"/>
    <w:rsid w:val="7D565D1B"/>
    <w:rsid w:val="7D6E64F9"/>
    <w:rsid w:val="7D8555F0"/>
    <w:rsid w:val="7DAA5057"/>
    <w:rsid w:val="7DB15743"/>
    <w:rsid w:val="7DD17ECA"/>
    <w:rsid w:val="7DD54E05"/>
    <w:rsid w:val="7DD6409E"/>
    <w:rsid w:val="7DE467BB"/>
    <w:rsid w:val="7DEC3371"/>
    <w:rsid w:val="7DF829EB"/>
    <w:rsid w:val="7E033940"/>
    <w:rsid w:val="7E5A0FB5"/>
    <w:rsid w:val="7E72E0EF"/>
    <w:rsid w:val="7E81225C"/>
    <w:rsid w:val="7EB643A4"/>
    <w:rsid w:val="7EB75C7D"/>
    <w:rsid w:val="7EFB4F6E"/>
    <w:rsid w:val="7F080287"/>
    <w:rsid w:val="7F377BAD"/>
    <w:rsid w:val="7F421D45"/>
    <w:rsid w:val="7F440142"/>
    <w:rsid w:val="7F8E14D9"/>
    <w:rsid w:val="7F9E2466"/>
    <w:rsid w:val="7FA7793D"/>
    <w:rsid w:val="7FAB29F1"/>
    <w:rsid w:val="7FB22C02"/>
    <w:rsid w:val="7FB24AC2"/>
    <w:rsid w:val="7FBA55C5"/>
    <w:rsid w:val="7FBF9197"/>
    <w:rsid w:val="7FDD1714"/>
    <w:rsid w:val="BFFFB51D"/>
    <w:rsid w:val="EAB1B374"/>
    <w:rsid w:val="EEBF9442"/>
    <w:rsid w:val="FEE35D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iPriority="99" w:semiHidden="0"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qFormat="1" w:uiPriority="99" w:semiHidden="0" w:name="Body Text 3"/>
    <w:lsdException w:qFormat="1" w:uiPriority="99" w:semiHidden="0"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ind w:firstLine="200" w:firstLineChars="200"/>
      <w:jc w:val="both"/>
    </w:pPr>
    <w:rPr>
      <w:rFonts w:ascii="Times New Roman" w:hAnsi="Times New Roman" w:eastAsia="宋体" w:cstheme="minorBidi"/>
      <w:kern w:val="2"/>
      <w:sz w:val="24"/>
      <w:szCs w:val="22"/>
      <w:lang w:val="en-US" w:eastAsia="zh-CN" w:bidi="ar-SA"/>
    </w:rPr>
  </w:style>
  <w:style w:type="paragraph" w:styleId="3">
    <w:name w:val="heading 1"/>
    <w:basedOn w:val="1"/>
    <w:next w:val="1"/>
    <w:link w:val="32"/>
    <w:qFormat/>
    <w:uiPriority w:val="9"/>
    <w:pPr>
      <w:keepNext/>
      <w:keepLines/>
      <w:jc w:val="center"/>
      <w:outlineLvl w:val="0"/>
    </w:pPr>
    <w:rPr>
      <w:rFonts w:eastAsia="黑体"/>
      <w:bCs/>
      <w:kern w:val="44"/>
      <w:sz w:val="44"/>
      <w:szCs w:val="44"/>
    </w:rPr>
  </w:style>
  <w:style w:type="paragraph" w:styleId="4">
    <w:name w:val="heading 2"/>
    <w:basedOn w:val="1"/>
    <w:next w:val="1"/>
    <w:link w:val="30"/>
    <w:unhideWhenUsed/>
    <w:qFormat/>
    <w:uiPriority w:val="9"/>
    <w:pPr>
      <w:keepNext/>
      <w:keepLines/>
      <w:outlineLvl w:val="1"/>
    </w:pPr>
    <w:rPr>
      <w:rFonts w:cstheme="majorBidi"/>
      <w:b/>
      <w:bCs/>
      <w:szCs w:val="32"/>
    </w:rPr>
  </w:style>
  <w:style w:type="paragraph" w:styleId="5">
    <w:name w:val="heading 3"/>
    <w:basedOn w:val="1"/>
    <w:next w:val="1"/>
    <w:link w:val="52"/>
    <w:unhideWhenUsed/>
    <w:qFormat/>
    <w:uiPriority w:val="9"/>
    <w:pPr>
      <w:keepNext/>
      <w:keepLines/>
      <w:outlineLvl w:val="2"/>
    </w:pPr>
    <w:rPr>
      <w:b/>
      <w:bCs/>
      <w:szCs w:val="32"/>
    </w:rPr>
  </w:style>
  <w:style w:type="paragraph" w:styleId="6">
    <w:name w:val="heading 4"/>
    <w:basedOn w:val="1"/>
    <w:next w:val="1"/>
    <w:link w:val="37"/>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27">
    <w:name w:val="Default Paragraph Font"/>
    <w:semiHidden/>
    <w:unhideWhenUsed/>
    <w:qFormat/>
    <w:uiPriority w:val="1"/>
  </w:style>
  <w:style w:type="table" w:default="1" w:styleId="25">
    <w:name w:val="Normal Table"/>
    <w:semiHidden/>
    <w:unhideWhenUsed/>
    <w:qFormat/>
    <w:uiPriority w:val="99"/>
    <w:tblPr>
      <w:tblCellMar>
        <w:top w:w="0" w:type="dxa"/>
        <w:left w:w="108" w:type="dxa"/>
        <w:bottom w:w="0" w:type="dxa"/>
        <w:right w:w="108" w:type="dxa"/>
      </w:tblCellMar>
    </w:tblPr>
  </w:style>
  <w:style w:type="paragraph" w:styleId="2">
    <w:name w:val="toa heading"/>
    <w:basedOn w:val="1"/>
    <w:next w:val="1"/>
    <w:qFormat/>
    <w:uiPriority w:val="0"/>
    <w:pPr>
      <w:spacing w:before="120"/>
      <w:ind w:firstLine="0" w:firstLineChars="0"/>
    </w:pPr>
    <w:rPr>
      <w:rFonts w:ascii="Arial" w:hAnsi="Arial" w:cs="Arial"/>
      <w:szCs w:val="24"/>
    </w:rPr>
  </w:style>
  <w:style w:type="paragraph" w:styleId="7">
    <w:name w:val="Normal Indent"/>
    <w:basedOn w:val="1"/>
    <w:qFormat/>
    <w:uiPriority w:val="99"/>
    <w:pPr>
      <w:spacing w:line="480" w:lineRule="atLeast"/>
      <w:ind w:firstLine="547"/>
    </w:pPr>
    <w:rPr>
      <w:sz w:val="28"/>
      <w:szCs w:val="24"/>
    </w:rPr>
  </w:style>
  <w:style w:type="paragraph" w:styleId="8">
    <w:name w:val="annotation text"/>
    <w:basedOn w:val="1"/>
    <w:qFormat/>
    <w:uiPriority w:val="99"/>
    <w:pPr>
      <w:spacing w:line="240" w:lineRule="auto"/>
      <w:jc w:val="left"/>
    </w:pPr>
    <w:rPr>
      <w:sz w:val="21"/>
      <w:szCs w:val="20"/>
    </w:rPr>
  </w:style>
  <w:style w:type="paragraph" w:styleId="9">
    <w:name w:val="Body Text 3"/>
    <w:basedOn w:val="1"/>
    <w:link w:val="38"/>
    <w:unhideWhenUsed/>
    <w:qFormat/>
    <w:uiPriority w:val="99"/>
    <w:pPr>
      <w:spacing w:after="120"/>
    </w:pPr>
    <w:rPr>
      <w:rFonts w:cs="Times New Roman"/>
      <w:sz w:val="16"/>
      <w:szCs w:val="16"/>
    </w:rPr>
  </w:style>
  <w:style w:type="paragraph" w:styleId="10">
    <w:name w:val="Body Text"/>
    <w:basedOn w:val="1"/>
    <w:next w:val="11"/>
    <w:qFormat/>
    <w:uiPriority w:val="99"/>
    <w:rPr>
      <w:rFonts w:ascii="宋体"/>
      <w:kern w:val="0"/>
      <w:sz w:val="28"/>
      <w:szCs w:val="20"/>
    </w:rPr>
  </w:style>
  <w:style w:type="paragraph" w:styleId="11">
    <w:name w:val="Title"/>
    <w:basedOn w:val="1"/>
    <w:next w:val="1"/>
    <w:qFormat/>
    <w:uiPriority w:val="0"/>
    <w:pPr>
      <w:jc w:val="left"/>
      <w:outlineLvl w:val="2"/>
    </w:pPr>
    <w:rPr>
      <w:rFonts w:ascii="宋体" w:hAnsi="宋体"/>
      <w:b/>
      <w:bCs/>
      <w:kern w:val="0"/>
      <w:sz w:val="28"/>
      <w:szCs w:val="32"/>
    </w:rPr>
  </w:style>
  <w:style w:type="paragraph" w:styleId="12">
    <w:name w:val="Body Text Indent"/>
    <w:basedOn w:val="1"/>
    <w:next w:val="13"/>
    <w:qFormat/>
    <w:uiPriority w:val="99"/>
    <w:pPr>
      <w:ind w:firstLine="900"/>
    </w:pPr>
    <w:rPr>
      <w:sz w:val="28"/>
    </w:rPr>
  </w:style>
  <w:style w:type="paragraph" w:styleId="13">
    <w:name w:val="envelope return"/>
    <w:basedOn w:val="1"/>
    <w:unhideWhenUsed/>
    <w:qFormat/>
    <w:uiPriority w:val="99"/>
    <w:pPr>
      <w:snapToGrid w:val="0"/>
    </w:pPr>
    <w:rPr>
      <w:rFonts w:ascii="Arial" w:hAnsi="Arial"/>
    </w:rPr>
  </w:style>
  <w:style w:type="paragraph" w:styleId="14">
    <w:name w:val="toc 3"/>
    <w:basedOn w:val="1"/>
    <w:next w:val="1"/>
    <w:unhideWhenUsed/>
    <w:qFormat/>
    <w:uiPriority w:val="39"/>
    <w:pPr>
      <w:widowControl/>
      <w:spacing w:after="100" w:line="259" w:lineRule="auto"/>
      <w:ind w:left="440" w:firstLine="0" w:firstLineChars="0"/>
      <w:jc w:val="left"/>
    </w:pPr>
    <w:rPr>
      <w:rFonts w:cs="Times New Roman" w:asciiTheme="minorHAnsi" w:hAnsiTheme="minorHAnsi" w:eastAsiaTheme="minorEastAsia"/>
      <w:kern w:val="0"/>
      <w:sz w:val="22"/>
    </w:rPr>
  </w:style>
  <w:style w:type="paragraph" w:styleId="15">
    <w:name w:val="Plain Text"/>
    <w:basedOn w:val="1"/>
    <w:qFormat/>
    <w:uiPriority w:val="0"/>
    <w:pPr>
      <w:spacing w:line="580" w:lineRule="exact"/>
      <w:ind w:right="-197" w:firstLine="560"/>
    </w:pPr>
    <w:rPr>
      <w:rFonts w:ascii="黑体" w:hAnsi="Courier New" w:eastAsia="黑体"/>
      <w:sz w:val="28"/>
      <w:szCs w:val="20"/>
    </w:rPr>
  </w:style>
  <w:style w:type="paragraph" w:styleId="16">
    <w:name w:val="Date"/>
    <w:basedOn w:val="1"/>
    <w:next w:val="1"/>
    <w:link w:val="41"/>
    <w:semiHidden/>
    <w:unhideWhenUsed/>
    <w:qFormat/>
    <w:uiPriority w:val="99"/>
    <w:pPr>
      <w:ind w:left="100" w:leftChars="2500"/>
    </w:pPr>
  </w:style>
  <w:style w:type="paragraph" w:styleId="17">
    <w:name w:val="Body Text Indent 2"/>
    <w:basedOn w:val="1"/>
    <w:link w:val="42"/>
    <w:unhideWhenUsed/>
    <w:qFormat/>
    <w:uiPriority w:val="99"/>
    <w:pPr>
      <w:spacing w:after="120" w:line="480" w:lineRule="auto"/>
      <w:ind w:left="420" w:leftChars="200"/>
    </w:pPr>
  </w:style>
  <w:style w:type="paragraph" w:styleId="18">
    <w:name w:val="Balloon Text"/>
    <w:basedOn w:val="1"/>
    <w:link w:val="57"/>
    <w:semiHidden/>
    <w:unhideWhenUsed/>
    <w:qFormat/>
    <w:uiPriority w:val="99"/>
    <w:pPr>
      <w:spacing w:line="240" w:lineRule="auto"/>
    </w:pPr>
    <w:rPr>
      <w:sz w:val="18"/>
      <w:szCs w:val="18"/>
    </w:rPr>
  </w:style>
  <w:style w:type="paragraph" w:styleId="19">
    <w:name w:val="footer"/>
    <w:basedOn w:val="1"/>
    <w:link w:val="36"/>
    <w:unhideWhenUsed/>
    <w:qFormat/>
    <w:uiPriority w:val="99"/>
    <w:pPr>
      <w:tabs>
        <w:tab w:val="center" w:pos="4153"/>
        <w:tab w:val="right" w:pos="8306"/>
      </w:tabs>
      <w:snapToGrid w:val="0"/>
      <w:jc w:val="left"/>
    </w:pPr>
    <w:rPr>
      <w:sz w:val="18"/>
      <w:szCs w:val="18"/>
    </w:rPr>
  </w:style>
  <w:style w:type="paragraph" w:styleId="20">
    <w:name w:val="header"/>
    <w:basedOn w:val="1"/>
    <w:link w:val="35"/>
    <w:unhideWhenUsed/>
    <w:qFormat/>
    <w:uiPriority w:val="99"/>
    <w:pPr>
      <w:pBdr>
        <w:bottom w:val="single" w:color="auto" w:sz="6" w:space="1"/>
      </w:pBdr>
      <w:tabs>
        <w:tab w:val="center" w:pos="4153"/>
        <w:tab w:val="right" w:pos="8306"/>
      </w:tabs>
      <w:snapToGrid w:val="0"/>
      <w:jc w:val="center"/>
    </w:pPr>
    <w:rPr>
      <w:sz w:val="18"/>
      <w:szCs w:val="18"/>
    </w:rPr>
  </w:style>
  <w:style w:type="paragraph" w:styleId="21">
    <w:name w:val="toc 1"/>
    <w:basedOn w:val="1"/>
    <w:next w:val="1"/>
    <w:unhideWhenUsed/>
    <w:qFormat/>
    <w:uiPriority w:val="39"/>
    <w:pPr>
      <w:widowControl/>
      <w:spacing w:after="100" w:line="259" w:lineRule="auto"/>
      <w:ind w:firstLine="0" w:firstLineChars="0"/>
      <w:jc w:val="left"/>
    </w:pPr>
    <w:rPr>
      <w:rFonts w:cs="Times New Roman" w:asciiTheme="minorHAnsi" w:hAnsiTheme="minorHAnsi" w:eastAsiaTheme="minorEastAsia"/>
      <w:kern w:val="0"/>
      <w:sz w:val="22"/>
    </w:rPr>
  </w:style>
  <w:style w:type="paragraph" w:styleId="22">
    <w:name w:val="toc 2"/>
    <w:basedOn w:val="1"/>
    <w:next w:val="1"/>
    <w:unhideWhenUsed/>
    <w:qFormat/>
    <w:uiPriority w:val="39"/>
    <w:pPr>
      <w:widowControl/>
      <w:spacing w:after="100" w:line="259" w:lineRule="auto"/>
      <w:ind w:left="220" w:firstLine="0" w:firstLineChars="0"/>
      <w:jc w:val="left"/>
    </w:pPr>
    <w:rPr>
      <w:rFonts w:cs="Times New Roman" w:asciiTheme="minorHAnsi" w:hAnsiTheme="minorHAnsi" w:eastAsiaTheme="minorEastAsia"/>
      <w:kern w:val="0"/>
      <w:sz w:val="22"/>
    </w:rPr>
  </w:style>
  <w:style w:type="paragraph" w:styleId="23">
    <w:name w:val="Normal (Web)"/>
    <w:basedOn w:val="1"/>
    <w:unhideWhenUsed/>
    <w:qFormat/>
    <w:uiPriority w:val="99"/>
  </w:style>
  <w:style w:type="paragraph" w:styleId="24">
    <w:name w:val="Body Text First Indent 2"/>
    <w:basedOn w:val="12"/>
    <w:qFormat/>
    <w:uiPriority w:val="0"/>
    <w:pPr>
      <w:spacing w:after="120"/>
      <w:ind w:left="420" w:leftChars="200" w:firstLine="420"/>
    </w:pPr>
    <w:rPr>
      <w:rFonts w:cs="宋体"/>
      <w:sz w:val="21"/>
      <w:szCs w:val="21"/>
    </w:rPr>
  </w:style>
  <w:style w:type="table" w:styleId="26">
    <w:name w:val="Table Grid"/>
    <w:basedOn w:val="2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8">
    <w:name w:val="page number"/>
    <w:qFormat/>
    <w:uiPriority w:val="0"/>
    <w:rPr>
      <w:rFonts w:cs="Times New Roman"/>
    </w:rPr>
  </w:style>
  <w:style w:type="character" w:styleId="29">
    <w:name w:val="Hyperlink"/>
    <w:qFormat/>
    <w:uiPriority w:val="99"/>
    <w:rPr>
      <w:color w:val="0000FF"/>
      <w:u w:val="single"/>
    </w:rPr>
  </w:style>
  <w:style w:type="character" w:customStyle="1" w:styleId="30">
    <w:name w:val="标题 2 Char"/>
    <w:basedOn w:val="27"/>
    <w:link w:val="4"/>
    <w:qFormat/>
    <w:uiPriority w:val="9"/>
    <w:rPr>
      <w:rFonts w:ascii="Times New Roman" w:hAnsi="Times New Roman" w:eastAsia="宋体" w:cstheme="majorBidi"/>
      <w:b/>
      <w:bCs/>
      <w:sz w:val="24"/>
      <w:szCs w:val="32"/>
    </w:rPr>
  </w:style>
  <w:style w:type="character" w:customStyle="1" w:styleId="31">
    <w:name w:val="标题 3 字符"/>
    <w:basedOn w:val="27"/>
    <w:qFormat/>
    <w:uiPriority w:val="9"/>
    <w:rPr>
      <w:rFonts w:ascii="Times New Roman" w:hAnsi="Times New Roman" w:eastAsia="宋体"/>
      <w:b/>
      <w:bCs/>
      <w:sz w:val="24"/>
      <w:szCs w:val="32"/>
    </w:rPr>
  </w:style>
  <w:style w:type="character" w:customStyle="1" w:styleId="32">
    <w:name w:val="标题 1 Char"/>
    <w:basedOn w:val="27"/>
    <w:link w:val="3"/>
    <w:qFormat/>
    <w:uiPriority w:val="9"/>
    <w:rPr>
      <w:rFonts w:eastAsia="黑体"/>
      <w:bCs/>
      <w:kern w:val="44"/>
      <w:sz w:val="44"/>
      <w:szCs w:val="44"/>
    </w:rPr>
  </w:style>
  <w:style w:type="paragraph" w:customStyle="1" w:styleId="33">
    <w:name w:val="Default"/>
    <w:qFormat/>
    <w:uiPriority w:val="0"/>
    <w:pPr>
      <w:autoSpaceDE w:val="0"/>
      <w:autoSpaceDN w:val="0"/>
      <w:adjustRightInd w:val="0"/>
    </w:pPr>
    <w:rPr>
      <w:rFonts w:ascii="ÀŒÃÂ" w:hAnsi="ÀŒÃÂ" w:eastAsia="宋体" w:cs="ÀŒÃÂ"/>
      <w:color w:val="000000"/>
      <w:sz w:val="24"/>
      <w:szCs w:val="24"/>
      <w:lang w:val="en-US" w:eastAsia="zh-CN" w:bidi="ar-SA"/>
    </w:rPr>
  </w:style>
  <w:style w:type="paragraph" w:customStyle="1" w:styleId="34">
    <w:name w:val="Fließtext"/>
    <w:qFormat/>
    <w:uiPriority w:val="99"/>
    <w:pPr>
      <w:widowControl w:val="0"/>
      <w:overflowPunct w:val="0"/>
      <w:autoSpaceDE w:val="0"/>
      <w:autoSpaceDN w:val="0"/>
      <w:jc w:val="both"/>
      <w:textAlignment w:val="baseline"/>
    </w:pPr>
    <w:rPr>
      <w:rFonts w:ascii="Calibri" w:hAnsi="Calibri" w:eastAsia="宋体" w:cs="Times New Roman"/>
      <w:kern w:val="28"/>
      <w:sz w:val="21"/>
      <w:lang w:val="en-US" w:eastAsia="zh-CN" w:bidi="ar-SA"/>
    </w:rPr>
  </w:style>
  <w:style w:type="character" w:customStyle="1" w:styleId="35">
    <w:name w:val="页眉 Char"/>
    <w:basedOn w:val="27"/>
    <w:link w:val="20"/>
    <w:qFormat/>
    <w:uiPriority w:val="99"/>
    <w:rPr>
      <w:sz w:val="18"/>
      <w:szCs w:val="18"/>
    </w:rPr>
  </w:style>
  <w:style w:type="character" w:customStyle="1" w:styleId="36">
    <w:name w:val="页脚 Char"/>
    <w:basedOn w:val="27"/>
    <w:link w:val="19"/>
    <w:qFormat/>
    <w:uiPriority w:val="99"/>
    <w:rPr>
      <w:sz w:val="18"/>
      <w:szCs w:val="18"/>
    </w:rPr>
  </w:style>
  <w:style w:type="character" w:customStyle="1" w:styleId="37">
    <w:name w:val="标题 4 Char"/>
    <w:basedOn w:val="27"/>
    <w:link w:val="6"/>
    <w:qFormat/>
    <w:uiPriority w:val="9"/>
    <w:rPr>
      <w:rFonts w:asciiTheme="majorHAnsi" w:hAnsiTheme="majorHAnsi" w:eastAsiaTheme="majorEastAsia" w:cstheme="majorBidi"/>
      <w:b/>
      <w:bCs/>
      <w:sz w:val="28"/>
      <w:szCs w:val="28"/>
    </w:rPr>
  </w:style>
  <w:style w:type="character" w:customStyle="1" w:styleId="38">
    <w:name w:val="正文文本 3 Char"/>
    <w:basedOn w:val="27"/>
    <w:link w:val="9"/>
    <w:qFormat/>
    <w:uiPriority w:val="99"/>
    <w:rPr>
      <w:rFonts w:ascii="Times New Roman" w:hAnsi="Times New Roman" w:eastAsia="宋体" w:cs="Times New Roman"/>
      <w:sz w:val="16"/>
      <w:szCs w:val="16"/>
    </w:rPr>
  </w:style>
  <w:style w:type="paragraph" w:styleId="39">
    <w:name w:val="List Paragraph"/>
    <w:basedOn w:val="1"/>
    <w:qFormat/>
    <w:uiPriority w:val="99"/>
    <w:pPr>
      <w:ind w:firstLine="420"/>
    </w:pPr>
    <w:rPr>
      <w:rFonts w:cs="Times New Roman"/>
      <w:szCs w:val="24"/>
    </w:rPr>
  </w:style>
  <w:style w:type="character" w:customStyle="1" w:styleId="40">
    <w:name w:val="未处理的提及1"/>
    <w:basedOn w:val="27"/>
    <w:semiHidden/>
    <w:unhideWhenUsed/>
    <w:qFormat/>
    <w:uiPriority w:val="99"/>
    <w:rPr>
      <w:color w:val="605E5C"/>
      <w:shd w:val="clear" w:color="auto" w:fill="E1DFDD"/>
    </w:rPr>
  </w:style>
  <w:style w:type="character" w:customStyle="1" w:styleId="41">
    <w:name w:val="日期 Char"/>
    <w:basedOn w:val="27"/>
    <w:link w:val="16"/>
    <w:semiHidden/>
    <w:qFormat/>
    <w:uiPriority w:val="99"/>
    <w:rPr>
      <w:rFonts w:ascii="Times New Roman" w:hAnsi="Times New Roman" w:eastAsia="宋体"/>
      <w:sz w:val="24"/>
    </w:rPr>
  </w:style>
  <w:style w:type="character" w:customStyle="1" w:styleId="42">
    <w:name w:val="正文文本缩进 2 Char"/>
    <w:basedOn w:val="27"/>
    <w:link w:val="17"/>
    <w:semiHidden/>
    <w:qFormat/>
    <w:uiPriority w:val="99"/>
    <w:rPr>
      <w:rFonts w:ascii="Times New Roman" w:hAnsi="Times New Roman" w:eastAsia="宋体"/>
      <w:sz w:val="24"/>
    </w:rPr>
  </w:style>
  <w:style w:type="paragraph" w:customStyle="1" w:styleId="43">
    <w:name w:val="TOC 标题1"/>
    <w:basedOn w:val="3"/>
    <w:next w:val="1"/>
    <w:unhideWhenUsed/>
    <w:qFormat/>
    <w:uiPriority w:val="39"/>
    <w:pPr>
      <w:widowControl/>
      <w:spacing w:before="240" w:line="259" w:lineRule="auto"/>
      <w:ind w:firstLine="0" w:firstLineChars="0"/>
      <w:jc w:val="left"/>
      <w:outlineLvl w:val="9"/>
    </w:pPr>
    <w:rPr>
      <w:rFonts w:asciiTheme="majorHAnsi" w:hAnsiTheme="majorHAnsi" w:eastAsiaTheme="majorEastAsia" w:cstheme="majorBidi"/>
      <w:bCs w:val="0"/>
      <w:color w:val="2F5597" w:themeColor="accent1" w:themeShade="BF"/>
      <w:kern w:val="0"/>
      <w:sz w:val="32"/>
      <w:szCs w:val="32"/>
    </w:rPr>
  </w:style>
  <w:style w:type="paragraph" w:customStyle="1" w:styleId="44">
    <w:name w:val="WPSOffice手动目录 1"/>
    <w:qFormat/>
    <w:uiPriority w:val="0"/>
    <w:rPr>
      <w:rFonts w:ascii="Times New Roman" w:hAnsi="Times New Roman" w:eastAsia="宋体" w:cs="Times New Roman"/>
      <w:lang w:val="en-US" w:eastAsia="zh-CN" w:bidi="ar-SA"/>
    </w:rPr>
  </w:style>
  <w:style w:type="paragraph" w:customStyle="1" w:styleId="45">
    <w:name w:val="段"/>
    <w:basedOn w:val="1"/>
    <w:next w:val="1"/>
    <w:qFormat/>
    <w:uiPriority w:val="0"/>
    <w:pPr>
      <w:widowControl/>
      <w:spacing w:line="240" w:lineRule="auto"/>
    </w:pPr>
    <w:rPr>
      <w:rFonts w:ascii="宋体" w:hAnsi="宋体" w:eastAsia="Times New Roman" w:cs="宋体"/>
      <w:kern w:val="0"/>
      <w:sz w:val="21"/>
      <w:szCs w:val="21"/>
    </w:rPr>
  </w:style>
  <w:style w:type="character" w:customStyle="1" w:styleId="46">
    <w:name w:val="font31"/>
    <w:basedOn w:val="27"/>
    <w:qFormat/>
    <w:uiPriority w:val="0"/>
    <w:rPr>
      <w:rFonts w:hint="eastAsia" w:ascii="宋体" w:hAnsi="宋体" w:eastAsia="宋体" w:cs="宋体"/>
      <w:b/>
      <w:bCs/>
      <w:color w:val="000000"/>
      <w:sz w:val="21"/>
      <w:szCs w:val="21"/>
      <w:u w:val="none"/>
    </w:rPr>
  </w:style>
  <w:style w:type="character" w:customStyle="1" w:styleId="47">
    <w:name w:val="font41"/>
    <w:basedOn w:val="27"/>
    <w:qFormat/>
    <w:uiPriority w:val="0"/>
    <w:rPr>
      <w:rFonts w:hint="eastAsia" w:ascii="宋体" w:hAnsi="宋体" w:eastAsia="宋体" w:cs="宋体"/>
      <w:color w:val="000000"/>
      <w:sz w:val="21"/>
      <w:szCs w:val="21"/>
      <w:u w:val="none"/>
    </w:rPr>
  </w:style>
  <w:style w:type="character" w:customStyle="1" w:styleId="48">
    <w:name w:val="font21"/>
    <w:basedOn w:val="27"/>
    <w:qFormat/>
    <w:uiPriority w:val="0"/>
    <w:rPr>
      <w:rFonts w:hint="eastAsia" w:ascii="宋体" w:hAnsi="宋体" w:eastAsia="宋体" w:cs="宋体"/>
      <w:color w:val="000000"/>
      <w:sz w:val="22"/>
      <w:szCs w:val="22"/>
      <w:u w:val="none"/>
    </w:rPr>
  </w:style>
  <w:style w:type="character" w:customStyle="1" w:styleId="49">
    <w:name w:val="font51"/>
    <w:basedOn w:val="27"/>
    <w:qFormat/>
    <w:uiPriority w:val="0"/>
    <w:rPr>
      <w:rFonts w:hint="default" w:ascii="Times New Roman" w:hAnsi="Times New Roman" w:cs="Times New Roman"/>
      <w:color w:val="000000"/>
      <w:sz w:val="20"/>
      <w:szCs w:val="20"/>
      <w:u w:val="single"/>
    </w:rPr>
  </w:style>
  <w:style w:type="character" w:customStyle="1" w:styleId="50">
    <w:name w:val="font01"/>
    <w:basedOn w:val="27"/>
    <w:qFormat/>
    <w:uiPriority w:val="0"/>
    <w:rPr>
      <w:rFonts w:hint="eastAsia" w:ascii="宋体" w:hAnsi="宋体" w:eastAsia="宋体" w:cs="宋体"/>
      <w:color w:val="000000"/>
      <w:sz w:val="24"/>
      <w:szCs w:val="24"/>
      <w:u w:val="none"/>
    </w:rPr>
  </w:style>
  <w:style w:type="paragraph" w:customStyle="1" w:styleId="51">
    <w:name w:val="样式 标题 2标题 1.1编号标题2Reset numberingh2MVA2ERMH2 + 宋体 四号 行距:..."/>
    <w:basedOn w:val="4"/>
    <w:qFormat/>
    <w:uiPriority w:val="0"/>
    <w:pPr>
      <w:spacing w:line="320" w:lineRule="exact"/>
      <w:ind w:firstLine="1281"/>
    </w:pPr>
    <w:rPr>
      <w:rFonts w:ascii="宋体" w:hAnsi="宋体" w:cs="宋体"/>
      <w:sz w:val="28"/>
    </w:rPr>
  </w:style>
  <w:style w:type="character" w:customStyle="1" w:styleId="52">
    <w:name w:val="标题 3 Char"/>
    <w:link w:val="5"/>
    <w:qFormat/>
    <w:uiPriority w:val="0"/>
    <w:rPr>
      <w:b/>
      <w:bCs/>
      <w:kern w:val="2"/>
      <w:sz w:val="32"/>
      <w:szCs w:val="32"/>
    </w:rPr>
  </w:style>
  <w:style w:type="paragraph" w:customStyle="1" w:styleId="53">
    <w:name w:val="正文缩进2格"/>
    <w:basedOn w:val="1"/>
    <w:qFormat/>
    <w:uiPriority w:val="0"/>
    <w:pPr>
      <w:spacing w:line="600" w:lineRule="exact"/>
      <w:ind w:firstLine="639" w:firstLineChars="206"/>
    </w:pPr>
    <w:rPr>
      <w:rFonts w:ascii="仿宋_GB2312" w:hAnsi="宋体" w:eastAsia="仿宋_GB2312" w:cs="仿宋_GB2312"/>
      <w:sz w:val="31"/>
      <w:szCs w:val="31"/>
    </w:rPr>
  </w:style>
  <w:style w:type="paragraph" w:customStyle="1" w:styleId="54">
    <w:name w:val="正文_0"/>
    <w:qFormat/>
    <w:uiPriority w:val="0"/>
    <w:pPr>
      <w:widowControl w:val="0"/>
      <w:jc w:val="both"/>
    </w:pPr>
    <w:rPr>
      <w:rFonts w:ascii="Calibri" w:hAnsi="Calibri" w:eastAsia="宋体" w:cs="Times New Roman"/>
      <w:kern w:val="2"/>
      <w:sz w:val="21"/>
      <w:szCs w:val="22"/>
      <w:lang w:val="en-US" w:eastAsia="zh-CN" w:bidi="ar-SA"/>
    </w:rPr>
  </w:style>
  <w:style w:type="table" w:customStyle="1" w:styleId="55">
    <w:name w:val="网格型1"/>
    <w:basedOn w:val="25"/>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56">
    <w:name w:val="网格型2"/>
    <w:basedOn w:val="2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57">
    <w:name w:val="批注框文本 Char"/>
    <w:basedOn w:val="27"/>
    <w:link w:val="18"/>
    <w:semiHidden/>
    <w:qFormat/>
    <w:uiPriority w:val="99"/>
    <w:rPr>
      <w:rFonts w:cstheme="minorBidi"/>
      <w:kern w:val="2"/>
      <w:sz w:val="18"/>
      <w:szCs w:val="18"/>
    </w:rPr>
  </w:style>
  <w:style w:type="paragraph" w:customStyle="1" w:styleId="58">
    <w:name w:val="Table Text"/>
    <w:basedOn w:val="1"/>
    <w:semiHidden/>
    <w:qFormat/>
    <w:uiPriority w:val="0"/>
    <w:rPr>
      <w:rFonts w:ascii="宋体" w:hAnsi="宋体" w:eastAsia="宋体" w:cs="宋体"/>
      <w:sz w:val="21"/>
      <w:szCs w:val="21"/>
      <w:lang w:val="en-US" w:eastAsia="en-US" w:bidi="ar-SA"/>
    </w:rPr>
  </w:style>
  <w:style w:type="table" w:customStyle="1" w:styleId="59">
    <w:name w:val="Table Normal"/>
    <w:semiHidden/>
    <w:unhideWhenUsed/>
    <w:qFormat/>
    <w:uiPriority w:val="0"/>
    <w:tblPr>
      <w:tblCellMar>
        <w:top w:w="0" w:type="dxa"/>
        <w:left w:w="0" w:type="dxa"/>
        <w:bottom w:w="0" w:type="dxa"/>
        <w:right w:w="0" w:type="dxa"/>
      </w:tblCellMar>
    </w:tblPr>
  </w:style>
  <w:style w:type="character" w:customStyle="1" w:styleId="60">
    <w:name w:val="unnamed11"/>
    <w:qFormat/>
    <w:uiPriority w:val="0"/>
    <w:rPr>
      <w:color w:val="000000"/>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theme" Target="theme/theme1.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87</Pages>
  <Words>38576</Words>
  <Characters>41966</Characters>
  <Lines>178</Lines>
  <Paragraphs>50</Paragraphs>
  <TotalTime>54</TotalTime>
  <ScaleCrop>false</ScaleCrop>
  <LinksUpToDate>false</LinksUpToDate>
  <CharactersWithSpaces>43844</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2023-11-28T18:17:00Z</dcterms:created>
  <dc:creator>赵 伟</dc:creator>
  <cp:lastModifiedBy>小辞</cp:lastModifiedBy>
  <cp:lastPrinted>2026-10-09T06:36:48Z</cp:lastPrinted>
  <dcterms:modified xsi:type="dcterms:W3CDTF">2026-10-09T07:05:51Z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8970C45FE5CD4856873B9C3FDB37711A_13</vt:lpwstr>
  </property>
  <property fmtid="{D5CDD505-2E9C-101B-9397-08002B2CF9AE}" pid="4" name="KSOTemplateDocerSaveRecord">
    <vt:lpwstr>eyJoZGlkIjoiMzEwNTM5NzYwMDRjMzkwZTVkZjY2ODkwMGIxNGU0OTUiLCJ1c2VySWQiOiIyNjQ2ODgyNjUifQ==</vt:lpwstr>
  </property>
</Properties>
</file>