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D09E2">
      <w:pPr>
        <w:pStyle w:val="15"/>
        <w:ind w:right="-378" w:rightChars="-180"/>
        <w:jc w:val="center"/>
        <w:rPr>
          <w:rFonts w:hint="eastAsia" w:ascii="宋体" w:hAnsi="宋体" w:eastAsia="宋体" w:cs="宋体"/>
          <w:sz w:val="21"/>
          <w:szCs w:val="21"/>
          <w:highlight w:val="none"/>
          <w:u w:val="single"/>
          <w:lang w:eastAsia="zh-CN"/>
        </w:rPr>
      </w:pPr>
    </w:p>
    <w:p w14:paraId="7AE036BF">
      <w:pPr>
        <w:pStyle w:val="15"/>
        <w:ind w:right="-378" w:rightChars="-180"/>
        <w:jc w:val="both"/>
        <w:rPr>
          <w:rFonts w:hint="eastAsia" w:ascii="宋体" w:hAnsi="宋体" w:cs="宋体"/>
          <w:sz w:val="21"/>
          <w:szCs w:val="21"/>
          <w:highlight w:val="none"/>
          <w:u w:val="single"/>
        </w:rPr>
      </w:pPr>
    </w:p>
    <w:p w14:paraId="5FC9C573">
      <w:pPr>
        <w:pStyle w:val="15"/>
        <w:ind w:right="-378" w:rightChars="-180"/>
        <w:jc w:val="center"/>
        <w:rPr>
          <w:rFonts w:hint="eastAsia" w:ascii="宋体" w:hAnsi="宋体" w:cs="宋体"/>
          <w:sz w:val="21"/>
          <w:szCs w:val="21"/>
          <w:highlight w:val="none"/>
          <w:u w:val="single"/>
        </w:rPr>
      </w:pPr>
    </w:p>
    <w:p w14:paraId="0CC15A94">
      <w:pPr>
        <w:spacing w:line="360" w:lineRule="auto"/>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南通轨道交通部分站点非机动车换乘停车优化</w:t>
      </w:r>
      <w:r>
        <w:rPr>
          <w:rFonts w:hint="eastAsia" w:ascii="宋体" w:hAnsi="宋体" w:eastAsia="宋体" w:cs="宋体"/>
          <w:b/>
          <w:bCs/>
          <w:sz w:val="32"/>
          <w:szCs w:val="32"/>
          <w:highlight w:val="none"/>
          <w:lang w:val="en-US" w:eastAsia="zh-CN"/>
        </w:rPr>
        <w:t>改造施工</w:t>
      </w:r>
      <w:r>
        <w:rPr>
          <w:rFonts w:hint="eastAsia" w:ascii="宋体" w:hAnsi="宋体" w:eastAsia="宋体" w:cs="宋体"/>
          <w:b/>
          <w:bCs/>
          <w:sz w:val="32"/>
          <w:szCs w:val="32"/>
          <w:highlight w:val="none"/>
        </w:rPr>
        <w:t>项目</w:t>
      </w:r>
    </w:p>
    <w:p w14:paraId="00825D19">
      <w:pPr>
        <w:spacing w:line="360" w:lineRule="auto"/>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lang w:eastAsia="zh-CN"/>
        </w:rPr>
        <w:t>（</w:t>
      </w:r>
      <w:r>
        <w:rPr>
          <w:rFonts w:hint="eastAsia" w:ascii="宋体" w:hAnsi="宋体" w:eastAsia="宋体" w:cs="宋体"/>
          <w:b/>
          <w:bCs/>
          <w:sz w:val="32"/>
          <w:szCs w:val="32"/>
          <w:highlight w:val="none"/>
          <w:lang w:val="en-US" w:eastAsia="zh-CN"/>
        </w:rPr>
        <w:t>第一批次</w:t>
      </w:r>
      <w:r>
        <w:rPr>
          <w:rFonts w:hint="eastAsia" w:ascii="宋体" w:hAnsi="宋体" w:eastAsia="宋体" w:cs="宋体"/>
          <w:b/>
          <w:bCs/>
          <w:sz w:val="32"/>
          <w:szCs w:val="32"/>
          <w:highlight w:val="none"/>
          <w:lang w:eastAsia="zh-CN"/>
        </w:rPr>
        <w:t>）</w:t>
      </w:r>
    </w:p>
    <w:p w14:paraId="5F03D80A">
      <w:pPr>
        <w:pStyle w:val="15"/>
        <w:ind w:right="-378" w:rightChars="-180"/>
        <w:jc w:val="center"/>
        <w:rPr>
          <w:rFonts w:hint="eastAsia" w:ascii="宋体" w:hAnsi="宋体" w:cs="宋体"/>
          <w:sz w:val="21"/>
          <w:szCs w:val="21"/>
          <w:highlight w:val="none"/>
          <w:u w:val="single"/>
        </w:rPr>
      </w:pPr>
    </w:p>
    <w:p w14:paraId="71EE45E6">
      <w:pPr>
        <w:ind w:right="-378" w:rightChars="-180"/>
        <w:jc w:val="center"/>
        <w:rPr>
          <w:rFonts w:hint="eastAsia" w:ascii="宋体" w:hAnsi="宋体" w:cs="宋体"/>
          <w:szCs w:val="21"/>
          <w:highlight w:val="none"/>
        </w:rPr>
      </w:pPr>
    </w:p>
    <w:p w14:paraId="2AE7B091">
      <w:pPr>
        <w:pStyle w:val="7"/>
        <w:rPr>
          <w:rFonts w:hint="eastAsia" w:ascii="宋体" w:hAnsi="宋体" w:cs="宋体"/>
          <w:szCs w:val="21"/>
          <w:highlight w:val="none"/>
        </w:rPr>
      </w:pPr>
    </w:p>
    <w:p w14:paraId="0C60464B">
      <w:pPr>
        <w:pStyle w:val="7"/>
        <w:rPr>
          <w:rFonts w:hint="eastAsia" w:ascii="宋体" w:hAnsi="宋体" w:cs="宋体"/>
          <w:szCs w:val="21"/>
          <w:highlight w:val="none"/>
        </w:rPr>
      </w:pPr>
    </w:p>
    <w:p w14:paraId="3BA8EC2C">
      <w:pPr>
        <w:pStyle w:val="7"/>
        <w:rPr>
          <w:rFonts w:hint="eastAsia" w:ascii="宋体" w:hAnsi="宋体" w:cs="宋体"/>
          <w:szCs w:val="21"/>
          <w:highlight w:val="none"/>
        </w:rPr>
      </w:pPr>
    </w:p>
    <w:p w14:paraId="7656FD80">
      <w:pPr>
        <w:pStyle w:val="7"/>
        <w:rPr>
          <w:rFonts w:hint="eastAsia" w:ascii="宋体" w:hAnsi="宋体" w:cs="宋体"/>
          <w:szCs w:val="21"/>
          <w:highlight w:val="none"/>
        </w:rPr>
      </w:pPr>
    </w:p>
    <w:p w14:paraId="43D5BDE4">
      <w:pPr>
        <w:pStyle w:val="7"/>
        <w:rPr>
          <w:rFonts w:hint="eastAsia" w:ascii="宋体" w:hAnsi="宋体" w:cs="宋体"/>
          <w:szCs w:val="21"/>
          <w:highlight w:val="none"/>
        </w:rPr>
      </w:pPr>
    </w:p>
    <w:p w14:paraId="75581420">
      <w:pPr>
        <w:pStyle w:val="7"/>
        <w:rPr>
          <w:rFonts w:hint="eastAsia" w:ascii="宋体" w:hAnsi="宋体" w:cs="宋体"/>
          <w:szCs w:val="21"/>
          <w:highlight w:val="none"/>
        </w:rPr>
      </w:pPr>
    </w:p>
    <w:p w14:paraId="78ED8A5C">
      <w:pPr>
        <w:pStyle w:val="7"/>
        <w:rPr>
          <w:rFonts w:hint="eastAsia" w:ascii="宋体" w:hAnsi="宋体" w:cs="宋体"/>
          <w:szCs w:val="21"/>
          <w:highlight w:val="none"/>
        </w:rPr>
      </w:pPr>
      <w:bookmarkStart w:id="1925" w:name="_GoBack"/>
      <w:bookmarkEnd w:id="1925"/>
    </w:p>
    <w:p w14:paraId="589DCDD3">
      <w:pPr>
        <w:ind w:right="-378" w:rightChars="-180"/>
        <w:jc w:val="center"/>
        <w:rPr>
          <w:rFonts w:hint="eastAsia" w:ascii="宋体" w:hAnsi="宋体" w:cs="宋体"/>
          <w:szCs w:val="21"/>
          <w:highlight w:val="none"/>
        </w:rPr>
      </w:pPr>
    </w:p>
    <w:p w14:paraId="6015876E">
      <w:pPr>
        <w:jc w:val="center"/>
        <w:rPr>
          <w:rFonts w:hint="eastAsia" w:ascii="宋体" w:hAnsi="宋体" w:cs="宋体"/>
          <w:b/>
          <w:bCs/>
          <w:sz w:val="72"/>
          <w:szCs w:val="72"/>
          <w:highlight w:val="none"/>
        </w:rPr>
      </w:pPr>
      <w:r>
        <w:rPr>
          <w:rFonts w:hint="eastAsia" w:ascii="宋体" w:hAnsi="宋体" w:cs="宋体"/>
          <w:b/>
          <w:bCs/>
          <w:sz w:val="72"/>
          <w:szCs w:val="72"/>
          <w:highlight w:val="none"/>
        </w:rPr>
        <w:t>招标文件</w:t>
      </w:r>
    </w:p>
    <w:p w14:paraId="2DEB639D">
      <w:pPr>
        <w:jc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eastAsia="zh-CN"/>
        </w:rPr>
        <w:t>项目编号：</w:t>
      </w:r>
      <w:r>
        <w:rPr>
          <w:rFonts w:hint="eastAsia" w:ascii="宋体" w:hAnsi="宋体" w:cs="宋体"/>
          <w:sz w:val="28"/>
          <w:szCs w:val="28"/>
          <w:highlight w:val="none"/>
          <w:lang w:val="en-US" w:eastAsia="zh-CN"/>
        </w:rPr>
        <w:t>WLDL202609</w:t>
      </w:r>
    </w:p>
    <w:p w14:paraId="4BCCD049">
      <w:pPr>
        <w:spacing w:line="400" w:lineRule="exact"/>
        <w:ind w:right="-378" w:rightChars="-180"/>
        <w:rPr>
          <w:rFonts w:hint="eastAsia" w:ascii="宋体" w:hAnsi="宋体" w:cs="宋体"/>
          <w:color w:val="FF0000"/>
          <w:szCs w:val="21"/>
          <w:highlight w:val="none"/>
        </w:rPr>
      </w:pPr>
      <w:r>
        <w:rPr>
          <w:rFonts w:hint="eastAsia" w:ascii="宋体" w:hAnsi="宋体" w:cs="宋体"/>
          <w:color w:val="FF0000"/>
          <w:szCs w:val="21"/>
          <w:highlight w:val="none"/>
        </w:rPr>
        <w:t xml:space="preserve"> </w:t>
      </w:r>
    </w:p>
    <w:p w14:paraId="746DDF5F">
      <w:pPr>
        <w:spacing w:line="400" w:lineRule="exact"/>
        <w:ind w:right="-378" w:rightChars="-180"/>
        <w:rPr>
          <w:rFonts w:hint="eastAsia" w:ascii="宋体" w:hAnsi="宋体" w:cs="宋体"/>
          <w:szCs w:val="21"/>
          <w:highlight w:val="none"/>
        </w:rPr>
      </w:pPr>
    </w:p>
    <w:p w14:paraId="2681EEC8">
      <w:pPr>
        <w:spacing w:line="400" w:lineRule="exact"/>
        <w:ind w:right="-378" w:rightChars="-180"/>
        <w:rPr>
          <w:rFonts w:hint="eastAsia" w:ascii="宋体" w:hAnsi="宋体" w:cs="宋体"/>
          <w:szCs w:val="21"/>
          <w:highlight w:val="none"/>
        </w:rPr>
      </w:pPr>
      <w:r>
        <w:rPr>
          <w:rFonts w:hint="eastAsia" w:ascii="宋体" w:hAnsi="宋体" w:cs="宋体"/>
          <w:szCs w:val="21"/>
          <w:highlight w:val="none"/>
        </w:rPr>
        <w:t xml:space="preserve"> </w:t>
      </w:r>
    </w:p>
    <w:p w14:paraId="7D2DD870">
      <w:pPr>
        <w:spacing w:line="400" w:lineRule="exact"/>
        <w:ind w:right="-378" w:rightChars="-180"/>
        <w:rPr>
          <w:rFonts w:hint="eastAsia" w:ascii="宋体" w:hAnsi="宋体" w:cs="宋体"/>
          <w:szCs w:val="21"/>
          <w:highlight w:val="none"/>
        </w:rPr>
      </w:pPr>
    </w:p>
    <w:p w14:paraId="0E7E1C02">
      <w:pPr>
        <w:spacing w:line="400" w:lineRule="exact"/>
        <w:ind w:right="-378" w:rightChars="-180"/>
        <w:rPr>
          <w:rFonts w:hint="eastAsia" w:ascii="宋体" w:hAnsi="宋体" w:cs="宋体"/>
          <w:szCs w:val="21"/>
          <w:highlight w:val="none"/>
        </w:rPr>
      </w:pPr>
    </w:p>
    <w:p w14:paraId="4619D1B4">
      <w:pPr>
        <w:spacing w:line="400" w:lineRule="exact"/>
        <w:ind w:right="-378" w:rightChars="-180"/>
        <w:rPr>
          <w:rFonts w:hint="eastAsia" w:ascii="宋体" w:hAnsi="宋体" w:cs="宋体"/>
          <w:szCs w:val="21"/>
          <w:highlight w:val="none"/>
        </w:rPr>
      </w:pPr>
    </w:p>
    <w:p w14:paraId="7C0878C0">
      <w:pPr>
        <w:spacing w:line="400" w:lineRule="exact"/>
        <w:ind w:right="-378" w:rightChars="-180"/>
        <w:rPr>
          <w:rFonts w:hint="eastAsia" w:ascii="宋体" w:hAnsi="宋体" w:cs="宋体"/>
          <w:szCs w:val="21"/>
          <w:highlight w:val="none"/>
        </w:rPr>
      </w:pPr>
    </w:p>
    <w:p w14:paraId="54CAC299">
      <w:pPr>
        <w:spacing w:line="400" w:lineRule="exact"/>
        <w:ind w:right="-378" w:rightChars="-180"/>
        <w:rPr>
          <w:rFonts w:hint="eastAsia" w:ascii="宋体" w:hAnsi="宋体" w:cs="宋体"/>
          <w:szCs w:val="21"/>
          <w:highlight w:val="none"/>
        </w:rPr>
      </w:pPr>
    </w:p>
    <w:p w14:paraId="7A4AA7A8">
      <w:pPr>
        <w:spacing w:line="400" w:lineRule="exact"/>
        <w:ind w:right="-378" w:rightChars="-180"/>
        <w:rPr>
          <w:rFonts w:hint="eastAsia" w:ascii="宋体" w:hAnsi="宋体" w:cs="宋体"/>
          <w:szCs w:val="21"/>
          <w:highlight w:val="none"/>
        </w:rPr>
      </w:pPr>
    </w:p>
    <w:p w14:paraId="4B4140C5">
      <w:pPr>
        <w:spacing w:line="400" w:lineRule="exact"/>
        <w:ind w:right="-378" w:rightChars="-180"/>
        <w:rPr>
          <w:rFonts w:hint="eastAsia" w:ascii="宋体" w:hAnsi="宋体" w:cs="宋体"/>
          <w:szCs w:val="21"/>
          <w:highlight w:val="none"/>
        </w:rPr>
      </w:pPr>
    </w:p>
    <w:p w14:paraId="379266E5">
      <w:pPr>
        <w:spacing w:line="400" w:lineRule="exact"/>
        <w:ind w:right="-378" w:rightChars="-180"/>
        <w:rPr>
          <w:rFonts w:hint="eastAsia" w:ascii="宋体" w:hAnsi="宋体" w:cs="宋体"/>
          <w:szCs w:val="21"/>
          <w:highlight w:val="none"/>
        </w:rPr>
      </w:pPr>
    </w:p>
    <w:p w14:paraId="44A450A9">
      <w:pPr>
        <w:spacing w:line="400" w:lineRule="exact"/>
        <w:ind w:right="-378" w:rightChars="-180"/>
        <w:rPr>
          <w:rFonts w:hint="eastAsia" w:ascii="宋体" w:hAnsi="宋体" w:cs="宋体"/>
          <w:szCs w:val="21"/>
          <w:highlight w:val="none"/>
        </w:rPr>
      </w:pPr>
    </w:p>
    <w:p w14:paraId="5BB0705B">
      <w:pPr>
        <w:spacing w:line="360" w:lineRule="auto"/>
        <w:ind w:firstLine="420" w:firstLineChars="150"/>
        <w:rPr>
          <w:rFonts w:hint="eastAsia" w:ascii="宋体" w:hAnsi="宋体" w:cs="宋体"/>
          <w:sz w:val="28"/>
          <w:szCs w:val="28"/>
          <w:highlight w:val="none"/>
        </w:rPr>
      </w:pPr>
      <w:r>
        <w:rPr>
          <w:rFonts w:hint="eastAsia" w:ascii="宋体" w:hAnsi="宋体" w:cs="宋体"/>
          <w:sz w:val="28"/>
          <w:szCs w:val="28"/>
          <w:highlight w:val="none"/>
        </w:rPr>
        <w:t>招标人：</w:t>
      </w:r>
      <w:r>
        <w:rPr>
          <w:rFonts w:hint="eastAsia" w:ascii="宋体" w:hAnsi="宋体" w:cs="宋体"/>
          <w:sz w:val="28"/>
          <w:szCs w:val="28"/>
          <w:highlight w:val="none"/>
          <w:u w:val="single"/>
        </w:rPr>
        <w:t xml:space="preserve"> </w:t>
      </w:r>
      <w:r>
        <w:rPr>
          <w:rFonts w:hint="eastAsia" w:ascii="宋体" w:hAnsi="宋体" w:cs="宋体"/>
          <w:sz w:val="28"/>
          <w:szCs w:val="28"/>
          <w:highlight w:val="none"/>
          <w:u w:val="single"/>
          <w:lang w:eastAsia="zh-CN"/>
        </w:rPr>
        <w:t>南通轨道交通集团有限公司</w:t>
      </w:r>
      <w:r>
        <w:rPr>
          <w:rFonts w:hint="eastAsia" w:ascii="宋体" w:hAnsi="宋体" w:cs="宋体"/>
          <w:sz w:val="28"/>
          <w:szCs w:val="28"/>
          <w:highlight w:val="none"/>
          <w:u w:val="single"/>
          <w:lang w:val="en-US" w:eastAsia="zh-CN"/>
        </w:rPr>
        <w:t xml:space="preserve"> </w:t>
      </w:r>
      <w:r>
        <w:rPr>
          <w:rFonts w:hint="eastAsia" w:ascii="宋体" w:hAnsi="宋体" w:cs="宋体"/>
          <w:sz w:val="28"/>
          <w:szCs w:val="28"/>
          <w:highlight w:val="none"/>
        </w:rPr>
        <w:t xml:space="preserve"> （盖单位公章）</w:t>
      </w:r>
    </w:p>
    <w:p w14:paraId="50A377C0">
      <w:pPr>
        <w:spacing w:line="360" w:lineRule="auto"/>
        <w:ind w:firstLine="420" w:firstLineChars="150"/>
        <w:rPr>
          <w:rFonts w:hint="eastAsia" w:ascii="宋体" w:hAnsi="宋体" w:cs="宋体"/>
          <w:sz w:val="28"/>
          <w:szCs w:val="28"/>
          <w:highlight w:val="none"/>
        </w:rPr>
      </w:pPr>
      <w:r>
        <w:rPr>
          <w:rFonts w:hint="eastAsia" w:ascii="宋体" w:hAnsi="宋体" w:cs="宋体"/>
          <w:sz w:val="28"/>
          <w:szCs w:val="28"/>
          <w:highlight w:val="none"/>
        </w:rPr>
        <w:t>招标代理机构：</w:t>
      </w:r>
      <w:r>
        <w:rPr>
          <w:rFonts w:hint="eastAsia" w:ascii="宋体" w:hAnsi="宋体" w:cs="宋体"/>
          <w:sz w:val="28"/>
          <w:szCs w:val="28"/>
          <w:highlight w:val="none"/>
          <w:u w:val="single"/>
        </w:rPr>
        <w:t xml:space="preserve"> </w:t>
      </w:r>
      <w:r>
        <w:rPr>
          <w:rFonts w:hint="eastAsia" w:ascii="宋体" w:hAnsi="宋体" w:cs="宋体"/>
          <w:sz w:val="28"/>
          <w:szCs w:val="28"/>
          <w:highlight w:val="none"/>
          <w:u w:val="single"/>
          <w:lang w:val="en-US" w:eastAsia="zh-CN"/>
        </w:rPr>
        <w:t xml:space="preserve">南通万隆工程管理有限公司 </w:t>
      </w:r>
      <w:r>
        <w:rPr>
          <w:rFonts w:hint="eastAsia" w:ascii="宋体" w:hAnsi="宋体" w:cs="宋体"/>
          <w:sz w:val="28"/>
          <w:szCs w:val="28"/>
          <w:highlight w:val="none"/>
        </w:rPr>
        <w:t xml:space="preserve"> （盖单位公章）  </w:t>
      </w:r>
    </w:p>
    <w:p w14:paraId="1885FF33">
      <w:pPr>
        <w:spacing w:line="360" w:lineRule="auto"/>
        <w:ind w:firstLine="420" w:firstLineChars="150"/>
        <w:rPr>
          <w:rFonts w:hint="eastAsia" w:ascii="宋体" w:hAnsi="宋体" w:cs="宋体"/>
          <w:sz w:val="28"/>
          <w:szCs w:val="28"/>
          <w:highlight w:val="none"/>
        </w:rPr>
      </w:pPr>
      <w:r>
        <w:rPr>
          <w:rFonts w:hint="eastAsia" w:ascii="宋体" w:hAnsi="宋体" w:cs="宋体"/>
          <w:sz w:val="28"/>
          <w:szCs w:val="28"/>
          <w:highlight w:val="none"/>
        </w:rPr>
        <w:t>编制人：</w:t>
      </w:r>
      <w:r>
        <w:rPr>
          <w:rFonts w:hint="eastAsia" w:ascii="宋体" w:hAnsi="宋体" w:cs="宋体"/>
          <w:sz w:val="28"/>
          <w:szCs w:val="28"/>
          <w:highlight w:val="none"/>
          <w:u w:val="single"/>
        </w:rPr>
        <w:t xml:space="preserve">  </w:t>
      </w:r>
      <w:r>
        <w:rPr>
          <w:rFonts w:hint="eastAsia" w:ascii="宋体" w:hAnsi="宋体" w:cs="宋体"/>
          <w:sz w:val="28"/>
          <w:szCs w:val="28"/>
          <w:highlight w:val="none"/>
          <w:u w:val="single"/>
          <w:lang w:eastAsia="zh-CN"/>
        </w:rPr>
        <w:t>滕翀剑</w:t>
      </w:r>
      <w:r>
        <w:rPr>
          <w:rFonts w:hint="eastAsia" w:ascii="宋体" w:hAnsi="宋体" w:cs="宋体"/>
          <w:sz w:val="28"/>
          <w:szCs w:val="28"/>
          <w:highlight w:val="none"/>
          <w:u w:val="single"/>
        </w:rPr>
        <w:t xml:space="preserve">    </w:t>
      </w:r>
      <w:r>
        <w:rPr>
          <w:rFonts w:hint="eastAsia" w:ascii="宋体" w:hAnsi="宋体" w:cs="宋体"/>
          <w:sz w:val="28"/>
          <w:szCs w:val="28"/>
          <w:highlight w:val="none"/>
        </w:rPr>
        <w:t xml:space="preserve">（签字或盖章）  </w:t>
      </w:r>
    </w:p>
    <w:p w14:paraId="02F17D21">
      <w:pPr>
        <w:spacing w:line="360" w:lineRule="auto"/>
        <w:ind w:firstLine="420" w:firstLineChars="150"/>
        <w:jc w:val="center"/>
        <w:rPr>
          <w:rFonts w:hint="eastAsia" w:ascii="宋体" w:hAnsi="宋体" w:cs="宋体"/>
          <w:color w:val="auto"/>
          <w:sz w:val="28"/>
          <w:szCs w:val="28"/>
          <w:highlight w:val="none"/>
        </w:rPr>
      </w:pP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年</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10</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月</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10 </w:t>
      </w:r>
      <w:r>
        <w:rPr>
          <w:rFonts w:hint="eastAsia" w:ascii="宋体" w:hAnsi="宋体" w:cs="宋体"/>
          <w:color w:val="auto"/>
          <w:sz w:val="28"/>
          <w:szCs w:val="28"/>
          <w:highlight w:val="none"/>
        </w:rPr>
        <w:t>日</w:t>
      </w:r>
    </w:p>
    <w:p w14:paraId="56AA3486">
      <w:pPr>
        <w:pStyle w:val="11"/>
        <w:tabs>
          <w:tab w:val="right" w:leader="dot" w:pos="8296"/>
        </w:tabs>
        <w:adjustRightInd w:val="0"/>
        <w:snapToGrid w:val="0"/>
        <w:ind w:firstLine="1124" w:firstLineChars="400"/>
        <w:jc w:val="center"/>
        <w:outlineLvl w:val="0"/>
        <w:rPr>
          <w:rFonts w:hint="eastAsia" w:ascii="宋体" w:eastAsia="宋体" w:cs="宋体"/>
          <w:b/>
          <w:sz w:val="28"/>
          <w:szCs w:val="28"/>
          <w:highlight w:val="none"/>
        </w:rPr>
        <w:sectPr>
          <w:headerReference r:id="rId3" w:type="default"/>
          <w:footerReference r:id="rId4" w:type="default"/>
          <w:footerReference r:id="rId5" w:type="even"/>
          <w:pgSz w:w="11906" w:h="16838"/>
          <w:pgMar w:top="1440" w:right="1286" w:bottom="1440" w:left="1600" w:header="851" w:footer="772" w:gutter="0"/>
          <w:pgBorders>
            <w:top w:val="none" w:sz="0" w:space="0"/>
            <w:left w:val="none" w:sz="0" w:space="0"/>
            <w:bottom w:val="none" w:sz="0" w:space="0"/>
            <w:right w:val="none" w:sz="0" w:space="0"/>
          </w:pgBorders>
          <w:pgNumType w:fmt="decimal"/>
          <w:cols w:space="720" w:num="1"/>
          <w:titlePg/>
          <w:docGrid w:type="lines" w:linePitch="312" w:charSpace="0"/>
        </w:sectPr>
      </w:pPr>
      <w:bookmarkStart w:id="0" w:name="_Toc8973"/>
      <w:bookmarkStart w:id="1" w:name="_Toc7491"/>
      <w:bookmarkStart w:id="2" w:name="_Toc8061"/>
      <w:bookmarkStart w:id="3" w:name="_Toc7351"/>
      <w:bookmarkStart w:id="4" w:name="_Toc26813"/>
      <w:bookmarkStart w:id="5" w:name="_Toc22964"/>
      <w:bookmarkStart w:id="6" w:name="_Toc3495"/>
      <w:bookmarkStart w:id="7" w:name="_Toc144974478"/>
      <w:bookmarkStart w:id="8" w:name="_Toc152042286"/>
    </w:p>
    <w:p w14:paraId="23B3791C">
      <w:pPr>
        <w:pStyle w:val="11"/>
        <w:tabs>
          <w:tab w:val="right" w:leader="dot" w:pos="8296"/>
        </w:tabs>
        <w:adjustRightInd w:val="0"/>
        <w:snapToGrid w:val="0"/>
        <w:jc w:val="center"/>
        <w:outlineLvl w:val="0"/>
        <w:rPr>
          <w:rFonts w:hint="eastAsia" w:ascii="宋体" w:eastAsia="宋体" w:cs="宋体"/>
          <w:b/>
          <w:sz w:val="28"/>
          <w:szCs w:val="28"/>
          <w:highlight w:val="none"/>
        </w:rPr>
      </w:pPr>
      <w:bookmarkStart w:id="9" w:name="_Toc193"/>
    </w:p>
    <w:p w14:paraId="120B46E2">
      <w:pPr>
        <w:pStyle w:val="11"/>
        <w:tabs>
          <w:tab w:val="right" w:leader="dot" w:pos="8296"/>
        </w:tabs>
        <w:adjustRightInd w:val="0"/>
        <w:snapToGrid w:val="0"/>
        <w:jc w:val="center"/>
        <w:outlineLvl w:val="0"/>
        <w:rPr>
          <w:rFonts w:hint="eastAsia" w:ascii="宋体" w:eastAsia="宋体" w:cs="宋体"/>
          <w:b/>
          <w:sz w:val="28"/>
          <w:szCs w:val="28"/>
          <w:highlight w:val="none"/>
        </w:rPr>
      </w:pPr>
      <w:r>
        <w:rPr>
          <w:rFonts w:hint="eastAsia" w:ascii="宋体" w:eastAsia="宋体" w:cs="宋体"/>
          <w:b/>
          <w:sz w:val="28"/>
          <w:szCs w:val="28"/>
          <w:highlight w:val="none"/>
        </w:rPr>
        <w:t>目   录</w:t>
      </w:r>
      <w:bookmarkEnd w:id="0"/>
      <w:bookmarkEnd w:id="1"/>
      <w:bookmarkEnd w:id="2"/>
      <w:bookmarkEnd w:id="3"/>
      <w:bookmarkEnd w:id="4"/>
      <w:bookmarkEnd w:id="5"/>
      <w:bookmarkEnd w:id="6"/>
      <w:bookmarkEnd w:id="7"/>
      <w:bookmarkEnd w:id="8"/>
      <w:bookmarkEnd w:id="9"/>
    </w:p>
    <w:p w14:paraId="141E3DDD">
      <w:pPr>
        <w:pStyle w:val="11"/>
        <w:tabs>
          <w:tab w:val="right" w:leader="dot" w:pos="8296"/>
        </w:tabs>
        <w:adjustRightInd w:val="0"/>
        <w:snapToGrid w:val="0"/>
        <w:ind w:firstLine="840" w:firstLineChars="400"/>
        <w:jc w:val="center"/>
        <w:outlineLvl w:val="0"/>
        <w:rPr>
          <w:rFonts w:hint="eastAsia" w:ascii="宋体" w:eastAsia="宋体" w:cs="宋体"/>
          <w:sz w:val="21"/>
          <w:szCs w:val="21"/>
          <w:highlight w:val="none"/>
        </w:rPr>
      </w:pPr>
    </w:p>
    <w:p w14:paraId="549F985D">
      <w:pPr>
        <w:pStyle w:val="11"/>
        <w:tabs>
          <w:tab w:val="right" w:leader="dot" w:pos="8296"/>
        </w:tabs>
        <w:adjustRightInd w:val="0"/>
        <w:snapToGrid w:val="0"/>
        <w:ind w:firstLine="840" w:firstLineChars="400"/>
        <w:jc w:val="center"/>
        <w:outlineLvl w:val="0"/>
        <w:rPr>
          <w:rFonts w:hint="eastAsia" w:ascii="宋体" w:hAnsi="宋体" w:eastAsia="宋体" w:cs="宋体"/>
          <w:kern w:val="2"/>
          <w:sz w:val="24"/>
          <w:szCs w:val="21"/>
          <w:highlight w:val="none"/>
          <w:lang w:val="en-US" w:eastAsia="zh-CN" w:bidi="ar-SA"/>
        </w:rPr>
      </w:pPr>
      <w:r>
        <w:rPr>
          <w:rFonts w:hint="eastAsia" w:ascii="宋体" w:eastAsia="宋体" w:cs="宋体"/>
          <w:sz w:val="21"/>
          <w:szCs w:val="21"/>
          <w:highlight w:val="none"/>
        </w:rPr>
        <w:fldChar w:fldCharType="begin"/>
      </w:r>
      <w:r>
        <w:rPr>
          <w:rFonts w:hint="eastAsia" w:ascii="宋体" w:eastAsia="宋体" w:cs="宋体"/>
          <w:sz w:val="21"/>
          <w:szCs w:val="21"/>
          <w:highlight w:val="none"/>
        </w:rPr>
        <w:instrText xml:space="preserve"> TOC \o "1-3" \h \z \u </w:instrText>
      </w:r>
      <w:r>
        <w:rPr>
          <w:rFonts w:hint="eastAsia" w:ascii="宋体" w:eastAsia="宋体" w:cs="宋体"/>
          <w:sz w:val="21"/>
          <w:szCs w:val="21"/>
          <w:highlight w:val="none"/>
        </w:rPr>
        <w:fldChar w:fldCharType="separate"/>
      </w:r>
    </w:p>
    <w:p w14:paraId="13FFF19A">
      <w:pPr>
        <w:pStyle w:val="17"/>
        <w:tabs>
          <w:tab w:val="right" w:leader="dot" w:pos="8306"/>
        </w:tabs>
        <w:rPr>
          <w:sz w:val="24"/>
          <w:szCs w:val="24"/>
          <w:highlight w:val="none"/>
        </w:rPr>
      </w:pPr>
      <w:r>
        <w:rPr>
          <w:rFonts w:hint="eastAsia" w:ascii="宋体" w:eastAsia="宋体" w:cs="宋体"/>
          <w:sz w:val="24"/>
          <w:szCs w:val="24"/>
          <w:highlight w:val="none"/>
        </w:rPr>
        <w:fldChar w:fldCharType="begin"/>
      </w:r>
      <w:r>
        <w:rPr>
          <w:rFonts w:hint="eastAsia" w:ascii="宋体" w:eastAsia="宋体" w:cs="宋体"/>
          <w:sz w:val="24"/>
          <w:szCs w:val="24"/>
          <w:highlight w:val="none"/>
        </w:rPr>
        <w:instrText xml:space="preserve"> HYPERLINK \l _Toc18258 </w:instrText>
      </w:r>
      <w:r>
        <w:rPr>
          <w:rFonts w:hint="eastAsia" w:ascii="宋体" w:eastAsia="宋体" w:cs="宋体"/>
          <w:sz w:val="24"/>
          <w:szCs w:val="24"/>
          <w:highlight w:val="none"/>
        </w:rPr>
        <w:fldChar w:fldCharType="separate"/>
      </w:r>
      <w:r>
        <w:rPr>
          <w:rFonts w:hint="eastAsia"/>
          <w:sz w:val="24"/>
          <w:szCs w:val="24"/>
          <w:highlight w:val="none"/>
        </w:rPr>
        <w:t xml:space="preserve">第一章 </w:t>
      </w:r>
      <w:r>
        <w:rPr>
          <w:rFonts w:hint="eastAsia"/>
          <w:sz w:val="24"/>
          <w:szCs w:val="24"/>
          <w:highlight w:val="none"/>
          <w:lang w:eastAsia="zh-CN"/>
        </w:rPr>
        <w:t>招标公告</w:t>
      </w:r>
      <w:r>
        <w:rPr>
          <w:sz w:val="24"/>
          <w:szCs w:val="24"/>
          <w:highlight w:val="none"/>
        </w:rPr>
        <w:tab/>
      </w:r>
      <w:r>
        <w:rPr>
          <w:sz w:val="24"/>
          <w:szCs w:val="24"/>
          <w:highlight w:val="none"/>
        </w:rPr>
        <w:fldChar w:fldCharType="begin"/>
      </w:r>
      <w:r>
        <w:rPr>
          <w:sz w:val="24"/>
          <w:szCs w:val="24"/>
          <w:highlight w:val="none"/>
        </w:rPr>
        <w:instrText xml:space="preserve"> PAGEREF _Toc18258 \h </w:instrText>
      </w:r>
      <w:r>
        <w:rPr>
          <w:sz w:val="24"/>
          <w:szCs w:val="24"/>
          <w:highlight w:val="none"/>
        </w:rPr>
        <w:fldChar w:fldCharType="separate"/>
      </w:r>
      <w:r>
        <w:rPr>
          <w:sz w:val="24"/>
          <w:szCs w:val="24"/>
          <w:highlight w:val="none"/>
        </w:rPr>
        <w:t>1</w:t>
      </w:r>
      <w:r>
        <w:rPr>
          <w:sz w:val="24"/>
          <w:szCs w:val="24"/>
          <w:highlight w:val="none"/>
        </w:rPr>
        <w:fldChar w:fldCharType="end"/>
      </w:r>
      <w:r>
        <w:rPr>
          <w:rFonts w:hint="eastAsia" w:ascii="宋体" w:eastAsia="宋体" w:cs="宋体"/>
          <w:sz w:val="24"/>
          <w:szCs w:val="24"/>
          <w:highlight w:val="none"/>
        </w:rPr>
        <w:fldChar w:fldCharType="end"/>
      </w:r>
    </w:p>
    <w:p w14:paraId="02AB411B">
      <w:pPr>
        <w:pStyle w:val="17"/>
        <w:tabs>
          <w:tab w:val="right" w:leader="dot" w:pos="8306"/>
        </w:tabs>
        <w:rPr>
          <w:sz w:val="24"/>
          <w:szCs w:val="24"/>
          <w:highlight w:val="none"/>
        </w:rPr>
      </w:pPr>
      <w:r>
        <w:rPr>
          <w:rFonts w:hint="eastAsia" w:ascii="宋体" w:eastAsia="宋体" w:cs="宋体"/>
          <w:sz w:val="24"/>
          <w:szCs w:val="24"/>
          <w:highlight w:val="none"/>
        </w:rPr>
        <w:fldChar w:fldCharType="begin"/>
      </w:r>
      <w:r>
        <w:rPr>
          <w:rFonts w:hint="eastAsia" w:ascii="宋体" w:eastAsia="宋体" w:cs="宋体"/>
          <w:sz w:val="24"/>
          <w:szCs w:val="24"/>
          <w:highlight w:val="none"/>
        </w:rPr>
        <w:instrText xml:space="preserve"> HYPERLINK \l _Toc22200 </w:instrText>
      </w:r>
      <w:r>
        <w:rPr>
          <w:rFonts w:hint="eastAsia" w:ascii="宋体" w:eastAsia="宋体" w:cs="宋体"/>
          <w:sz w:val="24"/>
          <w:szCs w:val="24"/>
          <w:highlight w:val="none"/>
        </w:rPr>
        <w:fldChar w:fldCharType="separate"/>
      </w:r>
      <w:r>
        <w:rPr>
          <w:rFonts w:hint="eastAsia"/>
          <w:sz w:val="24"/>
          <w:szCs w:val="24"/>
          <w:highlight w:val="none"/>
        </w:rPr>
        <w:t>第二章 投标人须知</w:t>
      </w:r>
      <w:r>
        <w:rPr>
          <w:sz w:val="24"/>
          <w:szCs w:val="24"/>
          <w:highlight w:val="none"/>
        </w:rPr>
        <w:tab/>
      </w:r>
      <w:r>
        <w:rPr>
          <w:sz w:val="24"/>
          <w:szCs w:val="24"/>
          <w:highlight w:val="none"/>
        </w:rPr>
        <w:fldChar w:fldCharType="begin"/>
      </w:r>
      <w:r>
        <w:rPr>
          <w:sz w:val="24"/>
          <w:szCs w:val="24"/>
          <w:highlight w:val="none"/>
        </w:rPr>
        <w:instrText xml:space="preserve"> PAGEREF _Toc22200 \h </w:instrText>
      </w:r>
      <w:r>
        <w:rPr>
          <w:sz w:val="24"/>
          <w:szCs w:val="24"/>
          <w:highlight w:val="none"/>
        </w:rPr>
        <w:fldChar w:fldCharType="separate"/>
      </w:r>
      <w:r>
        <w:rPr>
          <w:sz w:val="24"/>
          <w:szCs w:val="24"/>
          <w:highlight w:val="none"/>
        </w:rPr>
        <w:t>5</w:t>
      </w:r>
      <w:r>
        <w:rPr>
          <w:sz w:val="24"/>
          <w:szCs w:val="24"/>
          <w:highlight w:val="none"/>
        </w:rPr>
        <w:fldChar w:fldCharType="end"/>
      </w:r>
      <w:r>
        <w:rPr>
          <w:rFonts w:hint="eastAsia" w:ascii="宋体" w:eastAsia="宋体" w:cs="宋体"/>
          <w:sz w:val="24"/>
          <w:szCs w:val="24"/>
          <w:highlight w:val="none"/>
        </w:rPr>
        <w:fldChar w:fldCharType="end"/>
      </w:r>
    </w:p>
    <w:p w14:paraId="507DDCEB">
      <w:pPr>
        <w:pStyle w:val="17"/>
        <w:tabs>
          <w:tab w:val="right" w:leader="dot" w:pos="8306"/>
        </w:tabs>
        <w:rPr>
          <w:sz w:val="24"/>
          <w:szCs w:val="24"/>
          <w:highlight w:val="none"/>
        </w:rPr>
      </w:pPr>
      <w:r>
        <w:rPr>
          <w:rFonts w:hint="eastAsia" w:ascii="宋体" w:eastAsia="宋体" w:cs="宋体"/>
          <w:sz w:val="24"/>
          <w:szCs w:val="24"/>
          <w:highlight w:val="none"/>
        </w:rPr>
        <w:fldChar w:fldCharType="begin"/>
      </w:r>
      <w:r>
        <w:rPr>
          <w:rFonts w:hint="eastAsia" w:ascii="宋体" w:eastAsia="宋体" w:cs="宋体"/>
          <w:sz w:val="24"/>
          <w:szCs w:val="24"/>
          <w:highlight w:val="none"/>
        </w:rPr>
        <w:instrText xml:space="preserve"> HYPERLINK \l _Toc5195 </w:instrText>
      </w:r>
      <w:r>
        <w:rPr>
          <w:rFonts w:hint="eastAsia" w:ascii="宋体" w:eastAsia="宋体" w:cs="宋体"/>
          <w:sz w:val="24"/>
          <w:szCs w:val="24"/>
          <w:highlight w:val="none"/>
        </w:rPr>
        <w:fldChar w:fldCharType="separate"/>
      </w:r>
      <w:r>
        <w:rPr>
          <w:rFonts w:hint="eastAsia" w:ascii="宋体" w:hAnsi="宋体" w:eastAsia="宋体" w:cs="宋体"/>
          <w:bCs/>
          <w:sz w:val="24"/>
          <w:szCs w:val="24"/>
          <w:highlight w:val="none"/>
          <w:lang w:val="en-US" w:eastAsia="zh-CN"/>
        </w:rPr>
        <w:t>第三章 评标办法（合理低价法）</w:t>
      </w:r>
      <w:r>
        <w:rPr>
          <w:sz w:val="24"/>
          <w:szCs w:val="24"/>
          <w:highlight w:val="none"/>
        </w:rPr>
        <w:tab/>
      </w:r>
      <w:r>
        <w:rPr>
          <w:sz w:val="24"/>
          <w:szCs w:val="24"/>
          <w:highlight w:val="none"/>
        </w:rPr>
        <w:fldChar w:fldCharType="begin"/>
      </w:r>
      <w:r>
        <w:rPr>
          <w:sz w:val="24"/>
          <w:szCs w:val="24"/>
          <w:highlight w:val="none"/>
        </w:rPr>
        <w:instrText xml:space="preserve"> PAGEREF _Toc5195 \h </w:instrText>
      </w:r>
      <w:r>
        <w:rPr>
          <w:sz w:val="24"/>
          <w:szCs w:val="24"/>
          <w:highlight w:val="none"/>
        </w:rPr>
        <w:fldChar w:fldCharType="separate"/>
      </w:r>
      <w:r>
        <w:rPr>
          <w:sz w:val="24"/>
          <w:szCs w:val="24"/>
          <w:highlight w:val="none"/>
        </w:rPr>
        <w:t>19</w:t>
      </w:r>
      <w:r>
        <w:rPr>
          <w:sz w:val="24"/>
          <w:szCs w:val="24"/>
          <w:highlight w:val="none"/>
        </w:rPr>
        <w:fldChar w:fldCharType="end"/>
      </w:r>
      <w:r>
        <w:rPr>
          <w:rFonts w:hint="eastAsia" w:ascii="宋体" w:eastAsia="宋体" w:cs="宋体"/>
          <w:sz w:val="24"/>
          <w:szCs w:val="24"/>
          <w:highlight w:val="none"/>
        </w:rPr>
        <w:fldChar w:fldCharType="end"/>
      </w:r>
    </w:p>
    <w:p w14:paraId="0BAE34C6">
      <w:pPr>
        <w:pStyle w:val="17"/>
        <w:tabs>
          <w:tab w:val="right" w:leader="dot" w:pos="8306"/>
        </w:tabs>
        <w:rPr>
          <w:sz w:val="24"/>
          <w:szCs w:val="24"/>
          <w:highlight w:val="none"/>
        </w:rPr>
      </w:pPr>
      <w:r>
        <w:rPr>
          <w:rFonts w:hint="eastAsia" w:ascii="宋体" w:eastAsia="宋体" w:cs="宋体"/>
          <w:sz w:val="24"/>
          <w:szCs w:val="24"/>
          <w:highlight w:val="none"/>
        </w:rPr>
        <w:fldChar w:fldCharType="begin"/>
      </w:r>
      <w:r>
        <w:rPr>
          <w:rFonts w:hint="eastAsia" w:ascii="宋体" w:eastAsia="宋体" w:cs="宋体"/>
          <w:sz w:val="24"/>
          <w:szCs w:val="24"/>
          <w:highlight w:val="none"/>
        </w:rPr>
        <w:instrText xml:space="preserve"> HYPERLINK \l _Toc18659 </w:instrText>
      </w:r>
      <w:r>
        <w:rPr>
          <w:rFonts w:hint="eastAsia" w:ascii="宋体" w:eastAsia="宋体" w:cs="宋体"/>
          <w:sz w:val="24"/>
          <w:szCs w:val="24"/>
          <w:highlight w:val="none"/>
        </w:rPr>
        <w:fldChar w:fldCharType="separate"/>
      </w:r>
      <w:r>
        <w:rPr>
          <w:rFonts w:hint="eastAsia"/>
          <w:sz w:val="24"/>
          <w:szCs w:val="24"/>
          <w:highlight w:val="none"/>
        </w:rPr>
        <w:t>第四章 合同主要条款</w:t>
      </w:r>
      <w:r>
        <w:rPr>
          <w:sz w:val="24"/>
          <w:szCs w:val="24"/>
          <w:highlight w:val="none"/>
        </w:rPr>
        <w:tab/>
      </w:r>
      <w:r>
        <w:rPr>
          <w:sz w:val="24"/>
          <w:szCs w:val="24"/>
          <w:highlight w:val="none"/>
        </w:rPr>
        <w:fldChar w:fldCharType="begin"/>
      </w:r>
      <w:r>
        <w:rPr>
          <w:sz w:val="24"/>
          <w:szCs w:val="24"/>
          <w:highlight w:val="none"/>
        </w:rPr>
        <w:instrText xml:space="preserve"> PAGEREF _Toc18659 \h </w:instrText>
      </w:r>
      <w:r>
        <w:rPr>
          <w:sz w:val="24"/>
          <w:szCs w:val="24"/>
          <w:highlight w:val="none"/>
        </w:rPr>
        <w:fldChar w:fldCharType="separate"/>
      </w:r>
      <w:r>
        <w:rPr>
          <w:sz w:val="24"/>
          <w:szCs w:val="24"/>
          <w:highlight w:val="none"/>
        </w:rPr>
        <w:t>29</w:t>
      </w:r>
      <w:r>
        <w:rPr>
          <w:sz w:val="24"/>
          <w:szCs w:val="24"/>
          <w:highlight w:val="none"/>
        </w:rPr>
        <w:fldChar w:fldCharType="end"/>
      </w:r>
      <w:r>
        <w:rPr>
          <w:rFonts w:hint="eastAsia" w:ascii="宋体" w:eastAsia="宋体" w:cs="宋体"/>
          <w:sz w:val="24"/>
          <w:szCs w:val="24"/>
          <w:highlight w:val="none"/>
        </w:rPr>
        <w:fldChar w:fldCharType="end"/>
      </w:r>
    </w:p>
    <w:p w14:paraId="4B73F216">
      <w:pPr>
        <w:pStyle w:val="17"/>
        <w:tabs>
          <w:tab w:val="right" w:leader="dot" w:pos="8306"/>
        </w:tabs>
        <w:rPr>
          <w:sz w:val="24"/>
          <w:szCs w:val="24"/>
          <w:highlight w:val="none"/>
        </w:rPr>
      </w:pPr>
      <w:r>
        <w:rPr>
          <w:rFonts w:hint="eastAsia" w:ascii="宋体" w:eastAsia="宋体" w:cs="宋体"/>
          <w:sz w:val="24"/>
          <w:szCs w:val="24"/>
          <w:highlight w:val="none"/>
        </w:rPr>
        <w:fldChar w:fldCharType="begin"/>
      </w:r>
      <w:r>
        <w:rPr>
          <w:rFonts w:hint="eastAsia" w:ascii="宋体" w:eastAsia="宋体" w:cs="宋体"/>
          <w:sz w:val="24"/>
          <w:szCs w:val="24"/>
          <w:highlight w:val="none"/>
        </w:rPr>
        <w:instrText xml:space="preserve"> HYPERLINK \l _Toc31899 </w:instrText>
      </w:r>
      <w:r>
        <w:rPr>
          <w:rFonts w:hint="eastAsia" w:ascii="宋体" w:eastAsia="宋体" w:cs="宋体"/>
          <w:sz w:val="24"/>
          <w:szCs w:val="24"/>
          <w:highlight w:val="none"/>
        </w:rPr>
        <w:fldChar w:fldCharType="separate"/>
      </w:r>
      <w:r>
        <w:rPr>
          <w:rFonts w:hint="eastAsia"/>
          <w:sz w:val="24"/>
          <w:szCs w:val="24"/>
          <w:highlight w:val="none"/>
        </w:rPr>
        <w:t>第五章 招标工程量清单</w:t>
      </w:r>
      <w:r>
        <w:rPr>
          <w:sz w:val="24"/>
          <w:szCs w:val="24"/>
          <w:highlight w:val="none"/>
        </w:rPr>
        <w:tab/>
      </w:r>
      <w:r>
        <w:rPr>
          <w:sz w:val="24"/>
          <w:szCs w:val="24"/>
          <w:highlight w:val="none"/>
        </w:rPr>
        <w:fldChar w:fldCharType="begin"/>
      </w:r>
      <w:r>
        <w:rPr>
          <w:sz w:val="24"/>
          <w:szCs w:val="24"/>
          <w:highlight w:val="none"/>
        </w:rPr>
        <w:instrText xml:space="preserve"> PAGEREF _Toc31899 \h </w:instrText>
      </w:r>
      <w:r>
        <w:rPr>
          <w:sz w:val="24"/>
          <w:szCs w:val="24"/>
          <w:highlight w:val="none"/>
        </w:rPr>
        <w:fldChar w:fldCharType="separate"/>
      </w:r>
      <w:r>
        <w:rPr>
          <w:sz w:val="24"/>
          <w:szCs w:val="24"/>
          <w:highlight w:val="none"/>
        </w:rPr>
        <w:t>36</w:t>
      </w:r>
      <w:r>
        <w:rPr>
          <w:sz w:val="24"/>
          <w:szCs w:val="24"/>
          <w:highlight w:val="none"/>
        </w:rPr>
        <w:fldChar w:fldCharType="end"/>
      </w:r>
      <w:r>
        <w:rPr>
          <w:rFonts w:hint="eastAsia" w:ascii="宋体" w:eastAsia="宋体" w:cs="宋体"/>
          <w:sz w:val="24"/>
          <w:szCs w:val="24"/>
          <w:highlight w:val="none"/>
        </w:rPr>
        <w:fldChar w:fldCharType="end"/>
      </w:r>
    </w:p>
    <w:p w14:paraId="3296C9AD">
      <w:pPr>
        <w:pStyle w:val="17"/>
        <w:tabs>
          <w:tab w:val="right" w:leader="dot" w:pos="8306"/>
        </w:tabs>
        <w:rPr>
          <w:sz w:val="24"/>
          <w:szCs w:val="24"/>
          <w:highlight w:val="none"/>
        </w:rPr>
      </w:pPr>
      <w:r>
        <w:rPr>
          <w:rFonts w:hint="eastAsia" w:ascii="宋体" w:eastAsia="宋体" w:cs="宋体"/>
          <w:sz w:val="24"/>
          <w:szCs w:val="24"/>
          <w:highlight w:val="none"/>
        </w:rPr>
        <w:fldChar w:fldCharType="begin"/>
      </w:r>
      <w:r>
        <w:rPr>
          <w:rFonts w:hint="eastAsia" w:ascii="宋体" w:eastAsia="宋体" w:cs="宋体"/>
          <w:sz w:val="24"/>
          <w:szCs w:val="24"/>
          <w:highlight w:val="none"/>
        </w:rPr>
        <w:instrText xml:space="preserve"> HYPERLINK \l _Toc11376 </w:instrText>
      </w:r>
      <w:r>
        <w:rPr>
          <w:rFonts w:hint="eastAsia" w:ascii="宋体" w:eastAsia="宋体" w:cs="宋体"/>
          <w:sz w:val="24"/>
          <w:szCs w:val="24"/>
          <w:highlight w:val="none"/>
        </w:rPr>
        <w:fldChar w:fldCharType="separate"/>
      </w:r>
      <w:r>
        <w:rPr>
          <w:rFonts w:hint="eastAsia"/>
          <w:sz w:val="24"/>
          <w:szCs w:val="24"/>
          <w:highlight w:val="none"/>
        </w:rPr>
        <w:t>第六章 发包人要求</w:t>
      </w:r>
      <w:r>
        <w:rPr>
          <w:sz w:val="24"/>
          <w:szCs w:val="24"/>
          <w:highlight w:val="none"/>
        </w:rPr>
        <w:tab/>
      </w:r>
      <w:r>
        <w:rPr>
          <w:sz w:val="24"/>
          <w:szCs w:val="24"/>
          <w:highlight w:val="none"/>
        </w:rPr>
        <w:fldChar w:fldCharType="begin"/>
      </w:r>
      <w:r>
        <w:rPr>
          <w:sz w:val="24"/>
          <w:szCs w:val="24"/>
          <w:highlight w:val="none"/>
        </w:rPr>
        <w:instrText xml:space="preserve"> PAGEREF _Toc11376 \h </w:instrText>
      </w:r>
      <w:r>
        <w:rPr>
          <w:sz w:val="24"/>
          <w:szCs w:val="24"/>
          <w:highlight w:val="none"/>
        </w:rPr>
        <w:fldChar w:fldCharType="separate"/>
      </w:r>
      <w:r>
        <w:rPr>
          <w:sz w:val="24"/>
          <w:szCs w:val="24"/>
          <w:highlight w:val="none"/>
        </w:rPr>
        <w:t>85</w:t>
      </w:r>
      <w:r>
        <w:rPr>
          <w:sz w:val="24"/>
          <w:szCs w:val="24"/>
          <w:highlight w:val="none"/>
        </w:rPr>
        <w:fldChar w:fldCharType="end"/>
      </w:r>
      <w:r>
        <w:rPr>
          <w:rFonts w:hint="eastAsia" w:ascii="宋体" w:eastAsia="宋体" w:cs="宋体"/>
          <w:sz w:val="24"/>
          <w:szCs w:val="24"/>
          <w:highlight w:val="none"/>
        </w:rPr>
        <w:fldChar w:fldCharType="end"/>
      </w:r>
    </w:p>
    <w:p w14:paraId="2E74558E">
      <w:pPr>
        <w:pStyle w:val="17"/>
        <w:tabs>
          <w:tab w:val="right" w:leader="dot" w:pos="8306"/>
        </w:tabs>
        <w:rPr>
          <w:sz w:val="24"/>
          <w:szCs w:val="24"/>
          <w:highlight w:val="none"/>
        </w:rPr>
      </w:pPr>
      <w:r>
        <w:rPr>
          <w:rFonts w:hint="eastAsia" w:ascii="宋体" w:eastAsia="宋体" w:cs="宋体"/>
          <w:sz w:val="24"/>
          <w:szCs w:val="24"/>
          <w:highlight w:val="none"/>
        </w:rPr>
        <w:fldChar w:fldCharType="begin"/>
      </w:r>
      <w:r>
        <w:rPr>
          <w:rFonts w:hint="eastAsia" w:ascii="宋体" w:eastAsia="宋体" w:cs="宋体"/>
          <w:sz w:val="24"/>
          <w:szCs w:val="24"/>
          <w:highlight w:val="none"/>
        </w:rPr>
        <w:instrText xml:space="preserve"> HYPERLINK \l _Toc18996 </w:instrText>
      </w:r>
      <w:r>
        <w:rPr>
          <w:rFonts w:hint="eastAsia" w:ascii="宋体" w:eastAsia="宋体" w:cs="宋体"/>
          <w:sz w:val="24"/>
          <w:szCs w:val="24"/>
          <w:highlight w:val="none"/>
        </w:rPr>
        <w:fldChar w:fldCharType="separate"/>
      </w:r>
      <w:r>
        <w:rPr>
          <w:rFonts w:hint="eastAsia"/>
          <w:sz w:val="24"/>
          <w:szCs w:val="24"/>
          <w:highlight w:val="none"/>
        </w:rPr>
        <w:t>第七章 发包人提供的资料</w:t>
      </w:r>
      <w:r>
        <w:rPr>
          <w:sz w:val="24"/>
          <w:szCs w:val="24"/>
          <w:highlight w:val="none"/>
        </w:rPr>
        <w:tab/>
      </w:r>
      <w:r>
        <w:rPr>
          <w:sz w:val="24"/>
          <w:szCs w:val="24"/>
          <w:highlight w:val="none"/>
        </w:rPr>
        <w:fldChar w:fldCharType="begin"/>
      </w:r>
      <w:r>
        <w:rPr>
          <w:sz w:val="24"/>
          <w:szCs w:val="24"/>
          <w:highlight w:val="none"/>
        </w:rPr>
        <w:instrText xml:space="preserve"> PAGEREF _Toc18996 \h </w:instrText>
      </w:r>
      <w:r>
        <w:rPr>
          <w:sz w:val="24"/>
          <w:szCs w:val="24"/>
          <w:highlight w:val="none"/>
        </w:rPr>
        <w:fldChar w:fldCharType="separate"/>
      </w:r>
      <w:r>
        <w:rPr>
          <w:sz w:val="24"/>
          <w:szCs w:val="24"/>
          <w:highlight w:val="none"/>
        </w:rPr>
        <w:t>87</w:t>
      </w:r>
      <w:r>
        <w:rPr>
          <w:sz w:val="24"/>
          <w:szCs w:val="24"/>
          <w:highlight w:val="none"/>
        </w:rPr>
        <w:fldChar w:fldCharType="end"/>
      </w:r>
      <w:r>
        <w:rPr>
          <w:rFonts w:hint="eastAsia" w:ascii="宋体" w:eastAsia="宋体" w:cs="宋体"/>
          <w:sz w:val="24"/>
          <w:szCs w:val="24"/>
          <w:highlight w:val="none"/>
        </w:rPr>
        <w:fldChar w:fldCharType="end"/>
      </w:r>
    </w:p>
    <w:p w14:paraId="52B081AC">
      <w:pPr>
        <w:pStyle w:val="17"/>
        <w:tabs>
          <w:tab w:val="right" w:leader="dot" w:pos="8306"/>
        </w:tabs>
        <w:rPr>
          <w:sz w:val="24"/>
          <w:szCs w:val="24"/>
          <w:highlight w:val="none"/>
        </w:rPr>
      </w:pPr>
      <w:r>
        <w:rPr>
          <w:rFonts w:hint="eastAsia" w:ascii="宋体" w:eastAsia="宋体" w:cs="宋体"/>
          <w:sz w:val="24"/>
          <w:szCs w:val="24"/>
          <w:highlight w:val="none"/>
        </w:rPr>
        <w:fldChar w:fldCharType="begin"/>
      </w:r>
      <w:r>
        <w:rPr>
          <w:rFonts w:hint="eastAsia" w:ascii="宋体" w:eastAsia="宋体" w:cs="宋体"/>
          <w:sz w:val="24"/>
          <w:szCs w:val="24"/>
          <w:highlight w:val="none"/>
        </w:rPr>
        <w:instrText xml:space="preserve"> HYPERLINK \l _Toc30290 </w:instrText>
      </w:r>
      <w:r>
        <w:rPr>
          <w:rFonts w:hint="eastAsia" w:ascii="宋体" w:eastAsia="宋体" w:cs="宋体"/>
          <w:sz w:val="24"/>
          <w:szCs w:val="24"/>
          <w:highlight w:val="none"/>
        </w:rPr>
        <w:fldChar w:fldCharType="separate"/>
      </w:r>
      <w:r>
        <w:rPr>
          <w:rFonts w:hint="eastAsia"/>
          <w:sz w:val="24"/>
          <w:szCs w:val="24"/>
          <w:highlight w:val="none"/>
        </w:rPr>
        <w:t>第八章 投标文件格式</w:t>
      </w:r>
      <w:r>
        <w:rPr>
          <w:sz w:val="24"/>
          <w:szCs w:val="24"/>
          <w:highlight w:val="none"/>
        </w:rPr>
        <w:tab/>
      </w:r>
      <w:r>
        <w:rPr>
          <w:sz w:val="24"/>
          <w:szCs w:val="24"/>
          <w:highlight w:val="none"/>
        </w:rPr>
        <w:fldChar w:fldCharType="begin"/>
      </w:r>
      <w:r>
        <w:rPr>
          <w:sz w:val="24"/>
          <w:szCs w:val="24"/>
          <w:highlight w:val="none"/>
        </w:rPr>
        <w:instrText xml:space="preserve"> PAGEREF _Toc30290 \h </w:instrText>
      </w:r>
      <w:r>
        <w:rPr>
          <w:sz w:val="24"/>
          <w:szCs w:val="24"/>
          <w:highlight w:val="none"/>
        </w:rPr>
        <w:fldChar w:fldCharType="separate"/>
      </w:r>
      <w:r>
        <w:rPr>
          <w:sz w:val="24"/>
          <w:szCs w:val="24"/>
          <w:highlight w:val="none"/>
        </w:rPr>
        <w:t>88</w:t>
      </w:r>
      <w:r>
        <w:rPr>
          <w:sz w:val="24"/>
          <w:szCs w:val="24"/>
          <w:highlight w:val="none"/>
        </w:rPr>
        <w:fldChar w:fldCharType="end"/>
      </w:r>
      <w:r>
        <w:rPr>
          <w:rFonts w:hint="eastAsia" w:ascii="宋体" w:eastAsia="宋体" w:cs="宋体"/>
          <w:sz w:val="24"/>
          <w:szCs w:val="24"/>
          <w:highlight w:val="none"/>
        </w:rPr>
        <w:fldChar w:fldCharType="end"/>
      </w:r>
    </w:p>
    <w:p w14:paraId="62FD2CD6">
      <w:pPr>
        <w:pStyle w:val="11"/>
        <w:tabs>
          <w:tab w:val="right" w:leader="dot" w:pos="8296"/>
        </w:tabs>
        <w:adjustRightInd w:val="0"/>
        <w:snapToGrid w:val="0"/>
        <w:ind w:firstLine="960" w:firstLineChars="400"/>
        <w:jc w:val="center"/>
        <w:outlineLvl w:val="0"/>
        <w:rPr>
          <w:rFonts w:hint="eastAsia" w:ascii="宋体" w:eastAsia="宋体" w:cs="宋体"/>
          <w:szCs w:val="21"/>
          <w:highlight w:val="none"/>
        </w:rPr>
        <w:sectPr>
          <w:footerReference r:id="rId7" w:type="firs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titlePg/>
          <w:docGrid w:type="lines" w:linePitch="312" w:charSpace="0"/>
        </w:sectPr>
      </w:pPr>
      <w:r>
        <w:rPr>
          <w:rFonts w:hint="eastAsia" w:ascii="宋体" w:eastAsia="宋体" w:cs="宋体"/>
          <w:szCs w:val="21"/>
          <w:highlight w:val="none"/>
        </w:rPr>
        <w:fldChar w:fldCharType="end"/>
      </w:r>
    </w:p>
    <w:p w14:paraId="379B1514">
      <w:pPr>
        <w:pStyle w:val="2"/>
        <w:spacing w:line="240" w:lineRule="auto"/>
        <w:jc w:val="center"/>
        <w:rPr>
          <w:rFonts w:hint="eastAsia" w:eastAsia="宋体"/>
          <w:szCs w:val="36"/>
          <w:highlight w:val="none"/>
          <w:lang w:eastAsia="zh-CN"/>
        </w:rPr>
      </w:pPr>
      <w:bookmarkStart w:id="10" w:name="_Toc17064"/>
      <w:bookmarkStart w:id="11" w:name="_Toc22814"/>
      <w:bookmarkStart w:id="12" w:name="_Toc22981"/>
      <w:bookmarkStart w:id="13" w:name="_Toc14024"/>
      <w:bookmarkStart w:id="14" w:name="_Toc22090"/>
      <w:bookmarkStart w:id="15" w:name="_Toc28723"/>
      <w:bookmarkStart w:id="16" w:name="_Toc31091"/>
      <w:bookmarkStart w:id="17" w:name="_Toc21354"/>
      <w:bookmarkStart w:id="18" w:name="_Toc10740"/>
      <w:bookmarkStart w:id="19" w:name="_Toc18258"/>
      <w:bookmarkStart w:id="20" w:name="_Toc2629"/>
      <w:bookmarkStart w:id="21" w:name="_Toc269886737"/>
      <w:bookmarkStart w:id="22" w:name="_Toc152045527"/>
      <w:bookmarkStart w:id="23" w:name="_Toc227983999"/>
      <w:bookmarkStart w:id="24" w:name="_Toc144974495"/>
      <w:bookmarkStart w:id="25" w:name="_Toc152042303"/>
      <w:r>
        <w:rPr>
          <w:rFonts w:hint="eastAsia"/>
          <w:szCs w:val="36"/>
          <w:highlight w:val="none"/>
        </w:rPr>
        <w:t>第一章</w:t>
      </w:r>
      <w:bookmarkStart w:id="26" w:name="_Toc429646980"/>
      <w:r>
        <w:rPr>
          <w:rFonts w:hint="eastAsia"/>
          <w:szCs w:val="36"/>
          <w:highlight w:val="none"/>
        </w:rPr>
        <w:t xml:space="preserve"> </w:t>
      </w:r>
      <w:bookmarkEnd w:id="10"/>
      <w:bookmarkEnd w:id="11"/>
      <w:bookmarkEnd w:id="12"/>
      <w:bookmarkEnd w:id="13"/>
      <w:bookmarkEnd w:id="14"/>
      <w:bookmarkEnd w:id="15"/>
      <w:bookmarkEnd w:id="16"/>
      <w:bookmarkEnd w:id="17"/>
      <w:bookmarkEnd w:id="18"/>
      <w:bookmarkEnd w:id="19"/>
      <w:bookmarkEnd w:id="20"/>
      <w:bookmarkEnd w:id="26"/>
      <w:r>
        <w:rPr>
          <w:rFonts w:hint="eastAsia"/>
          <w:szCs w:val="36"/>
          <w:highlight w:val="none"/>
          <w:lang w:eastAsia="zh-CN"/>
        </w:rPr>
        <w:t>招标公告</w:t>
      </w:r>
    </w:p>
    <w:p w14:paraId="0EA2C29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bCs/>
          <w:sz w:val="32"/>
          <w:szCs w:val="32"/>
          <w:highlight w:val="none"/>
          <w:lang w:eastAsia="zh-CN"/>
        </w:rPr>
      </w:pPr>
      <w:r>
        <w:rPr>
          <w:rFonts w:hint="eastAsia" w:ascii="宋体" w:hAnsi="宋体" w:eastAsia="宋体" w:cs="宋体"/>
          <w:b/>
          <w:bCs/>
          <w:sz w:val="32"/>
          <w:szCs w:val="32"/>
          <w:highlight w:val="none"/>
          <w:lang w:eastAsia="zh-CN"/>
        </w:rPr>
        <w:t>南通轨道交通部分站点非机动车换乘停车优化改造施工项目</w:t>
      </w:r>
    </w:p>
    <w:p w14:paraId="24B1893B">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bCs/>
          <w:sz w:val="32"/>
          <w:szCs w:val="32"/>
          <w:highlight w:val="none"/>
          <w:lang w:eastAsia="zh-CN"/>
        </w:rPr>
      </w:pPr>
      <w:r>
        <w:rPr>
          <w:rFonts w:hint="eastAsia" w:ascii="宋体" w:hAnsi="宋体" w:eastAsia="宋体" w:cs="宋体"/>
          <w:b/>
          <w:bCs/>
          <w:sz w:val="32"/>
          <w:szCs w:val="32"/>
          <w:highlight w:val="none"/>
          <w:lang w:eastAsia="zh-CN"/>
        </w:rPr>
        <w:t>（第</w:t>
      </w:r>
      <w:r>
        <w:rPr>
          <w:rFonts w:hint="eastAsia" w:ascii="宋体" w:hAnsi="宋体" w:eastAsia="宋体" w:cs="宋体"/>
          <w:b/>
          <w:bCs/>
          <w:sz w:val="32"/>
          <w:szCs w:val="32"/>
          <w:highlight w:val="none"/>
          <w:lang w:val="en-US" w:eastAsia="zh-CN"/>
        </w:rPr>
        <w:t>1批次）</w:t>
      </w:r>
      <w:r>
        <w:rPr>
          <w:rFonts w:hint="eastAsia" w:ascii="宋体" w:hAnsi="宋体" w:eastAsia="宋体" w:cs="宋体"/>
          <w:b/>
          <w:bCs/>
          <w:sz w:val="32"/>
          <w:szCs w:val="32"/>
          <w:highlight w:val="none"/>
          <w:lang w:eastAsia="zh-CN"/>
        </w:rPr>
        <w:t>招标公告</w:t>
      </w:r>
    </w:p>
    <w:p w14:paraId="57B4BB53">
      <w:pPr>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eastAsia="zh-CN"/>
        </w:rPr>
        <w:t>项目编号：</w:t>
      </w:r>
      <w:r>
        <w:rPr>
          <w:rFonts w:hint="eastAsia" w:ascii="宋体" w:hAnsi="宋体" w:cs="宋体"/>
          <w:sz w:val="21"/>
          <w:szCs w:val="21"/>
          <w:highlight w:val="none"/>
          <w:lang w:val="en-US" w:eastAsia="zh-CN"/>
        </w:rPr>
        <w:t>WLDL202609</w:t>
      </w:r>
    </w:p>
    <w:p w14:paraId="097B6A04">
      <w:pPr>
        <w:spacing w:line="360" w:lineRule="exact"/>
        <w:jc w:val="center"/>
        <w:rPr>
          <w:rFonts w:hint="eastAsia" w:ascii="宋体" w:hAnsi="宋体" w:eastAsia="宋体" w:cs="宋体"/>
          <w:color w:val="FF0000"/>
          <w:sz w:val="32"/>
          <w:szCs w:val="32"/>
          <w:highlight w:val="none"/>
          <w:lang w:eastAsia="zh-CN"/>
        </w:rPr>
      </w:pPr>
    </w:p>
    <w:p w14:paraId="3484A6E9">
      <w:pPr>
        <w:keepNext w:val="0"/>
        <w:keepLines w:val="0"/>
        <w:pageBreakBefore w:val="0"/>
        <w:kinsoku/>
        <w:wordWrap/>
        <w:overflowPunct/>
        <w:topLinePunct w:val="0"/>
        <w:autoSpaceDE/>
        <w:autoSpaceDN/>
        <w:bidi w:val="0"/>
        <w:adjustRightInd w:val="0"/>
        <w:snapToGrid w:val="0"/>
        <w:spacing w:line="336" w:lineRule="auto"/>
        <w:jc w:val="left"/>
        <w:textAlignment w:val="auto"/>
        <w:rPr>
          <w:rFonts w:hint="eastAsia" w:ascii="宋体" w:hAnsi="宋体" w:cs="宋体"/>
          <w:b/>
          <w:sz w:val="24"/>
          <w:highlight w:val="none"/>
        </w:rPr>
      </w:pPr>
      <w:r>
        <w:rPr>
          <w:rFonts w:hint="eastAsia" w:ascii="宋体" w:hAnsi="宋体" w:cs="宋体"/>
          <w:b/>
          <w:sz w:val="24"/>
          <w:highlight w:val="none"/>
        </w:rPr>
        <w:t>1.招标条件</w:t>
      </w:r>
    </w:p>
    <w:p w14:paraId="4B70D723">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本招标项目</w:t>
      </w:r>
      <w:r>
        <w:rPr>
          <w:rFonts w:hint="eastAsia" w:ascii="宋体" w:hAnsi="宋体" w:cs="宋体"/>
          <w:szCs w:val="21"/>
          <w:highlight w:val="none"/>
          <w:u w:val="single"/>
        </w:rPr>
        <w:t xml:space="preserve"> </w:t>
      </w:r>
      <w:r>
        <w:rPr>
          <w:rFonts w:hint="eastAsia" w:ascii="宋体" w:hAnsi="宋体" w:cs="宋体"/>
          <w:szCs w:val="21"/>
          <w:highlight w:val="none"/>
          <w:u w:val="single"/>
          <w:lang w:eastAsia="zh-CN"/>
        </w:rPr>
        <w:t>南通轨道交通部分站点非机动车换乘停车优化改造施工项目</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none"/>
        </w:rPr>
        <w:t>（</w:t>
      </w:r>
      <w:r>
        <w:rPr>
          <w:rFonts w:hint="eastAsia" w:ascii="宋体" w:hAnsi="宋体" w:cs="宋体"/>
          <w:szCs w:val="21"/>
          <w:highlight w:val="none"/>
        </w:rPr>
        <w:t>项目名称）已由</w:t>
      </w:r>
      <w:r>
        <w:rPr>
          <w:rFonts w:hint="eastAsia" w:ascii="宋体" w:hAnsi="宋体" w:cs="宋体"/>
          <w:szCs w:val="21"/>
          <w:highlight w:val="none"/>
          <w:u w:val="single"/>
        </w:rPr>
        <w:t xml:space="preserve"> 南通轨道交通集团有限公司</w:t>
      </w:r>
      <w:r>
        <w:rPr>
          <w:rFonts w:hint="eastAsia" w:ascii="宋体" w:hAnsi="宋体" w:cs="宋体"/>
          <w:szCs w:val="21"/>
          <w:highlight w:val="none"/>
          <w:u w:val="single"/>
          <w:lang w:val="en-US" w:eastAsia="zh-CN"/>
        </w:rPr>
        <w:t xml:space="preserve"> </w:t>
      </w:r>
      <w:r>
        <w:rPr>
          <w:rFonts w:hint="eastAsia" w:ascii="宋体" w:hAnsi="宋体" w:cs="宋体"/>
          <w:szCs w:val="21"/>
          <w:highlight w:val="none"/>
        </w:rPr>
        <w:t>批准建设，招标人为</w:t>
      </w:r>
      <w:r>
        <w:rPr>
          <w:rFonts w:hint="eastAsia" w:ascii="宋体" w:hAnsi="宋体" w:cs="宋体"/>
          <w:szCs w:val="21"/>
          <w:highlight w:val="none"/>
          <w:u w:val="single"/>
        </w:rPr>
        <w:t xml:space="preserve"> </w:t>
      </w:r>
      <w:r>
        <w:rPr>
          <w:rFonts w:hint="eastAsia" w:ascii="宋体" w:hAnsi="宋体" w:cs="宋体"/>
          <w:szCs w:val="21"/>
          <w:highlight w:val="none"/>
          <w:u w:val="single"/>
          <w:lang w:eastAsia="zh-CN"/>
        </w:rPr>
        <w:t>南通轨道交通集团有限公司</w:t>
      </w:r>
      <w:r>
        <w:rPr>
          <w:rFonts w:hint="eastAsia" w:ascii="宋体" w:hAnsi="宋体" w:cs="宋体"/>
          <w:szCs w:val="21"/>
          <w:highlight w:val="none"/>
          <w:u w:val="single"/>
        </w:rPr>
        <w:t xml:space="preserve"> </w:t>
      </w:r>
      <w:r>
        <w:rPr>
          <w:rFonts w:hint="eastAsia" w:ascii="宋体" w:hAnsi="宋体" w:cs="宋体"/>
          <w:szCs w:val="21"/>
          <w:highlight w:val="none"/>
        </w:rPr>
        <w:t>，建设资金来自</w:t>
      </w:r>
      <w:r>
        <w:rPr>
          <w:rFonts w:hint="eastAsia" w:ascii="宋体" w:hAnsi="宋体" w:cs="宋体"/>
          <w:szCs w:val="21"/>
          <w:highlight w:val="none"/>
          <w:u w:val="single"/>
        </w:rPr>
        <w:t xml:space="preserve"> </w:t>
      </w:r>
      <w:r>
        <w:rPr>
          <w:rFonts w:hint="eastAsia" w:ascii="宋体" w:hAnsi="宋体" w:eastAsia="宋体" w:cs="宋体"/>
          <w:szCs w:val="21"/>
          <w:highlight w:val="none"/>
          <w:u w:val="single"/>
          <w:lang w:val="en-US" w:eastAsia="zh-CN"/>
        </w:rPr>
        <w:t xml:space="preserve">自筹 </w:t>
      </w:r>
      <w:r>
        <w:rPr>
          <w:rFonts w:hint="eastAsia" w:ascii="宋体" w:hAnsi="宋体" w:cs="宋体"/>
          <w:szCs w:val="21"/>
          <w:highlight w:val="none"/>
        </w:rPr>
        <w:t>（资金来源），项目建设采用：</w:t>
      </w:r>
      <w:r>
        <w:rPr>
          <w:rFonts w:hint="eastAsia" w:ascii="宋体" w:hAnsi="宋体" w:cs="宋体"/>
          <w:szCs w:val="21"/>
          <w:highlight w:val="none"/>
          <w:u w:val="single"/>
        </w:rPr>
        <w:t>自建</w:t>
      </w:r>
      <w:r>
        <w:rPr>
          <w:rFonts w:hint="eastAsia" w:ascii="宋体" w:hAnsi="宋体" w:cs="宋体"/>
          <w:szCs w:val="21"/>
          <w:highlight w:val="none"/>
        </w:rPr>
        <w:t>。项目已具备招标条件，</w:t>
      </w:r>
      <w:r>
        <w:rPr>
          <w:rFonts w:hint="eastAsia" w:ascii="宋体" w:hAnsi="宋体" w:cs="宋体"/>
          <w:szCs w:val="21"/>
          <w:highlight w:val="none"/>
        </w:rPr>
        <w:t>现对该项目</w:t>
      </w:r>
      <w:r>
        <w:rPr>
          <w:rFonts w:hint="eastAsia" w:ascii="宋体" w:hAnsi="宋体" w:cs="宋体"/>
          <w:szCs w:val="21"/>
          <w:highlight w:val="none"/>
          <w:u w:val="single"/>
        </w:rPr>
        <w:t xml:space="preserve"> 第1批次工程 </w:t>
      </w:r>
      <w:r>
        <w:rPr>
          <w:rFonts w:hint="eastAsia" w:ascii="宋体" w:hAnsi="宋体" w:cs="宋体"/>
          <w:szCs w:val="21"/>
          <w:highlight w:val="none"/>
        </w:rPr>
        <w:t>（标段名称）的施工进行公开招标。</w:t>
      </w:r>
    </w:p>
    <w:p w14:paraId="266C4F26">
      <w:pPr>
        <w:keepNext w:val="0"/>
        <w:keepLines w:val="0"/>
        <w:pageBreakBefore w:val="0"/>
        <w:kinsoku/>
        <w:wordWrap/>
        <w:overflowPunct/>
        <w:topLinePunct w:val="0"/>
        <w:autoSpaceDE/>
        <w:autoSpaceDN/>
        <w:bidi w:val="0"/>
        <w:adjustRightInd w:val="0"/>
        <w:snapToGrid w:val="0"/>
        <w:spacing w:line="336" w:lineRule="auto"/>
        <w:ind w:firstLine="420" w:firstLineChars="200"/>
        <w:contextualSpacing/>
        <w:jc w:val="left"/>
        <w:textAlignment w:val="auto"/>
        <w:rPr>
          <w:rFonts w:hint="eastAsia" w:ascii="宋体" w:hAnsi="宋体" w:cs="宋体"/>
          <w:szCs w:val="21"/>
          <w:highlight w:val="none"/>
        </w:rPr>
      </w:pP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南通万隆工程管理有限公司 </w:t>
      </w:r>
      <w:r>
        <w:rPr>
          <w:rFonts w:hint="eastAsia" w:ascii="宋体" w:hAnsi="宋体" w:cs="宋体"/>
          <w:szCs w:val="21"/>
          <w:highlight w:val="none"/>
          <w:u w:val="none"/>
        </w:rPr>
        <w:t>（</w:t>
      </w:r>
      <w:r>
        <w:rPr>
          <w:rFonts w:hint="eastAsia" w:ascii="宋体" w:hAnsi="宋体" w:cs="宋体"/>
          <w:szCs w:val="21"/>
          <w:highlight w:val="none"/>
        </w:rPr>
        <w:t>招标代理机构名称）受招标人的委托具体负责本工程的施工招标事宜。</w:t>
      </w:r>
    </w:p>
    <w:p w14:paraId="08CF8418">
      <w:pPr>
        <w:keepNext w:val="0"/>
        <w:keepLines w:val="0"/>
        <w:pageBreakBefore w:val="0"/>
        <w:kinsoku/>
        <w:wordWrap/>
        <w:overflowPunct/>
        <w:topLinePunct w:val="0"/>
        <w:autoSpaceDE/>
        <w:autoSpaceDN/>
        <w:bidi w:val="0"/>
        <w:adjustRightInd w:val="0"/>
        <w:snapToGrid w:val="0"/>
        <w:spacing w:line="336" w:lineRule="auto"/>
        <w:jc w:val="left"/>
        <w:textAlignment w:val="auto"/>
        <w:rPr>
          <w:rFonts w:hint="eastAsia" w:ascii="宋体" w:hAnsi="宋体" w:cs="宋体"/>
          <w:b/>
          <w:sz w:val="24"/>
          <w:highlight w:val="none"/>
        </w:rPr>
      </w:pPr>
      <w:r>
        <w:rPr>
          <w:rFonts w:hint="eastAsia" w:ascii="宋体" w:hAnsi="宋体" w:cs="宋体"/>
          <w:b/>
          <w:sz w:val="24"/>
          <w:highlight w:val="none"/>
        </w:rPr>
        <w:t>2.项目概况与招标范围</w:t>
      </w:r>
    </w:p>
    <w:p w14:paraId="4B490074">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default" w:ascii="宋体" w:hAnsi="宋体" w:cs="宋体"/>
          <w:szCs w:val="21"/>
          <w:highlight w:val="none"/>
          <w:lang w:val="en-US"/>
        </w:rPr>
      </w:pPr>
      <w:r>
        <w:rPr>
          <w:rFonts w:hint="eastAsia" w:ascii="宋体" w:hAnsi="宋体" w:cs="宋体"/>
          <w:szCs w:val="21"/>
          <w:highlight w:val="none"/>
        </w:rPr>
        <w:t>2.1 标段名称：</w:t>
      </w:r>
      <w:r>
        <w:rPr>
          <w:rFonts w:hint="eastAsia" w:ascii="宋体" w:hAnsi="宋体" w:cs="宋体"/>
          <w:szCs w:val="21"/>
          <w:highlight w:val="none"/>
          <w:u w:val="single"/>
        </w:rPr>
        <w:t xml:space="preserve"> </w:t>
      </w:r>
      <w:r>
        <w:rPr>
          <w:rFonts w:hint="eastAsia" w:ascii="宋体" w:hAnsi="宋体" w:cs="宋体"/>
          <w:szCs w:val="21"/>
          <w:highlight w:val="none"/>
          <w:u w:val="single"/>
          <w:lang w:eastAsia="zh-CN"/>
        </w:rPr>
        <w:t>南通轨道交通部分站点非机动车换乘停车优化改造施工项目（第1批次）工程</w:t>
      </w:r>
      <w:r>
        <w:rPr>
          <w:rFonts w:hint="eastAsia" w:ascii="宋体" w:hAnsi="宋体" w:cs="宋体"/>
          <w:szCs w:val="21"/>
          <w:highlight w:val="none"/>
          <w:u w:val="single"/>
          <w:lang w:val="en-US" w:eastAsia="zh-CN"/>
        </w:rPr>
        <w:t xml:space="preserve"> </w:t>
      </w:r>
    </w:p>
    <w:p w14:paraId="3E5A7680">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2.2 建设地点：</w:t>
      </w:r>
      <w:r>
        <w:rPr>
          <w:rFonts w:hint="eastAsia" w:ascii="宋体" w:hAnsi="宋体" w:cs="宋体"/>
          <w:szCs w:val="21"/>
          <w:highlight w:val="none"/>
          <w:u w:val="single"/>
        </w:rPr>
        <w:t xml:space="preserve"> </w:t>
      </w:r>
      <w:r>
        <w:rPr>
          <w:rFonts w:hint="eastAsia" w:ascii="宋体" w:hAnsi="宋体" w:cs="宋体"/>
          <w:szCs w:val="21"/>
          <w:highlight w:val="none"/>
          <w:u w:val="single"/>
          <w:lang w:eastAsia="zh-CN"/>
        </w:rPr>
        <w:t>南通市</w:t>
      </w:r>
      <w:r>
        <w:rPr>
          <w:rFonts w:hint="eastAsia" w:ascii="宋体" w:hAnsi="宋体" w:cs="宋体"/>
          <w:szCs w:val="21"/>
          <w:highlight w:val="none"/>
          <w:u w:val="single"/>
          <w:lang w:eastAsia="zh-CN"/>
        </w:rPr>
        <w:t>轨道交通</w:t>
      </w:r>
      <w:r>
        <w:rPr>
          <w:rFonts w:hint="eastAsia" w:ascii="宋体" w:hAnsi="宋体" w:cs="宋体"/>
          <w:szCs w:val="21"/>
          <w:highlight w:val="none"/>
          <w:u w:val="single"/>
          <w:lang w:val="en-US" w:eastAsia="zh-CN"/>
        </w:rPr>
        <w:t>1</w:t>
      </w:r>
      <w:r>
        <w:rPr>
          <w:rFonts w:hint="eastAsia" w:ascii="宋体" w:hAnsi="宋体" w:cs="宋体"/>
          <w:szCs w:val="21"/>
          <w:highlight w:val="none"/>
          <w:u w:val="single"/>
        </w:rPr>
        <w:t>号</w:t>
      </w:r>
      <w:r>
        <w:rPr>
          <w:rFonts w:hint="eastAsia" w:ascii="宋体" w:hAnsi="宋体" w:cs="宋体"/>
          <w:szCs w:val="21"/>
          <w:highlight w:val="none"/>
          <w:u w:val="single"/>
          <w:lang w:eastAsia="zh-CN"/>
        </w:rPr>
        <w:t>线紫琅路站和河口站</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p>
    <w:p w14:paraId="4AC0DCD8">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2.3 建设内容：</w:t>
      </w:r>
      <w:r>
        <w:rPr>
          <w:rFonts w:hint="eastAsia" w:ascii="宋体" w:hAnsi="宋体" w:cs="宋体"/>
          <w:szCs w:val="21"/>
          <w:highlight w:val="none"/>
          <w:u w:val="single"/>
        </w:rPr>
        <w:t xml:space="preserve"> </w:t>
      </w:r>
      <w:r>
        <w:rPr>
          <w:rFonts w:hint="eastAsia" w:ascii="宋体" w:hAnsi="宋体" w:eastAsia="宋体" w:cs="宋体"/>
          <w:color w:val="auto"/>
          <w:sz w:val="21"/>
          <w:szCs w:val="21"/>
          <w:highlight w:val="none"/>
          <w:u w:val="single"/>
          <w:lang w:val="en-US" w:eastAsia="zh-CN"/>
        </w:rPr>
        <w:t>包括但不限于1号线河口站2号出入口、1号线紫琅湖站1号出入口、1号线紫琅湖站2号出入口的道路（场地）、绿化景观、排水、交通设施、照明等项目</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具体建设内容以招标人最终确认为准。</w:t>
      </w:r>
      <w:r>
        <w:rPr>
          <w:rFonts w:hint="eastAsia" w:ascii="宋体" w:hAnsi="宋体" w:cs="宋体"/>
          <w:szCs w:val="21"/>
          <w:highlight w:val="none"/>
          <w:u w:val="single"/>
        </w:rPr>
        <w:t xml:space="preserve"> </w:t>
      </w:r>
    </w:p>
    <w:p w14:paraId="07EFB724">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2.4 质量要求：</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合格，</w:t>
      </w:r>
      <w:r>
        <w:rPr>
          <w:rFonts w:hint="eastAsia" w:ascii="宋体" w:hAnsi="宋体" w:eastAsia="宋体" w:cs="宋体"/>
          <w:szCs w:val="21"/>
          <w:highlight w:val="none"/>
          <w:u w:val="single"/>
          <w:lang w:val="en-US" w:eastAsia="zh-CN"/>
        </w:rPr>
        <w:t>其中：苗木成活率符合《园林绿化工程施工及验收规范》（CJJ/T82-2012）的要求，并且长势良好；园林绿化养护质量符合《园林绿化养护标准》（CJJ/T287），并按南通市城市绿化管理部门颁布的相关办法进行考核。若相关标准、规范在施工周期内发生更新、修订，应优先执行最新现行有效版本。</w:t>
      </w:r>
    </w:p>
    <w:p w14:paraId="3CE7632D">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eastAsia="宋体" w:cs="宋体"/>
          <w:szCs w:val="21"/>
          <w:highlight w:val="none"/>
          <w:u w:val="none"/>
        </w:rPr>
      </w:pPr>
      <w:r>
        <w:rPr>
          <w:rFonts w:hint="eastAsia" w:ascii="宋体" w:hAnsi="宋体" w:cs="宋体"/>
          <w:szCs w:val="21"/>
          <w:highlight w:val="none"/>
        </w:rPr>
        <w:t>2.5 工程规模</w:t>
      </w:r>
      <w:r>
        <w:rPr>
          <w:rFonts w:hint="eastAsia" w:ascii="宋体" w:hAnsi="宋体" w:cs="宋体"/>
          <w:szCs w:val="21"/>
          <w:highlight w:val="none"/>
          <w:shd w:val="clear" w:color="auto" w:fill="FFFFFF"/>
        </w:rPr>
        <w:t>（工程特征、结构层次、建筑高度、道路宽度长度等）</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none"/>
          <w:lang w:val="en-US" w:eastAsia="zh-CN"/>
        </w:rPr>
        <w:t>。</w:t>
      </w:r>
      <w:r>
        <w:rPr>
          <w:rFonts w:hint="eastAsia" w:ascii="宋体" w:hAnsi="宋体" w:eastAsia="宋体" w:cs="宋体"/>
          <w:szCs w:val="21"/>
          <w:highlight w:val="none"/>
          <w:u w:val="none"/>
        </w:rPr>
        <w:t xml:space="preserve"> </w:t>
      </w:r>
    </w:p>
    <w:p w14:paraId="26143B0F">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2.6 工程合同估算价（万元）：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200万元。</w:t>
      </w:r>
      <w:r>
        <w:rPr>
          <w:rFonts w:hint="eastAsia" w:ascii="宋体" w:hAnsi="宋体" w:cs="宋体"/>
          <w:color w:val="auto"/>
          <w:szCs w:val="21"/>
          <w:highlight w:val="none"/>
          <w:u w:val="single"/>
        </w:rPr>
        <w:t xml:space="preserve"> </w:t>
      </w:r>
    </w:p>
    <w:p w14:paraId="3E43E5BB">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u w:val="single"/>
        </w:rPr>
      </w:pPr>
      <w:r>
        <w:rPr>
          <w:rFonts w:hint="eastAsia" w:ascii="宋体" w:hAnsi="宋体" w:cs="宋体"/>
          <w:szCs w:val="21"/>
          <w:highlight w:val="none"/>
        </w:rPr>
        <w:t>2.7 单位工程及招标范围说明：</w:t>
      </w:r>
      <w:r>
        <w:rPr>
          <w:rFonts w:hint="eastAsia" w:ascii="宋体" w:hAnsi="宋体" w:cs="宋体"/>
          <w:szCs w:val="21"/>
          <w:highlight w:val="none"/>
          <w:u w:val="single"/>
        </w:rPr>
        <w:t xml:space="preserve"> </w:t>
      </w:r>
      <w:r>
        <w:rPr>
          <w:rFonts w:hint="eastAsia" w:ascii="宋体" w:hAnsi="宋体" w:eastAsia="宋体" w:cs="宋体"/>
          <w:color w:val="auto"/>
          <w:sz w:val="21"/>
          <w:szCs w:val="21"/>
          <w:highlight w:val="none"/>
          <w:u w:val="single"/>
          <w:lang w:val="en-US" w:eastAsia="zh-CN"/>
        </w:rPr>
        <w:t>包括但不限于1号线河口站2号出入口、1号线紫琅湖站1号出入口、1号线紫琅湖站2号出入口的道路（场地）、绿化景观、排水、交通设施、照明等</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具体详见招标文件、施工图纸及工程量清单。</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rPr>
        <w:t xml:space="preserve"> </w:t>
      </w:r>
    </w:p>
    <w:p w14:paraId="20643797">
      <w:pPr>
        <w:keepNext w:val="0"/>
        <w:keepLines w:val="0"/>
        <w:pageBreakBefore w:val="0"/>
        <w:tabs>
          <w:tab w:val="left" w:pos="4977"/>
        </w:tabs>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eastAsia="宋体" w:cs="宋体"/>
          <w:b/>
          <w:szCs w:val="21"/>
          <w:highlight w:val="none"/>
          <w:u w:val="single"/>
          <w:lang w:eastAsia="zh-CN"/>
        </w:rPr>
      </w:pPr>
      <w:r>
        <w:rPr>
          <w:rFonts w:hint="eastAsia" w:ascii="宋体" w:hAnsi="宋体" w:cs="宋体"/>
          <w:szCs w:val="21"/>
          <w:highlight w:val="none"/>
        </w:rPr>
        <w:t xml:space="preserve">2.8 </w:t>
      </w:r>
      <w:r>
        <w:rPr>
          <w:rFonts w:hint="eastAsia" w:ascii="宋体" w:hAnsi="宋体" w:cs="宋体"/>
          <w:b/>
          <w:szCs w:val="21"/>
          <w:highlight w:val="none"/>
        </w:rPr>
        <w:t>工程类别和技术复杂程度：</w:t>
      </w:r>
      <w:r>
        <w:rPr>
          <w:rFonts w:hint="eastAsia" w:ascii="宋体" w:hAnsi="宋体" w:cs="宋体"/>
          <w:b/>
          <w:szCs w:val="21"/>
          <w:highlight w:val="none"/>
          <w:lang w:eastAsia="zh-CN"/>
        </w:rPr>
        <w:tab/>
      </w:r>
    </w:p>
    <w:p w14:paraId="05E2DD0D">
      <w:pPr>
        <w:keepNext w:val="0"/>
        <w:keepLines w:val="0"/>
        <w:pageBreakBefore w:val="0"/>
        <w:kinsoku/>
        <w:wordWrap/>
        <w:overflowPunct/>
        <w:topLinePunct w:val="0"/>
        <w:autoSpaceDE/>
        <w:autoSpaceDN/>
        <w:bidi w:val="0"/>
        <w:adjustRightInd w:val="0"/>
        <w:snapToGrid w:val="0"/>
        <w:spacing w:line="336" w:lineRule="auto"/>
        <w:ind w:firstLine="422" w:firstLineChars="200"/>
        <w:jc w:val="left"/>
        <w:textAlignment w:val="auto"/>
        <w:rPr>
          <w:rFonts w:hint="eastAsia" w:ascii="宋体" w:hAnsi="宋体" w:cs="宋体"/>
          <w:b/>
          <w:szCs w:val="21"/>
          <w:highlight w:val="none"/>
          <w:u w:val="single"/>
        </w:rPr>
      </w:pPr>
      <w:r>
        <w:rPr>
          <w:rFonts w:hint="eastAsia" w:ascii="宋体" w:hAnsi="宋体" w:cs="宋体"/>
          <w:b/>
          <w:szCs w:val="21"/>
          <w:highlight w:val="none"/>
        </w:rPr>
        <w:t>工程类别：</w:t>
      </w:r>
      <w:r>
        <w:rPr>
          <w:rFonts w:hint="eastAsia" w:ascii="宋体" w:hAnsi="宋体" w:cs="宋体"/>
          <w:b/>
          <w:szCs w:val="21"/>
          <w:highlight w:val="none"/>
          <w:lang w:eastAsia="zh-CN"/>
        </w:rPr>
        <w:t>☑</w:t>
      </w:r>
      <w:r>
        <w:rPr>
          <w:rFonts w:hint="eastAsia" w:ascii="宋体" w:hAnsi="宋体" w:cs="宋体"/>
          <w:b/>
          <w:szCs w:val="21"/>
          <w:highlight w:val="none"/>
        </w:rPr>
        <w:t xml:space="preserve">小型 </w:t>
      </w:r>
      <w:r>
        <w:rPr>
          <w:rFonts w:hint="eastAsia" w:ascii="宋体" w:hAnsi="宋体" w:cs="宋体"/>
          <w:b/>
          <w:szCs w:val="21"/>
          <w:highlight w:val="none"/>
          <w:lang w:eastAsia="zh-CN"/>
        </w:rPr>
        <w:t>□</w:t>
      </w:r>
      <w:r>
        <w:rPr>
          <w:rFonts w:hint="eastAsia" w:ascii="宋体" w:hAnsi="宋体" w:cs="宋体"/>
          <w:b/>
          <w:szCs w:val="21"/>
          <w:highlight w:val="none"/>
        </w:rPr>
        <w:t>中型 □大型 □特大型</w:t>
      </w:r>
      <w:r>
        <w:rPr>
          <w:rFonts w:hint="eastAsia" w:ascii="宋体" w:hAnsi="宋体" w:cs="宋体"/>
          <w:b/>
          <w:szCs w:val="21"/>
          <w:highlight w:val="none"/>
          <w:lang w:val="en-US" w:eastAsia="zh-CN"/>
        </w:rPr>
        <w:t xml:space="preserve"> </w:t>
      </w:r>
      <w:r>
        <w:rPr>
          <w:rFonts w:hint="eastAsia" w:ascii="宋体" w:hAnsi="宋体" w:cs="宋体"/>
          <w:b/>
          <w:szCs w:val="21"/>
          <w:highlight w:val="none"/>
        </w:rPr>
        <w:t>□技术复杂工程</w:t>
      </w:r>
    </w:p>
    <w:p w14:paraId="527B8A91">
      <w:pPr>
        <w:pStyle w:val="9"/>
        <w:keepNext w:val="0"/>
        <w:keepLines w:val="0"/>
        <w:pageBreakBefore w:val="0"/>
        <w:widowControl w:val="0"/>
        <w:kinsoku/>
        <w:wordWrap/>
        <w:overflowPunct/>
        <w:topLinePunct w:val="0"/>
        <w:autoSpaceDE/>
        <w:autoSpaceDN/>
        <w:bidi w:val="0"/>
        <w:snapToGrid w:val="0"/>
        <w:spacing w:line="336" w:lineRule="auto"/>
        <w:ind w:firstLine="420" w:firstLineChars="200"/>
        <w:textAlignment w:val="auto"/>
        <w:rPr>
          <w:rFonts w:hint="eastAsia"/>
          <w:highlight w:val="none"/>
          <w:u w:val="single"/>
          <w:lang w:eastAsia="zh-CN"/>
        </w:rPr>
      </w:pPr>
      <w:r>
        <w:rPr>
          <w:rFonts w:hint="eastAsia" w:ascii="宋体" w:hAnsi="宋体" w:cs="宋体"/>
          <w:szCs w:val="21"/>
          <w:highlight w:val="none"/>
        </w:rPr>
        <w:t>2.9 工期：</w:t>
      </w:r>
      <w:r>
        <w:rPr>
          <w:rFonts w:hint="eastAsia"/>
          <w:highlight w:val="none"/>
          <w:u w:val="single"/>
          <w:lang w:val="en-US" w:eastAsia="zh-CN"/>
        </w:rPr>
        <w:t>90日历天，计划开工日期：2026年10月，计划竣工日期2027年1月，具体开工日期以发包人签发的书面开工通知为准。计划施工阶段性工期：由建设单位指令，每一工作面自绿化迁移等场地准备完成后不超过50日历天完成该工作面所有工程量。</w:t>
      </w:r>
    </w:p>
    <w:p w14:paraId="5ED2D300">
      <w:pPr>
        <w:keepNext w:val="0"/>
        <w:keepLines w:val="0"/>
        <w:pageBreakBefore w:val="0"/>
        <w:widowControl w:val="0"/>
        <w:kinsoku/>
        <w:wordWrap/>
        <w:overflowPunct/>
        <w:topLinePunct w:val="0"/>
        <w:autoSpaceDE/>
        <w:autoSpaceDN/>
        <w:bidi w:val="0"/>
        <w:adjustRightInd w:val="0"/>
        <w:snapToGrid w:val="0"/>
        <w:spacing w:line="336" w:lineRule="auto"/>
        <w:jc w:val="left"/>
        <w:textAlignment w:val="auto"/>
        <w:rPr>
          <w:rFonts w:hint="eastAsia" w:ascii="宋体" w:hAnsi="宋体" w:eastAsia="宋体" w:cs="宋体"/>
          <w:b/>
          <w:sz w:val="24"/>
          <w:highlight w:val="none"/>
        </w:rPr>
      </w:pPr>
      <w:r>
        <w:rPr>
          <w:rFonts w:hint="eastAsia" w:ascii="宋体" w:hAnsi="宋体" w:eastAsia="宋体" w:cs="宋体"/>
          <w:b/>
          <w:sz w:val="24"/>
          <w:highlight w:val="none"/>
        </w:rPr>
        <w:t>3.投标人资格要求</w:t>
      </w:r>
    </w:p>
    <w:p w14:paraId="5A76E6E1">
      <w:pPr>
        <w:keepNext w:val="0"/>
        <w:keepLines w:val="0"/>
        <w:pageBreakBefore w:val="0"/>
        <w:widowControl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3.1</w:t>
      </w:r>
      <w:r>
        <w:rPr>
          <w:rFonts w:hint="eastAsia" w:ascii="宋体" w:hAnsi="宋体" w:cs="宋体"/>
          <w:b/>
          <w:bCs/>
          <w:szCs w:val="21"/>
          <w:highlight w:val="none"/>
        </w:rPr>
        <w:t>投标人资质类别和等级：</w:t>
      </w:r>
      <w:r>
        <w:rPr>
          <w:rFonts w:hint="eastAsia" w:ascii="宋体" w:hAnsi="宋体" w:cs="宋体"/>
          <w:szCs w:val="21"/>
          <w:highlight w:val="none"/>
          <w:u w:val="single"/>
        </w:rPr>
        <w:t xml:space="preserve"> </w:t>
      </w:r>
      <w:r>
        <w:rPr>
          <w:rFonts w:hint="eastAsia" w:ascii="宋体" w:hAnsi="宋体" w:eastAsia="宋体" w:cs="宋体"/>
          <w:color w:val="auto"/>
          <w:sz w:val="21"/>
          <w:szCs w:val="21"/>
          <w:highlight w:val="none"/>
          <w:u w:val="single"/>
        </w:rPr>
        <w:t>市政公用工程施工总承包三级及以上资质</w:t>
      </w:r>
      <w:r>
        <w:rPr>
          <w:rFonts w:hint="eastAsia" w:ascii="宋体" w:hAnsi="宋体" w:eastAsia="宋体" w:cs="宋体"/>
          <w:color w:val="auto"/>
          <w:sz w:val="21"/>
          <w:szCs w:val="21"/>
          <w:highlight w:val="none"/>
          <w:u w:val="single"/>
          <w:lang w:eastAsia="zh-CN"/>
        </w:rPr>
        <w:t>（在有效期内）</w:t>
      </w:r>
      <w:r>
        <w:rPr>
          <w:rFonts w:hint="eastAsia" w:ascii="宋体" w:hAnsi="宋体" w:cs="宋体"/>
          <w:szCs w:val="21"/>
          <w:highlight w:val="none"/>
          <w:u w:val="single"/>
        </w:rPr>
        <w:t xml:space="preserve"> </w:t>
      </w:r>
      <w:r>
        <w:rPr>
          <w:rFonts w:hint="eastAsia" w:ascii="宋体" w:hAnsi="宋体" w:cs="宋体"/>
          <w:szCs w:val="21"/>
          <w:highlight w:val="none"/>
        </w:rPr>
        <w:t>；</w:t>
      </w:r>
    </w:p>
    <w:p w14:paraId="06020679">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eastAsia="宋体" w:cs="宋体"/>
          <w:b/>
          <w:szCs w:val="21"/>
          <w:highlight w:val="none"/>
          <w:lang w:eastAsia="zh-CN"/>
        </w:rPr>
      </w:pPr>
      <w:r>
        <w:rPr>
          <w:rFonts w:hint="eastAsia" w:ascii="宋体" w:hAnsi="宋体" w:cs="宋体"/>
          <w:szCs w:val="21"/>
          <w:highlight w:val="none"/>
        </w:rPr>
        <w:t>3.2</w:t>
      </w:r>
      <w:r>
        <w:rPr>
          <w:rFonts w:hint="eastAsia" w:ascii="宋体" w:hAnsi="宋体" w:cs="宋体"/>
          <w:b/>
          <w:bCs/>
          <w:szCs w:val="21"/>
          <w:highlight w:val="none"/>
        </w:rPr>
        <w:t>拟选派项目负责人专业及资质等级：</w:t>
      </w:r>
      <w:r>
        <w:rPr>
          <w:rFonts w:hint="eastAsia" w:ascii="宋体" w:hAnsi="宋体" w:cs="宋体"/>
          <w:szCs w:val="21"/>
          <w:highlight w:val="none"/>
          <w:u w:val="single"/>
        </w:rPr>
        <w:t xml:space="preserve"> </w:t>
      </w:r>
      <w:r>
        <w:rPr>
          <w:rFonts w:hint="eastAsia" w:ascii="宋体" w:hAnsi="宋体" w:eastAsia="宋体" w:cs="宋体"/>
          <w:color w:val="auto"/>
          <w:sz w:val="21"/>
          <w:szCs w:val="21"/>
          <w:highlight w:val="none"/>
          <w:u w:val="single"/>
        </w:rPr>
        <w:t>市政公用工程专业二级及以上注册建造师，同时具有安全生产考核合格证（B证）</w:t>
      </w:r>
      <w:r>
        <w:rPr>
          <w:rFonts w:hint="eastAsia" w:ascii="宋体" w:hAnsi="宋体" w:eastAsia="宋体" w:cs="宋体"/>
          <w:szCs w:val="21"/>
          <w:highlight w:val="none"/>
          <w:u w:val="single"/>
          <w:lang w:eastAsia="zh-CN"/>
        </w:rPr>
        <w:t>，</w:t>
      </w:r>
      <w:r>
        <w:rPr>
          <w:rFonts w:hint="eastAsia" w:ascii="宋体" w:hAnsi="宋体" w:cs="宋体"/>
          <w:szCs w:val="21"/>
          <w:highlight w:val="none"/>
          <w:u w:val="single"/>
        </w:rPr>
        <w:t>建造师注册单位和安全生产考核合格证（B证）</w:t>
      </w:r>
      <w:r>
        <w:rPr>
          <w:rFonts w:hint="eastAsia" w:ascii="宋体" w:hAnsi="宋体" w:cs="宋体"/>
          <w:szCs w:val="21"/>
          <w:highlight w:val="none"/>
          <w:u w:val="single"/>
          <w:lang w:eastAsia="zh-CN"/>
        </w:rPr>
        <w:t>载明的</w:t>
      </w:r>
      <w:r>
        <w:rPr>
          <w:rFonts w:hint="eastAsia" w:ascii="宋体" w:hAnsi="宋体" w:cs="宋体"/>
          <w:szCs w:val="21"/>
          <w:highlight w:val="none"/>
          <w:u w:val="single"/>
        </w:rPr>
        <w:t>单位均应为本投标</w:t>
      </w:r>
      <w:r>
        <w:rPr>
          <w:rFonts w:hint="eastAsia" w:ascii="宋体" w:hAnsi="宋体" w:cs="宋体"/>
          <w:szCs w:val="21"/>
          <w:highlight w:val="none"/>
          <w:u w:val="single"/>
          <w:lang w:eastAsia="zh-CN"/>
        </w:rPr>
        <w:t>单位</w:t>
      </w:r>
      <w:r>
        <w:rPr>
          <w:rFonts w:hint="eastAsia" w:ascii="宋体" w:hAnsi="宋体" w:cs="宋体"/>
          <w:szCs w:val="21"/>
          <w:highlight w:val="none"/>
          <w:u w:val="single"/>
          <w:lang w:val="en-US" w:eastAsia="zh-CN"/>
        </w:rPr>
        <w:t xml:space="preserve"> </w:t>
      </w:r>
      <w:r>
        <w:rPr>
          <w:rFonts w:hint="eastAsia" w:ascii="宋体" w:hAnsi="宋体" w:cs="宋体"/>
          <w:b w:val="0"/>
          <w:bCs/>
          <w:szCs w:val="21"/>
          <w:highlight w:val="none"/>
          <w:lang w:eastAsia="zh-CN"/>
        </w:rPr>
        <w:t>。</w:t>
      </w:r>
    </w:p>
    <w:p w14:paraId="3912D5B0">
      <w:pPr>
        <w:keepNext w:val="0"/>
        <w:keepLines w:val="0"/>
        <w:pageBreakBefore w:val="0"/>
        <w:kinsoku/>
        <w:wordWrap/>
        <w:overflowPunct/>
        <w:topLinePunct w:val="0"/>
        <w:autoSpaceDE/>
        <w:autoSpaceDN/>
        <w:bidi w:val="0"/>
        <w:adjustRightInd w:val="0"/>
        <w:snapToGrid w:val="0"/>
        <w:spacing w:line="336" w:lineRule="auto"/>
        <w:ind w:firstLine="422" w:firstLineChars="200"/>
        <w:jc w:val="left"/>
        <w:textAlignment w:val="auto"/>
        <w:rPr>
          <w:rFonts w:hint="eastAsia" w:ascii="宋体" w:hAnsi="宋体" w:cs="宋体"/>
          <w:szCs w:val="21"/>
          <w:highlight w:val="none"/>
          <w:u w:val="none"/>
        </w:rPr>
      </w:pPr>
      <w:r>
        <w:rPr>
          <w:rFonts w:hint="eastAsia" w:ascii="宋体" w:hAnsi="宋体" w:cs="宋体"/>
          <w:b/>
          <w:bCs/>
          <w:szCs w:val="21"/>
          <w:highlight w:val="none"/>
          <w:u w:val="none"/>
          <w:lang w:val="en-US" w:eastAsia="zh-CN"/>
        </w:rPr>
        <w:t>特别提醒</w:t>
      </w:r>
      <w:r>
        <w:rPr>
          <w:rFonts w:hint="eastAsia" w:ascii="宋体" w:hAnsi="宋体" w:cs="宋体"/>
          <w:szCs w:val="21"/>
          <w:highlight w:val="none"/>
          <w:u w:val="none"/>
          <w:lang w:val="en-US" w:eastAsia="zh-CN"/>
        </w:rPr>
        <w:t>：项目负责人证书</w:t>
      </w:r>
      <w:r>
        <w:rPr>
          <w:rFonts w:hint="eastAsia" w:ascii="宋体" w:hAnsi="宋体" w:cs="宋体"/>
          <w:szCs w:val="21"/>
          <w:highlight w:val="none"/>
          <w:u w:val="none"/>
        </w:rPr>
        <w:t>根据《住房和城乡建设部办公厅关于全面实行一级建造师电子注册证书的通知》（建办市〔2021〕40号）、《省住房和城乡建设厅关于我省二级建造师、二级造价工程师、二级注册建筑师、二级注册结构工程师注册证书电子证照换发的公告》（〔2023〕第26号）的规定文件及当地规定要求执行，否则不予认可。同时，建造师注册单位和安全生产考核合格证（B证）上显示单位均应为本投标人。否则不予认可。如未按文件要求提供电子证书，该电子证书无效，视为项目负责人的资格不符合要求。</w:t>
      </w:r>
    </w:p>
    <w:p w14:paraId="6148864B">
      <w:pPr>
        <w:keepNext w:val="0"/>
        <w:keepLines w:val="0"/>
        <w:pageBreakBefore w:val="0"/>
        <w:kinsoku/>
        <w:wordWrap/>
        <w:overflowPunct/>
        <w:topLinePunct w:val="0"/>
        <w:autoSpaceDE/>
        <w:autoSpaceDN/>
        <w:bidi w:val="0"/>
        <w:adjustRightInd w:val="0"/>
        <w:snapToGrid w:val="0"/>
        <w:spacing w:line="336" w:lineRule="auto"/>
        <w:ind w:firstLine="422" w:firstLineChars="200"/>
        <w:jc w:val="left"/>
        <w:textAlignment w:val="auto"/>
        <w:rPr>
          <w:rFonts w:hint="eastAsia" w:ascii="宋体" w:hAnsi="宋体" w:cs="宋体"/>
          <w:b/>
          <w:szCs w:val="21"/>
          <w:highlight w:val="none"/>
        </w:rPr>
      </w:pPr>
      <w:r>
        <w:rPr>
          <w:rFonts w:hint="eastAsia" w:ascii="宋体" w:hAnsi="宋体" w:cs="宋体"/>
          <w:b/>
          <w:szCs w:val="21"/>
          <w:highlight w:val="none"/>
        </w:rPr>
        <w:t>3.3资格审查必要条件：</w:t>
      </w:r>
    </w:p>
    <w:p w14:paraId="27C2606F">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3.3.1投标人具有独立承担民事责任的能力；</w:t>
      </w:r>
    </w:p>
    <w:p w14:paraId="3780C74F">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b/>
          <w:szCs w:val="21"/>
          <w:highlight w:val="none"/>
        </w:rPr>
      </w:pPr>
      <w:r>
        <w:rPr>
          <w:rFonts w:hint="eastAsia" w:ascii="宋体" w:hAnsi="宋体" w:cs="宋体"/>
          <w:szCs w:val="21"/>
          <w:highlight w:val="none"/>
        </w:rPr>
        <w:t>3.3.2投标人的资质类别、等级和项目负责人注册专业、资格等级符合国家有关规定；</w:t>
      </w:r>
    </w:p>
    <w:p w14:paraId="2C159101">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3.3.3以联合体形式投标的，联合体的资格（资质）条件必须符合招标文件要求，并附有共同投标协议；</w:t>
      </w:r>
    </w:p>
    <w:p w14:paraId="40CB668C">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3.3.4投标人具备安全生产条件，并取得安全生产许可证</w:t>
      </w:r>
      <w:r>
        <w:rPr>
          <w:rFonts w:hint="eastAsia" w:ascii="宋体" w:hAnsi="宋体" w:cs="宋体"/>
          <w:snapToGrid w:val="0"/>
          <w:kern w:val="32"/>
          <w:szCs w:val="21"/>
          <w:highlight w:val="none"/>
        </w:rPr>
        <w:t>（相关规定不作要求的除外）</w:t>
      </w:r>
      <w:r>
        <w:rPr>
          <w:rFonts w:hint="eastAsia" w:ascii="宋体" w:hAnsi="宋体" w:cs="宋体"/>
          <w:szCs w:val="21"/>
          <w:highlight w:val="none"/>
        </w:rPr>
        <w:t>；</w:t>
      </w:r>
    </w:p>
    <w:p w14:paraId="2F153683">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3.3.5项目负责人必须满足下列条件：</w:t>
      </w:r>
    </w:p>
    <w:p w14:paraId="0C1AFFC0">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（1）项目负责人不得同时在两个或者两个以上单位受聘或者执业：</w:t>
      </w:r>
    </w:p>
    <w:p w14:paraId="44C5697E">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项目负责人是非变更后无在建工程；或项目负责人是变更后无在建工程；或因非承包方原因致使工程项目停工超过120天（含），经建设单位同意的；或项目负责人有在建工程，但该在建工程与本次招标的工程属于同一工程项目、同一项目批文、同一施工地点分段发包或分期施工的情况且总的工程规模在项目负责人执业范围之内。</w:t>
      </w:r>
    </w:p>
    <w:p w14:paraId="685EA573">
      <w:pPr>
        <w:keepNext w:val="0"/>
        <w:keepLines w:val="0"/>
        <w:pageBreakBefore w:val="0"/>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eastAsia="宋体" w:cs="宋体"/>
          <w:b w:val="0"/>
          <w:bCs w:val="0"/>
          <w:szCs w:val="21"/>
          <w:highlight w:val="none"/>
          <w:u w:val="none"/>
          <w:lang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3）</w:t>
      </w:r>
      <w:r>
        <w:rPr>
          <w:rFonts w:hint="eastAsia" w:ascii="宋体" w:hAnsi="宋体" w:cs="宋体"/>
          <w:b w:val="0"/>
          <w:bCs w:val="0"/>
          <w:szCs w:val="21"/>
          <w:highlight w:val="none"/>
          <w:u w:val="none"/>
        </w:rPr>
        <w:t>拟派项目负责人必须为投标企业正式人员</w:t>
      </w:r>
      <w:r>
        <w:rPr>
          <w:rFonts w:hint="eastAsia" w:ascii="宋体" w:hAnsi="宋体" w:cs="宋体"/>
          <w:b w:val="0"/>
          <w:bCs w:val="0"/>
          <w:szCs w:val="21"/>
          <w:highlight w:val="none"/>
          <w:u w:val="none"/>
          <w:lang w:eastAsia="zh-CN"/>
        </w:rPr>
        <w:t>（不接受退休返聘人员）。</w:t>
      </w:r>
    </w:p>
    <w:p w14:paraId="5953A417">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rPr>
          <w:rFonts w:hint="eastAsia" w:ascii="宋体" w:hAnsi="宋体" w:cs="宋体"/>
          <w:szCs w:val="21"/>
          <w:highlight w:val="none"/>
          <w:u w:val="none"/>
        </w:rPr>
      </w:pPr>
      <w:r>
        <w:rPr>
          <w:rFonts w:hint="eastAsia" w:ascii="宋体" w:hAnsi="宋体" w:cs="宋体"/>
          <w:szCs w:val="21"/>
          <w:highlight w:val="none"/>
        </w:rPr>
        <w:t>3.3.6</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根据《关于在我省国有资金投资工程建设项目招标投标中应用建筑企业资质动态监管结果有关要求的通知》（苏建招办【2022】2号）文件要求，在投标文件递交截止时间当日，投标人建筑业企业资质（指本项目要求的资质）动态监管结果处于合格状态。若为联合体参与投标的，则联合体各成员的建筑企业资质动态监管结果（指本项目要求的资质）均不得处于不合格状态。</w:t>
      </w:r>
    </w:p>
    <w:p w14:paraId="2C374968">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u w:val="none"/>
          <w:lang w:val="en-US" w:eastAsia="zh-CN"/>
        </w:rPr>
        <w:t xml:space="preserve">3.3.7 </w:t>
      </w:r>
      <w:r>
        <w:rPr>
          <w:rFonts w:hint="eastAsia" w:ascii="宋体" w:hAnsi="宋体" w:cs="宋体"/>
          <w:szCs w:val="21"/>
          <w:highlight w:val="none"/>
        </w:rPr>
        <w:t>投标人不得有招标文件第二章投标人须知第1.4.3项规定的情形。</w:t>
      </w:r>
    </w:p>
    <w:p w14:paraId="308B30F3">
      <w:pPr>
        <w:keepNext w:val="0"/>
        <w:keepLines w:val="0"/>
        <w:pageBreakBefore w:val="0"/>
        <w:widowControl w:val="0"/>
        <w:shd w:val="clear" w:color="auto" w:fill="auto"/>
        <w:kinsoku/>
        <w:wordWrap/>
        <w:overflowPunct/>
        <w:topLinePunct w:val="0"/>
        <w:autoSpaceDE/>
        <w:autoSpaceDN/>
        <w:bidi w:val="0"/>
        <w:adjustRightInd w:val="0"/>
        <w:snapToGrid w:val="0"/>
        <w:spacing w:line="336" w:lineRule="auto"/>
        <w:ind w:right="0"/>
        <w:jc w:val="left"/>
        <w:textAlignment w:val="auto"/>
        <w:rPr>
          <w:rFonts w:hint="eastAsia" w:ascii="宋体" w:hAnsi="宋体" w:eastAsia="宋体" w:cs="宋体"/>
          <w:b/>
          <w:szCs w:val="21"/>
          <w:highlight w:val="none"/>
          <w:lang w:val="en-US" w:eastAsia="zh-CN"/>
        </w:rPr>
      </w:pPr>
      <w:r>
        <w:rPr>
          <w:rFonts w:hint="eastAsia"/>
          <w:highlight w:val="none"/>
          <w:lang w:val="en-US" w:eastAsia="zh-CN"/>
        </w:rPr>
        <w:t xml:space="preserve">    </w:t>
      </w:r>
      <w:r>
        <w:rPr>
          <w:rFonts w:hint="eastAsia" w:ascii="宋体" w:hAnsi="宋体" w:cs="宋体"/>
          <w:b/>
          <w:szCs w:val="21"/>
          <w:highlight w:val="none"/>
        </w:rPr>
        <w:t>3.4</w:t>
      </w:r>
      <w:r>
        <w:rPr>
          <w:rFonts w:hint="eastAsia" w:ascii="宋体" w:hAnsi="宋体" w:cs="宋体"/>
          <w:b/>
          <w:szCs w:val="21"/>
          <w:highlight w:val="none"/>
          <w:lang w:val="en-US" w:eastAsia="zh-CN"/>
        </w:rPr>
        <w:t xml:space="preserve"> </w:t>
      </w:r>
      <w:r>
        <w:rPr>
          <w:rFonts w:hint="eastAsia" w:ascii="宋体" w:hAnsi="宋体" w:cs="宋体"/>
          <w:b/>
          <w:szCs w:val="21"/>
          <w:highlight w:val="none"/>
        </w:rPr>
        <w:t>资格审查</w:t>
      </w:r>
      <w:r>
        <w:rPr>
          <w:rFonts w:hint="eastAsia" w:ascii="宋体" w:hAnsi="宋体" w:cs="宋体"/>
          <w:b/>
          <w:szCs w:val="21"/>
          <w:highlight w:val="none"/>
          <w:lang w:eastAsia="zh-CN"/>
        </w:rPr>
        <w:t>可选</w:t>
      </w:r>
      <w:r>
        <w:rPr>
          <w:rFonts w:hint="eastAsia" w:ascii="宋体" w:hAnsi="宋体" w:cs="宋体"/>
          <w:b/>
          <w:szCs w:val="21"/>
          <w:highlight w:val="none"/>
        </w:rPr>
        <w:t>条件：</w:t>
      </w:r>
    </w:p>
    <w:p w14:paraId="061B9C00">
      <w:pPr>
        <w:pStyle w:val="7"/>
        <w:keepNext w:val="0"/>
        <w:keepLines w:val="0"/>
        <w:pageBreakBefore w:val="0"/>
        <w:widowControl w:val="0"/>
        <w:kinsoku/>
        <w:wordWrap/>
        <w:overflowPunct/>
        <w:topLinePunct w:val="0"/>
        <w:autoSpaceDE/>
        <w:autoSpaceDN/>
        <w:bidi w:val="0"/>
        <w:snapToGrid w:val="0"/>
        <w:spacing w:line="336" w:lineRule="auto"/>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sym w:font="Wingdings 2" w:char="0052"/>
      </w:r>
      <w:r>
        <w:rPr>
          <w:rFonts w:hint="eastAsia" w:ascii="宋体" w:hAnsi="宋体" w:eastAsia="宋体" w:cs="宋体"/>
          <w:kern w:val="2"/>
          <w:sz w:val="21"/>
          <w:szCs w:val="21"/>
          <w:highlight w:val="none"/>
          <w:lang w:val="en-US" w:eastAsia="zh-CN" w:bidi="ar-SA"/>
        </w:rPr>
        <w:t xml:space="preserve"> 3.4.1 自 2024 年10月1日以来（近2年内），投标人和拟派项目负责人没有因串通投标、弄虚作假、以他人名义投标、骗取中标、转包、违法分包等违法行为受到建设等有关部门行政处罚的；</w:t>
      </w:r>
    </w:p>
    <w:p w14:paraId="59399495">
      <w:pPr>
        <w:pStyle w:val="7"/>
        <w:keepNext w:val="0"/>
        <w:keepLines w:val="0"/>
        <w:pageBreakBefore w:val="0"/>
        <w:widowControl w:val="0"/>
        <w:kinsoku/>
        <w:wordWrap/>
        <w:overflowPunct/>
        <w:topLinePunct w:val="0"/>
        <w:autoSpaceDE/>
        <w:autoSpaceDN/>
        <w:bidi w:val="0"/>
        <w:snapToGrid w:val="0"/>
        <w:spacing w:line="336" w:lineRule="auto"/>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sym w:font="Wingdings 2" w:char="0052"/>
      </w:r>
      <w:r>
        <w:rPr>
          <w:rFonts w:hint="eastAsia" w:ascii="宋体" w:hAnsi="宋体" w:eastAsia="宋体" w:cs="宋体"/>
          <w:kern w:val="2"/>
          <w:sz w:val="21"/>
          <w:szCs w:val="21"/>
          <w:highlight w:val="none"/>
          <w:lang w:val="en-US" w:eastAsia="zh-CN" w:bidi="ar-SA"/>
        </w:rPr>
        <w:t xml:space="preserve"> 3.4.2 自 2025 年10月1日以来（近1年内），投标人没有无正当理由放弃中标资格（不含项目负责人多投多中后放弃）、不与招标人订立合同、拒不提供履约担保情形的；</w:t>
      </w:r>
    </w:p>
    <w:p w14:paraId="0DFF953C">
      <w:pPr>
        <w:pStyle w:val="7"/>
        <w:keepNext w:val="0"/>
        <w:keepLines w:val="0"/>
        <w:pageBreakBefore w:val="0"/>
        <w:widowControl w:val="0"/>
        <w:kinsoku/>
        <w:wordWrap/>
        <w:overflowPunct/>
        <w:topLinePunct w:val="0"/>
        <w:autoSpaceDE/>
        <w:autoSpaceDN/>
        <w:bidi w:val="0"/>
        <w:snapToGrid w:val="0"/>
        <w:spacing w:line="336" w:lineRule="auto"/>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sym w:font="Wingdings 2" w:char="0052"/>
      </w:r>
      <w:r>
        <w:rPr>
          <w:rFonts w:hint="eastAsia" w:ascii="宋体" w:hAnsi="宋体" w:eastAsia="宋体" w:cs="宋体"/>
          <w:kern w:val="2"/>
          <w:sz w:val="21"/>
          <w:szCs w:val="21"/>
          <w:highlight w:val="none"/>
          <w:lang w:val="en-US" w:eastAsia="zh-CN" w:bidi="ar-SA"/>
        </w:rPr>
        <w:t xml:space="preserve"> 3.4.3 自 2021 年10 月1日以来（近5年内），投标人或者拟派项目负责人在招标人之前的工程中没有履约评价不合格的，履约评价不合格的名单如下： /</w:t>
      </w:r>
    </w:p>
    <w:p w14:paraId="4777A6F1">
      <w:pPr>
        <w:keepNext w:val="0"/>
        <w:keepLines w:val="0"/>
        <w:pageBreakBefore w:val="0"/>
        <w:kinsoku/>
        <w:wordWrap/>
        <w:overflowPunct/>
        <w:topLinePunct w:val="0"/>
        <w:autoSpaceDE/>
        <w:autoSpaceDN/>
        <w:bidi w:val="0"/>
        <w:adjustRightInd w:val="0"/>
        <w:snapToGrid w:val="0"/>
        <w:spacing w:line="336" w:lineRule="auto"/>
        <w:ind w:firstLine="422" w:firstLineChars="200"/>
        <w:jc w:val="left"/>
        <w:textAlignment w:val="auto"/>
        <w:rPr>
          <w:rFonts w:hint="eastAsia" w:ascii="宋体" w:hAnsi="宋体" w:cs="宋体"/>
          <w:b/>
          <w:bCs/>
          <w:szCs w:val="21"/>
          <w:highlight w:val="none"/>
        </w:rPr>
      </w:pPr>
      <w:r>
        <w:rPr>
          <w:rFonts w:hint="eastAsia" w:ascii="宋体" w:hAnsi="宋体" w:cs="宋体"/>
          <w:b/>
          <w:szCs w:val="21"/>
          <w:highlight w:val="none"/>
          <w:lang w:val="en-US" w:eastAsia="zh-CN"/>
        </w:rPr>
        <w:t xml:space="preserve">3.5 </w:t>
      </w:r>
      <w:r>
        <w:rPr>
          <w:rFonts w:hint="eastAsia" w:ascii="宋体" w:hAnsi="宋体" w:cs="宋体"/>
          <w:b/>
          <w:szCs w:val="21"/>
          <w:highlight w:val="none"/>
        </w:rPr>
        <w:t>本工程不接受联合体投标。</w:t>
      </w:r>
    </w:p>
    <w:p w14:paraId="5D470CF2">
      <w:pPr>
        <w:keepNext w:val="0"/>
        <w:keepLines w:val="0"/>
        <w:pageBreakBefore w:val="0"/>
        <w:numPr>
          <w:ilvl w:val="0"/>
          <w:numId w:val="2"/>
        </w:numPr>
        <w:kinsoku/>
        <w:wordWrap/>
        <w:overflowPunct/>
        <w:topLinePunct w:val="0"/>
        <w:autoSpaceDE/>
        <w:autoSpaceDN/>
        <w:bidi w:val="0"/>
        <w:adjustRightInd w:val="0"/>
        <w:snapToGrid w:val="0"/>
        <w:spacing w:line="336" w:lineRule="auto"/>
        <w:jc w:val="left"/>
        <w:textAlignment w:val="auto"/>
        <w:rPr>
          <w:rFonts w:hint="eastAsia" w:ascii="宋体" w:hAnsi="宋体" w:cs="宋体"/>
          <w:b/>
          <w:sz w:val="24"/>
          <w:highlight w:val="none"/>
          <w:lang w:eastAsia="zh-CN"/>
        </w:rPr>
      </w:pPr>
      <w:r>
        <w:rPr>
          <w:rFonts w:hint="eastAsia" w:ascii="宋体" w:hAnsi="宋体" w:cs="宋体"/>
          <w:b/>
          <w:sz w:val="24"/>
          <w:highlight w:val="none"/>
        </w:rPr>
        <w:t>资格审查办法</w:t>
      </w:r>
    </w:p>
    <w:p w14:paraId="22DADF65">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rPr>
          <w:rFonts w:hint="default" w:ascii="宋体" w:hAnsi="宋体" w:eastAsia="宋体" w:cs="宋体"/>
          <w:szCs w:val="21"/>
          <w:highlight w:val="none"/>
          <w:u w:val="none"/>
          <w:lang w:val="en-US" w:eastAsia="zh-CN"/>
        </w:rPr>
      </w:pPr>
      <w:r>
        <w:rPr>
          <w:rFonts w:hint="eastAsia" w:ascii="宋体" w:hAnsi="宋体" w:eastAsia="宋体" w:cs="宋体"/>
          <w:szCs w:val="21"/>
          <w:highlight w:val="none"/>
          <w:u w:val="none"/>
          <w:lang w:val="en-US" w:eastAsia="zh-CN"/>
        </w:rPr>
        <w:t>详见本项目招标文件第三章。</w:t>
      </w:r>
    </w:p>
    <w:p w14:paraId="74EA66F1">
      <w:pPr>
        <w:keepNext w:val="0"/>
        <w:keepLines w:val="0"/>
        <w:pageBreakBefore w:val="0"/>
        <w:numPr>
          <w:ilvl w:val="0"/>
          <w:numId w:val="2"/>
        </w:numPr>
        <w:kinsoku/>
        <w:wordWrap/>
        <w:overflowPunct/>
        <w:topLinePunct w:val="0"/>
        <w:autoSpaceDE/>
        <w:autoSpaceDN/>
        <w:bidi w:val="0"/>
        <w:adjustRightInd w:val="0"/>
        <w:snapToGrid w:val="0"/>
        <w:spacing w:line="336" w:lineRule="auto"/>
        <w:ind w:left="0" w:leftChars="0" w:firstLine="0" w:firstLineChars="0"/>
        <w:jc w:val="left"/>
        <w:textAlignment w:val="auto"/>
        <w:rPr>
          <w:rFonts w:hint="eastAsia" w:ascii="宋体" w:hAnsi="宋体" w:cs="宋体"/>
          <w:b/>
          <w:sz w:val="24"/>
          <w:highlight w:val="none"/>
        </w:rPr>
      </w:pPr>
      <w:r>
        <w:rPr>
          <w:rFonts w:hint="eastAsia" w:ascii="宋体" w:hAnsi="宋体" w:cs="宋体"/>
          <w:b/>
          <w:sz w:val="24"/>
          <w:highlight w:val="none"/>
        </w:rPr>
        <w:t>评标办法</w:t>
      </w:r>
    </w:p>
    <w:p w14:paraId="2288611E">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rPr>
          <w:rFonts w:hint="default" w:ascii="宋体" w:hAnsi="宋体" w:eastAsia="宋体" w:cs="宋体"/>
          <w:szCs w:val="21"/>
          <w:highlight w:val="none"/>
          <w:u w:val="none"/>
          <w:lang w:val="en-US" w:eastAsia="zh-CN"/>
        </w:rPr>
      </w:pPr>
      <w:r>
        <w:rPr>
          <w:rFonts w:hint="eastAsia" w:ascii="宋体" w:hAnsi="宋体" w:eastAsia="宋体" w:cs="宋体"/>
          <w:szCs w:val="21"/>
          <w:highlight w:val="none"/>
          <w:u w:val="none"/>
          <w:lang w:val="en-US" w:eastAsia="zh-CN"/>
        </w:rPr>
        <w:t>详见本项目招标文件第三章。</w:t>
      </w:r>
    </w:p>
    <w:p w14:paraId="0FD59CC7">
      <w:pPr>
        <w:keepNext w:val="0"/>
        <w:keepLines w:val="0"/>
        <w:pageBreakBefore w:val="0"/>
        <w:kinsoku/>
        <w:wordWrap/>
        <w:overflowPunct/>
        <w:topLinePunct w:val="0"/>
        <w:autoSpaceDE/>
        <w:autoSpaceDN/>
        <w:bidi w:val="0"/>
        <w:adjustRightInd w:val="0"/>
        <w:snapToGrid w:val="0"/>
        <w:spacing w:line="336" w:lineRule="auto"/>
        <w:jc w:val="left"/>
        <w:textAlignment w:val="auto"/>
        <w:rPr>
          <w:rFonts w:hint="eastAsia" w:ascii="宋体" w:hAnsi="宋体" w:cs="宋体"/>
          <w:b/>
          <w:color w:val="auto"/>
          <w:sz w:val="24"/>
          <w:highlight w:val="none"/>
        </w:rPr>
      </w:pPr>
      <w:r>
        <w:rPr>
          <w:rFonts w:hint="eastAsia" w:ascii="宋体" w:hAnsi="宋体" w:cs="宋体"/>
          <w:b/>
          <w:sz w:val="24"/>
          <w:highlight w:val="none"/>
        </w:rPr>
        <w:t>6.招标文件的</w:t>
      </w:r>
      <w:r>
        <w:rPr>
          <w:rFonts w:hint="eastAsia" w:ascii="宋体" w:hAnsi="宋体" w:cs="宋体"/>
          <w:b/>
          <w:color w:val="auto"/>
          <w:sz w:val="24"/>
          <w:highlight w:val="none"/>
        </w:rPr>
        <w:t>获取</w:t>
      </w:r>
    </w:p>
    <w:p w14:paraId="24C671CB">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6.1</w:t>
      </w:r>
      <w:r>
        <w:rPr>
          <w:rFonts w:hint="eastAsia" w:ascii="宋体" w:hAnsi="宋体" w:cs="宋体"/>
          <w:kern w:val="0"/>
          <w:szCs w:val="21"/>
          <w:highlight w:val="none"/>
        </w:rPr>
        <w:t>招标文件获取时间为：</w:t>
      </w:r>
      <w:r>
        <w:rPr>
          <w:rFonts w:hint="eastAsia" w:ascii="宋体" w:hAnsi="宋体" w:cs="宋体"/>
          <w:kern w:val="0"/>
          <w:szCs w:val="21"/>
          <w:highlight w:val="none"/>
          <w:u w:val="none"/>
          <w:lang w:val="en-US" w:eastAsia="zh-CN"/>
        </w:rPr>
        <w:t>自公告发布之日起</w:t>
      </w:r>
      <w:r>
        <w:rPr>
          <w:rFonts w:hint="eastAsia" w:ascii="宋体" w:hAnsi="宋体" w:cs="宋体"/>
          <w:kern w:val="0"/>
          <w:szCs w:val="21"/>
          <w:highlight w:val="none"/>
        </w:rPr>
        <w:t>至</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single"/>
          <w:lang w:val="en-US" w:eastAsia="zh-CN"/>
        </w:rPr>
        <w:t>2026</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年</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single"/>
          <w:lang w:val="en-US" w:eastAsia="zh-CN"/>
        </w:rPr>
        <w:t>10</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月</w:t>
      </w:r>
      <w:r>
        <w:rPr>
          <w:rFonts w:hint="eastAsia" w:ascii="宋体" w:hAnsi="宋体" w:cs="宋体"/>
          <w:kern w:val="0"/>
          <w:szCs w:val="21"/>
          <w:highlight w:val="none"/>
          <w:u w:val="single"/>
          <w:lang w:val="en-US" w:eastAsia="zh-CN"/>
        </w:rPr>
        <w:t>22</w:t>
      </w:r>
      <w:r>
        <w:rPr>
          <w:rFonts w:hint="eastAsia" w:ascii="宋体" w:hAnsi="宋体" w:cs="宋体"/>
          <w:kern w:val="0"/>
          <w:szCs w:val="21"/>
          <w:highlight w:val="none"/>
        </w:rPr>
        <w:t>日。</w:t>
      </w:r>
    </w:p>
    <w:p w14:paraId="76EEDA6F">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6.2招标文件获取方式：</w:t>
      </w:r>
      <w:r>
        <w:rPr>
          <w:rFonts w:hint="eastAsia" w:ascii="宋体" w:hAnsi="宋体" w:eastAsia="宋体" w:cs="宋体"/>
          <w:color w:val="000000"/>
          <w:highlight w:val="none"/>
        </w:rPr>
        <w:t>在南通轨道交通集团有限公司官</w:t>
      </w:r>
      <w:r>
        <w:rPr>
          <w:rFonts w:hint="eastAsia" w:ascii="宋体" w:hAnsi="宋体" w:eastAsia="宋体" w:cs="宋体"/>
          <w:color w:val="000000"/>
          <w:highlight w:val="none"/>
          <w:lang w:eastAsia="zh-CN"/>
        </w:rPr>
        <w:t>网</w:t>
      </w:r>
      <w:r>
        <w:rPr>
          <w:rFonts w:hint="eastAsia" w:ascii="宋体" w:hAnsi="宋体" w:eastAsia="宋体" w:cs="宋体"/>
          <w:color w:val="000000"/>
          <w:highlight w:val="none"/>
        </w:rPr>
        <w:t>（www.ntrailway.com）首页点击进入“招标投标”，找到该项目点击进入即可下载</w:t>
      </w:r>
      <w:r>
        <w:rPr>
          <w:rFonts w:hint="eastAsia" w:ascii="宋体" w:hAnsi="宋体" w:cs="宋体"/>
          <w:szCs w:val="21"/>
          <w:highlight w:val="none"/>
        </w:rPr>
        <w:t>。</w:t>
      </w:r>
    </w:p>
    <w:p w14:paraId="716D3B21">
      <w:pPr>
        <w:keepNext w:val="0"/>
        <w:keepLines w:val="0"/>
        <w:pageBreakBefore w:val="0"/>
        <w:kinsoku/>
        <w:wordWrap/>
        <w:overflowPunct/>
        <w:topLinePunct w:val="0"/>
        <w:autoSpaceDE/>
        <w:autoSpaceDN/>
        <w:bidi w:val="0"/>
        <w:adjustRightInd w:val="0"/>
        <w:snapToGrid w:val="0"/>
        <w:spacing w:line="336" w:lineRule="auto"/>
        <w:jc w:val="left"/>
        <w:textAlignment w:val="auto"/>
        <w:rPr>
          <w:rFonts w:hint="eastAsia" w:ascii="宋体" w:hAnsi="宋体" w:cs="宋体"/>
          <w:b/>
          <w:sz w:val="24"/>
          <w:highlight w:val="none"/>
        </w:rPr>
      </w:pPr>
      <w:r>
        <w:rPr>
          <w:rFonts w:hint="eastAsia" w:ascii="宋体" w:hAnsi="宋体" w:cs="宋体"/>
          <w:b/>
          <w:sz w:val="24"/>
          <w:highlight w:val="none"/>
        </w:rPr>
        <w:t>7.投标文件的递交</w:t>
      </w:r>
    </w:p>
    <w:p w14:paraId="51F6D513">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rPr>
          <w:rFonts w:hint="eastAsia" w:ascii="宋体" w:hAnsi="宋体" w:cs="宋体"/>
          <w:szCs w:val="21"/>
          <w:highlight w:val="none"/>
        </w:rPr>
      </w:pPr>
      <w:bookmarkStart w:id="27" w:name="OLE_LINK1"/>
      <w:r>
        <w:rPr>
          <w:rFonts w:hint="eastAsia" w:ascii="宋体" w:hAnsi="宋体" w:cs="宋体"/>
          <w:szCs w:val="21"/>
          <w:highlight w:val="none"/>
        </w:rPr>
        <w:t>7.1 投标截止时间为</w:t>
      </w:r>
      <w:r>
        <w:rPr>
          <w:rFonts w:hint="eastAsia" w:ascii="宋体" w:hAnsi="宋体" w:cs="宋体"/>
          <w:kern w:val="0"/>
          <w:szCs w:val="21"/>
          <w:highlight w:val="none"/>
        </w:rPr>
        <w:t xml:space="preserve"> ：</w:t>
      </w:r>
      <w:r>
        <w:rPr>
          <w:rFonts w:hint="eastAsia" w:ascii="宋体" w:hAnsi="宋体" w:cs="宋体"/>
          <w:color w:val="auto"/>
          <w:kern w:val="0"/>
          <w:szCs w:val="21"/>
          <w:highlight w:val="none"/>
          <w:u w:val="single"/>
          <w:lang w:val="en-US" w:eastAsia="zh-CN"/>
        </w:rPr>
        <w:t>2026</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lang w:val="en-US" w:eastAsia="zh-CN"/>
        </w:rPr>
        <w:t>10</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lang w:val="en-US" w:eastAsia="zh-CN"/>
        </w:rPr>
        <w:t>22</w:t>
      </w:r>
      <w:r>
        <w:rPr>
          <w:rFonts w:hint="eastAsia" w:ascii="宋体" w:hAnsi="宋体" w:cs="宋体"/>
          <w:color w:val="auto"/>
          <w:kern w:val="0"/>
          <w:szCs w:val="21"/>
          <w:highlight w:val="none"/>
        </w:rPr>
        <w:t>日</w:t>
      </w:r>
      <w:r>
        <w:rPr>
          <w:rFonts w:hint="eastAsia" w:ascii="宋体" w:hAnsi="宋体" w:cs="宋体"/>
          <w:color w:val="auto"/>
          <w:kern w:val="0"/>
          <w:szCs w:val="21"/>
          <w:highlight w:val="none"/>
          <w:u w:val="single"/>
          <w:lang w:val="en-US" w:eastAsia="zh-CN"/>
        </w:rPr>
        <w:t>14</w:t>
      </w:r>
      <w:r>
        <w:rPr>
          <w:rFonts w:hint="eastAsia" w:ascii="宋体" w:hAnsi="宋体" w:cs="宋体"/>
          <w:color w:val="auto"/>
          <w:kern w:val="0"/>
          <w:szCs w:val="21"/>
          <w:highlight w:val="none"/>
        </w:rPr>
        <w:t>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00</w:t>
      </w:r>
      <w:r>
        <w:rPr>
          <w:rFonts w:hint="eastAsia" w:ascii="宋体" w:hAnsi="宋体" w:cs="宋体"/>
          <w:color w:val="auto"/>
          <w:kern w:val="0"/>
          <w:szCs w:val="21"/>
          <w:highlight w:val="none"/>
        </w:rPr>
        <w:t>分</w:t>
      </w:r>
      <w:r>
        <w:rPr>
          <w:rFonts w:hint="eastAsia" w:ascii="宋体" w:hAnsi="宋体" w:cs="宋体"/>
          <w:szCs w:val="21"/>
          <w:highlight w:val="none"/>
        </w:rPr>
        <w:t>。投标人在投标截止时间前，</w:t>
      </w:r>
      <w:r>
        <w:rPr>
          <w:rFonts w:hint="eastAsia" w:ascii="宋体" w:hAnsi="宋体" w:cs="宋体"/>
          <w:szCs w:val="21"/>
          <w:highlight w:val="none"/>
          <w:lang w:eastAsia="zh-CN"/>
        </w:rPr>
        <w:t>将</w:t>
      </w:r>
      <w:r>
        <w:rPr>
          <w:rFonts w:hint="eastAsia" w:ascii="宋体" w:hAnsi="宋体" w:cs="宋体"/>
          <w:szCs w:val="21"/>
          <w:highlight w:val="none"/>
        </w:rPr>
        <w:t>投标文件</w:t>
      </w:r>
      <w:r>
        <w:rPr>
          <w:rFonts w:hint="eastAsia" w:ascii="宋体" w:hAnsi="宋体" w:cs="宋体"/>
          <w:szCs w:val="21"/>
          <w:highlight w:val="none"/>
          <w:lang w:eastAsia="zh-CN"/>
        </w:rPr>
        <w:t>密封递交至</w:t>
      </w:r>
      <w:r>
        <w:rPr>
          <w:rFonts w:hint="eastAsia" w:ascii="宋体" w:hAnsi="宋体" w:cs="宋体"/>
          <w:color w:val="auto"/>
          <w:kern w:val="0"/>
          <w:szCs w:val="21"/>
          <w:highlight w:val="none"/>
          <w:u w:val="single"/>
        </w:rPr>
        <w:t xml:space="preserve"> 南通市崇川区崇川路158号</w:t>
      </w:r>
      <w:r>
        <w:rPr>
          <w:rFonts w:hint="eastAsia" w:ascii="宋体" w:hAnsi="宋体" w:cs="宋体"/>
          <w:color w:val="auto"/>
          <w:kern w:val="0"/>
          <w:szCs w:val="21"/>
          <w:highlight w:val="none"/>
          <w:u w:val="single"/>
          <w:lang w:eastAsia="zh-CN"/>
        </w:rPr>
        <w:t>轨交集团</w:t>
      </w:r>
      <w:r>
        <w:rPr>
          <w:rFonts w:hint="eastAsia" w:ascii="宋体" w:hAnsi="宋体" w:cs="宋体"/>
          <w:color w:val="auto"/>
          <w:kern w:val="0"/>
          <w:szCs w:val="21"/>
          <w:highlight w:val="none"/>
          <w:u w:val="single"/>
        </w:rPr>
        <w:t>15楼开标室</w:t>
      </w:r>
      <w:r>
        <w:rPr>
          <w:rFonts w:hint="eastAsia" w:ascii="宋体" w:hAnsi="宋体" w:cs="宋体"/>
          <w:color w:val="auto"/>
          <w:kern w:val="0"/>
          <w:szCs w:val="21"/>
          <w:highlight w:val="none"/>
          <w:u w:val="single"/>
          <w:lang w:val="en-US" w:eastAsia="zh-CN"/>
        </w:rPr>
        <w:t xml:space="preserve"> </w:t>
      </w:r>
      <w:r>
        <w:rPr>
          <w:rFonts w:hint="eastAsia" w:ascii="宋体" w:hAnsi="宋体" w:cs="宋体"/>
          <w:szCs w:val="21"/>
          <w:highlight w:val="none"/>
        </w:rPr>
        <w:t>。</w:t>
      </w:r>
    </w:p>
    <w:p w14:paraId="2587829A">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rPr>
          <w:rFonts w:hint="eastAsia" w:ascii="宋体" w:hAnsi="宋体" w:cs="宋体"/>
          <w:szCs w:val="21"/>
          <w:highlight w:val="none"/>
          <w:lang w:val="en-US" w:eastAsia="zh-CN"/>
        </w:rPr>
      </w:pPr>
      <w:r>
        <w:rPr>
          <w:rFonts w:hint="eastAsia" w:ascii="宋体" w:hAnsi="宋体" w:eastAsia="宋体" w:cs="宋体"/>
          <w:szCs w:val="21"/>
          <w:highlight w:val="none"/>
        </w:rPr>
        <w:t>7.2</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以联合体形式投标的，由联合体牵头人完成投标文件递交（本工程不适用）。</w:t>
      </w:r>
    </w:p>
    <w:p w14:paraId="512CC7E8">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lang w:val="en-US" w:eastAsia="zh-CN"/>
        </w:rPr>
        <w:t xml:space="preserve">7.3 </w:t>
      </w:r>
      <w:r>
        <w:rPr>
          <w:rFonts w:hint="eastAsia" w:ascii="宋体" w:hAnsi="宋体" w:cs="宋体"/>
          <w:szCs w:val="21"/>
          <w:highlight w:val="none"/>
        </w:rPr>
        <w:t>逾期未</w:t>
      </w:r>
      <w:r>
        <w:rPr>
          <w:rFonts w:hint="eastAsia" w:ascii="宋体" w:hAnsi="宋体" w:cs="宋体"/>
          <w:szCs w:val="21"/>
          <w:highlight w:val="none"/>
          <w:lang w:eastAsia="zh-CN"/>
        </w:rPr>
        <w:t>递交或未按招标文件规定密封的</w:t>
      </w:r>
      <w:r>
        <w:rPr>
          <w:rFonts w:hint="eastAsia" w:ascii="宋体" w:hAnsi="宋体" w:cs="宋体"/>
          <w:szCs w:val="21"/>
          <w:highlight w:val="none"/>
        </w:rPr>
        <w:t>，</w:t>
      </w:r>
      <w:r>
        <w:rPr>
          <w:rFonts w:hint="eastAsia" w:ascii="宋体" w:hAnsi="宋体" w:cs="宋体"/>
          <w:szCs w:val="21"/>
          <w:highlight w:val="none"/>
          <w:lang w:eastAsia="zh-CN"/>
        </w:rPr>
        <w:t>招标人</w:t>
      </w:r>
      <w:r>
        <w:rPr>
          <w:rFonts w:hint="eastAsia" w:ascii="宋体" w:hAnsi="宋体" w:cs="宋体"/>
          <w:szCs w:val="21"/>
          <w:highlight w:val="none"/>
        </w:rPr>
        <w:t>将拒绝接收。</w:t>
      </w:r>
    </w:p>
    <w:bookmarkEnd w:id="27"/>
    <w:p w14:paraId="19E3338F">
      <w:pPr>
        <w:keepNext w:val="0"/>
        <w:keepLines w:val="0"/>
        <w:pageBreakBefore w:val="0"/>
        <w:kinsoku/>
        <w:wordWrap/>
        <w:overflowPunct/>
        <w:topLinePunct w:val="0"/>
        <w:autoSpaceDE/>
        <w:autoSpaceDN/>
        <w:bidi w:val="0"/>
        <w:adjustRightInd w:val="0"/>
        <w:snapToGrid w:val="0"/>
        <w:spacing w:line="336" w:lineRule="auto"/>
        <w:jc w:val="left"/>
        <w:textAlignment w:val="auto"/>
        <w:rPr>
          <w:rFonts w:hint="eastAsia" w:ascii="宋体" w:hAnsi="宋体" w:cs="宋体"/>
          <w:b/>
          <w:sz w:val="24"/>
          <w:highlight w:val="none"/>
        </w:rPr>
      </w:pPr>
      <w:r>
        <w:rPr>
          <w:rFonts w:hint="eastAsia" w:ascii="宋体" w:hAnsi="宋体" w:cs="宋体"/>
          <w:b/>
          <w:sz w:val="24"/>
          <w:highlight w:val="none"/>
        </w:rPr>
        <w:t>8.其他要求</w:t>
      </w:r>
    </w:p>
    <w:p w14:paraId="423FAB3E">
      <w:pPr>
        <w:keepNext w:val="0"/>
        <w:keepLines w:val="0"/>
        <w:pageBreakBefore w:val="0"/>
        <w:tabs>
          <w:tab w:val="left" w:pos="315"/>
        </w:tabs>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 xml:space="preserve">8.1 </w:t>
      </w:r>
      <w:r>
        <w:rPr>
          <w:rFonts w:hint="eastAsia" w:ascii="宋体" w:hAnsi="宋体" w:eastAsia="宋体" w:cs="宋体"/>
          <w:szCs w:val="21"/>
          <w:highlight w:val="none"/>
          <w:lang w:eastAsia="zh-CN"/>
        </w:rPr>
        <w:t>招标公告系招标文件的组成部分，与招标文件具有同等法律效力。</w:t>
      </w:r>
    </w:p>
    <w:p w14:paraId="3E64AF3F">
      <w:pPr>
        <w:keepNext w:val="0"/>
        <w:keepLines w:val="0"/>
        <w:pageBreakBefore w:val="0"/>
        <w:tabs>
          <w:tab w:val="left" w:pos="315"/>
        </w:tabs>
        <w:kinsoku/>
        <w:wordWrap/>
        <w:overflowPunct/>
        <w:topLinePunct w:val="0"/>
        <w:autoSpaceDE/>
        <w:autoSpaceDN/>
        <w:bidi w:val="0"/>
        <w:adjustRightInd w:val="0"/>
        <w:snapToGrid w:val="0"/>
        <w:spacing w:line="336" w:lineRule="auto"/>
        <w:jc w:val="left"/>
        <w:textAlignment w:val="auto"/>
        <w:rPr>
          <w:rFonts w:hint="eastAsia" w:ascii="宋体" w:hAnsi="宋体" w:cs="宋体"/>
          <w:b/>
          <w:sz w:val="24"/>
          <w:highlight w:val="none"/>
        </w:rPr>
      </w:pPr>
      <w:r>
        <w:rPr>
          <w:rFonts w:hint="eastAsia" w:ascii="宋体" w:hAnsi="宋体" w:cs="宋体"/>
          <w:b/>
          <w:sz w:val="24"/>
          <w:highlight w:val="none"/>
        </w:rPr>
        <w:t>9．</w:t>
      </w:r>
      <w:r>
        <w:rPr>
          <w:rFonts w:hint="eastAsia" w:ascii="宋体" w:hAnsi="宋体" w:cs="宋体"/>
          <w:b/>
          <w:sz w:val="24"/>
          <w:highlight w:val="none"/>
        </w:rPr>
        <w:t>发布公告的媒介</w:t>
      </w:r>
    </w:p>
    <w:p w14:paraId="63700A08">
      <w:pPr>
        <w:pStyle w:val="42"/>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9.1本次招标公告在</w:t>
      </w:r>
      <w:r>
        <w:rPr>
          <w:rFonts w:hint="eastAsia" w:ascii="宋体" w:hAnsi="宋体" w:cs="宋体"/>
          <w:szCs w:val="21"/>
          <w:highlight w:val="none"/>
          <w:u w:val="single"/>
        </w:rPr>
        <w:t xml:space="preserve"> </w:t>
      </w:r>
      <w:r>
        <w:rPr>
          <w:rFonts w:hint="eastAsia" w:ascii="宋体" w:hAnsi="宋体" w:eastAsia="宋体" w:cs="宋体"/>
          <w:color w:val="000000"/>
          <w:highlight w:val="none"/>
          <w:u w:val="single"/>
        </w:rPr>
        <w:t>南通轨道交通集团有限公司官</w:t>
      </w:r>
      <w:r>
        <w:rPr>
          <w:rFonts w:hint="eastAsia" w:ascii="宋体" w:hAnsi="宋体" w:eastAsia="宋体" w:cs="宋体"/>
          <w:color w:val="000000"/>
          <w:highlight w:val="none"/>
          <w:u w:val="single"/>
          <w:lang w:eastAsia="zh-CN"/>
        </w:rPr>
        <w:t>网</w:t>
      </w:r>
      <w:r>
        <w:rPr>
          <w:rFonts w:hint="eastAsia" w:ascii="宋体" w:hAnsi="宋体" w:eastAsia="宋体" w:cs="宋体"/>
          <w:color w:val="000000"/>
          <w:highlight w:val="none"/>
          <w:u w:val="single"/>
        </w:rPr>
        <w:t>（www.ntrailway.com）</w:t>
      </w:r>
      <w:r>
        <w:rPr>
          <w:rFonts w:hint="eastAsia" w:ascii="宋体" w:hAnsi="宋体" w:eastAsia="宋体" w:cs="宋体"/>
          <w:color w:val="000000"/>
          <w:highlight w:val="none"/>
          <w:u w:val="single"/>
          <w:lang w:val="en-US" w:eastAsia="zh-CN"/>
        </w:rPr>
        <w:t xml:space="preserve"> </w:t>
      </w:r>
      <w:r>
        <w:rPr>
          <w:rFonts w:hint="eastAsia" w:ascii="宋体" w:hAnsi="宋体" w:cs="宋体"/>
          <w:szCs w:val="21"/>
          <w:highlight w:val="none"/>
        </w:rPr>
        <w:t>上发布；</w:t>
      </w:r>
    </w:p>
    <w:p w14:paraId="19EFFC6C">
      <w:pPr>
        <w:pStyle w:val="42"/>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9.2本次招标公告为第</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1 </w:t>
      </w:r>
      <w:r>
        <w:rPr>
          <w:rFonts w:hint="eastAsia" w:ascii="宋体" w:hAnsi="宋体" w:cs="宋体"/>
          <w:szCs w:val="21"/>
          <w:highlight w:val="none"/>
        </w:rPr>
        <w:t>次发布。</w:t>
      </w:r>
    </w:p>
    <w:p w14:paraId="1FFC785A">
      <w:pPr>
        <w:pStyle w:val="42"/>
        <w:keepNext w:val="0"/>
        <w:keepLines w:val="0"/>
        <w:pageBreakBefore w:val="0"/>
        <w:widowControl/>
        <w:numPr>
          <w:ilvl w:val="0"/>
          <w:numId w:val="0"/>
        </w:numPr>
        <w:kinsoku/>
        <w:wordWrap/>
        <w:overflowPunct/>
        <w:topLinePunct w:val="0"/>
        <w:autoSpaceDE/>
        <w:autoSpaceDN/>
        <w:bidi w:val="0"/>
        <w:adjustRightInd w:val="0"/>
        <w:snapToGrid w:val="0"/>
        <w:spacing w:line="336" w:lineRule="auto"/>
        <w:jc w:val="left"/>
        <w:textAlignment w:val="auto"/>
        <w:rPr>
          <w:rFonts w:hint="eastAsia" w:ascii="宋体" w:hAnsi="宋体" w:cs="宋体"/>
          <w:b/>
          <w:sz w:val="24"/>
          <w:highlight w:val="none"/>
        </w:rPr>
      </w:pPr>
      <w:r>
        <w:rPr>
          <w:rFonts w:hint="eastAsia" w:ascii="宋体" w:hAnsi="宋体" w:cs="宋体"/>
          <w:b/>
          <w:sz w:val="24"/>
          <w:highlight w:val="none"/>
          <w:lang w:val="en-US" w:eastAsia="zh-CN"/>
        </w:rPr>
        <w:t>10.</w:t>
      </w:r>
      <w:r>
        <w:rPr>
          <w:rFonts w:hint="eastAsia" w:ascii="宋体" w:hAnsi="宋体" w:cs="宋体"/>
          <w:b/>
          <w:sz w:val="24"/>
          <w:highlight w:val="none"/>
        </w:rPr>
        <w:t>联系方式</w:t>
      </w:r>
    </w:p>
    <w:p w14:paraId="757F2068">
      <w:pPr>
        <w:keepNext w:val="0"/>
        <w:keepLines w:val="0"/>
        <w:pageBreakBefore w:val="0"/>
        <w:widowControl w:val="0"/>
        <w:kinsoku/>
        <w:wordWrap/>
        <w:overflowPunct/>
        <w:topLinePunct w:val="0"/>
        <w:autoSpaceDE/>
        <w:autoSpaceDN/>
        <w:bidi w:val="0"/>
        <w:adjustRightInd w:val="0"/>
        <w:snapToGrid w:val="0"/>
        <w:spacing w:line="336" w:lineRule="auto"/>
        <w:ind w:firstLine="420" w:firstLineChars="200"/>
        <w:contextualSpacing/>
        <w:textAlignment w:val="auto"/>
        <w:rPr>
          <w:rFonts w:hint="eastAsia" w:ascii="宋体" w:hAnsi="宋体" w:cs="宋体"/>
          <w:szCs w:val="21"/>
          <w:highlight w:val="none"/>
        </w:rPr>
      </w:pPr>
      <w:bookmarkStart w:id="28" w:name="_Toc15152"/>
      <w:r>
        <w:rPr>
          <w:rFonts w:hint="eastAsia" w:ascii="宋体" w:hAnsi="宋体" w:cs="宋体"/>
          <w:szCs w:val="21"/>
          <w:highlight w:val="none"/>
          <w:lang w:val="en-US" w:eastAsia="zh-CN"/>
        </w:rPr>
        <w:t>10</w:t>
      </w:r>
      <w:r>
        <w:rPr>
          <w:rFonts w:hint="eastAsia" w:ascii="宋体" w:hAnsi="宋体" w:cs="宋体"/>
          <w:szCs w:val="21"/>
          <w:highlight w:val="none"/>
        </w:rPr>
        <w:t>.1招标主体</w:t>
      </w:r>
      <w:bookmarkEnd w:id="28"/>
    </w:p>
    <w:tbl>
      <w:tblPr>
        <w:tblStyle w:val="23"/>
        <w:tblW w:w="9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294"/>
        <w:gridCol w:w="3355"/>
        <w:gridCol w:w="1594"/>
        <w:gridCol w:w="2917"/>
      </w:tblGrid>
      <w:tr w14:paraId="02A0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09" w:hRule="atLeast"/>
        </w:trPr>
        <w:tc>
          <w:tcPr>
            <w:tcW w:w="1294" w:type="dxa"/>
            <w:noWrap w:val="0"/>
            <w:vAlign w:val="center"/>
          </w:tcPr>
          <w:p w14:paraId="2CE28887">
            <w:pPr>
              <w:pStyle w:val="7"/>
              <w:ind w:left="0" w:leftChars="0" w:firstLine="0" w:firstLineChars="0"/>
              <w:jc w:val="center"/>
              <w:rPr>
                <w:rFonts w:hint="eastAsia"/>
                <w:highlight w:val="none"/>
                <w:vertAlign w:val="baseline"/>
              </w:rPr>
            </w:pPr>
            <w:r>
              <w:rPr>
                <w:rFonts w:hint="eastAsia" w:ascii="宋体" w:hAnsi="宋体" w:eastAsia="宋体" w:cs="宋体"/>
                <w:kern w:val="2"/>
                <w:sz w:val="21"/>
                <w:szCs w:val="21"/>
                <w:highlight w:val="none"/>
                <w:lang w:val="en-US" w:eastAsia="zh-CN" w:bidi="ar-SA"/>
              </w:rPr>
              <w:t>招标人</w:t>
            </w:r>
          </w:p>
        </w:tc>
        <w:tc>
          <w:tcPr>
            <w:tcW w:w="3355" w:type="dxa"/>
            <w:noWrap w:val="0"/>
            <w:vAlign w:val="center"/>
          </w:tcPr>
          <w:p w14:paraId="0B688988">
            <w:pPr>
              <w:pStyle w:val="7"/>
              <w:ind w:left="0" w:leftChars="0" w:firstLine="0" w:firstLineChars="0"/>
              <w:jc w:val="both"/>
              <w:rPr>
                <w:rFonts w:hint="eastAsia"/>
                <w:highlight w:val="none"/>
                <w:vertAlign w:val="baseline"/>
              </w:rPr>
            </w:pPr>
            <w:r>
              <w:rPr>
                <w:rFonts w:hint="eastAsia" w:ascii="宋体" w:hAnsi="宋体" w:eastAsia="宋体" w:cs="宋体"/>
                <w:kern w:val="2"/>
                <w:sz w:val="21"/>
                <w:szCs w:val="21"/>
                <w:highlight w:val="none"/>
                <w:lang w:val="en-US" w:eastAsia="zh-CN" w:bidi="ar-SA"/>
              </w:rPr>
              <w:t>南通轨道交通集团有限公司</w:t>
            </w:r>
          </w:p>
        </w:tc>
        <w:tc>
          <w:tcPr>
            <w:tcW w:w="1594" w:type="dxa"/>
            <w:noWrap w:val="0"/>
            <w:vAlign w:val="center"/>
          </w:tcPr>
          <w:p w14:paraId="12459B44">
            <w:pPr>
              <w:pStyle w:val="7"/>
              <w:ind w:left="0" w:leftChars="0" w:firstLine="0" w:firstLineChars="0"/>
              <w:jc w:val="center"/>
              <w:rPr>
                <w:rFonts w:hint="eastAsia"/>
                <w:highlight w:val="none"/>
                <w:vertAlign w:val="baseline"/>
              </w:rPr>
            </w:pPr>
            <w:r>
              <w:rPr>
                <w:rFonts w:hint="eastAsia" w:ascii="宋体" w:hAnsi="宋体" w:eastAsia="宋体" w:cs="宋体"/>
                <w:kern w:val="2"/>
                <w:sz w:val="21"/>
                <w:szCs w:val="21"/>
                <w:highlight w:val="none"/>
                <w:lang w:val="en-US" w:eastAsia="zh-CN" w:bidi="ar-SA"/>
              </w:rPr>
              <w:t>招标代理机构</w:t>
            </w:r>
          </w:p>
        </w:tc>
        <w:tc>
          <w:tcPr>
            <w:tcW w:w="2917" w:type="dxa"/>
            <w:noWrap w:val="0"/>
            <w:vAlign w:val="center"/>
          </w:tcPr>
          <w:p w14:paraId="14666335">
            <w:pPr>
              <w:pStyle w:val="7"/>
              <w:ind w:left="0" w:leftChars="0" w:firstLine="0" w:firstLineChars="0"/>
              <w:jc w:val="both"/>
              <w:rPr>
                <w:rFonts w:hint="eastAsia"/>
                <w:highlight w:val="none"/>
                <w:vertAlign w:val="baseline"/>
              </w:rPr>
            </w:pPr>
            <w:r>
              <w:rPr>
                <w:rFonts w:hint="eastAsia" w:ascii="宋体" w:hAnsi="宋体" w:eastAsia="宋体" w:cs="宋体"/>
                <w:kern w:val="2"/>
                <w:sz w:val="21"/>
                <w:szCs w:val="21"/>
                <w:highlight w:val="none"/>
                <w:lang w:val="en-US" w:eastAsia="zh-CN" w:bidi="ar-SA"/>
              </w:rPr>
              <w:t>南通万隆工程管理有限公司</w:t>
            </w:r>
          </w:p>
        </w:tc>
      </w:tr>
      <w:tr w14:paraId="3D7C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24" w:hRule="atLeast"/>
        </w:trPr>
        <w:tc>
          <w:tcPr>
            <w:tcW w:w="1294" w:type="dxa"/>
            <w:noWrap w:val="0"/>
            <w:vAlign w:val="center"/>
          </w:tcPr>
          <w:p w14:paraId="32784EAF">
            <w:pPr>
              <w:pStyle w:val="7"/>
              <w:ind w:left="0" w:leftChars="0" w:firstLine="0" w:firstLineChars="0"/>
              <w:jc w:val="center"/>
              <w:rPr>
                <w:rFonts w:hint="eastAsia"/>
                <w:highlight w:val="none"/>
                <w:vertAlign w:val="baseline"/>
              </w:rPr>
            </w:pPr>
            <w:r>
              <w:rPr>
                <w:rFonts w:hint="eastAsia" w:ascii="宋体" w:hAnsi="宋体" w:eastAsia="宋体" w:cs="宋体"/>
                <w:kern w:val="2"/>
                <w:sz w:val="21"/>
                <w:szCs w:val="21"/>
                <w:highlight w:val="none"/>
                <w:lang w:val="en-US" w:eastAsia="zh-CN" w:bidi="ar-SA"/>
              </w:rPr>
              <w:t>招标人地址</w:t>
            </w:r>
          </w:p>
        </w:tc>
        <w:tc>
          <w:tcPr>
            <w:tcW w:w="3355" w:type="dxa"/>
            <w:noWrap w:val="0"/>
            <w:vAlign w:val="center"/>
          </w:tcPr>
          <w:p w14:paraId="6A6CCEDD">
            <w:pPr>
              <w:pStyle w:val="7"/>
              <w:ind w:left="0" w:leftChars="0" w:firstLine="0" w:firstLineChars="0"/>
              <w:jc w:val="both"/>
              <w:rPr>
                <w:rFonts w:hint="eastAsia"/>
                <w:highlight w:val="none"/>
                <w:vertAlign w:val="baseline"/>
              </w:rPr>
            </w:pPr>
            <w:r>
              <w:rPr>
                <w:rFonts w:hint="eastAsia" w:ascii="宋体" w:hAnsi="宋体" w:eastAsia="宋体" w:cs="宋体"/>
                <w:kern w:val="2"/>
                <w:sz w:val="21"/>
                <w:szCs w:val="21"/>
                <w:highlight w:val="none"/>
                <w:lang w:val="en-US" w:eastAsia="zh-CN" w:bidi="ar-SA"/>
              </w:rPr>
              <w:t>南通市崇川区崇川路158号20楼</w:t>
            </w:r>
          </w:p>
        </w:tc>
        <w:tc>
          <w:tcPr>
            <w:tcW w:w="1594" w:type="dxa"/>
            <w:noWrap w:val="0"/>
            <w:vAlign w:val="center"/>
          </w:tcPr>
          <w:p w14:paraId="41AA5953">
            <w:pPr>
              <w:pStyle w:val="7"/>
              <w:ind w:left="0" w:leftChars="0" w:firstLine="0" w:firstLineChars="0"/>
              <w:jc w:val="center"/>
              <w:rPr>
                <w:rFonts w:hint="eastAsia"/>
                <w:highlight w:val="none"/>
                <w:vertAlign w:val="baseline"/>
              </w:rPr>
            </w:pPr>
            <w:r>
              <w:rPr>
                <w:rFonts w:hint="eastAsia" w:eastAsia="宋体" w:cs="宋体"/>
                <w:kern w:val="2"/>
                <w:sz w:val="21"/>
                <w:szCs w:val="21"/>
                <w:highlight w:val="none"/>
                <w:lang w:val="en-US" w:eastAsia="zh-CN" w:bidi="ar-SA"/>
              </w:rPr>
              <w:t>招标代理机构</w:t>
            </w:r>
            <w:r>
              <w:rPr>
                <w:rFonts w:hint="eastAsia" w:ascii="宋体" w:hAnsi="宋体" w:eastAsia="宋体" w:cs="宋体"/>
                <w:kern w:val="2"/>
                <w:sz w:val="21"/>
                <w:szCs w:val="21"/>
                <w:highlight w:val="none"/>
                <w:lang w:val="en-US" w:eastAsia="zh-CN" w:bidi="ar-SA"/>
              </w:rPr>
              <w:t>地址</w:t>
            </w:r>
          </w:p>
        </w:tc>
        <w:tc>
          <w:tcPr>
            <w:tcW w:w="2917" w:type="dxa"/>
            <w:noWrap w:val="0"/>
            <w:vAlign w:val="center"/>
          </w:tcPr>
          <w:p w14:paraId="05862077">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right="57" w:rightChars="27"/>
              <w:jc w:val="both"/>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南通市崇川区崇川路58号</w:t>
            </w:r>
          </w:p>
          <w:p w14:paraId="09DD6617">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right="57" w:rightChars="27"/>
              <w:jc w:val="both"/>
              <w:textAlignment w:val="auto"/>
              <w:rPr>
                <w:rFonts w:hint="eastAsia"/>
                <w:highlight w:val="none"/>
                <w:vertAlign w:val="baseline"/>
              </w:rPr>
            </w:pPr>
            <w:r>
              <w:rPr>
                <w:rFonts w:hint="eastAsia" w:ascii="宋体" w:hAnsi="宋体" w:eastAsia="宋体" w:cs="宋体"/>
                <w:kern w:val="2"/>
                <w:sz w:val="21"/>
                <w:szCs w:val="21"/>
                <w:highlight w:val="none"/>
                <w:lang w:val="en-US" w:eastAsia="zh-CN" w:bidi="ar-SA"/>
              </w:rPr>
              <w:t>产业技术研究院9号楼24楼</w:t>
            </w:r>
          </w:p>
        </w:tc>
      </w:tr>
      <w:tr w14:paraId="472F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12" w:hRule="atLeast"/>
        </w:trPr>
        <w:tc>
          <w:tcPr>
            <w:tcW w:w="1294" w:type="dxa"/>
            <w:noWrap w:val="0"/>
            <w:vAlign w:val="center"/>
          </w:tcPr>
          <w:p w14:paraId="34CF0BEB">
            <w:pPr>
              <w:pStyle w:val="7"/>
              <w:ind w:left="0" w:leftChars="0" w:firstLine="0" w:firstLineChars="0"/>
              <w:jc w:val="center"/>
              <w:rPr>
                <w:rFonts w:hint="eastAsia"/>
                <w:highlight w:val="none"/>
                <w:vertAlign w:val="baseline"/>
              </w:rPr>
            </w:pPr>
            <w:r>
              <w:rPr>
                <w:rFonts w:hint="eastAsia" w:ascii="宋体" w:hAnsi="宋体" w:eastAsia="宋体" w:cs="宋体"/>
                <w:kern w:val="2"/>
                <w:sz w:val="21"/>
                <w:szCs w:val="21"/>
                <w:highlight w:val="none"/>
                <w:lang w:val="en-US" w:eastAsia="zh-CN" w:bidi="ar-SA"/>
              </w:rPr>
              <w:t>联系人</w:t>
            </w:r>
          </w:p>
        </w:tc>
        <w:tc>
          <w:tcPr>
            <w:tcW w:w="3355" w:type="dxa"/>
            <w:noWrap w:val="0"/>
            <w:vAlign w:val="center"/>
          </w:tcPr>
          <w:p w14:paraId="2C339741">
            <w:pPr>
              <w:pStyle w:val="7"/>
              <w:ind w:left="0" w:leftChars="0" w:firstLine="0" w:firstLineChars="0"/>
              <w:jc w:val="both"/>
              <w:rPr>
                <w:rFonts w:hint="eastAsia"/>
                <w:highlight w:val="none"/>
                <w:vertAlign w:val="baseline"/>
              </w:rPr>
            </w:pPr>
            <w:r>
              <w:rPr>
                <w:rFonts w:hint="eastAsia" w:ascii="宋体" w:hAnsi="宋体" w:eastAsia="宋体" w:cs="宋体"/>
                <w:kern w:val="2"/>
                <w:sz w:val="21"/>
                <w:szCs w:val="21"/>
                <w:highlight w:val="none"/>
                <w:lang w:val="en-US" w:eastAsia="zh-CN" w:bidi="ar-SA"/>
              </w:rPr>
              <w:t>曹女士</w:t>
            </w:r>
          </w:p>
        </w:tc>
        <w:tc>
          <w:tcPr>
            <w:tcW w:w="1594" w:type="dxa"/>
            <w:noWrap w:val="0"/>
            <w:vAlign w:val="center"/>
          </w:tcPr>
          <w:p w14:paraId="0F7A9CB7">
            <w:pPr>
              <w:pStyle w:val="7"/>
              <w:ind w:left="0" w:leftChars="0" w:firstLine="0" w:firstLineChars="0"/>
              <w:jc w:val="center"/>
              <w:rPr>
                <w:rFonts w:hint="eastAsia"/>
                <w:highlight w:val="none"/>
                <w:vertAlign w:val="baseline"/>
              </w:rPr>
            </w:pPr>
            <w:r>
              <w:rPr>
                <w:rFonts w:hint="eastAsia" w:ascii="宋体" w:hAnsi="宋体" w:eastAsia="宋体" w:cs="宋体"/>
                <w:kern w:val="2"/>
                <w:sz w:val="21"/>
                <w:szCs w:val="21"/>
                <w:highlight w:val="none"/>
                <w:lang w:val="en-US" w:eastAsia="zh-CN" w:bidi="ar-SA"/>
              </w:rPr>
              <w:t>联系人</w:t>
            </w:r>
          </w:p>
        </w:tc>
        <w:tc>
          <w:tcPr>
            <w:tcW w:w="2917" w:type="dxa"/>
            <w:noWrap w:val="0"/>
            <w:vAlign w:val="center"/>
          </w:tcPr>
          <w:p w14:paraId="4A077964">
            <w:pPr>
              <w:pStyle w:val="7"/>
              <w:ind w:left="0" w:leftChars="0" w:firstLine="0" w:firstLineChars="0"/>
              <w:jc w:val="both"/>
              <w:rPr>
                <w:rFonts w:hint="eastAsia"/>
                <w:highlight w:val="none"/>
                <w:vertAlign w:val="baseline"/>
              </w:rPr>
            </w:pPr>
            <w:r>
              <w:rPr>
                <w:rFonts w:hint="eastAsia" w:ascii="宋体" w:hAnsi="宋体" w:eastAsia="宋体" w:cs="宋体"/>
                <w:kern w:val="2"/>
                <w:sz w:val="21"/>
                <w:szCs w:val="21"/>
                <w:highlight w:val="none"/>
                <w:lang w:val="en-US" w:eastAsia="zh-CN" w:bidi="ar-SA"/>
              </w:rPr>
              <w:t>陈娟</w:t>
            </w:r>
          </w:p>
        </w:tc>
      </w:tr>
      <w:tr w14:paraId="3947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12" w:hRule="atLeast"/>
        </w:trPr>
        <w:tc>
          <w:tcPr>
            <w:tcW w:w="1294" w:type="dxa"/>
            <w:noWrap w:val="0"/>
            <w:vAlign w:val="center"/>
          </w:tcPr>
          <w:p w14:paraId="748FEB37">
            <w:pPr>
              <w:pStyle w:val="7"/>
              <w:ind w:left="0" w:leftChars="0" w:firstLine="0" w:firstLineChars="0"/>
              <w:jc w:val="center"/>
              <w:rPr>
                <w:rFonts w:hint="eastAsia"/>
                <w:highlight w:val="none"/>
                <w:vertAlign w:val="baseline"/>
              </w:rPr>
            </w:pPr>
            <w:r>
              <w:rPr>
                <w:rFonts w:hint="eastAsia" w:ascii="宋体" w:hAnsi="宋体" w:eastAsia="宋体" w:cs="宋体"/>
                <w:kern w:val="2"/>
                <w:sz w:val="21"/>
                <w:szCs w:val="21"/>
                <w:highlight w:val="none"/>
                <w:lang w:val="en-US" w:eastAsia="zh-CN" w:bidi="ar-SA"/>
              </w:rPr>
              <w:t>电  话</w:t>
            </w:r>
          </w:p>
        </w:tc>
        <w:tc>
          <w:tcPr>
            <w:tcW w:w="3355" w:type="dxa"/>
            <w:noWrap w:val="0"/>
            <w:vAlign w:val="center"/>
          </w:tcPr>
          <w:p w14:paraId="5E3B12C3">
            <w:pPr>
              <w:pStyle w:val="7"/>
              <w:ind w:left="0" w:leftChars="0" w:firstLine="0" w:firstLineChars="0"/>
              <w:jc w:val="both"/>
              <w:rPr>
                <w:rFonts w:hint="eastAsia"/>
                <w:highlight w:val="none"/>
                <w:vertAlign w:val="baseline"/>
              </w:rPr>
            </w:pPr>
            <w:r>
              <w:rPr>
                <w:rFonts w:hint="eastAsia" w:ascii="宋体" w:hAnsi="宋体" w:eastAsia="宋体" w:cs="宋体"/>
                <w:kern w:val="2"/>
                <w:sz w:val="21"/>
                <w:szCs w:val="21"/>
                <w:highlight w:val="none"/>
                <w:lang w:val="en-US" w:eastAsia="zh-CN" w:bidi="ar-SA"/>
              </w:rPr>
              <w:t>0513-69900265</w:t>
            </w:r>
          </w:p>
        </w:tc>
        <w:tc>
          <w:tcPr>
            <w:tcW w:w="1594" w:type="dxa"/>
            <w:noWrap w:val="0"/>
            <w:vAlign w:val="center"/>
          </w:tcPr>
          <w:p w14:paraId="35220D3A">
            <w:pPr>
              <w:pStyle w:val="7"/>
              <w:ind w:left="0" w:leftChars="0" w:firstLine="0" w:firstLineChars="0"/>
              <w:jc w:val="center"/>
              <w:rPr>
                <w:rFonts w:hint="eastAsia"/>
                <w:highlight w:val="none"/>
                <w:vertAlign w:val="baseline"/>
              </w:rPr>
            </w:pPr>
            <w:r>
              <w:rPr>
                <w:rFonts w:hint="eastAsia" w:ascii="宋体" w:hAnsi="宋体" w:eastAsia="宋体" w:cs="宋体"/>
                <w:kern w:val="2"/>
                <w:sz w:val="21"/>
                <w:szCs w:val="21"/>
                <w:highlight w:val="none"/>
                <w:lang w:val="en-US" w:eastAsia="zh-CN" w:bidi="ar-SA"/>
              </w:rPr>
              <w:t>电  话</w:t>
            </w:r>
          </w:p>
        </w:tc>
        <w:tc>
          <w:tcPr>
            <w:tcW w:w="2917" w:type="dxa"/>
            <w:noWrap w:val="0"/>
            <w:vAlign w:val="center"/>
          </w:tcPr>
          <w:p w14:paraId="0F0AC3DE">
            <w:pPr>
              <w:pStyle w:val="7"/>
              <w:ind w:left="0" w:leftChars="0" w:firstLine="0" w:firstLineChars="0"/>
              <w:jc w:val="both"/>
              <w:rPr>
                <w:rFonts w:hint="eastAsia"/>
                <w:highlight w:val="none"/>
                <w:vertAlign w:val="baseline"/>
              </w:rPr>
            </w:pPr>
            <w:r>
              <w:rPr>
                <w:rFonts w:hint="eastAsia" w:ascii="宋体" w:hAnsi="宋体" w:eastAsia="宋体" w:cs="宋体"/>
                <w:kern w:val="2"/>
                <w:sz w:val="21"/>
                <w:szCs w:val="21"/>
                <w:highlight w:val="none"/>
                <w:lang w:val="en-US" w:eastAsia="zh-CN" w:bidi="ar-SA"/>
              </w:rPr>
              <w:t>13962943497</w:t>
            </w:r>
          </w:p>
        </w:tc>
      </w:tr>
      <w:tr w14:paraId="0237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12" w:hRule="atLeast"/>
        </w:trPr>
        <w:tc>
          <w:tcPr>
            <w:tcW w:w="1294" w:type="dxa"/>
            <w:noWrap w:val="0"/>
            <w:vAlign w:val="center"/>
          </w:tcPr>
          <w:p w14:paraId="55AEE9FC">
            <w:pPr>
              <w:pStyle w:val="7"/>
              <w:ind w:left="0" w:leftChars="0" w:firstLine="0" w:firstLineChars="0"/>
              <w:jc w:val="center"/>
              <w:rPr>
                <w:rFonts w:hint="eastAsia" w:ascii="宋体" w:hAnsi="宋体" w:eastAsia="宋体" w:cs="宋体"/>
                <w:kern w:val="2"/>
                <w:sz w:val="21"/>
                <w:szCs w:val="21"/>
                <w:highlight w:val="none"/>
                <w:lang w:val="en-US" w:eastAsia="zh-CN" w:bidi="ar-SA"/>
              </w:rPr>
            </w:pPr>
            <w:r>
              <w:rPr>
                <w:rFonts w:hint="eastAsia" w:ascii="宋体" w:hAnsi="宋体" w:cs="宋体"/>
                <w:kern w:val="0"/>
                <w:szCs w:val="21"/>
                <w:highlight w:val="none"/>
                <w:lang w:eastAsia="zh-CN"/>
              </w:rPr>
              <w:t>电子邮箱</w:t>
            </w:r>
          </w:p>
        </w:tc>
        <w:tc>
          <w:tcPr>
            <w:tcW w:w="3355" w:type="dxa"/>
            <w:noWrap w:val="0"/>
            <w:vAlign w:val="center"/>
          </w:tcPr>
          <w:p w14:paraId="0C08E80E">
            <w:pPr>
              <w:pStyle w:val="7"/>
              <w:ind w:left="0" w:leftChars="0" w:firstLine="0" w:firstLineChars="0"/>
              <w:jc w:val="both"/>
              <w:rPr>
                <w:rFonts w:hint="eastAsia" w:ascii="宋体" w:hAnsi="宋体" w:eastAsia="宋体" w:cs="宋体"/>
                <w:kern w:val="2"/>
                <w:sz w:val="21"/>
                <w:szCs w:val="21"/>
                <w:highlight w:val="none"/>
                <w:lang w:val="en-US" w:eastAsia="zh-CN" w:bidi="ar-SA"/>
              </w:rPr>
            </w:pPr>
            <w:r>
              <w:rPr>
                <w:rFonts w:hint="eastAsia" w:ascii="宋体" w:hAnsi="宋体" w:cs="宋体"/>
                <w:kern w:val="0"/>
                <w:szCs w:val="21"/>
                <w:highlight w:val="none"/>
                <w:lang w:val="en-US" w:eastAsia="zh-CN"/>
              </w:rPr>
              <w:t>/</w:t>
            </w:r>
          </w:p>
        </w:tc>
        <w:tc>
          <w:tcPr>
            <w:tcW w:w="1594" w:type="dxa"/>
            <w:noWrap w:val="0"/>
            <w:vAlign w:val="center"/>
          </w:tcPr>
          <w:p w14:paraId="07536FED">
            <w:pPr>
              <w:pStyle w:val="7"/>
              <w:ind w:left="0" w:leftChars="0" w:firstLine="0" w:firstLineChars="0"/>
              <w:jc w:val="center"/>
              <w:rPr>
                <w:rFonts w:hint="eastAsia" w:ascii="宋体" w:hAnsi="宋体" w:eastAsia="宋体" w:cs="宋体"/>
                <w:kern w:val="2"/>
                <w:sz w:val="21"/>
                <w:szCs w:val="21"/>
                <w:highlight w:val="none"/>
                <w:lang w:val="en-US" w:eastAsia="zh-CN" w:bidi="ar-SA"/>
              </w:rPr>
            </w:pPr>
            <w:r>
              <w:rPr>
                <w:rFonts w:hint="eastAsia" w:ascii="宋体" w:hAnsi="宋体" w:cs="宋体"/>
                <w:kern w:val="0"/>
                <w:szCs w:val="21"/>
                <w:highlight w:val="none"/>
                <w:lang w:val="en-US" w:eastAsia="zh-CN"/>
              </w:rPr>
              <w:t>电子邮箱</w:t>
            </w:r>
          </w:p>
        </w:tc>
        <w:tc>
          <w:tcPr>
            <w:tcW w:w="2917" w:type="dxa"/>
            <w:noWrap w:val="0"/>
            <w:vAlign w:val="center"/>
          </w:tcPr>
          <w:p w14:paraId="1F3A40A6">
            <w:pPr>
              <w:pStyle w:val="7"/>
              <w:ind w:left="0" w:leftChars="0" w:firstLine="0" w:firstLineChars="0"/>
              <w:jc w:val="both"/>
              <w:rPr>
                <w:rFonts w:hint="eastAsia" w:ascii="宋体" w:hAnsi="宋体" w:eastAsia="宋体" w:cs="宋体"/>
                <w:kern w:val="2"/>
                <w:sz w:val="21"/>
                <w:szCs w:val="21"/>
                <w:highlight w:val="none"/>
                <w:lang w:val="en-US" w:eastAsia="zh-CN" w:bidi="ar-SA"/>
              </w:rPr>
            </w:pPr>
            <w:r>
              <w:rPr>
                <w:rFonts w:hint="eastAsia" w:ascii="宋体" w:hAnsi="宋体" w:cs="宋体"/>
                <w:kern w:val="0"/>
                <w:szCs w:val="21"/>
                <w:highlight w:val="none"/>
                <w:lang w:val="en-US" w:eastAsia="zh-CN"/>
              </w:rPr>
              <w:t>77366378@qq.com</w:t>
            </w:r>
          </w:p>
        </w:tc>
      </w:tr>
    </w:tbl>
    <w:p w14:paraId="1187CC59">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36" w:lineRule="auto"/>
        <w:ind w:right="57" w:rightChars="27"/>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    </w:t>
      </w:r>
      <w:r>
        <w:rPr>
          <w:rFonts w:hint="eastAsia" w:ascii="宋体" w:hAnsi="宋体" w:eastAsia="宋体" w:cs="宋体"/>
          <w:kern w:val="2"/>
          <w:sz w:val="21"/>
          <w:szCs w:val="21"/>
          <w:highlight w:val="none"/>
          <w:lang w:val="en-US" w:eastAsia="zh-CN" w:bidi="ar-SA"/>
        </w:rPr>
        <w:t>10.2 异议渠道</w:t>
      </w:r>
    </w:p>
    <w:p w14:paraId="765A9220">
      <w:pPr>
        <w:keepNext w:val="0"/>
        <w:keepLines w:val="0"/>
        <w:pageBreakBefore w:val="0"/>
        <w:widowControl w:val="0"/>
        <w:kinsoku/>
        <w:wordWrap/>
        <w:overflowPunct/>
        <w:topLinePunct w:val="0"/>
        <w:autoSpaceDE/>
        <w:autoSpaceDN/>
        <w:bidi w:val="0"/>
        <w:snapToGrid w:val="0"/>
        <w:spacing w:line="336" w:lineRule="auto"/>
        <w:ind w:right="-105" w:rightChars="-5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投标人或者其他利害关系人对本项目招标有异议的，应在规定的时间内向招标人提出。</w:t>
      </w:r>
    </w:p>
    <w:p w14:paraId="414AFA73">
      <w:pPr>
        <w:keepNext w:val="0"/>
        <w:keepLines w:val="0"/>
        <w:pageBreakBefore w:val="0"/>
        <w:widowControl w:val="0"/>
        <w:kinsoku/>
        <w:wordWrap/>
        <w:overflowPunct/>
        <w:topLinePunct w:val="0"/>
        <w:autoSpaceDE/>
        <w:autoSpaceDN/>
        <w:bidi w:val="0"/>
        <w:snapToGrid w:val="0"/>
        <w:spacing w:line="336" w:lineRule="auto"/>
        <w:ind w:right="-1039" w:rightChars="-495" w:firstLine="630" w:firstLineChars="3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受理异议部门：轨道集团督查审计部</w:t>
      </w:r>
    </w:p>
    <w:p w14:paraId="500188B2">
      <w:pPr>
        <w:keepNext w:val="0"/>
        <w:keepLines w:val="0"/>
        <w:pageBreakBefore w:val="0"/>
        <w:widowControl w:val="0"/>
        <w:kinsoku/>
        <w:wordWrap/>
        <w:overflowPunct/>
        <w:topLinePunct w:val="0"/>
        <w:autoSpaceDE/>
        <w:autoSpaceDN/>
        <w:bidi w:val="0"/>
        <w:snapToGrid w:val="0"/>
        <w:spacing w:line="336" w:lineRule="auto"/>
        <w:ind w:right="-1039" w:rightChars="-495" w:firstLine="630" w:firstLineChars="3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地    址：南通市崇川区崇川路158号21楼</w:t>
      </w:r>
    </w:p>
    <w:p w14:paraId="63291598">
      <w:pPr>
        <w:keepNext w:val="0"/>
        <w:keepLines w:val="0"/>
        <w:pageBreakBefore w:val="0"/>
        <w:widowControl w:val="0"/>
        <w:kinsoku/>
        <w:wordWrap/>
        <w:overflowPunct/>
        <w:topLinePunct w:val="0"/>
        <w:autoSpaceDE/>
        <w:autoSpaceDN/>
        <w:bidi w:val="0"/>
        <w:snapToGrid w:val="0"/>
        <w:spacing w:line="336" w:lineRule="auto"/>
        <w:ind w:right="-1039" w:rightChars="-495" w:firstLine="630" w:firstLineChars="3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联系方式：0513-69900271</w:t>
      </w:r>
    </w:p>
    <w:p w14:paraId="4404BACE">
      <w:pPr>
        <w:keepNext w:val="0"/>
        <w:keepLines w:val="0"/>
        <w:pageBreakBefore w:val="0"/>
        <w:widowControl w:val="0"/>
        <w:kinsoku/>
        <w:wordWrap/>
        <w:overflowPunct/>
        <w:topLinePunct w:val="0"/>
        <w:autoSpaceDE/>
        <w:autoSpaceDN/>
        <w:bidi w:val="0"/>
        <w:snapToGrid w:val="0"/>
        <w:spacing w:line="336" w:lineRule="auto"/>
        <w:ind w:right="-1039" w:rightChars="-495" w:firstLine="630" w:firstLineChars="3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监督部门：南通市人民政府国有资产监督管理委员会</w:t>
      </w:r>
    </w:p>
    <w:p w14:paraId="0EBF9EB3">
      <w:pPr>
        <w:adjustRightInd w:val="0"/>
        <w:snapToGrid w:val="0"/>
        <w:spacing w:line="360" w:lineRule="auto"/>
        <w:jc w:val="both"/>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 xml:space="preserve">                               </w:t>
      </w:r>
    </w:p>
    <w:p w14:paraId="01A0C8BF">
      <w:pPr>
        <w:adjustRightInd w:val="0"/>
        <w:snapToGrid w:val="0"/>
        <w:spacing w:line="360" w:lineRule="auto"/>
        <w:jc w:val="center"/>
        <w:rPr>
          <w:rFonts w:hint="eastAsia" w:ascii="宋体" w:hAnsi="宋体" w:cs="宋体"/>
          <w:kern w:val="0"/>
          <w:szCs w:val="21"/>
          <w:highlight w:val="none"/>
        </w:rPr>
      </w:pPr>
      <w:r>
        <w:rPr>
          <w:rFonts w:hint="eastAsia" w:ascii="宋体" w:hAnsi="宋体" w:cs="宋体"/>
          <w:kern w:val="0"/>
          <w:szCs w:val="21"/>
          <w:highlight w:val="none"/>
          <w:lang w:val="en-US" w:eastAsia="zh-CN"/>
        </w:rPr>
        <w:t xml:space="preserve">          </w:t>
      </w:r>
      <w:r>
        <w:rPr>
          <w:rFonts w:hint="eastAsia" w:ascii="宋体" w:hAnsi="宋体" w:cs="宋体"/>
          <w:kern w:val="0"/>
          <w:szCs w:val="21"/>
          <w:highlight w:val="none"/>
        </w:rPr>
        <w:t>招标人及其委托的招标代理机构 （盖单位公章）：</w:t>
      </w:r>
    </w:p>
    <w:p w14:paraId="523C325C">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szCs w:val="36"/>
          <w:highlight w:val="none"/>
        </w:rPr>
      </w:pPr>
      <w:bookmarkStart w:id="29" w:name="_Toc7564"/>
      <w:bookmarkStart w:id="30" w:name="_Toc22200"/>
      <w:bookmarkStart w:id="31" w:name="_Toc16087"/>
      <w:bookmarkStart w:id="32" w:name="_Toc6303"/>
      <w:bookmarkStart w:id="33" w:name="_Toc12705"/>
      <w:bookmarkStart w:id="34" w:name="_Toc9808"/>
      <w:bookmarkStart w:id="35" w:name="_Toc11386"/>
      <w:bookmarkStart w:id="36" w:name="_Toc27134"/>
      <w:bookmarkStart w:id="37" w:name="_Toc23648"/>
      <w:bookmarkStart w:id="38" w:name="_Toc27655"/>
      <w:bookmarkStart w:id="39" w:name="_Toc17266"/>
      <w:r>
        <w:rPr>
          <w:rFonts w:hint="eastAsia"/>
          <w:szCs w:val="36"/>
          <w:highlight w:val="none"/>
        </w:rPr>
        <w:t>第二章 投标人须知</w:t>
      </w:r>
      <w:bookmarkEnd w:id="21"/>
      <w:bookmarkEnd w:id="22"/>
      <w:bookmarkEnd w:id="23"/>
      <w:bookmarkEnd w:id="24"/>
      <w:bookmarkEnd w:id="25"/>
      <w:bookmarkEnd w:id="29"/>
      <w:bookmarkEnd w:id="30"/>
      <w:bookmarkEnd w:id="31"/>
      <w:bookmarkEnd w:id="32"/>
      <w:bookmarkEnd w:id="33"/>
      <w:bookmarkEnd w:id="34"/>
      <w:bookmarkEnd w:id="35"/>
      <w:bookmarkEnd w:id="36"/>
      <w:bookmarkEnd w:id="37"/>
      <w:bookmarkEnd w:id="38"/>
      <w:bookmarkEnd w:id="39"/>
    </w:p>
    <w:p w14:paraId="5FB9F06A">
      <w:pPr>
        <w:pStyle w:val="3"/>
        <w:keepNext/>
        <w:keepLines/>
        <w:pageBreakBefore w:val="0"/>
        <w:widowControl w:val="0"/>
        <w:kinsoku/>
        <w:wordWrap/>
        <w:overflowPunct/>
        <w:topLinePunct w:val="0"/>
        <w:autoSpaceDE/>
        <w:autoSpaceDN/>
        <w:bidi w:val="0"/>
        <w:adjustRightInd/>
        <w:snapToGrid/>
        <w:spacing w:before="140" w:after="140" w:line="416" w:lineRule="auto"/>
        <w:jc w:val="center"/>
        <w:textAlignment w:val="auto"/>
        <w:rPr>
          <w:rFonts w:ascii="宋体" w:hAnsi="宋体" w:cs="宋体"/>
          <w:sz w:val="24"/>
          <w:szCs w:val="24"/>
          <w:highlight w:val="none"/>
        </w:rPr>
      </w:pPr>
      <w:bookmarkStart w:id="40" w:name="_Toc10787"/>
      <w:bookmarkStart w:id="41" w:name="_Toc9428"/>
      <w:bookmarkStart w:id="42" w:name="_Toc18119"/>
      <w:bookmarkStart w:id="43" w:name="_Toc24766"/>
      <w:bookmarkStart w:id="44" w:name="_Toc269886738"/>
      <w:bookmarkStart w:id="45" w:name="_Toc227984000"/>
      <w:bookmarkStart w:id="46" w:name="_Toc13489"/>
      <w:bookmarkStart w:id="47" w:name="_Toc30714"/>
      <w:bookmarkStart w:id="48" w:name="_Toc6869"/>
      <w:bookmarkStart w:id="49" w:name="_Toc144974496"/>
      <w:bookmarkStart w:id="50" w:name="_Toc21772"/>
      <w:bookmarkStart w:id="51" w:name="_Toc152045528"/>
      <w:bookmarkStart w:id="52" w:name="_Toc152042304"/>
      <w:bookmarkStart w:id="53" w:name="_Toc28090"/>
      <w:bookmarkStart w:id="54" w:name="_Toc31620"/>
      <w:bookmarkStart w:id="55" w:name="_Toc10862"/>
      <w:bookmarkStart w:id="56" w:name="_Toc25390"/>
      <w:r>
        <w:rPr>
          <w:rFonts w:ascii="宋体" w:hAnsi="宋体" w:cs="宋体"/>
          <w:sz w:val="24"/>
          <w:szCs w:val="24"/>
          <w:highlight w:val="none"/>
        </w:rPr>
        <w:t>投标人须知前附表</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tbl>
      <w:tblPr>
        <w:tblStyle w:val="22"/>
        <w:tblW w:w="927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2251"/>
        <w:gridCol w:w="5943"/>
      </w:tblGrid>
      <w:tr w14:paraId="65C7D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1077" w:type="dxa"/>
            <w:shd w:val="clear" w:color="auto" w:fill="C0C0C0"/>
            <w:noWrap w:val="0"/>
            <w:vAlign w:val="center"/>
          </w:tcPr>
          <w:p w14:paraId="4FCEAD71">
            <w:pPr>
              <w:adjustRightInd w:val="0"/>
              <w:snapToGrid w:val="0"/>
              <w:spacing w:line="400" w:lineRule="exact"/>
              <w:jc w:val="center"/>
              <w:rPr>
                <w:rFonts w:hint="eastAsia" w:ascii="宋体" w:hAnsi="宋体" w:cs="宋体"/>
                <w:b/>
                <w:szCs w:val="21"/>
                <w:highlight w:val="none"/>
              </w:rPr>
            </w:pPr>
            <w:r>
              <w:rPr>
                <w:rFonts w:hint="eastAsia" w:ascii="宋体" w:hAnsi="宋体" w:cs="宋体"/>
                <w:b/>
                <w:szCs w:val="21"/>
                <w:highlight w:val="none"/>
              </w:rPr>
              <w:t>条款号</w:t>
            </w:r>
          </w:p>
        </w:tc>
        <w:tc>
          <w:tcPr>
            <w:tcW w:w="2251" w:type="dxa"/>
            <w:shd w:val="clear" w:color="auto" w:fill="C0C0C0"/>
            <w:noWrap w:val="0"/>
            <w:vAlign w:val="center"/>
          </w:tcPr>
          <w:p w14:paraId="2B038162">
            <w:pPr>
              <w:adjustRightInd w:val="0"/>
              <w:snapToGrid w:val="0"/>
              <w:spacing w:line="400" w:lineRule="exact"/>
              <w:jc w:val="center"/>
              <w:rPr>
                <w:rFonts w:hint="eastAsia" w:ascii="宋体" w:hAnsi="宋体" w:cs="宋体"/>
                <w:b/>
                <w:szCs w:val="21"/>
                <w:highlight w:val="none"/>
              </w:rPr>
            </w:pPr>
            <w:r>
              <w:rPr>
                <w:rFonts w:hint="eastAsia" w:ascii="宋体" w:hAnsi="宋体" w:cs="宋体"/>
                <w:b/>
                <w:szCs w:val="21"/>
                <w:highlight w:val="none"/>
              </w:rPr>
              <w:t>条  款  名  称</w:t>
            </w:r>
          </w:p>
        </w:tc>
        <w:tc>
          <w:tcPr>
            <w:tcW w:w="5943" w:type="dxa"/>
            <w:shd w:val="clear" w:color="auto" w:fill="C0C0C0"/>
            <w:noWrap w:val="0"/>
            <w:vAlign w:val="center"/>
          </w:tcPr>
          <w:p w14:paraId="4814965E">
            <w:pPr>
              <w:adjustRightInd w:val="0"/>
              <w:snapToGrid w:val="0"/>
              <w:spacing w:line="400" w:lineRule="exact"/>
              <w:jc w:val="center"/>
              <w:rPr>
                <w:rFonts w:hint="eastAsia" w:ascii="宋体" w:hAnsi="宋体" w:cs="宋体"/>
                <w:b/>
                <w:szCs w:val="21"/>
                <w:highlight w:val="none"/>
              </w:rPr>
            </w:pPr>
            <w:r>
              <w:rPr>
                <w:rFonts w:hint="eastAsia" w:ascii="宋体" w:hAnsi="宋体" w:cs="宋体"/>
                <w:b/>
                <w:szCs w:val="21"/>
                <w:highlight w:val="none"/>
              </w:rPr>
              <w:t>编  列  内  容</w:t>
            </w:r>
          </w:p>
        </w:tc>
      </w:tr>
      <w:tr w14:paraId="289F13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28" w:hRule="atLeast"/>
          <w:tblHeader/>
        </w:trPr>
        <w:tc>
          <w:tcPr>
            <w:tcW w:w="1077" w:type="dxa"/>
            <w:noWrap w:val="0"/>
            <w:vAlign w:val="center"/>
          </w:tcPr>
          <w:p w14:paraId="16D7D566">
            <w:pPr>
              <w:spacing w:line="440" w:lineRule="exact"/>
              <w:jc w:val="center"/>
              <w:rPr>
                <w:rFonts w:hint="eastAsia" w:ascii="宋体" w:hAnsi="宋体" w:cs="宋体"/>
                <w:szCs w:val="21"/>
                <w:highlight w:val="none"/>
              </w:rPr>
            </w:pPr>
            <w:r>
              <w:rPr>
                <w:rFonts w:hint="eastAsia" w:ascii="宋体" w:hAnsi="宋体" w:cs="宋体"/>
                <w:szCs w:val="21"/>
                <w:highlight w:val="none"/>
              </w:rPr>
              <w:t>1.1.2</w:t>
            </w:r>
          </w:p>
        </w:tc>
        <w:tc>
          <w:tcPr>
            <w:tcW w:w="2251" w:type="dxa"/>
            <w:noWrap w:val="0"/>
            <w:vAlign w:val="center"/>
          </w:tcPr>
          <w:p w14:paraId="57619EFF">
            <w:pPr>
              <w:spacing w:line="440" w:lineRule="exact"/>
              <w:jc w:val="center"/>
              <w:rPr>
                <w:rFonts w:hint="eastAsia" w:ascii="宋体" w:hAnsi="宋体" w:cs="宋体"/>
                <w:szCs w:val="21"/>
                <w:highlight w:val="none"/>
              </w:rPr>
            </w:pPr>
            <w:r>
              <w:rPr>
                <w:rFonts w:hint="eastAsia" w:ascii="宋体" w:hAnsi="宋体" w:cs="宋体"/>
                <w:szCs w:val="21"/>
                <w:highlight w:val="none"/>
              </w:rPr>
              <w:t>招标人</w:t>
            </w:r>
          </w:p>
        </w:tc>
        <w:tc>
          <w:tcPr>
            <w:tcW w:w="5943" w:type="dxa"/>
            <w:noWrap w:val="0"/>
            <w:vAlign w:val="center"/>
          </w:tcPr>
          <w:p w14:paraId="2A46F8BE">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auto"/>
              <w:rPr>
                <w:rFonts w:hint="eastAsia" w:ascii="宋体" w:hAnsi="宋体" w:eastAsia="宋体" w:cs="宋体"/>
                <w:b w:val="0"/>
                <w:bCs w:val="0"/>
                <w:color w:val="auto"/>
                <w:szCs w:val="21"/>
                <w:highlight w:val="none"/>
                <w:u w:val="none"/>
              </w:rPr>
            </w:pPr>
            <w:r>
              <w:rPr>
                <w:rFonts w:hint="eastAsia" w:ascii="宋体" w:hAnsi="宋体" w:eastAsia="宋体" w:cs="宋体"/>
                <w:color w:val="auto"/>
                <w:szCs w:val="21"/>
                <w:highlight w:val="none"/>
              </w:rPr>
              <w:t>名</w:t>
            </w:r>
            <w:r>
              <w:rPr>
                <w:rFonts w:hint="eastAsia" w:ascii="宋体" w:hAnsi="宋体" w:eastAsia="宋体" w:cs="宋体"/>
                <w:b w:val="0"/>
                <w:bCs w:val="0"/>
                <w:color w:val="auto"/>
                <w:szCs w:val="21"/>
                <w:highlight w:val="none"/>
                <w:u w:val="none"/>
              </w:rPr>
              <w:t>称：</w:t>
            </w:r>
            <w:r>
              <w:rPr>
                <w:rFonts w:hint="eastAsia" w:ascii="宋体" w:hAnsi="宋体" w:eastAsia="宋体" w:cs="宋体"/>
                <w:b w:val="0"/>
                <w:bCs w:val="0"/>
                <w:color w:val="auto"/>
                <w:sz w:val="21"/>
                <w:szCs w:val="21"/>
                <w:highlight w:val="none"/>
                <w:u w:val="none"/>
                <w:lang w:eastAsia="zh-CN"/>
              </w:rPr>
              <w:t xml:space="preserve"> </w:t>
            </w:r>
            <w:r>
              <w:rPr>
                <w:rFonts w:hint="eastAsia" w:ascii="宋体" w:hAnsi="宋体" w:eastAsia="宋体" w:cs="宋体"/>
                <w:b w:val="0"/>
                <w:bCs w:val="0"/>
                <w:color w:val="auto"/>
                <w:sz w:val="21"/>
                <w:szCs w:val="21"/>
                <w:highlight w:val="none"/>
                <w:u w:val="none"/>
                <w:lang w:val="en-US" w:eastAsia="zh-CN"/>
              </w:rPr>
              <w:t>南通轨道交通集团有限公司</w:t>
            </w:r>
            <w:r>
              <w:rPr>
                <w:rFonts w:hint="eastAsia" w:ascii="宋体" w:hAnsi="宋体" w:eastAsia="宋体" w:cs="宋体"/>
                <w:b w:val="0"/>
                <w:bCs w:val="0"/>
                <w:color w:val="auto"/>
                <w:sz w:val="21"/>
                <w:szCs w:val="21"/>
                <w:highlight w:val="none"/>
                <w:u w:val="none"/>
                <w:lang w:eastAsia="zh-CN"/>
              </w:rPr>
              <w:t xml:space="preserve">  </w:t>
            </w:r>
          </w:p>
          <w:p w14:paraId="05AA80A3">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auto"/>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Cs w:val="21"/>
                <w:highlight w:val="none"/>
                <w:u w:val="none"/>
              </w:rPr>
              <w:t>地址：</w:t>
            </w:r>
            <w:r>
              <w:rPr>
                <w:rFonts w:hint="eastAsia" w:ascii="宋体" w:hAnsi="宋体" w:eastAsia="宋体" w:cs="宋体"/>
                <w:b w:val="0"/>
                <w:bCs w:val="0"/>
                <w:color w:val="auto"/>
                <w:sz w:val="21"/>
                <w:szCs w:val="21"/>
                <w:highlight w:val="none"/>
                <w:u w:val="none"/>
                <w:lang w:eastAsia="zh-CN"/>
              </w:rPr>
              <w:t xml:space="preserve"> 南通市崇川区崇川路158号20楼</w:t>
            </w:r>
            <w:r>
              <w:rPr>
                <w:rFonts w:hint="eastAsia" w:ascii="宋体" w:hAnsi="宋体" w:eastAsia="宋体" w:cs="宋体"/>
                <w:b w:val="0"/>
                <w:bCs w:val="0"/>
                <w:color w:val="auto"/>
                <w:sz w:val="21"/>
                <w:szCs w:val="21"/>
                <w:highlight w:val="none"/>
                <w:u w:val="none"/>
                <w:lang w:val="en-US" w:eastAsia="zh-CN"/>
              </w:rPr>
              <w:t xml:space="preserve"> </w:t>
            </w:r>
          </w:p>
          <w:p w14:paraId="4E2B3B50">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auto"/>
              <w:rPr>
                <w:rFonts w:hint="eastAsia" w:ascii="宋体" w:hAnsi="宋体" w:eastAsia="宋体" w:cs="宋体"/>
                <w:b w:val="0"/>
                <w:bCs w:val="0"/>
                <w:color w:val="auto"/>
                <w:sz w:val="21"/>
                <w:szCs w:val="21"/>
                <w:highlight w:val="none"/>
                <w:u w:val="none"/>
                <w:lang w:eastAsia="zh-CN"/>
              </w:rPr>
            </w:pPr>
            <w:r>
              <w:rPr>
                <w:rFonts w:hint="eastAsia" w:ascii="宋体" w:hAnsi="宋体" w:eastAsia="宋体" w:cs="宋体"/>
                <w:b w:val="0"/>
                <w:bCs w:val="0"/>
                <w:color w:val="auto"/>
                <w:sz w:val="21"/>
                <w:szCs w:val="21"/>
                <w:highlight w:val="none"/>
                <w:u w:val="none"/>
                <w:lang w:eastAsia="zh-CN"/>
              </w:rPr>
              <w:t>联系人：</w:t>
            </w:r>
            <w:r>
              <w:rPr>
                <w:rFonts w:hint="eastAsia" w:ascii="宋体" w:hAnsi="宋体" w:eastAsia="宋体" w:cs="宋体"/>
                <w:b w:val="0"/>
                <w:bCs w:val="0"/>
                <w:color w:val="auto"/>
                <w:sz w:val="21"/>
                <w:szCs w:val="21"/>
                <w:highlight w:val="none"/>
                <w:u w:val="none"/>
                <w:lang w:eastAsia="zh-CN"/>
              </w:rPr>
              <w:t xml:space="preserve"> </w:t>
            </w:r>
            <w:r>
              <w:rPr>
                <w:rFonts w:hint="eastAsia" w:ascii="宋体" w:hAnsi="宋体" w:eastAsia="宋体" w:cs="宋体"/>
                <w:b w:val="0"/>
                <w:bCs w:val="0"/>
                <w:color w:val="auto"/>
                <w:sz w:val="21"/>
                <w:szCs w:val="21"/>
                <w:highlight w:val="none"/>
                <w:u w:val="none"/>
                <w:lang w:eastAsia="zh-CN"/>
              </w:rPr>
              <w:t>曹女士</w:t>
            </w:r>
            <w:r>
              <w:rPr>
                <w:rFonts w:hint="eastAsia" w:ascii="宋体" w:hAnsi="宋体" w:eastAsia="宋体" w:cs="宋体"/>
                <w:b w:val="0"/>
                <w:bCs w:val="0"/>
                <w:color w:val="auto"/>
                <w:sz w:val="21"/>
                <w:szCs w:val="21"/>
                <w:highlight w:val="none"/>
                <w:u w:val="none"/>
                <w:lang w:eastAsia="zh-CN"/>
              </w:rPr>
              <w:t xml:space="preserve"> </w:t>
            </w:r>
          </w:p>
          <w:p w14:paraId="314719C5">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auto"/>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eastAsia="zh-CN"/>
              </w:rPr>
              <w:t>电话：0513</w:t>
            </w:r>
            <w:r>
              <w:rPr>
                <w:rFonts w:hint="eastAsia" w:ascii="宋体" w:hAnsi="宋体" w:eastAsia="宋体" w:cs="宋体"/>
                <w:b w:val="0"/>
                <w:bCs w:val="0"/>
                <w:color w:val="auto"/>
                <w:sz w:val="21"/>
                <w:szCs w:val="21"/>
                <w:highlight w:val="none"/>
                <w:u w:val="none"/>
                <w:lang w:val="en-US" w:eastAsia="zh-CN"/>
              </w:rPr>
              <w:t>-69900265</w:t>
            </w:r>
          </w:p>
          <w:p w14:paraId="2D6EAE4A">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auto"/>
              <w:rPr>
                <w:rFonts w:hint="eastAsia" w:ascii="宋体" w:hAnsi="宋体" w:cs="宋体"/>
                <w:szCs w:val="21"/>
                <w:highlight w:val="none"/>
                <w:u w:val="single"/>
              </w:rPr>
            </w:pPr>
            <w:r>
              <w:rPr>
                <w:rFonts w:hint="eastAsia" w:ascii="宋体" w:hAnsi="宋体" w:eastAsia="宋体" w:cs="宋体"/>
                <w:b w:val="0"/>
                <w:bCs w:val="0"/>
                <w:color w:val="auto"/>
                <w:sz w:val="21"/>
                <w:szCs w:val="21"/>
                <w:highlight w:val="none"/>
                <w:u w:val="none"/>
                <w:lang w:eastAsia="zh-CN"/>
              </w:rPr>
              <w:t>电子邮箱：</w:t>
            </w:r>
            <w:r>
              <w:rPr>
                <w:rFonts w:hint="eastAsia" w:ascii="宋体" w:hAnsi="宋体" w:eastAsia="宋体" w:cs="宋体"/>
                <w:b w:val="0"/>
                <w:bCs w:val="0"/>
                <w:color w:val="auto"/>
                <w:sz w:val="21"/>
                <w:szCs w:val="21"/>
                <w:highlight w:val="none"/>
                <w:u w:val="none"/>
                <w:lang w:eastAsia="zh-CN"/>
              </w:rPr>
              <w:t xml:space="preserve"> </w:t>
            </w:r>
            <w:r>
              <w:rPr>
                <w:rFonts w:hint="eastAsia" w:ascii="宋体" w:hAnsi="宋体" w:eastAsia="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u w:val="none"/>
                <w:lang w:eastAsia="zh-CN"/>
              </w:rPr>
              <w:t xml:space="preserve"> </w:t>
            </w:r>
          </w:p>
        </w:tc>
      </w:tr>
      <w:tr w14:paraId="005F10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34" w:hRule="atLeast"/>
          <w:tblHeader/>
        </w:trPr>
        <w:tc>
          <w:tcPr>
            <w:tcW w:w="1077" w:type="dxa"/>
            <w:noWrap w:val="0"/>
            <w:vAlign w:val="center"/>
          </w:tcPr>
          <w:p w14:paraId="6350977B">
            <w:pPr>
              <w:spacing w:line="440" w:lineRule="exact"/>
              <w:jc w:val="center"/>
              <w:rPr>
                <w:rFonts w:hint="eastAsia" w:ascii="宋体" w:hAnsi="宋体" w:cs="宋体"/>
                <w:szCs w:val="21"/>
                <w:highlight w:val="none"/>
              </w:rPr>
            </w:pPr>
            <w:r>
              <w:rPr>
                <w:rFonts w:hint="eastAsia" w:ascii="宋体" w:hAnsi="宋体" w:cs="宋体"/>
                <w:szCs w:val="21"/>
                <w:highlight w:val="none"/>
              </w:rPr>
              <w:t>1.1.3</w:t>
            </w:r>
          </w:p>
        </w:tc>
        <w:tc>
          <w:tcPr>
            <w:tcW w:w="2251" w:type="dxa"/>
            <w:noWrap w:val="0"/>
            <w:vAlign w:val="center"/>
          </w:tcPr>
          <w:p w14:paraId="28085935">
            <w:pPr>
              <w:spacing w:line="440" w:lineRule="exact"/>
              <w:jc w:val="center"/>
              <w:rPr>
                <w:rFonts w:hint="eastAsia" w:ascii="宋体" w:hAnsi="宋体" w:cs="宋体"/>
                <w:szCs w:val="21"/>
                <w:highlight w:val="none"/>
              </w:rPr>
            </w:pPr>
            <w:r>
              <w:rPr>
                <w:rFonts w:hint="eastAsia" w:ascii="宋体" w:hAnsi="宋体" w:cs="宋体"/>
                <w:szCs w:val="21"/>
                <w:highlight w:val="none"/>
              </w:rPr>
              <w:t>招标代理机构</w:t>
            </w:r>
          </w:p>
        </w:tc>
        <w:tc>
          <w:tcPr>
            <w:tcW w:w="5943" w:type="dxa"/>
            <w:noWrap w:val="0"/>
            <w:vAlign w:val="center"/>
          </w:tcPr>
          <w:p w14:paraId="3070456A">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zCs w:val="21"/>
                <w:highlight w:val="none"/>
                <w:u w:val="none"/>
                <w:lang w:val="en-US" w:eastAsia="zh-CN"/>
              </w:rPr>
            </w:pPr>
            <w:r>
              <w:rPr>
                <w:rFonts w:hint="eastAsia" w:ascii="宋体" w:hAnsi="宋体" w:eastAsia="宋体" w:cs="宋体"/>
                <w:b w:val="0"/>
                <w:bCs w:val="0"/>
                <w:color w:val="auto"/>
                <w:szCs w:val="21"/>
                <w:highlight w:val="none"/>
                <w:u w:val="none"/>
                <w:lang w:val="en-US" w:eastAsia="zh-CN"/>
              </w:rPr>
              <w:t>名称：南通万隆工程管理有限公司</w:t>
            </w:r>
          </w:p>
          <w:p w14:paraId="19E01739">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default" w:ascii="宋体" w:hAnsi="宋体" w:eastAsia="宋体" w:cs="宋体"/>
                <w:b w:val="0"/>
                <w:bCs w:val="0"/>
                <w:color w:val="auto"/>
                <w:szCs w:val="21"/>
                <w:highlight w:val="none"/>
                <w:u w:val="none"/>
                <w:lang w:val="en-US" w:eastAsia="zh-CN"/>
              </w:rPr>
            </w:pPr>
            <w:r>
              <w:rPr>
                <w:rFonts w:hint="eastAsia" w:ascii="宋体" w:hAnsi="宋体" w:eastAsia="宋体" w:cs="宋体"/>
                <w:b w:val="0"/>
                <w:bCs w:val="0"/>
                <w:color w:val="auto"/>
                <w:szCs w:val="21"/>
                <w:highlight w:val="none"/>
                <w:u w:val="none"/>
                <w:lang w:val="en-US" w:eastAsia="zh-CN"/>
              </w:rPr>
              <w:t>地址：南通市崇川区崇川路58号产业技术研究院9号楼24楼</w:t>
            </w:r>
          </w:p>
          <w:p w14:paraId="5DA2F465">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zCs w:val="21"/>
                <w:highlight w:val="none"/>
                <w:u w:val="none"/>
                <w:lang w:val="en-US" w:eastAsia="zh-CN"/>
              </w:rPr>
            </w:pPr>
            <w:r>
              <w:rPr>
                <w:rFonts w:hint="eastAsia" w:ascii="宋体" w:hAnsi="宋体" w:eastAsia="宋体" w:cs="宋体"/>
                <w:b w:val="0"/>
                <w:bCs w:val="0"/>
                <w:color w:val="auto"/>
                <w:szCs w:val="21"/>
                <w:highlight w:val="none"/>
                <w:u w:val="none"/>
                <w:lang w:val="en-US" w:eastAsia="zh-CN"/>
              </w:rPr>
              <w:t>联系人： 陈娟</w:t>
            </w:r>
          </w:p>
          <w:p w14:paraId="4532C11B">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default" w:ascii="宋体" w:hAnsi="宋体" w:eastAsia="宋体" w:cs="宋体"/>
                <w:b w:val="0"/>
                <w:bCs w:val="0"/>
                <w:color w:val="auto"/>
                <w:szCs w:val="21"/>
                <w:highlight w:val="none"/>
                <w:u w:val="none"/>
                <w:lang w:val="en-US" w:eastAsia="zh-CN"/>
              </w:rPr>
            </w:pPr>
            <w:r>
              <w:rPr>
                <w:rFonts w:hint="eastAsia" w:ascii="宋体" w:hAnsi="宋体" w:eastAsia="宋体" w:cs="宋体"/>
                <w:b w:val="0"/>
                <w:bCs w:val="0"/>
                <w:color w:val="auto"/>
                <w:szCs w:val="21"/>
                <w:highlight w:val="none"/>
                <w:u w:val="none"/>
                <w:lang w:val="en-US" w:eastAsia="zh-CN"/>
              </w:rPr>
              <w:t>联系电话： 13962943497</w:t>
            </w:r>
          </w:p>
          <w:p w14:paraId="5089691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szCs w:val="21"/>
                <w:highlight w:val="none"/>
                <w:u w:val="single"/>
              </w:rPr>
            </w:pPr>
            <w:r>
              <w:rPr>
                <w:rFonts w:hint="eastAsia" w:ascii="宋体" w:hAnsi="宋体" w:eastAsia="宋体" w:cs="宋体"/>
                <w:b w:val="0"/>
                <w:bCs w:val="0"/>
                <w:color w:val="auto"/>
                <w:sz w:val="21"/>
                <w:szCs w:val="21"/>
                <w:highlight w:val="none"/>
                <w:u w:val="none"/>
                <w:lang w:eastAsia="zh-CN"/>
              </w:rPr>
              <w:t>电子邮箱：</w:t>
            </w:r>
            <w:r>
              <w:rPr>
                <w:rFonts w:hint="eastAsia" w:ascii="宋体" w:hAnsi="宋体" w:eastAsia="宋体" w:cs="宋体"/>
                <w:b w:val="0"/>
                <w:bCs w:val="0"/>
                <w:color w:val="auto"/>
                <w:sz w:val="21"/>
                <w:szCs w:val="21"/>
                <w:highlight w:val="none"/>
                <w:u w:val="none"/>
                <w:lang w:val="en-US" w:eastAsia="zh-CN"/>
              </w:rPr>
              <w:t>77366378@qq</w:t>
            </w:r>
            <w:r>
              <w:rPr>
                <w:rFonts w:hint="eastAsia" w:ascii="宋体" w:hAnsi="宋体" w:eastAsia="宋体" w:cs="宋体"/>
                <w:color w:val="auto"/>
                <w:sz w:val="21"/>
                <w:szCs w:val="21"/>
                <w:highlight w:val="none"/>
                <w:u w:val="none"/>
                <w:lang w:val="en-US" w:eastAsia="zh-CN"/>
              </w:rPr>
              <w:t>.com</w:t>
            </w:r>
          </w:p>
        </w:tc>
      </w:tr>
      <w:tr w14:paraId="17A977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2" w:hRule="atLeast"/>
          <w:tblHeader/>
        </w:trPr>
        <w:tc>
          <w:tcPr>
            <w:tcW w:w="1077" w:type="dxa"/>
            <w:noWrap w:val="0"/>
            <w:vAlign w:val="center"/>
          </w:tcPr>
          <w:p w14:paraId="3339D955">
            <w:pPr>
              <w:spacing w:line="440" w:lineRule="exact"/>
              <w:jc w:val="center"/>
              <w:rPr>
                <w:rFonts w:hint="eastAsia" w:ascii="宋体" w:hAnsi="宋体" w:cs="宋体"/>
                <w:szCs w:val="21"/>
                <w:highlight w:val="none"/>
              </w:rPr>
            </w:pPr>
            <w:r>
              <w:rPr>
                <w:rFonts w:hint="eastAsia" w:ascii="宋体" w:hAnsi="宋体" w:cs="宋体"/>
                <w:szCs w:val="21"/>
                <w:highlight w:val="none"/>
              </w:rPr>
              <w:t>1.1.4</w:t>
            </w:r>
          </w:p>
        </w:tc>
        <w:tc>
          <w:tcPr>
            <w:tcW w:w="2251" w:type="dxa"/>
            <w:noWrap w:val="0"/>
            <w:vAlign w:val="center"/>
          </w:tcPr>
          <w:p w14:paraId="79B8980A">
            <w:pPr>
              <w:spacing w:line="440" w:lineRule="exact"/>
              <w:jc w:val="center"/>
              <w:rPr>
                <w:rFonts w:hint="eastAsia" w:ascii="宋体" w:hAnsi="宋体" w:cs="宋体"/>
                <w:szCs w:val="21"/>
                <w:highlight w:val="none"/>
              </w:rPr>
            </w:pPr>
            <w:r>
              <w:rPr>
                <w:rFonts w:hint="eastAsia" w:ascii="宋体" w:hAnsi="宋体" w:cs="宋体"/>
                <w:szCs w:val="21"/>
                <w:highlight w:val="none"/>
              </w:rPr>
              <w:t>招标项目及标段名称</w:t>
            </w:r>
          </w:p>
        </w:tc>
        <w:tc>
          <w:tcPr>
            <w:tcW w:w="5943" w:type="dxa"/>
            <w:noWrap w:val="0"/>
            <w:vAlign w:val="center"/>
          </w:tcPr>
          <w:p w14:paraId="74954B5C">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zCs w:val="21"/>
                <w:highlight w:val="none"/>
                <w:u w:val="none"/>
                <w:lang w:val="en-US" w:eastAsia="zh-CN"/>
              </w:rPr>
            </w:pPr>
            <w:r>
              <w:rPr>
                <w:rFonts w:hint="eastAsia" w:ascii="宋体" w:hAnsi="宋体" w:cs="宋体"/>
                <w:szCs w:val="21"/>
                <w:highlight w:val="none"/>
                <w:u w:val="none"/>
                <w:lang w:eastAsia="zh-CN"/>
              </w:rPr>
              <w:t>项目名</w:t>
            </w:r>
            <w:r>
              <w:rPr>
                <w:rFonts w:hint="eastAsia" w:ascii="宋体" w:hAnsi="宋体" w:eastAsia="宋体" w:cs="宋体"/>
                <w:b w:val="0"/>
                <w:bCs w:val="0"/>
                <w:color w:val="auto"/>
                <w:szCs w:val="21"/>
                <w:highlight w:val="none"/>
                <w:u w:val="none"/>
                <w:lang w:val="en-US" w:eastAsia="zh-CN"/>
              </w:rPr>
              <w:t>称：南通轨道交通部分站点非机动车换乘停车优化改造施工项目</w:t>
            </w:r>
          </w:p>
          <w:p w14:paraId="617ED5BF">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cs="宋体"/>
                <w:szCs w:val="21"/>
                <w:highlight w:val="none"/>
              </w:rPr>
            </w:pPr>
            <w:r>
              <w:rPr>
                <w:rFonts w:hint="eastAsia" w:ascii="宋体" w:hAnsi="宋体" w:eastAsia="宋体" w:cs="宋体"/>
                <w:b w:val="0"/>
                <w:bCs w:val="0"/>
                <w:color w:val="auto"/>
                <w:szCs w:val="21"/>
                <w:highlight w:val="none"/>
                <w:u w:val="none"/>
                <w:lang w:val="en-US" w:eastAsia="zh-CN"/>
              </w:rPr>
              <w:t>标段名称：第1批次工程</w:t>
            </w:r>
          </w:p>
        </w:tc>
      </w:tr>
      <w:tr w14:paraId="40BC67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1077" w:type="dxa"/>
            <w:noWrap w:val="0"/>
            <w:vAlign w:val="center"/>
          </w:tcPr>
          <w:p w14:paraId="78F94872">
            <w:pPr>
              <w:spacing w:line="440" w:lineRule="exact"/>
              <w:jc w:val="center"/>
              <w:rPr>
                <w:rFonts w:hint="eastAsia" w:ascii="宋体" w:hAnsi="宋体" w:cs="宋体"/>
                <w:szCs w:val="21"/>
                <w:highlight w:val="none"/>
              </w:rPr>
            </w:pPr>
            <w:r>
              <w:rPr>
                <w:rFonts w:hint="eastAsia" w:ascii="宋体" w:hAnsi="宋体" w:cs="宋体"/>
                <w:szCs w:val="21"/>
                <w:highlight w:val="none"/>
              </w:rPr>
              <w:t>1.1.5</w:t>
            </w:r>
          </w:p>
        </w:tc>
        <w:tc>
          <w:tcPr>
            <w:tcW w:w="2251" w:type="dxa"/>
            <w:noWrap w:val="0"/>
            <w:vAlign w:val="center"/>
          </w:tcPr>
          <w:p w14:paraId="0EDC5E42">
            <w:pPr>
              <w:spacing w:line="440" w:lineRule="exact"/>
              <w:jc w:val="center"/>
              <w:rPr>
                <w:rFonts w:hint="eastAsia" w:ascii="宋体" w:hAnsi="宋体" w:cs="宋体"/>
                <w:szCs w:val="21"/>
                <w:highlight w:val="none"/>
              </w:rPr>
            </w:pPr>
            <w:r>
              <w:rPr>
                <w:rFonts w:hint="eastAsia" w:ascii="宋体" w:hAnsi="宋体" w:cs="宋体"/>
                <w:szCs w:val="21"/>
                <w:highlight w:val="none"/>
              </w:rPr>
              <w:t>招标方式</w:t>
            </w:r>
          </w:p>
        </w:tc>
        <w:tc>
          <w:tcPr>
            <w:tcW w:w="5943" w:type="dxa"/>
            <w:noWrap w:val="0"/>
            <w:vAlign w:val="center"/>
          </w:tcPr>
          <w:p w14:paraId="7614E03C">
            <w:pPr>
              <w:spacing w:line="360" w:lineRule="exact"/>
              <w:rPr>
                <w:rFonts w:hint="eastAsia" w:ascii="宋体" w:hAnsi="宋体" w:cs="宋体"/>
                <w:szCs w:val="21"/>
                <w:highlight w:val="none"/>
              </w:rPr>
            </w:pPr>
            <w:r>
              <w:rPr>
                <w:rFonts w:hint="eastAsia" w:ascii="宋体" w:hAnsi="宋体" w:cs="宋体"/>
                <w:szCs w:val="21"/>
                <w:highlight w:val="none"/>
                <w:lang w:eastAsia="zh-CN"/>
              </w:rPr>
              <w:t>公开</w:t>
            </w:r>
            <w:r>
              <w:rPr>
                <w:rFonts w:hint="eastAsia" w:ascii="宋体" w:hAnsi="宋体" w:cs="宋体"/>
                <w:szCs w:val="21"/>
                <w:highlight w:val="none"/>
              </w:rPr>
              <w:t>招标</w:t>
            </w:r>
          </w:p>
        </w:tc>
      </w:tr>
      <w:tr w14:paraId="628945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1077" w:type="dxa"/>
            <w:noWrap w:val="0"/>
            <w:vAlign w:val="center"/>
          </w:tcPr>
          <w:p w14:paraId="15562E2D">
            <w:pPr>
              <w:spacing w:line="440" w:lineRule="exact"/>
              <w:jc w:val="center"/>
              <w:rPr>
                <w:rFonts w:hint="eastAsia" w:ascii="宋体" w:hAnsi="宋体" w:cs="宋体"/>
                <w:szCs w:val="21"/>
                <w:highlight w:val="none"/>
              </w:rPr>
            </w:pPr>
            <w:r>
              <w:rPr>
                <w:rFonts w:hint="eastAsia" w:ascii="宋体" w:hAnsi="宋体" w:cs="宋体"/>
                <w:szCs w:val="21"/>
                <w:highlight w:val="none"/>
              </w:rPr>
              <w:t>1.1.6</w:t>
            </w:r>
          </w:p>
        </w:tc>
        <w:tc>
          <w:tcPr>
            <w:tcW w:w="2251" w:type="dxa"/>
            <w:noWrap w:val="0"/>
            <w:vAlign w:val="center"/>
          </w:tcPr>
          <w:p w14:paraId="58DF3D79">
            <w:pPr>
              <w:spacing w:line="440" w:lineRule="exact"/>
              <w:jc w:val="center"/>
              <w:rPr>
                <w:rFonts w:hint="eastAsia" w:ascii="宋体" w:hAnsi="宋体" w:cs="宋体"/>
                <w:szCs w:val="21"/>
                <w:highlight w:val="none"/>
              </w:rPr>
            </w:pPr>
            <w:r>
              <w:rPr>
                <w:rFonts w:hint="eastAsia" w:ascii="宋体" w:hAnsi="宋体" w:cs="宋体"/>
                <w:szCs w:val="21"/>
                <w:highlight w:val="none"/>
              </w:rPr>
              <w:t>建设地点</w:t>
            </w:r>
          </w:p>
        </w:tc>
        <w:tc>
          <w:tcPr>
            <w:tcW w:w="5943" w:type="dxa"/>
            <w:noWrap w:val="0"/>
            <w:vAlign w:val="center"/>
          </w:tcPr>
          <w:p w14:paraId="0B8CAB7B">
            <w:pPr>
              <w:spacing w:line="360" w:lineRule="exact"/>
              <w:rPr>
                <w:rFonts w:hint="eastAsia" w:ascii="宋体" w:hAnsi="宋体" w:cs="宋体"/>
                <w:szCs w:val="21"/>
                <w:highlight w:val="none"/>
              </w:rPr>
            </w:pPr>
            <w:r>
              <w:rPr>
                <w:rFonts w:hint="eastAsia" w:ascii="宋体" w:hAnsi="宋体" w:eastAsia="宋体" w:cs="宋体"/>
                <w:b w:val="0"/>
                <w:bCs w:val="0"/>
                <w:color w:val="auto"/>
                <w:szCs w:val="21"/>
                <w:highlight w:val="none"/>
                <w:u w:val="none"/>
                <w:lang w:val="en-US" w:eastAsia="zh-CN"/>
              </w:rPr>
              <w:t>南通市轨道交通1号线紫琅路站和河口站</w:t>
            </w:r>
          </w:p>
        </w:tc>
      </w:tr>
      <w:tr w14:paraId="124096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1077" w:type="dxa"/>
            <w:noWrap w:val="0"/>
            <w:vAlign w:val="center"/>
          </w:tcPr>
          <w:p w14:paraId="55DDE7A8">
            <w:pPr>
              <w:spacing w:line="440" w:lineRule="exact"/>
              <w:jc w:val="center"/>
              <w:rPr>
                <w:rFonts w:hint="eastAsia" w:ascii="宋体" w:hAnsi="宋体" w:cs="宋体"/>
                <w:szCs w:val="21"/>
                <w:highlight w:val="none"/>
              </w:rPr>
            </w:pPr>
            <w:r>
              <w:rPr>
                <w:rFonts w:hint="eastAsia" w:ascii="宋体" w:hAnsi="宋体" w:cs="宋体"/>
                <w:szCs w:val="21"/>
                <w:highlight w:val="none"/>
              </w:rPr>
              <w:t>1.2.1</w:t>
            </w:r>
          </w:p>
        </w:tc>
        <w:tc>
          <w:tcPr>
            <w:tcW w:w="2251" w:type="dxa"/>
            <w:noWrap w:val="0"/>
            <w:vAlign w:val="center"/>
          </w:tcPr>
          <w:p w14:paraId="14C45B4C">
            <w:pPr>
              <w:spacing w:line="440" w:lineRule="exact"/>
              <w:jc w:val="center"/>
              <w:rPr>
                <w:rFonts w:hint="eastAsia" w:ascii="宋体" w:hAnsi="宋体" w:cs="宋体"/>
                <w:szCs w:val="21"/>
                <w:highlight w:val="none"/>
              </w:rPr>
            </w:pPr>
            <w:r>
              <w:rPr>
                <w:rFonts w:hint="eastAsia" w:ascii="宋体" w:hAnsi="宋体" w:cs="宋体"/>
                <w:szCs w:val="21"/>
                <w:highlight w:val="none"/>
              </w:rPr>
              <w:t>资金来源</w:t>
            </w:r>
          </w:p>
        </w:tc>
        <w:tc>
          <w:tcPr>
            <w:tcW w:w="5943" w:type="dxa"/>
            <w:noWrap w:val="0"/>
            <w:vAlign w:val="center"/>
          </w:tcPr>
          <w:p w14:paraId="0C7B9904">
            <w:pPr>
              <w:spacing w:line="360" w:lineRule="exact"/>
              <w:rPr>
                <w:rFonts w:hint="eastAsia" w:ascii="宋体" w:hAnsi="宋体" w:cs="宋体"/>
                <w:szCs w:val="21"/>
                <w:highlight w:val="none"/>
                <w:u w:val="single"/>
              </w:rPr>
            </w:pPr>
            <w:r>
              <w:rPr>
                <w:rFonts w:hint="eastAsia" w:ascii="宋体" w:hAnsi="宋体" w:cs="宋体"/>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自筹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szCs w:val="21"/>
                <w:highlight w:val="none"/>
                <w:u w:val="single"/>
              </w:rPr>
              <w:t xml:space="preserve">  </w:t>
            </w:r>
          </w:p>
          <w:p w14:paraId="285DFA17">
            <w:pPr>
              <w:spacing w:line="360" w:lineRule="exact"/>
              <w:rPr>
                <w:rFonts w:hint="eastAsia" w:ascii="宋体" w:hAnsi="宋体" w:cs="宋体"/>
                <w:szCs w:val="21"/>
                <w:highlight w:val="none"/>
                <w:u w:val="single"/>
              </w:rPr>
            </w:pPr>
            <w:r>
              <w:rPr>
                <w:rFonts w:hint="eastAsia" w:ascii="宋体" w:hAnsi="宋体" w:cs="宋体"/>
                <w:szCs w:val="21"/>
                <w:highlight w:val="none"/>
              </w:rPr>
              <w:t>本工程属于</w:t>
            </w:r>
            <w:r>
              <w:rPr>
                <w:rFonts w:hint="eastAsia" w:ascii="宋体" w:hAnsi="宋体" w:cs="宋体"/>
                <w:szCs w:val="21"/>
                <w:highlight w:val="none"/>
                <w:lang w:eastAsia="zh-CN"/>
              </w:rPr>
              <w:t>☑</w:t>
            </w:r>
            <w:r>
              <w:rPr>
                <w:rFonts w:hint="eastAsia" w:ascii="宋体" w:hAnsi="宋体" w:cs="宋体"/>
                <w:szCs w:val="21"/>
                <w:highlight w:val="none"/>
              </w:rPr>
              <w:t>政府投资项目</w:t>
            </w:r>
            <w:r>
              <w:rPr>
                <w:rFonts w:hint="eastAsia" w:ascii="宋体" w:hAnsi="宋体" w:cs="宋体"/>
                <w:szCs w:val="21"/>
                <w:highlight w:val="none"/>
                <w:lang w:val="en-US" w:eastAsia="zh-CN"/>
              </w:rPr>
              <w:t xml:space="preserve">  </w:t>
            </w:r>
            <w:r>
              <w:rPr>
                <w:rFonts w:hint="eastAsia" w:ascii="宋体" w:hAnsi="宋体" w:cs="宋体"/>
                <w:szCs w:val="21"/>
                <w:highlight w:val="none"/>
                <w:lang w:eastAsia="zh-CN"/>
              </w:rPr>
              <w:t>□</w:t>
            </w:r>
            <w:r>
              <w:rPr>
                <w:rFonts w:hint="eastAsia" w:ascii="宋体" w:hAnsi="宋体" w:cs="宋体"/>
                <w:szCs w:val="21"/>
                <w:highlight w:val="none"/>
              </w:rPr>
              <w:t>国有非政府投资项目</w:t>
            </w:r>
            <w:r>
              <w:rPr>
                <w:rFonts w:hint="eastAsia" w:ascii="宋体" w:hAnsi="宋体" w:cs="宋体"/>
                <w:szCs w:val="21"/>
                <w:highlight w:val="none"/>
                <w:lang w:val="en-US" w:eastAsia="zh-CN"/>
              </w:rPr>
              <w:t xml:space="preserve">  </w:t>
            </w:r>
            <w:r>
              <w:rPr>
                <w:rFonts w:hint="eastAsia" w:ascii="宋体" w:hAnsi="宋体" w:cs="宋体"/>
                <w:szCs w:val="21"/>
                <w:highlight w:val="none"/>
              </w:rPr>
              <w:t>□其他</w:t>
            </w:r>
          </w:p>
        </w:tc>
      </w:tr>
      <w:tr w14:paraId="7DFEBE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tblHeader/>
        </w:trPr>
        <w:tc>
          <w:tcPr>
            <w:tcW w:w="1077" w:type="dxa"/>
            <w:noWrap w:val="0"/>
            <w:vAlign w:val="center"/>
          </w:tcPr>
          <w:p w14:paraId="50497E99">
            <w:pPr>
              <w:spacing w:line="440" w:lineRule="exact"/>
              <w:jc w:val="center"/>
              <w:rPr>
                <w:rFonts w:hint="eastAsia" w:ascii="宋体" w:hAnsi="宋体" w:cs="宋体"/>
                <w:szCs w:val="21"/>
                <w:highlight w:val="none"/>
              </w:rPr>
            </w:pPr>
            <w:r>
              <w:rPr>
                <w:rFonts w:hint="eastAsia" w:ascii="宋体" w:hAnsi="宋体" w:cs="宋体"/>
                <w:szCs w:val="21"/>
                <w:highlight w:val="none"/>
              </w:rPr>
              <w:t>1.2.2</w:t>
            </w:r>
          </w:p>
        </w:tc>
        <w:tc>
          <w:tcPr>
            <w:tcW w:w="2251" w:type="dxa"/>
            <w:noWrap w:val="0"/>
            <w:vAlign w:val="center"/>
          </w:tcPr>
          <w:p w14:paraId="1A039100">
            <w:pPr>
              <w:spacing w:line="440" w:lineRule="exact"/>
              <w:jc w:val="center"/>
              <w:rPr>
                <w:rFonts w:hint="eastAsia" w:ascii="宋体" w:hAnsi="宋体" w:cs="宋体"/>
                <w:szCs w:val="21"/>
                <w:highlight w:val="none"/>
              </w:rPr>
            </w:pPr>
            <w:r>
              <w:rPr>
                <w:rFonts w:hint="eastAsia" w:ascii="宋体" w:hAnsi="宋体" w:cs="宋体"/>
                <w:szCs w:val="21"/>
                <w:highlight w:val="none"/>
              </w:rPr>
              <w:t>出资比例</w:t>
            </w:r>
          </w:p>
        </w:tc>
        <w:tc>
          <w:tcPr>
            <w:tcW w:w="5943" w:type="dxa"/>
            <w:noWrap w:val="0"/>
            <w:vAlign w:val="center"/>
          </w:tcPr>
          <w:p w14:paraId="67F5AAB3">
            <w:pPr>
              <w:spacing w:line="360" w:lineRule="exact"/>
              <w:rPr>
                <w:rFonts w:hint="eastAsia" w:ascii="宋体" w:hAnsi="宋体" w:cs="宋体"/>
                <w:szCs w:val="21"/>
                <w:highlight w:val="none"/>
                <w:u w:val="none"/>
              </w:rPr>
            </w:pPr>
            <w:r>
              <w:rPr>
                <w:rFonts w:hint="eastAsia" w:ascii="宋体" w:hAnsi="宋体" w:eastAsia="宋体" w:cs="宋体"/>
                <w:color w:val="auto"/>
                <w:sz w:val="21"/>
                <w:szCs w:val="21"/>
                <w:highlight w:val="none"/>
                <w:u w:val="none"/>
                <w:lang w:val="en-US" w:eastAsia="zh-CN"/>
              </w:rPr>
              <w:t>100%</w:t>
            </w:r>
            <w:r>
              <w:rPr>
                <w:rFonts w:hint="eastAsia" w:ascii="宋体" w:hAnsi="宋体" w:eastAsia="宋体" w:cs="宋体"/>
                <w:color w:val="auto"/>
                <w:sz w:val="21"/>
                <w:szCs w:val="21"/>
                <w:highlight w:val="none"/>
                <w:u w:val="none"/>
                <w:lang w:eastAsia="zh-CN"/>
              </w:rPr>
              <w:t xml:space="preserve">  </w:t>
            </w:r>
            <w:r>
              <w:rPr>
                <w:rFonts w:hint="eastAsia" w:ascii="宋体" w:hAnsi="宋体" w:cs="宋体"/>
                <w:szCs w:val="21"/>
                <w:highlight w:val="none"/>
                <w:u w:val="none"/>
              </w:rPr>
              <w:t xml:space="preserve">  </w:t>
            </w:r>
          </w:p>
        </w:tc>
      </w:tr>
      <w:tr w14:paraId="7E1CFC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tblHeader/>
        </w:trPr>
        <w:tc>
          <w:tcPr>
            <w:tcW w:w="1077" w:type="dxa"/>
            <w:noWrap w:val="0"/>
            <w:vAlign w:val="center"/>
          </w:tcPr>
          <w:p w14:paraId="5E7380E2">
            <w:pPr>
              <w:spacing w:line="440" w:lineRule="exact"/>
              <w:jc w:val="center"/>
              <w:rPr>
                <w:rFonts w:hint="eastAsia" w:ascii="宋体" w:hAnsi="宋体" w:cs="宋体"/>
                <w:szCs w:val="21"/>
                <w:highlight w:val="none"/>
              </w:rPr>
            </w:pPr>
            <w:r>
              <w:rPr>
                <w:rFonts w:hint="eastAsia" w:ascii="宋体" w:hAnsi="宋体" w:cs="宋体"/>
                <w:szCs w:val="21"/>
                <w:highlight w:val="none"/>
              </w:rPr>
              <w:t>1.2.3</w:t>
            </w:r>
          </w:p>
        </w:tc>
        <w:tc>
          <w:tcPr>
            <w:tcW w:w="2251" w:type="dxa"/>
            <w:noWrap w:val="0"/>
            <w:vAlign w:val="center"/>
          </w:tcPr>
          <w:p w14:paraId="094491EA">
            <w:pPr>
              <w:spacing w:line="440" w:lineRule="exact"/>
              <w:jc w:val="center"/>
              <w:rPr>
                <w:rFonts w:hint="eastAsia" w:ascii="宋体" w:hAnsi="宋体" w:cs="宋体"/>
                <w:szCs w:val="21"/>
                <w:highlight w:val="none"/>
              </w:rPr>
            </w:pPr>
            <w:r>
              <w:rPr>
                <w:rFonts w:hint="eastAsia" w:ascii="宋体" w:hAnsi="宋体" w:cs="宋体"/>
                <w:szCs w:val="21"/>
                <w:highlight w:val="none"/>
              </w:rPr>
              <w:t>资金落实情况</w:t>
            </w:r>
          </w:p>
        </w:tc>
        <w:tc>
          <w:tcPr>
            <w:tcW w:w="5943" w:type="dxa"/>
            <w:noWrap w:val="0"/>
            <w:vAlign w:val="center"/>
          </w:tcPr>
          <w:p w14:paraId="391D5817">
            <w:pPr>
              <w:spacing w:line="360" w:lineRule="exact"/>
              <w:rPr>
                <w:rFonts w:hint="eastAsia" w:ascii="宋体" w:hAnsi="宋体" w:cs="宋体"/>
                <w:szCs w:val="21"/>
                <w:highlight w:val="none"/>
                <w:u w:val="none"/>
              </w:rPr>
            </w:pPr>
            <w:r>
              <w:rPr>
                <w:rFonts w:hint="eastAsia" w:ascii="宋体" w:hAnsi="宋体" w:eastAsia="宋体" w:cs="宋体"/>
                <w:color w:val="auto"/>
                <w:sz w:val="21"/>
                <w:szCs w:val="21"/>
                <w:highlight w:val="none"/>
                <w:u w:val="none"/>
                <w:lang w:val="en-US" w:eastAsia="zh-CN"/>
              </w:rPr>
              <w:t>已落实</w:t>
            </w:r>
            <w:r>
              <w:rPr>
                <w:rFonts w:hint="eastAsia" w:ascii="宋体" w:hAnsi="宋体" w:cs="宋体"/>
                <w:szCs w:val="21"/>
                <w:highlight w:val="none"/>
                <w:u w:val="none"/>
              </w:rPr>
              <w:t xml:space="preserve">  </w:t>
            </w:r>
          </w:p>
        </w:tc>
      </w:tr>
      <w:tr w14:paraId="62A7D2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tblHeader/>
        </w:trPr>
        <w:tc>
          <w:tcPr>
            <w:tcW w:w="1077" w:type="dxa"/>
            <w:noWrap w:val="0"/>
            <w:vAlign w:val="center"/>
          </w:tcPr>
          <w:p w14:paraId="352D4926">
            <w:pPr>
              <w:spacing w:line="440" w:lineRule="exact"/>
              <w:jc w:val="center"/>
              <w:rPr>
                <w:rFonts w:hint="eastAsia" w:ascii="宋体" w:hAnsi="宋体" w:cs="宋体"/>
                <w:szCs w:val="21"/>
                <w:highlight w:val="none"/>
              </w:rPr>
            </w:pPr>
            <w:r>
              <w:rPr>
                <w:rFonts w:hint="eastAsia" w:ascii="宋体" w:hAnsi="宋体" w:cs="宋体"/>
                <w:szCs w:val="21"/>
                <w:highlight w:val="none"/>
              </w:rPr>
              <w:t>1.2.4</w:t>
            </w:r>
          </w:p>
        </w:tc>
        <w:tc>
          <w:tcPr>
            <w:tcW w:w="2251" w:type="dxa"/>
            <w:noWrap w:val="0"/>
            <w:vAlign w:val="center"/>
          </w:tcPr>
          <w:p w14:paraId="199EF905">
            <w:pPr>
              <w:spacing w:line="440" w:lineRule="exact"/>
              <w:jc w:val="center"/>
              <w:rPr>
                <w:rFonts w:hint="eastAsia" w:ascii="宋体" w:hAnsi="宋体" w:cs="宋体"/>
                <w:szCs w:val="21"/>
                <w:highlight w:val="none"/>
              </w:rPr>
            </w:pPr>
            <w:r>
              <w:rPr>
                <w:rFonts w:hint="eastAsia" w:ascii="宋体" w:hAnsi="宋体" w:cs="宋体"/>
                <w:szCs w:val="21"/>
                <w:highlight w:val="none"/>
              </w:rPr>
              <w:t>工程款支付方式</w:t>
            </w:r>
          </w:p>
        </w:tc>
        <w:tc>
          <w:tcPr>
            <w:tcW w:w="5943" w:type="dxa"/>
            <w:noWrap w:val="0"/>
            <w:vAlign w:val="center"/>
          </w:tcPr>
          <w:p w14:paraId="4CFE22F5">
            <w:pPr>
              <w:spacing w:line="360" w:lineRule="exact"/>
              <w:rPr>
                <w:rFonts w:hint="eastAsia" w:ascii="宋体" w:hAnsi="宋体" w:cs="宋体"/>
                <w:szCs w:val="21"/>
                <w:highlight w:val="none"/>
                <w:u w:val="single"/>
              </w:rPr>
            </w:pPr>
            <w:r>
              <w:rPr>
                <w:rFonts w:hint="eastAsia" w:ascii="宋体" w:hAnsi="宋体" w:cs="宋体"/>
                <w:szCs w:val="21"/>
                <w:highlight w:val="none"/>
              </w:rPr>
              <w:t>详见招标文件施工合同相关条款</w:t>
            </w:r>
          </w:p>
        </w:tc>
      </w:tr>
      <w:tr w14:paraId="40F635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1077" w:type="dxa"/>
            <w:noWrap w:val="0"/>
            <w:vAlign w:val="center"/>
          </w:tcPr>
          <w:p w14:paraId="7CA77525">
            <w:pPr>
              <w:spacing w:line="440" w:lineRule="exact"/>
              <w:jc w:val="center"/>
              <w:rPr>
                <w:rFonts w:hint="eastAsia" w:ascii="宋体" w:hAnsi="宋体" w:cs="宋体"/>
                <w:szCs w:val="21"/>
                <w:highlight w:val="none"/>
              </w:rPr>
            </w:pPr>
            <w:r>
              <w:rPr>
                <w:rFonts w:hint="eastAsia" w:ascii="宋体" w:hAnsi="宋体" w:cs="宋体"/>
                <w:szCs w:val="21"/>
                <w:highlight w:val="none"/>
              </w:rPr>
              <w:t>1.3.1</w:t>
            </w:r>
          </w:p>
        </w:tc>
        <w:tc>
          <w:tcPr>
            <w:tcW w:w="2251" w:type="dxa"/>
            <w:noWrap w:val="0"/>
            <w:vAlign w:val="center"/>
          </w:tcPr>
          <w:p w14:paraId="42E44B05">
            <w:pPr>
              <w:spacing w:line="440" w:lineRule="exact"/>
              <w:jc w:val="center"/>
              <w:rPr>
                <w:rFonts w:hint="eastAsia" w:ascii="宋体" w:hAnsi="宋体" w:cs="宋体"/>
                <w:szCs w:val="21"/>
                <w:highlight w:val="none"/>
              </w:rPr>
            </w:pPr>
            <w:r>
              <w:rPr>
                <w:rFonts w:hint="eastAsia" w:ascii="宋体" w:hAnsi="宋体" w:cs="宋体"/>
                <w:szCs w:val="21"/>
                <w:highlight w:val="none"/>
              </w:rPr>
              <w:t>招标范围</w:t>
            </w:r>
          </w:p>
        </w:tc>
        <w:tc>
          <w:tcPr>
            <w:tcW w:w="5943" w:type="dxa"/>
            <w:noWrap w:val="0"/>
            <w:vAlign w:val="center"/>
          </w:tcPr>
          <w:p w14:paraId="620C468B">
            <w:pPr>
              <w:spacing w:line="240" w:lineRule="auto"/>
              <w:rPr>
                <w:rFonts w:hint="eastAsia" w:ascii="宋体" w:hAnsi="宋体" w:cs="宋体"/>
                <w:szCs w:val="21"/>
                <w:highlight w:val="none"/>
                <w:u w:val="none"/>
              </w:rPr>
            </w:pPr>
            <w:r>
              <w:rPr>
                <w:rFonts w:hint="eastAsia" w:ascii="宋体" w:hAnsi="宋体" w:eastAsia="宋体" w:cs="宋体"/>
                <w:szCs w:val="21"/>
                <w:highlight w:val="none"/>
                <w:lang w:val="en-US" w:eastAsia="zh-CN"/>
              </w:rPr>
              <w:t>包括但不限于1号线河口站2号出入口、1号线紫琅湖站1号出入口、1号线紫琅湖站2号出入口的道路（场地）、绿化景观、排水、交通设施、照明等</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具体详见招标文件、施工图纸及工程量清单。</w:t>
            </w:r>
          </w:p>
        </w:tc>
      </w:tr>
      <w:tr w14:paraId="1B2528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9" w:hRule="atLeast"/>
          <w:tblHeader/>
        </w:trPr>
        <w:tc>
          <w:tcPr>
            <w:tcW w:w="1077" w:type="dxa"/>
            <w:noWrap w:val="0"/>
            <w:vAlign w:val="center"/>
          </w:tcPr>
          <w:p w14:paraId="09BCD1E6">
            <w:pPr>
              <w:spacing w:line="440" w:lineRule="exact"/>
              <w:jc w:val="center"/>
              <w:rPr>
                <w:rFonts w:hint="eastAsia" w:ascii="宋体" w:hAnsi="宋体" w:cs="宋体"/>
                <w:szCs w:val="21"/>
                <w:highlight w:val="none"/>
              </w:rPr>
            </w:pPr>
            <w:r>
              <w:rPr>
                <w:rFonts w:hint="eastAsia" w:ascii="宋体" w:hAnsi="宋体" w:cs="宋体"/>
                <w:szCs w:val="21"/>
                <w:highlight w:val="none"/>
              </w:rPr>
              <w:t>1.3.2</w:t>
            </w:r>
          </w:p>
        </w:tc>
        <w:tc>
          <w:tcPr>
            <w:tcW w:w="2251" w:type="dxa"/>
            <w:noWrap w:val="0"/>
            <w:vAlign w:val="center"/>
          </w:tcPr>
          <w:p w14:paraId="4C7F43B9">
            <w:pPr>
              <w:spacing w:line="440" w:lineRule="exact"/>
              <w:jc w:val="center"/>
              <w:rPr>
                <w:rFonts w:hint="eastAsia" w:ascii="宋体" w:hAnsi="宋体" w:cs="宋体"/>
                <w:szCs w:val="21"/>
                <w:highlight w:val="none"/>
              </w:rPr>
            </w:pPr>
            <w:r>
              <w:rPr>
                <w:rFonts w:hint="eastAsia" w:ascii="宋体" w:hAnsi="宋体" w:cs="宋体"/>
                <w:szCs w:val="21"/>
                <w:highlight w:val="none"/>
              </w:rPr>
              <w:t>要求工期</w:t>
            </w:r>
          </w:p>
        </w:tc>
        <w:tc>
          <w:tcPr>
            <w:tcW w:w="5943" w:type="dxa"/>
            <w:noWrap w:val="0"/>
            <w:vAlign w:val="center"/>
          </w:tcPr>
          <w:p w14:paraId="608F5926">
            <w:pPr>
              <w:spacing w:line="360" w:lineRule="exact"/>
              <w:rPr>
                <w:rFonts w:hint="eastAsia" w:ascii="宋体" w:hAnsi="宋体" w:eastAsia="宋体" w:cs="宋体"/>
                <w:szCs w:val="21"/>
                <w:highlight w:val="none"/>
                <w:lang w:eastAsia="zh-CN"/>
              </w:rPr>
            </w:pPr>
            <w:r>
              <w:rPr>
                <w:rFonts w:hint="eastAsia"/>
                <w:highlight w:val="none"/>
                <w:u w:val="none"/>
                <w:lang w:val="en-US" w:eastAsia="zh-CN"/>
              </w:rPr>
              <w:t>工期：90日历天，计划开工日期：2026年10月，计划竣工日期2027年1月，具体开工日期以发包人签发的书面开工通知为准</w:t>
            </w:r>
            <w:r>
              <w:rPr>
                <w:rFonts w:hint="eastAsia" w:ascii="宋体" w:hAnsi="宋体" w:eastAsia="宋体" w:cs="宋体"/>
                <w:szCs w:val="21"/>
                <w:highlight w:val="none"/>
                <w:u w:val="none"/>
                <w:lang w:val="en-US" w:eastAsia="zh-CN"/>
              </w:rPr>
              <w:t>。</w:t>
            </w:r>
            <w:r>
              <w:rPr>
                <w:rFonts w:hint="eastAsia" w:ascii="宋体" w:hAnsi="宋体" w:eastAsia="宋体" w:cs="宋体"/>
                <w:szCs w:val="21"/>
                <w:highlight w:val="none"/>
                <w:lang w:val="en-US" w:eastAsia="zh-CN"/>
              </w:rPr>
              <w:t>计划施工阶段性工期：由建设单位指令，每一工作面自绿化迁移等场地准备完成后不超过50日历天完成该工作面所有工程量。</w:t>
            </w:r>
          </w:p>
        </w:tc>
      </w:tr>
      <w:tr w14:paraId="2B5D5E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04" w:hRule="atLeast"/>
          <w:tblHeader/>
        </w:trPr>
        <w:tc>
          <w:tcPr>
            <w:tcW w:w="1077" w:type="dxa"/>
            <w:noWrap w:val="0"/>
            <w:vAlign w:val="center"/>
          </w:tcPr>
          <w:p w14:paraId="4B6E3B8C">
            <w:pPr>
              <w:spacing w:line="440" w:lineRule="exact"/>
              <w:jc w:val="center"/>
              <w:rPr>
                <w:rFonts w:hint="eastAsia" w:ascii="宋体" w:hAnsi="宋体" w:cs="宋体"/>
                <w:szCs w:val="21"/>
                <w:highlight w:val="none"/>
              </w:rPr>
            </w:pPr>
            <w:r>
              <w:rPr>
                <w:rFonts w:hint="eastAsia" w:ascii="宋体" w:hAnsi="宋体" w:cs="宋体"/>
                <w:szCs w:val="21"/>
                <w:highlight w:val="none"/>
              </w:rPr>
              <w:t>1.3.3</w:t>
            </w:r>
          </w:p>
        </w:tc>
        <w:tc>
          <w:tcPr>
            <w:tcW w:w="2251" w:type="dxa"/>
            <w:noWrap w:val="0"/>
            <w:vAlign w:val="center"/>
          </w:tcPr>
          <w:p w14:paraId="78AE0290">
            <w:pPr>
              <w:spacing w:line="440" w:lineRule="exact"/>
              <w:jc w:val="center"/>
              <w:rPr>
                <w:rFonts w:hint="eastAsia" w:ascii="宋体" w:hAnsi="宋体" w:cs="宋体"/>
                <w:szCs w:val="21"/>
                <w:highlight w:val="none"/>
              </w:rPr>
            </w:pPr>
            <w:r>
              <w:rPr>
                <w:rFonts w:hint="eastAsia" w:ascii="宋体" w:hAnsi="宋体" w:cs="宋体"/>
                <w:szCs w:val="21"/>
                <w:highlight w:val="none"/>
              </w:rPr>
              <w:t>质量要求</w:t>
            </w:r>
          </w:p>
        </w:tc>
        <w:tc>
          <w:tcPr>
            <w:tcW w:w="5943" w:type="dxa"/>
            <w:noWrap w:val="0"/>
            <w:vAlign w:val="center"/>
          </w:tcPr>
          <w:p w14:paraId="18218F13">
            <w:pPr>
              <w:spacing w:line="240" w:lineRule="auto"/>
              <w:rPr>
                <w:rFonts w:hint="eastAsia" w:ascii="宋体" w:hAnsi="宋体" w:cs="宋体"/>
                <w:szCs w:val="21"/>
                <w:highlight w:val="none"/>
              </w:rPr>
            </w:pPr>
            <w:r>
              <w:rPr>
                <w:rFonts w:hint="eastAsia" w:ascii="宋体" w:hAnsi="宋体" w:eastAsia="宋体" w:cs="宋体"/>
                <w:i w:val="0"/>
                <w:iCs w:val="0"/>
                <w:caps w:val="0"/>
                <w:color w:val="auto"/>
                <w:spacing w:val="0"/>
                <w:sz w:val="21"/>
                <w:szCs w:val="21"/>
                <w:highlight w:val="none"/>
                <w:shd w:val="clear" w:color="auto" w:fill="FFFFFF"/>
                <w:lang w:val="en-US" w:eastAsia="zh-CN"/>
              </w:rPr>
              <w:t>合格，其中：苗木成活率符合《园林绿化工程施工及验收规范》（CJJ/T82-2012）的要求，并且长势良好；园林绿化养护质量符合《园林绿化养护标准》（CJJ/T287），并按南通市城市绿化管理部门颁布的相关办法进行考核。若相关标准、规范在施工周期内发生更新、修订，应优先执行最新现行有效版本。</w:t>
            </w:r>
          </w:p>
        </w:tc>
      </w:tr>
      <w:tr w14:paraId="53D0A1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5" w:hRule="atLeast"/>
          <w:tblHeader/>
        </w:trPr>
        <w:tc>
          <w:tcPr>
            <w:tcW w:w="1077" w:type="dxa"/>
            <w:noWrap w:val="0"/>
            <w:vAlign w:val="center"/>
          </w:tcPr>
          <w:p w14:paraId="2779B5D9">
            <w:pPr>
              <w:spacing w:line="440" w:lineRule="exact"/>
              <w:jc w:val="center"/>
              <w:rPr>
                <w:rFonts w:hint="eastAsia" w:ascii="宋体" w:hAnsi="宋体" w:cs="宋体"/>
                <w:szCs w:val="21"/>
                <w:highlight w:val="none"/>
              </w:rPr>
            </w:pPr>
            <w:r>
              <w:rPr>
                <w:rFonts w:hint="eastAsia" w:ascii="宋体" w:hAnsi="宋体" w:cs="宋体"/>
                <w:szCs w:val="21"/>
                <w:highlight w:val="none"/>
              </w:rPr>
              <w:t>1.4.1</w:t>
            </w:r>
          </w:p>
        </w:tc>
        <w:tc>
          <w:tcPr>
            <w:tcW w:w="2251" w:type="dxa"/>
            <w:noWrap w:val="0"/>
            <w:vAlign w:val="center"/>
          </w:tcPr>
          <w:p w14:paraId="0F65ABA7">
            <w:pPr>
              <w:spacing w:line="440" w:lineRule="exact"/>
              <w:jc w:val="center"/>
              <w:rPr>
                <w:rFonts w:hint="eastAsia" w:ascii="宋体" w:hAnsi="宋体" w:cs="宋体"/>
                <w:szCs w:val="21"/>
                <w:highlight w:val="none"/>
              </w:rPr>
            </w:pPr>
            <w:r>
              <w:rPr>
                <w:rFonts w:hint="eastAsia" w:ascii="宋体" w:hAnsi="宋体" w:cs="宋体"/>
                <w:szCs w:val="21"/>
                <w:highlight w:val="none"/>
              </w:rPr>
              <w:t>投标人资质条件、能力和信誉</w:t>
            </w:r>
          </w:p>
        </w:tc>
        <w:tc>
          <w:tcPr>
            <w:tcW w:w="5943" w:type="dxa"/>
            <w:noWrap w:val="0"/>
            <w:vAlign w:val="center"/>
          </w:tcPr>
          <w:p w14:paraId="15B0798D">
            <w:pPr>
              <w:shd w:val="clear" w:color="auto" w:fill="auto"/>
              <w:spacing w:line="340" w:lineRule="exact"/>
              <w:rPr>
                <w:rFonts w:hint="eastAsia" w:ascii="宋体" w:hAnsi="宋体" w:eastAsia="宋体" w:cs="宋体"/>
                <w:i w:val="0"/>
                <w:iCs w:val="0"/>
                <w:caps w:val="0"/>
                <w:color w:val="auto"/>
                <w:spacing w:val="0"/>
                <w:sz w:val="21"/>
                <w:szCs w:val="21"/>
                <w:highlight w:val="none"/>
                <w:shd w:val="clear" w:color="auto" w:fill="FFFFFF"/>
                <w:lang w:val="en-US" w:eastAsia="zh-CN"/>
              </w:rPr>
            </w:pPr>
            <w:r>
              <w:rPr>
                <w:rFonts w:hint="eastAsia" w:ascii="宋体" w:hAnsi="宋体" w:eastAsia="宋体" w:cs="宋体"/>
                <w:i w:val="0"/>
                <w:iCs w:val="0"/>
                <w:caps w:val="0"/>
                <w:color w:val="auto"/>
                <w:spacing w:val="0"/>
                <w:sz w:val="21"/>
                <w:szCs w:val="21"/>
                <w:highlight w:val="none"/>
                <w:shd w:val="clear" w:color="auto" w:fill="FFFFFF"/>
                <w:lang w:val="en-US" w:eastAsia="zh-CN"/>
              </w:rPr>
              <w:t>投标人资质条件：</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见招标公告</w:t>
            </w:r>
            <w:r>
              <w:rPr>
                <w:rFonts w:hint="eastAsia" w:ascii="宋体" w:hAnsi="宋体" w:eastAsia="宋体" w:cs="宋体"/>
                <w:color w:val="auto"/>
                <w:sz w:val="21"/>
                <w:szCs w:val="21"/>
                <w:highlight w:val="none"/>
                <w:u w:val="single"/>
                <w:lang w:eastAsia="zh-CN"/>
              </w:rPr>
              <w:t xml:space="preserve"> </w:t>
            </w:r>
          </w:p>
          <w:p w14:paraId="639F3D7B">
            <w:pPr>
              <w:shd w:val="clear" w:color="auto" w:fill="auto"/>
              <w:spacing w:line="340" w:lineRule="exact"/>
              <w:rPr>
                <w:rFonts w:hint="eastAsia" w:ascii="宋体" w:hAnsi="宋体" w:eastAsia="宋体" w:cs="宋体"/>
                <w:i w:val="0"/>
                <w:iCs w:val="0"/>
                <w:caps w:val="0"/>
                <w:color w:val="auto"/>
                <w:spacing w:val="0"/>
                <w:sz w:val="21"/>
                <w:szCs w:val="21"/>
                <w:highlight w:val="none"/>
                <w:shd w:val="clear" w:color="auto" w:fill="FFFFFF"/>
                <w:lang w:val="en-US" w:eastAsia="zh-CN"/>
              </w:rPr>
            </w:pPr>
            <w:r>
              <w:rPr>
                <w:rFonts w:hint="eastAsia" w:ascii="宋体" w:hAnsi="宋体" w:eastAsia="宋体" w:cs="宋体"/>
                <w:i w:val="0"/>
                <w:iCs w:val="0"/>
                <w:caps w:val="0"/>
                <w:color w:val="auto"/>
                <w:spacing w:val="0"/>
                <w:sz w:val="21"/>
                <w:szCs w:val="21"/>
                <w:highlight w:val="none"/>
                <w:shd w:val="clear" w:color="auto" w:fill="FFFFFF"/>
                <w:lang w:val="en-US" w:eastAsia="zh-CN"/>
              </w:rPr>
              <w:t>资料要求详见招标文件第二章投标人须知前附表3.5.1。</w:t>
            </w:r>
          </w:p>
          <w:p w14:paraId="60F8387D">
            <w:pPr>
              <w:shd w:val="clear" w:color="auto" w:fill="auto"/>
              <w:spacing w:line="340" w:lineRule="exact"/>
              <w:rPr>
                <w:rFonts w:hint="eastAsia" w:ascii="宋体" w:hAnsi="宋体" w:eastAsia="宋体" w:cs="宋体"/>
                <w:i w:val="0"/>
                <w:iCs w:val="0"/>
                <w:caps w:val="0"/>
                <w:color w:val="auto"/>
                <w:spacing w:val="0"/>
                <w:sz w:val="21"/>
                <w:szCs w:val="21"/>
                <w:highlight w:val="none"/>
                <w:shd w:val="clear" w:color="auto" w:fill="FFFFFF"/>
                <w:lang w:val="en-US" w:eastAsia="zh-CN"/>
              </w:rPr>
            </w:pPr>
            <w:r>
              <w:rPr>
                <w:rFonts w:hint="eastAsia" w:ascii="宋体" w:hAnsi="宋体" w:eastAsia="宋体" w:cs="宋体"/>
                <w:i w:val="0"/>
                <w:iCs w:val="0"/>
                <w:caps w:val="0"/>
                <w:color w:val="auto"/>
                <w:spacing w:val="0"/>
                <w:sz w:val="21"/>
                <w:szCs w:val="21"/>
                <w:highlight w:val="none"/>
                <w:shd w:val="clear" w:color="auto" w:fill="FFFFFF"/>
                <w:lang w:val="en-US" w:eastAsia="zh-CN"/>
              </w:rPr>
              <w:t>项目负责人资格：</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见招标公告</w:t>
            </w:r>
            <w:r>
              <w:rPr>
                <w:rFonts w:hint="eastAsia" w:ascii="宋体" w:hAnsi="宋体" w:cs="宋体"/>
                <w:szCs w:val="21"/>
                <w:highlight w:val="none"/>
                <w:u w:val="single"/>
                <w:lang w:eastAsia="zh-CN"/>
              </w:rPr>
              <w:t>。</w:t>
            </w:r>
            <w:r>
              <w:rPr>
                <w:rFonts w:hint="eastAsia" w:ascii="宋体" w:hAnsi="宋体" w:eastAsia="宋体" w:cs="宋体"/>
                <w:color w:val="auto"/>
                <w:sz w:val="21"/>
                <w:szCs w:val="21"/>
                <w:highlight w:val="none"/>
                <w:u w:val="single"/>
                <w:lang w:eastAsia="zh-CN"/>
              </w:rPr>
              <w:t xml:space="preserve"> </w:t>
            </w:r>
          </w:p>
          <w:p w14:paraId="7B3B0F37">
            <w:pPr>
              <w:shd w:val="clear" w:color="auto" w:fill="auto"/>
              <w:spacing w:line="340" w:lineRule="exact"/>
              <w:rPr>
                <w:rFonts w:hint="eastAsia" w:ascii="宋体" w:hAnsi="宋体" w:eastAsia="宋体" w:cs="宋体"/>
                <w:i w:val="0"/>
                <w:iCs w:val="0"/>
                <w:caps w:val="0"/>
                <w:color w:val="auto"/>
                <w:spacing w:val="0"/>
                <w:sz w:val="21"/>
                <w:szCs w:val="21"/>
                <w:highlight w:val="none"/>
                <w:shd w:val="clear" w:color="auto" w:fill="FFFFFF"/>
                <w:lang w:val="en-US" w:eastAsia="zh-CN"/>
              </w:rPr>
            </w:pPr>
            <w:r>
              <w:rPr>
                <w:rFonts w:hint="eastAsia" w:ascii="宋体" w:hAnsi="宋体" w:eastAsia="宋体" w:cs="宋体"/>
                <w:i w:val="0"/>
                <w:iCs w:val="0"/>
                <w:caps w:val="0"/>
                <w:color w:val="auto"/>
                <w:spacing w:val="0"/>
                <w:sz w:val="21"/>
                <w:szCs w:val="21"/>
                <w:highlight w:val="none"/>
                <w:shd w:val="clear" w:color="auto" w:fill="FFFFFF"/>
                <w:lang w:val="en-US" w:eastAsia="zh-CN"/>
              </w:rPr>
              <w:t>资料要求详见招标文件第二章投标人须知前附表3.5.2。</w:t>
            </w:r>
          </w:p>
          <w:p w14:paraId="0B08D281">
            <w:pPr>
              <w:shd w:val="clear" w:color="auto" w:fill="auto"/>
              <w:spacing w:line="340" w:lineRule="exact"/>
              <w:rPr>
                <w:rFonts w:hint="eastAsia" w:ascii="宋体" w:hAnsi="宋体" w:eastAsia="宋体" w:cs="宋体"/>
                <w:i w:val="0"/>
                <w:iCs w:val="0"/>
                <w:caps w:val="0"/>
                <w:color w:val="auto"/>
                <w:spacing w:val="0"/>
                <w:sz w:val="21"/>
                <w:szCs w:val="21"/>
                <w:highlight w:val="none"/>
                <w:shd w:val="clear" w:color="auto" w:fill="FFFFFF"/>
                <w:lang w:val="en-US" w:eastAsia="zh-CN"/>
              </w:rPr>
            </w:pPr>
            <w:r>
              <w:rPr>
                <w:rFonts w:hint="eastAsia" w:ascii="宋体" w:hAnsi="宋体" w:eastAsia="宋体" w:cs="宋体"/>
                <w:i w:val="0"/>
                <w:iCs w:val="0"/>
                <w:caps w:val="0"/>
                <w:color w:val="auto"/>
                <w:spacing w:val="0"/>
                <w:sz w:val="21"/>
                <w:szCs w:val="21"/>
                <w:highlight w:val="none"/>
                <w:shd w:val="clear" w:color="auto" w:fill="FFFFFF"/>
                <w:lang w:val="en-US" w:eastAsia="zh-CN"/>
              </w:rPr>
              <w:t>资格审查可选条件：</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见招标公告</w:t>
            </w:r>
            <w:r>
              <w:rPr>
                <w:rFonts w:hint="eastAsia" w:ascii="宋体" w:hAnsi="宋体" w:eastAsia="宋体" w:cs="宋体"/>
                <w:color w:val="auto"/>
                <w:sz w:val="21"/>
                <w:szCs w:val="21"/>
                <w:highlight w:val="none"/>
                <w:u w:val="single"/>
                <w:lang w:eastAsia="zh-CN"/>
              </w:rPr>
              <w:t xml:space="preserve">  </w:t>
            </w:r>
          </w:p>
          <w:p w14:paraId="64C6DFA6">
            <w:pPr>
              <w:spacing w:line="340" w:lineRule="exact"/>
              <w:rPr>
                <w:rFonts w:ascii="宋体" w:hAnsi="宋体" w:cs="宋体"/>
                <w:szCs w:val="21"/>
                <w:highlight w:val="none"/>
                <w:shd w:val="clear" w:color="auto" w:fill="FFFFFF"/>
              </w:rPr>
            </w:pPr>
            <w:r>
              <w:rPr>
                <w:rFonts w:hint="eastAsia" w:ascii="宋体" w:hAnsi="宋体" w:eastAsia="宋体" w:cs="宋体"/>
                <w:i w:val="0"/>
                <w:iCs w:val="0"/>
                <w:caps w:val="0"/>
                <w:color w:val="auto"/>
                <w:spacing w:val="0"/>
                <w:sz w:val="21"/>
                <w:szCs w:val="21"/>
                <w:highlight w:val="none"/>
                <w:shd w:val="clear" w:color="auto" w:fill="FFFFFF"/>
                <w:lang w:val="en-US" w:eastAsia="zh-CN"/>
              </w:rPr>
              <w:t>符合法律、法规规定的其他条件：</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招标公告</w:t>
            </w:r>
            <w:r>
              <w:rPr>
                <w:rFonts w:hint="eastAsia" w:ascii="宋体" w:hAnsi="宋体" w:eastAsia="宋体" w:cs="宋体"/>
                <w:color w:val="auto"/>
                <w:sz w:val="21"/>
                <w:szCs w:val="21"/>
                <w:highlight w:val="none"/>
                <w:u w:val="single"/>
                <w:lang w:eastAsia="zh-CN"/>
              </w:rPr>
              <w:t xml:space="preserve">  </w:t>
            </w:r>
          </w:p>
        </w:tc>
      </w:tr>
      <w:tr w14:paraId="0DBA46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0" w:hRule="atLeast"/>
          <w:tblHeader/>
        </w:trPr>
        <w:tc>
          <w:tcPr>
            <w:tcW w:w="1077" w:type="dxa"/>
            <w:noWrap w:val="0"/>
            <w:vAlign w:val="center"/>
          </w:tcPr>
          <w:p w14:paraId="22F80258">
            <w:pPr>
              <w:spacing w:line="440" w:lineRule="exact"/>
              <w:jc w:val="center"/>
              <w:rPr>
                <w:rFonts w:hint="eastAsia" w:ascii="宋体" w:hAnsi="宋体" w:cs="宋体"/>
                <w:szCs w:val="21"/>
                <w:highlight w:val="none"/>
              </w:rPr>
            </w:pPr>
            <w:r>
              <w:rPr>
                <w:rFonts w:hint="eastAsia" w:ascii="宋体" w:hAnsi="宋体" w:cs="宋体"/>
                <w:szCs w:val="21"/>
                <w:highlight w:val="none"/>
              </w:rPr>
              <w:t>1.4.2</w:t>
            </w:r>
          </w:p>
        </w:tc>
        <w:tc>
          <w:tcPr>
            <w:tcW w:w="2251" w:type="dxa"/>
            <w:noWrap w:val="0"/>
            <w:vAlign w:val="center"/>
          </w:tcPr>
          <w:p w14:paraId="6604B353">
            <w:pPr>
              <w:spacing w:line="440" w:lineRule="exact"/>
              <w:jc w:val="center"/>
              <w:rPr>
                <w:rFonts w:hint="eastAsia" w:ascii="宋体" w:hAnsi="宋体" w:cs="宋体"/>
                <w:szCs w:val="21"/>
                <w:highlight w:val="none"/>
              </w:rPr>
            </w:pPr>
            <w:r>
              <w:rPr>
                <w:rFonts w:hint="eastAsia" w:ascii="宋体" w:hAnsi="宋体" w:cs="宋体"/>
                <w:szCs w:val="21"/>
                <w:highlight w:val="none"/>
              </w:rPr>
              <w:t>是否接受联合体投标</w:t>
            </w:r>
          </w:p>
        </w:tc>
        <w:tc>
          <w:tcPr>
            <w:tcW w:w="5943" w:type="dxa"/>
            <w:noWrap w:val="0"/>
            <w:vAlign w:val="center"/>
          </w:tcPr>
          <w:p w14:paraId="70C987CF">
            <w:pPr>
              <w:spacing w:line="360" w:lineRule="exact"/>
              <w:rPr>
                <w:rFonts w:hint="eastAsia" w:ascii="宋体" w:hAnsi="宋体" w:cs="宋体"/>
                <w:szCs w:val="21"/>
                <w:highlight w:val="none"/>
              </w:rPr>
            </w:pPr>
            <w:r>
              <w:rPr>
                <w:rFonts w:hint="eastAsia" w:ascii="宋体" w:hAnsi="宋体" w:eastAsia="宋体" w:cs="宋体"/>
                <w:color w:val="auto"/>
                <w:sz w:val="21"/>
                <w:szCs w:val="21"/>
                <w:highlight w:val="none"/>
              </w:rPr>
              <w:t>不接受</w:t>
            </w:r>
          </w:p>
        </w:tc>
      </w:tr>
      <w:tr w14:paraId="4E0BEA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0" w:hRule="atLeast"/>
          <w:tblHeader/>
        </w:trPr>
        <w:tc>
          <w:tcPr>
            <w:tcW w:w="1077" w:type="dxa"/>
            <w:noWrap w:val="0"/>
            <w:vAlign w:val="center"/>
          </w:tcPr>
          <w:p w14:paraId="5293D4A7">
            <w:pPr>
              <w:spacing w:line="440" w:lineRule="exact"/>
              <w:jc w:val="center"/>
              <w:rPr>
                <w:rFonts w:hint="eastAsia" w:ascii="宋体" w:hAnsi="宋体" w:cs="宋体"/>
                <w:szCs w:val="21"/>
                <w:highlight w:val="none"/>
              </w:rPr>
            </w:pPr>
            <w:r>
              <w:rPr>
                <w:rFonts w:hint="eastAsia" w:ascii="宋体" w:hAnsi="宋体" w:cs="宋体"/>
                <w:kern w:val="0"/>
                <w:szCs w:val="21"/>
                <w:highlight w:val="none"/>
              </w:rPr>
              <w:t>1.5.2</w:t>
            </w:r>
          </w:p>
        </w:tc>
        <w:tc>
          <w:tcPr>
            <w:tcW w:w="2251" w:type="dxa"/>
            <w:noWrap w:val="0"/>
            <w:vAlign w:val="center"/>
          </w:tcPr>
          <w:p w14:paraId="306B69FF">
            <w:pPr>
              <w:spacing w:line="440" w:lineRule="exact"/>
              <w:jc w:val="center"/>
              <w:rPr>
                <w:rFonts w:hint="eastAsia" w:ascii="宋体" w:hAnsi="宋体" w:cs="宋体"/>
                <w:szCs w:val="21"/>
                <w:highlight w:val="none"/>
              </w:rPr>
            </w:pPr>
            <w:r>
              <w:rPr>
                <w:rFonts w:hint="eastAsia" w:ascii="宋体" w:hAnsi="宋体" w:cs="宋体"/>
                <w:szCs w:val="21"/>
                <w:highlight w:val="none"/>
              </w:rPr>
              <w:t>招标代理服务费</w:t>
            </w:r>
          </w:p>
        </w:tc>
        <w:tc>
          <w:tcPr>
            <w:tcW w:w="5943" w:type="dxa"/>
            <w:noWrap w:val="0"/>
            <w:vAlign w:val="center"/>
          </w:tcPr>
          <w:p w14:paraId="1805265B">
            <w:pPr>
              <w:rPr>
                <w:rFonts w:hint="eastAsia" w:ascii="宋体" w:hAnsi="宋体" w:cs="宋体"/>
                <w:szCs w:val="21"/>
                <w:highlight w:val="none"/>
              </w:rPr>
            </w:pPr>
            <w:r>
              <w:rPr>
                <w:rFonts w:hint="eastAsia" w:ascii="宋体" w:hAnsi="宋体" w:cs="宋体"/>
                <w:kern w:val="0"/>
                <w:szCs w:val="21"/>
                <w:highlight w:val="none"/>
              </w:rPr>
              <w:t>招标人支付</w:t>
            </w:r>
            <w:r>
              <w:rPr>
                <w:rFonts w:hint="eastAsia" w:ascii="宋体" w:hAnsi="宋体" w:cs="宋体"/>
                <w:szCs w:val="21"/>
                <w:highlight w:val="none"/>
              </w:rPr>
              <w:t> </w:t>
            </w:r>
            <w:bookmarkStart w:id="57" w:name="EB7cdfd9a7addd46ce952946a895de5893"/>
            <w:bookmarkEnd w:id="57"/>
          </w:p>
        </w:tc>
      </w:tr>
      <w:tr w14:paraId="32E1A1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0" w:hRule="atLeast"/>
          <w:tblHeader/>
        </w:trPr>
        <w:tc>
          <w:tcPr>
            <w:tcW w:w="1077" w:type="dxa"/>
            <w:noWrap w:val="0"/>
            <w:vAlign w:val="center"/>
          </w:tcPr>
          <w:p w14:paraId="110F8FF1">
            <w:pPr>
              <w:spacing w:line="440" w:lineRule="exact"/>
              <w:jc w:val="center"/>
              <w:rPr>
                <w:rFonts w:hint="eastAsia" w:ascii="宋体" w:hAnsi="宋体" w:cs="宋体"/>
                <w:szCs w:val="21"/>
                <w:highlight w:val="none"/>
              </w:rPr>
            </w:pPr>
            <w:r>
              <w:rPr>
                <w:rFonts w:hint="eastAsia" w:ascii="宋体" w:hAnsi="宋体" w:cs="宋体"/>
                <w:szCs w:val="21"/>
                <w:highlight w:val="none"/>
              </w:rPr>
              <w:t>1.9.1</w:t>
            </w:r>
          </w:p>
        </w:tc>
        <w:tc>
          <w:tcPr>
            <w:tcW w:w="2251" w:type="dxa"/>
            <w:noWrap w:val="0"/>
            <w:vAlign w:val="center"/>
          </w:tcPr>
          <w:p w14:paraId="6D92F8D0">
            <w:pPr>
              <w:spacing w:line="440" w:lineRule="exact"/>
              <w:jc w:val="center"/>
              <w:rPr>
                <w:rFonts w:hint="eastAsia" w:ascii="宋体" w:hAnsi="宋体" w:cs="宋体"/>
                <w:szCs w:val="21"/>
                <w:highlight w:val="none"/>
              </w:rPr>
            </w:pPr>
            <w:r>
              <w:rPr>
                <w:rFonts w:hint="eastAsia" w:ascii="宋体" w:hAnsi="宋体" w:cs="宋体"/>
                <w:szCs w:val="21"/>
                <w:highlight w:val="none"/>
              </w:rPr>
              <w:t>踏勘现场</w:t>
            </w:r>
          </w:p>
        </w:tc>
        <w:tc>
          <w:tcPr>
            <w:tcW w:w="5943" w:type="dxa"/>
            <w:noWrap w:val="0"/>
            <w:vAlign w:val="center"/>
          </w:tcPr>
          <w:p w14:paraId="1A768DCA">
            <w:pPr>
              <w:adjustRightInd w:val="0"/>
              <w:spacing w:line="360" w:lineRule="exact"/>
              <w:textAlignment w:val="baseline"/>
              <w:rPr>
                <w:rFonts w:hint="eastAsia" w:ascii="宋体" w:hAnsi="宋体" w:cs="宋体"/>
                <w:szCs w:val="21"/>
                <w:highlight w:val="none"/>
                <w:u w:val="single"/>
              </w:rPr>
            </w:pPr>
            <w:r>
              <w:rPr>
                <w:rFonts w:hint="eastAsia" w:ascii="宋体" w:hAnsi="宋体" w:cs="宋体"/>
                <w:szCs w:val="21"/>
                <w:highlight w:val="none"/>
                <w:u w:val="none"/>
              </w:rPr>
              <w:t>投标人自行踏勘</w:t>
            </w:r>
          </w:p>
        </w:tc>
      </w:tr>
      <w:tr w14:paraId="456F4B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0" w:hRule="atLeast"/>
          <w:tblHeader/>
        </w:trPr>
        <w:tc>
          <w:tcPr>
            <w:tcW w:w="1077" w:type="dxa"/>
            <w:noWrap w:val="0"/>
            <w:vAlign w:val="center"/>
          </w:tcPr>
          <w:p w14:paraId="6C89C266">
            <w:pPr>
              <w:jc w:val="center"/>
              <w:rPr>
                <w:rFonts w:hint="eastAsia" w:ascii="宋体" w:hAnsi="宋体" w:cs="宋体"/>
                <w:szCs w:val="21"/>
                <w:highlight w:val="none"/>
              </w:rPr>
            </w:pPr>
            <w:r>
              <w:rPr>
                <w:rFonts w:hint="eastAsia" w:ascii="宋体" w:hAnsi="宋体" w:cs="宋体"/>
                <w:szCs w:val="21"/>
                <w:highlight w:val="none"/>
              </w:rPr>
              <w:t>1.10</w:t>
            </w:r>
          </w:p>
        </w:tc>
        <w:tc>
          <w:tcPr>
            <w:tcW w:w="2251" w:type="dxa"/>
            <w:noWrap w:val="0"/>
            <w:vAlign w:val="center"/>
          </w:tcPr>
          <w:p w14:paraId="5B158559">
            <w:pPr>
              <w:jc w:val="center"/>
              <w:rPr>
                <w:rFonts w:hint="eastAsia" w:ascii="宋体" w:hAnsi="宋体" w:cs="宋体"/>
                <w:kern w:val="0"/>
                <w:szCs w:val="21"/>
                <w:highlight w:val="none"/>
              </w:rPr>
            </w:pPr>
            <w:r>
              <w:rPr>
                <w:rFonts w:hint="eastAsia" w:ascii="宋体" w:hAnsi="宋体" w:cs="宋体"/>
                <w:kern w:val="0"/>
                <w:szCs w:val="21"/>
                <w:highlight w:val="none"/>
              </w:rPr>
              <w:t>投标预备会</w:t>
            </w:r>
          </w:p>
        </w:tc>
        <w:tc>
          <w:tcPr>
            <w:tcW w:w="5943" w:type="dxa"/>
            <w:noWrap w:val="0"/>
            <w:vAlign w:val="center"/>
          </w:tcPr>
          <w:p w14:paraId="25E0F8A1">
            <w:pPr>
              <w:rPr>
                <w:rFonts w:hint="eastAsia" w:ascii="宋体" w:hAnsi="宋体" w:cs="宋体"/>
                <w:szCs w:val="21"/>
                <w:highlight w:val="none"/>
              </w:rPr>
            </w:pPr>
            <w:r>
              <w:rPr>
                <w:rFonts w:hint="eastAsia" w:ascii="宋体" w:hAnsi="宋体" w:cs="宋体"/>
                <w:kern w:val="0"/>
                <w:szCs w:val="21"/>
                <w:highlight w:val="none"/>
              </w:rPr>
              <w:t>不召开</w:t>
            </w:r>
          </w:p>
        </w:tc>
      </w:tr>
      <w:tr w14:paraId="7B0CAF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92" w:hRule="atLeast"/>
          <w:tblHeader/>
        </w:trPr>
        <w:tc>
          <w:tcPr>
            <w:tcW w:w="1077" w:type="dxa"/>
            <w:noWrap w:val="0"/>
            <w:vAlign w:val="center"/>
          </w:tcPr>
          <w:p w14:paraId="507EB365">
            <w:pPr>
              <w:spacing w:line="440" w:lineRule="exact"/>
              <w:jc w:val="center"/>
              <w:rPr>
                <w:rFonts w:hint="eastAsia" w:ascii="宋体" w:hAnsi="宋体" w:cs="宋体"/>
                <w:szCs w:val="21"/>
                <w:highlight w:val="none"/>
              </w:rPr>
            </w:pPr>
            <w:r>
              <w:rPr>
                <w:rFonts w:hint="eastAsia" w:ascii="宋体" w:hAnsi="宋体" w:cs="宋体"/>
                <w:szCs w:val="21"/>
                <w:highlight w:val="none"/>
              </w:rPr>
              <w:t>1.11</w:t>
            </w:r>
          </w:p>
        </w:tc>
        <w:tc>
          <w:tcPr>
            <w:tcW w:w="2251" w:type="dxa"/>
            <w:noWrap w:val="0"/>
            <w:vAlign w:val="center"/>
          </w:tcPr>
          <w:p w14:paraId="3FEA5A7F">
            <w:pPr>
              <w:spacing w:line="440" w:lineRule="exact"/>
              <w:jc w:val="center"/>
              <w:rPr>
                <w:rFonts w:hint="eastAsia" w:ascii="宋体" w:hAnsi="宋体" w:cs="宋体"/>
                <w:szCs w:val="21"/>
                <w:highlight w:val="none"/>
              </w:rPr>
            </w:pPr>
            <w:r>
              <w:rPr>
                <w:rFonts w:hint="eastAsia" w:ascii="宋体" w:hAnsi="宋体" w:cs="宋体"/>
                <w:szCs w:val="21"/>
                <w:highlight w:val="none"/>
              </w:rPr>
              <w:t>分包</w:t>
            </w:r>
          </w:p>
        </w:tc>
        <w:tc>
          <w:tcPr>
            <w:tcW w:w="5943" w:type="dxa"/>
            <w:noWrap w:val="0"/>
            <w:vAlign w:val="center"/>
          </w:tcPr>
          <w:p w14:paraId="754DF063">
            <w:pPr>
              <w:pStyle w:val="10"/>
              <w:topLinePunct/>
              <w:adjustRightInd w:val="0"/>
              <w:spacing w:line="360" w:lineRule="exact"/>
              <w:textAlignment w:val="baseline"/>
              <w:rPr>
                <w:rFonts w:hint="eastAsia" w:hAnsi="宋体" w:cs="宋体"/>
                <w:sz w:val="21"/>
                <w:szCs w:val="21"/>
                <w:highlight w:val="none"/>
              </w:rPr>
            </w:pPr>
            <w:r>
              <w:rPr>
                <w:rFonts w:hint="eastAsia" w:hAnsi="宋体" w:cs="宋体"/>
                <w:sz w:val="21"/>
                <w:szCs w:val="21"/>
                <w:highlight w:val="none"/>
                <w:lang w:eastAsia="zh-CN"/>
              </w:rPr>
              <w:t>□</w:t>
            </w:r>
            <w:r>
              <w:rPr>
                <w:rFonts w:hint="eastAsia" w:hAnsi="宋体" w:cs="宋体"/>
                <w:sz w:val="21"/>
                <w:szCs w:val="21"/>
                <w:highlight w:val="none"/>
              </w:rPr>
              <w:t>不允许</w:t>
            </w:r>
          </w:p>
          <w:p w14:paraId="0973FF46">
            <w:pPr>
              <w:adjustRightInd w:val="0"/>
              <w:spacing w:line="360" w:lineRule="exact"/>
              <w:textAlignment w:val="baseline"/>
              <w:rPr>
                <w:rFonts w:hint="default" w:ascii="宋体" w:hAnsi="宋体" w:eastAsia="宋体" w:cs="宋体"/>
                <w:szCs w:val="21"/>
                <w:highlight w:val="none"/>
                <w:u w:val="single"/>
                <w:lang w:val="en-US" w:eastAsia="zh-CN"/>
              </w:rPr>
            </w:pPr>
            <w:r>
              <w:rPr>
                <w:rFonts w:hint="eastAsia" w:ascii="宋体" w:hAnsi="宋体" w:cs="宋体"/>
                <w:szCs w:val="21"/>
                <w:highlight w:val="none"/>
                <w:lang w:eastAsia="zh-CN"/>
              </w:rPr>
              <w:t>☑</w:t>
            </w:r>
            <w:r>
              <w:rPr>
                <w:rFonts w:hint="eastAsia" w:ascii="宋体" w:hAnsi="宋体" w:cs="宋体"/>
                <w:szCs w:val="21"/>
                <w:highlight w:val="none"/>
              </w:rPr>
              <w:t>允许，分包内容要求：</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照明工程</w:t>
            </w:r>
            <w:r>
              <w:rPr>
                <w:rFonts w:hint="eastAsia" w:ascii="宋体" w:hAnsi="宋体" w:cs="宋体"/>
                <w:szCs w:val="21"/>
                <w:highlight w:val="none"/>
                <w:u w:val="single"/>
              </w:rPr>
              <w:t xml:space="preserve">  </w:t>
            </w:r>
          </w:p>
          <w:p w14:paraId="21C192E5">
            <w:pPr>
              <w:adjustRightInd w:val="0"/>
              <w:spacing w:line="360" w:lineRule="exact"/>
              <w:ind w:firstLine="840" w:firstLineChars="400"/>
              <w:textAlignment w:val="baseline"/>
              <w:rPr>
                <w:rFonts w:hint="eastAsia" w:ascii="宋体" w:hAnsi="宋体" w:cs="宋体"/>
                <w:szCs w:val="21"/>
                <w:highlight w:val="none"/>
              </w:rPr>
            </w:pPr>
            <w:r>
              <w:rPr>
                <w:rFonts w:hint="eastAsia" w:ascii="宋体" w:hAnsi="宋体" w:cs="宋体"/>
                <w:szCs w:val="21"/>
                <w:highlight w:val="none"/>
              </w:rPr>
              <w:t>分包金额要求：</w:t>
            </w:r>
            <w:r>
              <w:rPr>
                <w:rFonts w:hint="eastAsia" w:ascii="宋体" w:hAnsi="宋体" w:cs="宋体"/>
                <w:szCs w:val="21"/>
                <w:highlight w:val="none"/>
                <w:u w:val="single"/>
              </w:rPr>
              <w:t xml:space="preserve">  </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w:t>
            </w:r>
            <w:r>
              <w:rPr>
                <w:rFonts w:hint="eastAsia" w:ascii="宋体" w:hAnsi="宋体" w:cs="宋体"/>
                <w:szCs w:val="21"/>
                <w:highlight w:val="none"/>
                <w:u w:val="single"/>
              </w:rPr>
              <w:t xml:space="preserve">  </w:t>
            </w:r>
            <w:r>
              <w:rPr>
                <w:rFonts w:hint="eastAsia" w:ascii="宋体" w:hAnsi="宋体" w:cs="宋体"/>
                <w:szCs w:val="21"/>
                <w:highlight w:val="none"/>
                <w:u w:val="single"/>
              </w:rPr>
              <w:t xml:space="preserve"> </w:t>
            </w:r>
          </w:p>
          <w:p w14:paraId="2FB81B87">
            <w:pPr>
              <w:pStyle w:val="7"/>
              <w:tabs>
                <w:tab w:val="left" w:pos="547"/>
                <w:tab w:val="left" w:pos="1080"/>
              </w:tabs>
              <w:ind w:firstLine="840" w:firstLineChars="400"/>
              <w:rPr>
                <w:rFonts w:hint="eastAsia" w:ascii="宋体" w:hAnsi="宋体" w:eastAsia="宋体" w:cs="宋体"/>
                <w:szCs w:val="21"/>
                <w:highlight w:val="none"/>
                <w:lang w:eastAsia="zh-CN"/>
              </w:rPr>
            </w:pPr>
            <w:r>
              <w:rPr>
                <w:rFonts w:hint="eastAsia" w:ascii="宋体" w:hAnsi="宋体" w:cs="宋体"/>
                <w:szCs w:val="21"/>
                <w:highlight w:val="none"/>
              </w:rPr>
              <w:t>接受分包的第三人资质要求：</w:t>
            </w:r>
            <w:r>
              <w:rPr>
                <w:rFonts w:hint="eastAsia" w:ascii="宋体" w:hAnsi="宋体" w:eastAsia="宋体" w:cs="宋体"/>
                <w:kern w:val="2"/>
                <w:sz w:val="21"/>
                <w:szCs w:val="21"/>
                <w:highlight w:val="none"/>
                <w:u w:val="single"/>
                <w:lang w:val="en-US" w:eastAsia="zh-CN" w:bidi="ar-SA"/>
              </w:rPr>
              <w:t>须由具有相应资质的专业施工单位分包。</w:t>
            </w:r>
            <w:r>
              <w:rPr>
                <w:rFonts w:hint="eastAsia" w:ascii="宋体" w:hAnsi="宋体" w:cs="宋体"/>
                <w:szCs w:val="21"/>
                <w:highlight w:val="none"/>
                <w:u w:val="single"/>
              </w:rPr>
              <w:t xml:space="preserve"> </w:t>
            </w:r>
          </w:p>
        </w:tc>
      </w:tr>
      <w:tr w14:paraId="459B2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blHeader/>
        </w:trPr>
        <w:tc>
          <w:tcPr>
            <w:tcW w:w="1077" w:type="dxa"/>
            <w:noWrap w:val="0"/>
            <w:vAlign w:val="center"/>
          </w:tcPr>
          <w:p w14:paraId="2C81D569">
            <w:pPr>
              <w:spacing w:line="440" w:lineRule="exact"/>
              <w:jc w:val="center"/>
              <w:rPr>
                <w:rFonts w:hint="eastAsia" w:ascii="宋体" w:hAnsi="宋体" w:cs="宋体"/>
                <w:szCs w:val="21"/>
                <w:highlight w:val="none"/>
              </w:rPr>
            </w:pPr>
            <w:r>
              <w:rPr>
                <w:rFonts w:hint="eastAsia" w:ascii="宋体" w:hAnsi="宋体" w:cs="宋体"/>
                <w:szCs w:val="21"/>
                <w:highlight w:val="none"/>
              </w:rPr>
              <w:t>1.12.1</w:t>
            </w:r>
          </w:p>
        </w:tc>
        <w:tc>
          <w:tcPr>
            <w:tcW w:w="2251" w:type="dxa"/>
            <w:noWrap w:val="0"/>
            <w:vAlign w:val="center"/>
          </w:tcPr>
          <w:p w14:paraId="0834A18C">
            <w:pPr>
              <w:spacing w:line="440" w:lineRule="exact"/>
              <w:jc w:val="center"/>
              <w:rPr>
                <w:rFonts w:hint="eastAsia" w:ascii="宋体" w:hAnsi="宋体" w:cs="宋体"/>
                <w:szCs w:val="21"/>
                <w:highlight w:val="none"/>
              </w:rPr>
            </w:pPr>
            <w:r>
              <w:rPr>
                <w:rFonts w:hint="eastAsia" w:ascii="宋体" w:hAnsi="宋体" w:cs="宋体"/>
                <w:szCs w:val="21"/>
                <w:highlight w:val="none"/>
              </w:rPr>
              <w:t>偏差</w:t>
            </w:r>
          </w:p>
        </w:tc>
        <w:tc>
          <w:tcPr>
            <w:tcW w:w="5943" w:type="dxa"/>
            <w:noWrap w:val="0"/>
            <w:vAlign w:val="center"/>
          </w:tcPr>
          <w:p w14:paraId="48530D36">
            <w:pPr>
              <w:spacing w:line="360" w:lineRule="exact"/>
              <w:rPr>
                <w:rFonts w:hint="eastAsia" w:ascii="宋体" w:hAnsi="宋体" w:cs="宋体"/>
                <w:szCs w:val="21"/>
                <w:highlight w:val="none"/>
              </w:rPr>
            </w:pPr>
            <w:r>
              <w:rPr>
                <w:rFonts w:hint="eastAsia" w:ascii="宋体" w:hAnsi="宋体" w:cs="宋体"/>
                <w:szCs w:val="21"/>
                <w:highlight w:val="none"/>
              </w:rPr>
              <w:t>不允许</w:t>
            </w:r>
          </w:p>
        </w:tc>
      </w:tr>
      <w:tr w14:paraId="4DF097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blHeader/>
        </w:trPr>
        <w:tc>
          <w:tcPr>
            <w:tcW w:w="1077" w:type="dxa"/>
            <w:noWrap w:val="0"/>
            <w:vAlign w:val="center"/>
          </w:tcPr>
          <w:p w14:paraId="013AB6D1">
            <w:pPr>
              <w:spacing w:line="240" w:lineRule="auto"/>
              <w:jc w:val="center"/>
              <w:rPr>
                <w:rFonts w:hint="eastAsia" w:ascii="宋体" w:hAnsi="宋体" w:cs="宋体"/>
                <w:szCs w:val="21"/>
                <w:highlight w:val="none"/>
              </w:rPr>
            </w:pPr>
            <w:r>
              <w:rPr>
                <w:rFonts w:hint="eastAsia" w:ascii="宋体" w:hAnsi="宋体" w:cs="宋体"/>
                <w:szCs w:val="21"/>
                <w:highlight w:val="none"/>
              </w:rPr>
              <w:t>2.1.1</w:t>
            </w:r>
          </w:p>
          <w:p w14:paraId="02A03AEC">
            <w:pPr>
              <w:spacing w:line="240" w:lineRule="auto"/>
              <w:jc w:val="center"/>
              <w:rPr>
                <w:rFonts w:hint="eastAsia" w:ascii="宋体" w:hAnsi="宋体" w:cs="宋体"/>
                <w:szCs w:val="21"/>
                <w:highlight w:val="none"/>
              </w:rPr>
            </w:pPr>
            <w:r>
              <w:rPr>
                <w:rFonts w:hint="eastAsia" w:ascii="宋体" w:hAnsi="宋体" w:cs="宋体"/>
                <w:szCs w:val="21"/>
                <w:highlight w:val="none"/>
              </w:rPr>
              <w:t>(9)</w:t>
            </w:r>
          </w:p>
        </w:tc>
        <w:tc>
          <w:tcPr>
            <w:tcW w:w="2251" w:type="dxa"/>
            <w:noWrap w:val="0"/>
            <w:vAlign w:val="center"/>
          </w:tcPr>
          <w:p w14:paraId="07FFBD05">
            <w:pPr>
              <w:spacing w:line="240" w:lineRule="auto"/>
              <w:jc w:val="center"/>
              <w:rPr>
                <w:rFonts w:hint="eastAsia" w:ascii="宋体" w:hAnsi="宋体" w:cs="宋体"/>
                <w:szCs w:val="21"/>
                <w:highlight w:val="none"/>
              </w:rPr>
            </w:pPr>
            <w:r>
              <w:rPr>
                <w:rFonts w:hint="eastAsia" w:ascii="宋体" w:hAnsi="宋体" w:cs="宋体"/>
                <w:szCs w:val="21"/>
                <w:highlight w:val="none"/>
              </w:rPr>
              <w:t>构成招标文件的</w:t>
            </w:r>
          </w:p>
          <w:p w14:paraId="5DC0F1D6">
            <w:pPr>
              <w:spacing w:line="240" w:lineRule="auto"/>
              <w:jc w:val="center"/>
              <w:rPr>
                <w:rFonts w:hint="eastAsia" w:ascii="宋体" w:hAnsi="宋体" w:cs="宋体"/>
                <w:szCs w:val="21"/>
                <w:highlight w:val="none"/>
              </w:rPr>
            </w:pPr>
            <w:r>
              <w:rPr>
                <w:rFonts w:hint="eastAsia" w:ascii="宋体" w:hAnsi="宋体" w:cs="宋体"/>
                <w:szCs w:val="21"/>
                <w:highlight w:val="none"/>
              </w:rPr>
              <w:t>其他材料</w:t>
            </w:r>
          </w:p>
        </w:tc>
        <w:tc>
          <w:tcPr>
            <w:tcW w:w="5943" w:type="dxa"/>
            <w:noWrap w:val="0"/>
            <w:vAlign w:val="center"/>
          </w:tcPr>
          <w:p w14:paraId="6FB24186">
            <w:pPr>
              <w:spacing w:line="360" w:lineRule="exact"/>
              <w:rPr>
                <w:rFonts w:hint="eastAsia" w:ascii="宋体" w:hAnsi="宋体" w:eastAsia="宋体" w:cs="宋体"/>
                <w:b/>
                <w:szCs w:val="21"/>
                <w:highlight w:val="none"/>
                <w:lang w:eastAsia="zh-CN"/>
              </w:rPr>
            </w:pPr>
            <w:r>
              <w:rPr>
                <w:rFonts w:hint="eastAsia" w:ascii="宋体" w:hAnsi="宋体" w:eastAsia="宋体" w:cs="宋体"/>
                <w:szCs w:val="21"/>
                <w:highlight w:val="none"/>
                <w:lang w:eastAsia="zh-CN"/>
              </w:rPr>
              <w:t>施工图纸、工程量清单及招标答疑、澄清、通知、说明等</w:t>
            </w:r>
          </w:p>
        </w:tc>
      </w:tr>
      <w:tr w14:paraId="5DDA4D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blHeader/>
        </w:trPr>
        <w:tc>
          <w:tcPr>
            <w:tcW w:w="1077" w:type="dxa"/>
            <w:noWrap w:val="0"/>
            <w:vAlign w:val="center"/>
          </w:tcPr>
          <w:p w14:paraId="4201A45F">
            <w:pPr>
              <w:spacing w:line="440" w:lineRule="exact"/>
              <w:jc w:val="center"/>
              <w:rPr>
                <w:rFonts w:hint="eastAsia" w:ascii="宋体" w:hAnsi="宋体" w:cs="宋体"/>
                <w:szCs w:val="21"/>
                <w:highlight w:val="none"/>
              </w:rPr>
            </w:pPr>
            <w:r>
              <w:rPr>
                <w:rFonts w:hint="eastAsia" w:ascii="宋体" w:hAnsi="宋体" w:cs="宋体"/>
                <w:szCs w:val="21"/>
                <w:highlight w:val="none"/>
              </w:rPr>
              <w:t>2.2.1</w:t>
            </w:r>
          </w:p>
        </w:tc>
        <w:tc>
          <w:tcPr>
            <w:tcW w:w="2251" w:type="dxa"/>
            <w:noWrap w:val="0"/>
            <w:vAlign w:val="center"/>
          </w:tcPr>
          <w:p w14:paraId="32D08B74">
            <w:pPr>
              <w:spacing w:line="240" w:lineRule="auto"/>
              <w:jc w:val="center"/>
              <w:rPr>
                <w:rFonts w:hint="eastAsia" w:ascii="宋体" w:hAnsi="宋体" w:cs="宋体"/>
                <w:szCs w:val="21"/>
                <w:highlight w:val="none"/>
              </w:rPr>
            </w:pPr>
            <w:r>
              <w:rPr>
                <w:rFonts w:hint="eastAsia" w:ascii="宋体" w:hAnsi="宋体" w:cs="宋体"/>
                <w:szCs w:val="21"/>
                <w:highlight w:val="none"/>
              </w:rPr>
              <w:t>投标人要求澄清招标文件的截止时间</w:t>
            </w:r>
          </w:p>
        </w:tc>
        <w:tc>
          <w:tcPr>
            <w:tcW w:w="5943" w:type="dxa"/>
            <w:noWrap w:val="0"/>
            <w:vAlign w:val="center"/>
          </w:tcPr>
          <w:p w14:paraId="4D796131">
            <w:pPr>
              <w:spacing w:line="360" w:lineRule="exact"/>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16</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17</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00</w:t>
            </w:r>
            <w:r>
              <w:rPr>
                <w:rFonts w:hint="eastAsia" w:ascii="宋体" w:hAnsi="宋体" w:cs="宋体"/>
                <w:color w:val="auto"/>
                <w:szCs w:val="21"/>
                <w:highlight w:val="none"/>
                <w:u w:val="single"/>
              </w:rPr>
              <w:t>分</w:t>
            </w:r>
          </w:p>
        </w:tc>
      </w:tr>
      <w:tr w14:paraId="2F4972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blHeader/>
        </w:trPr>
        <w:tc>
          <w:tcPr>
            <w:tcW w:w="1077" w:type="dxa"/>
            <w:noWrap w:val="0"/>
            <w:vAlign w:val="center"/>
          </w:tcPr>
          <w:p w14:paraId="0676F637">
            <w:pPr>
              <w:adjustRightInd w:val="0"/>
              <w:snapToGrid w:val="0"/>
              <w:spacing w:line="400" w:lineRule="exact"/>
              <w:jc w:val="center"/>
              <w:rPr>
                <w:rFonts w:hint="eastAsia" w:ascii="宋体" w:hAnsi="宋体" w:cs="宋体"/>
                <w:szCs w:val="21"/>
                <w:highlight w:val="none"/>
              </w:rPr>
            </w:pPr>
            <w:r>
              <w:rPr>
                <w:rFonts w:hint="eastAsia" w:ascii="宋体" w:hAnsi="宋体" w:cs="宋体"/>
                <w:szCs w:val="21"/>
                <w:highlight w:val="none"/>
              </w:rPr>
              <w:t>2.2.2</w:t>
            </w:r>
          </w:p>
        </w:tc>
        <w:tc>
          <w:tcPr>
            <w:tcW w:w="2251" w:type="dxa"/>
            <w:noWrap w:val="0"/>
            <w:vAlign w:val="center"/>
          </w:tcPr>
          <w:p w14:paraId="045E0E6E">
            <w:pPr>
              <w:adjustRightInd w:val="0"/>
              <w:snapToGrid w:val="0"/>
              <w:spacing w:line="240" w:lineRule="auto"/>
              <w:jc w:val="center"/>
              <w:rPr>
                <w:rFonts w:hint="eastAsia" w:ascii="宋体" w:hAnsi="宋体" w:cs="宋体"/>
                <w:szCs w:val="21"/>
                <w:highlight w:val="none"/>
              </w:rPr>
            </w:pPr>
            <w:r>
              <w:rPr>
                <w:rFonts w:hint="eastAsia" w:ascii="宋体" w:hAnsi="宋体" w:cs="宋体"/>
                <w:szCs w:val="21"/>
                <w:highlight w:val="none"/>
              </w:rPr>
              <w:t>招标文件澄清</w:t>
            </w:r>
          </w:p>
          <w:p w14:paraId="571F881E">
            <w:pPr>
              <w:adjustRightInd w:val="0"/>
              <w:snapToGrid w:val="0"/>
              <w:spacing w:line="240" w:lineRule="auto"/>
              <w:jc w:val="center"/>
              <w:rPr>
                <w:rFonts w:hint="eastAsia" w:ascii="宋体" w:hAnsi="宋体" w:cs="宋体"/>
                <w:szCs w:val="21"/>
                <w:highlight w:val="none"/>
              </w:rPr>
            </w:pPr>
            <w:r>
              <w:rPr>
                <w:rFonts w:hint="eastAsia" w:ascii="宋体" w:hAnsi="宋体" w:cs="宋体"/>
                <w:szCs w:val="21"/>
                <w:highlight w:val="none"/>
              </w:rPr>
              <w:t>发布时间</w:t>
            </w:r>
          </w:p>
        </w:tc>
        <w:tc>
          <w:tcPr>
            <w:tcW w:w="5943" w:type="dxa"/>
            <w:noWrap w:val="0"/>
            <w:vAlign w:val="center"/>
          </w:tcPr>
          <w:p w14:paraId="03A31A01">
            <w:pPr>
              <w:spacing w:line="360" w:lineRule="exact"/>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18</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00</w:t>
            </w:r>
            <w:r>
              <w:rPr>
                <w:rFonts w:hint="eastAsia" w:ascii="宋体" w:hAnsi="宋体" w:cs="宋体"/>
                <w:color w:val="auto"/>
                <w:szCs w:val="21"/>
                <w:highlight w:val="none"/>
                <w:u w:val="single"/>
              </w:rPr>
              <w:t>分</w:t>
            </w:r>
            <w:r>
              <w:rPr>
                <w:rFonts w:hint="eastAsia" w:ascii="宋体" w:hAnsi="宋体" w:cs="宋体"/>
                <w:color w:val="auto"/>
                <w:szCs w:val="21"/>
                <w:highlight w:val="none"/>
                <w:u w:val="single"/>
                <w:lang w:eastAsia="zh-CN"/>
              </w:rPr>
              <w:t>后</w:t>
            </w:r>
          </w:p>
        </w:tc>
      </w:tr>
      <w:tr w14:paraId="5EE71F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6" w:hRule="atLeast"/>
          <w:tblHeader/>
        </w:trPr>
        <w:tc>
          <w:tcPr>
            <w:tcW w:w="1077" w:type="dxa"/>
            <w:noWrap w:val="0"/>
            <w:vAlign w:val="center"/>
          </w:tcPr>
          <w:p w14:paraId="427A7D3C">
            <w:pPr>
              <w:spacing w:line="440" w:lineRule="exact"/>
              <w:jc w:val="center"/>
              <w:rPr>
                <w:rFonts w:hint="eastAsia" w:ascii="宋体" w:hAnsi="宋体" w:cs="宋体"/>
                <w:szCs w:val="21"/>
                <w:highlight w:val="none"/>
              </w:rPr>
            </w:pPr>
            <w:r>
              <w:rPr>
                <w:rFonts w:hint="eastAsia" w:ascii="宋体" w:hAnsi="宋体" w:cs="宋体"/>
                <w:szCs w:val="21"/>
                <w:highlight w:val="none"/>
              </w:rPr>
              <w:t>2.4</w:t>
            </w:r>
          </w:p>
        </w:tc>
        <w:tc>
          <w:tcPr>
            <w:tcW w:w="2251" w:type="dxa"/>
            <w:noWrap w:val="0"/>
            <w:vAlign w:val="center"/>
          </w:tcPr>
          <w:p w14:paraId="34B3AB96">
            <w:pPr>
              <w:adjustRightInd w:val="0"/>
              <w:snapToGrid w:val="0"/>
              <w:spacing w:line="400" w:lineRule="exact"/>
              <w:jc w:val="center"/>
              <w:rPr>
                <w:rFonts w:hint="eastAsia" w:ascii="宋体" w:hAnsi="宋体" w:cs="宋体"/>
                <w:szCs w:val="21"/>
                <w:highlight w:val="none"/>
              </w:rPr>
            </w:pPr>
            <w:r>
              <w:rPr>
                <w:rFonts w:hint="eastAsia" w:ascii="宋体" w:hAnsi="宋体" w:cs="宋体"/>
                <w:szCs w:val="21"/>
                <w:highlight w:val="none"/>
              </w:rPr>
              <w:t>最高投标限价</w:t>
            </w:r>
          </w:p>
        </w:tc>
        <w:tc>
          <w:tcPr>
            <w:tcW w:w="5943" w:type="dxa"/>
            <w:noWrap w:val="0"/>
            <w:vAlign w:val="center"/>
          </w:tcPr>
          <w:p w14:paraId="6C83136C">
            <w:pPr>
              <w:adjustRightInd w:val="0"/>
              <w:snapToGrid w:val="0"/>
              <w:spacing w:line="240" w:lineRule="auto"/>
              <w:rPr>
                <w:rFonts w:hint="eastAsia" w:ascii="宋体" w:hAnsi="宋体" w:cs="宋体"/>
                <w:szCs w:val="21"/>
                <w:highlight w:val="none"/>
              </w:rPr>
            </w:pPr>
            <w:r>
              <w:rPr>
                <w:rFonts w:hint="eastAsia" w:ascii="宋体" w:hAnsi="宋体" w:cs="宋体"/>
                <w:szCs w:val="21"/>
                <w:highlight w:val="none"/>
              </w:rPr>
              <w:t>金额：</w:t>
            </w:r>
            <w:r>
              <w:rPr>
                <w:rFonts w:hint="eastAsia" w:ascii="宋体" w:hAnsi="宋体" w:cs="宋体"/>
                <w:szCs w:val="21"/>
                <w:highlight w:val="none"/>
                <w:u w:val="single"/>
              </w:rPr>
              <w:t>1817983.41</w:t>
            </w:r>
            <w:r>
              <w:rPr>
                <w:rFonts w:hint="eastAsia" w:ascii="宋体" w:hAnsi="宋体" w:cs="宋体"/>
                <w:szCs w:val="21"/>
                <w:highlight w:val="none"/>
                <w:u w:val="single"/>
                <w:lang w:val="en-US" w:eastAsia="zh-CN"/>
              </w:rPr>
              <w:t>元</w:t>
            </w:r>
            <w:r>
              <w:rPr>
                <w:rFonts w:hint="eastAsia" w:ascii="宋体" w:hAnsi="宋体" w:cs="宋体"/>
                <w:szCs w:val="21"/>
                <w:highlight w:val="none"/>
                <w:u w:val="single"/>
              </w:rPr>
              <w:t xml:space="preserve"> </w:t>
            </w:r>
          </w:p>
          <w:p w14:paraId="5F869872">
            <w:pPr>
              <w:adjustRightInd w:val="0"/>
              <w:snapToGrid w:val="0"/>
              <w:spacing w:line="240" w:lineRule="auto"/>
              <w:rPr>
                <w:rFonts w:hint="eastAsia" w:ascii="宋体" w:hAnsi="宋体" w:cs="宋体"/>
                <w:szCs w:val="21"/>
                <w:highlight w:val="none"/>
                <w:u w:val="single"/>
              </w:rPr>
            </w:pPr>
            <w:r>
              <w:rPr>
                <w:rFonts w:hint="eastAsia" w:ascii="宋体" w:hAnsi="宋体" w:cs="宋体"/>
                <w:szCs w:val="21"/>
                <w:highlight w:val="none"/>
              </w:rPr>
              <w:t>其中：暂估价（</w:t>
            </w:r>
            <w:r>
              <w:rPr>
                <w:rFonts w:hint="eastAsia" w:ascii="宋体" w:hAnsi="宋体" w:cs="宋体"/>
                <w:szCs w:val="21"/>
                <w:highlight w:val="none"/>
                <w:lang w:val="en-US" w:eastAsia="zh-CN"/>
              </w:rPr>
              <w:t>以工程量清单为准</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元</w:t>
            </w:r>
            <w:r>
              <w:rPr>
                <w:rFonts w:hint="eastAsia" w:ascii="宋体" w:hAnsi="宋体" w:cs="宋体"/>
                <w:szCs w:val="21"/>
                <w:highlight w:val="none"/>
                <w:u w:val="single"/>
              </w:rPr>
              <w:t xml:space="preserve"> </w:t>
            </w:r>
          </w:p>
          <w:p w14:paraId="062BDA57">
            <w:pPr>
              <w:adjustRightInd w:val="0"/>
              <w:snapToGrid w:val="0"/>
              <w:spacing w:line="240" w:lineRule="auto"/>
              <w:ind w:firstLine="630" w:firstLineChars="300"/>
              <w:rPr>
                <w:rFonts w:hint="eastAsia" w:ascii="宋体" w:hAnsi="宋体" w:cs="宋体"/>
                <w:szCs w:val="21"/>
                <w:highlight w:val="none"/>
              </w:rPr>
            </w:pPr>
            <w:r>
              <w:rPr>
                <w:rFonts w:hint="eastAsia" w:ascii="宋体" w:hAnsi="宋体" w:cs="宋体"/>
                <w:szCs w:val="21"/>
                <w:highlight w:val="none"/>
              </w:rPr>
              <w:t>暂列金额（</w:t>
            </w:r>
            <w:r>
              <w:rPr>
                <w:rFonts w:hint="eastAsia" w:ascii="宋体" w:hAnsi="宋体" w:cs="宋体"/>
                <w:szCs w:val="21"/>
                <w:highlight w:val="none"/>
                <w:lang w:val="en-US" w:eastAsia="zh-CN"/>
              </w:rPr>
              <w:t>以工程量清单为准</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100000.00元</w:t>
            </w:r>
            <w:r>
              <w:rPr>
                <w:rFonts w:hint="eastAsia" w:ascii="宋体" w:hAnsi="宋体" w:cs="宋体"/>
                <w:szCs w:val="21"/>
                <w:highlight w:val="none"/>
                <w:u w:val="single"/>
              </w:rPr>
              <w:t xml:space="preserve"> </w:t>
            </w:r>
          </w:p>
        </w:tc>
      </w:tr>
      <w:tr w14:paraId="104325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3" w:hRule="atLeast"/>
          <w:tblHeader/>
        </w:trPr>
        <w:tc>
          <w:tcPr>
            <w:tcW w:w="1077" w:type="dxa"/>
            <w:noWrap w:val="0"/>
            <w:vAlign w:val="center"/>
          </w:tcPr>
          <w:p w14:paraId="2E2136F6">
            <w:pPr>
              <w:spacing w:line="440" w:lineRule="exact"/>
              <w:jc w:val="center"/>
              <w:rPr>
                <w:rFonts w:hint="eastAsia" w:ascii="宋体" w:hAnsi="宋体" w:cs="宋体"/>
                <w:szCs w:val="21"/>
                <w:highlight w:val="none"/>
              </w:rPr>
            </w:pPr>
            <w:r>
              <w:rPr>
                <w:rFonts w:hint="eastAsia" w:ascii="宋体" w:hAnsi="宋体" w:cs="宋体"/>
                <w:szCs w:val="21"/>
                <w:highlight w:val="none"/>
              </w:rPr>
              <w:t>2.5</w:t>
            </w:r>
          </w:p>
        </w:tc>
        <w:tc>
          <w:tcPr>
            <w:tcW w:w="2251" w:type="dxa"/>
            <w:noWrap w:val="0"/>
            <w:vAlign w:val="center"/>
          </w:tcPr>
          <w:p w14:paraId="2751E099">
            <w:pPr>
              <w:spacing w:line="440" w:lineRule="exact"/>
              <w:jc w:val="center"/>
              <w:rPr>
                <w:rFonts w:hint="eastAsia" w:ascii="宋体" w:hAnsi="宋体" w:cs="宋体"/>
                <w:szCs w:val="21"/>
                <w:highlight w:val="none"/>
              </w:rPr>
            </w:pPr>
            <w:r>
              <w:rPr>
                <w:rFonts w:hint="eastAsia" w:ascii="宋体" w:hAnsi="宋体" w:cs="宋体"/>
                <w:szCs w:val="21"/>
                <w:highlight w:val="none"/>
              </w:rPr>
              <w:t>暂估价招标</w:t>
            </w:r>
          </w:p>
        </w:tc>
        <w:tc>
          <w:tcPr>
            <w:tcW w:w="5943" w:type="dxa"/>
            <w:noWrap w:val="0"/>
            <w:vAlign w:val="center"/>
          </w:tcPr>
          <w:p w14:paraId="1CC3E292">
            <w:pPr>
              <w:adjustRightInd w:val="0"/>
              <w:snapToGrid w:val="0"/>
              <w:spacing w:line="240" w:lineRule="auto"/>
              <w:rPr>
                <w:rFonts w:hint="eastAsia" w:ascii="宋体" w:hAnsi="宋体" w:cs="宋体"/>
                <w:szCs w:val="21"/>
                <w:highlight w:val="none"/>
              </w:rPr>
            </w:pPr>
            <w:r>
              <w:rPr>
                <w:rFonts w:hint="eastAsia" w:ascii="宋体" w:hAnsi="宋体" w:eastAsia="宋体" w:cs="宋体"/>
                <w:szCs w:val="21"/>
                <w:highlight w:val="none"/>
                <w:u w:val="none"/>
                <w:lang w:val="en-US" w:eastAsia="zh-CN"/>
              </w:rPr>
              <w:t>/</w:t>
            </w:r>
            <w:r>
              <w:rPr>
                <w:rFonts w:hint="eastAsia" w:ascii="宋体" w:hAnsi="宋体" w:eastAsia="宋体" w:cs="宋体"/>
                <w:szCs w:val="21"/>
                <w:highlight w:val="none"/>
                <w:u w:val="none"/>
              </w:rPr>
              <w:t xml:space="preserve"> </w:t>
            </w:r>
            <w:r>
              <w:rPr>
                <w:rFonts w:hint="eastAsia" w:ascii="宋体" w:hAnsi="宋体" w:eastAsia="宋体" w:cs="宋体"/>
                <w:szCs w:val="21"/>
                <w:highlight w:val="none"/>
              </w:rPr>
              <w:t xml:space="preserve">              </w:t>
            </w:r>
          </w:p>
        </w:tc>
      </w:tr>
      <w:tr w14:paraId="068E43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94" w:hRule="atLeast"/>
          <w:tblHeader/>
        </w:trPr>
        <w:tc>
          <w:tcPr>
            <w:tcW w:w="1077" w:type="dxa"/>
            <w:noWrap w:val="0"/>
            <w:vAlign w:val="center"/>
          </w:tcPr>
          <w:p w14:paraId="747E64F4">
            <w:pPr>
              <w:spacing w:line="440" w:lineRule="exact"/>
              <w:jc w:val="center"/>
              <w:rPr>
                <w:rFonts w:hint="eastAsia" w:ascii="宋体" w:hAnsi="宋体" w:cs="宋体"/>
                <w:szCs w:val="21"/>
                <w:highlight w:val="none"/>
              </w:rPr>
            </w:pPr>
            <w:r>
              <w:rPr>
                <w:rFonts w:hint="eastAsia" w:ascii="宋体" w:hAnsi="宋体" w:cs="宋体"/>
                <w:szCs w:val="21"/>
                <w:highlight w:val="none"/>
              </w:rPr>
              <w:t>3.1.1</w:t>
            </w:r>
          </w:p>
        </w:tc>
        <w:tc>
          <w:tcPr>
            <w:tcW w:w="2251" w:type="dxa"/>
            <w:noWrap w:val="0"/>
            <w:vAlign w:val="center"/>
          </w:tcPr>
          <w:p w14:paraId="052E70D0">
            <w:pPr>
              <w:spacing w:line="440" w:lineRule="exact"/>
              <w:jc w:val="center"/>
              <w:rPr>
                <w:rFonts w:hint="eastAsia" w:ascii="宋体" w:hAnsi="宋体" w:cs="宋体"/>
                <w:szCs w:val="21"/>
                <w:highlight w:val="none"/>
              </w:rPr>
            </w:pPr>
            <w:r>
              <w:rPr>
                <w:rFonts w:hint="eastAsia" w:ascii="宋体" w:hAnsi="宋体" w:cs="宋体"/>
                <w:szCs w:val="21"/>
                <w:highlight w:val="none"/>
              </w:rPr>
              <w:t>投标文件的组成</w:t>
            </w:r>
          </w:p>
        </w:tc>
        <w:tc>
          <w:tcPr>
            <w:tcW w:w="5943" w:type="dxa"/>
            <w:noWrap w:val="0"/>
            <w:vAlign w:val="center"/>
          </w:tcPr>
          <w:p w14:paraId="50892D3A">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资格审查文件：</w:t>
            </w:r>
          </w:p>
          <w:p w14:paraId="7DE0B4D9">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封面（格式详见第八章）</w:t>
            </w:r>
            <w:r>
              <w:rPr>
                <w:rFonts w:hint="eastAsia" w:ascii="宋体" w:hAnsi="宋体" w:eastAsia="宋体" w:cs="宋体"/>
                <w:color w:val="auto"/>
                <w:szCs w:val="21"/>
                <w:highlight w:val="none"/>
              </w:rPr>
              <w:t>；</w:t>
            </w:r>
          </w:p>
          <w:p w14:paraId="1CCBBD0B">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法定代表人身份证明</w:t>
            </w:r>
            <w:r>
              <w:rPr>
                <w:rFonts w:hint="eastAsia" w:ascii="宋体" w:hAnsi="宋体" w:eastAsia="宋体" w:cs="宋体"/>
                <w:color w:val="auto"/>
                <w:szCs w:val="21"/>
                <w:highlight w:val="none"/>
                <w:lang w:eastAsia="zh-CN"/>
              </w:rPr>
              <w:t>（格式详见第八章）</w:t>
            </w:r>
            <w:r>
              <w:rPr>
                <w:rFonts w:hint="eastAsia" w:ascii="宋体" w:hAnsi="宋体" w:eastAsia="宋体" w:cs="宋体"/>
                <w:color w:val="auto"/>
                <w:szCs w:val="21"/>
                <w:highlight w:val="none"/>
              </w:rPr>
              <w:t>；</w:t>
            </w:r>
          </w:p>
          <w:p w14:paraId="316FE6AA">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授权委托书</w:t>
            </w:r>
            <w:r>
              <w:rPr>
                <w:rFonts w:hint="eastAsia" w:ascii="宋体" w:hAnsi="宋体" w:eastAsia="宋体" w:cs="宋体"/>
                <w:color w:val="auto"/>
                <w:szCs w:val="21"/>
                <w:highlight w:val="none"/>
                <w:lang w:eastAsia="zh-CN"/>
              </w:rPr>
              <w:t>（如有授权</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格式详见第八章）</w:t>
            </w:r>
            <w:r>
              <w:rPr>
                <w:rFonts w:hint="eastAsia" w:ascii="宋体" w:hAnsi="宋体" w:eastAsia="宋体" w:cs="宋体"/>
                <w:color w:val="auto"/>
                <w:szCs w:val="21"/>
                <w:highlight w:val="none"/>
              </w:rPr>
              <w:t>；</w:t>
            </w:r>
          </w:p>
          <w:p w14:paraId="4CD8FB75">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投标人</w:t>
            </w:r>
            <w:r>
              <w:rPr>
                <w:rFonts w:hint="eastAsia" w:ascii="宋体" w:hAnsi="宋体" w:eastAsia="宋体" w:cs="宋体"/>
                <w:color w:val="auto"/>
                <w:szCs w:val="21"/>
                <w:highlight w:val="none"/>
                <w:lang w:eastAsia="zh-CN"/>
              </w:rPr>
              <w:t>基本</w:t>
            </w:r>
            <w:r>
              <w:rPr>
                <w:rFonts w:hint="eastAsia" w:ascii="宋体" w:hAnsi="宋体" w:eastAsia="宋体" w:cs="宋体"/>
                <w:color w:val="auto"/>
                <w:szCs w:val="21"/>
                <w:highlight w:val="none"/>
              </w:rPr>
              <w:t>情况</w:t>
            </w:r>
            <w:r>
              <w:rPr>
                <w:rFonts w:hint="eastAsia" w:ascii="宋体" w:hAnsi="宋体" w:eastAsia="宋体" w:cs="宋体"/>
                <w:color w:val="auto"/>
                <w:szCs w:val="21"/>
                <w:highlight w:val="none"/>
                <w:lang w:eastAsia="zh-CN"/>
              </w:rPr>
              <w:t>表（格式详见第八章）；</w:t>
            </w:r>
          </w:p>
          <w:p w14:paraId="4310AF05">
            <w:pPr>
              <w:spacing w:line="240" w:lineRule="auto"/>
              <w:rPr>
                <w:rFonts w:hint="eastAsia" w:ascii="宋体" w:hAnsi="宋体" w:cs="宋体"/>
                <w:szCs w:val="21"/>
                <w:highlight w:val="none"/>
              </w:rPr>
            </w:pPr>
            <w:bookmarkStart w:id="58" w:name="EB8f3e05dc06c94f048e6798d256291d16"/>
            <w:r>
              <w:rPr>
                <w:rFonts w:hint="eastAsia" w:ascii="宋体" w:hAnsi="宋体" w:cs="宋体"/>
                <w:szCs w:val="21"/>
                <w:highlight w:val="none"/>
                <w:lang w:eastAsia="zh-CN"/>
              </w:rPr>
              <w:t>☑</w:t>
            </w:r>
            <w:r>
              <w:rPr>
                <w:rFonts w:hint="eastAsia" w:ascii="宋体" w:hAnsi="宋体" w:cs="宋体"/>
                <w:szCs w:val="21"/>
                <w:highlight w:val="none"/>
                <w:lang w:val="en-US" w:eastAsia="zh-CN"/>
              </w:rPr>
              <w:t xml:space="preserve"> </w:t>
            </w:r>
            <w:r>
              <w:rPr>
                <w:rFonts w:hint="eastAsia" w:ascii="宋体" w:hAnsi="宋体" w:cs="宋体"/>
                <w:szCs w:val="21"/>
                <w:highlight w:val="none"/>
              </w:rPr>
              <w:t>企业营业执照</w:t>
            </w:r>
            <w:r>
              <w:rPr>
                <w:rFonts w:hint="eastAsia" w:ascii="宋体" w:hAnsi="宋体" w:cs="宋体"/>
                <w:szCs w:val="21"/>
                <w:highlight w:val="none"/>
                <w:lang w:eastAsia="zh-CN"/>
              </w:rPr>
              <w:t>、</w:t>
            </w:r>
            <w:r>
              <w:rPr>
                <w:rFonts w:hint="eastAsia" w:ascii="宋体" w:hAnsi="宋体" w:cs="宋体"/>
                <w:szCs w:val="21"/>
                <w:highlight w:val="none"/>
              </w:rPr>
              <w:t>企业资质证书</w:t>
            </w:r>
            <w:r>
              <w:rPr>
                <w:rFonts w:hint="eastAsia" w:ascii="宋体" w:hAnsi="宋体" w:cs="宋体"/>
                <w:szCs w:val="21"/>
                <w:highlight w:val="none"/>
                <w:lang w:eastAsia="zh-CN"/>
              </w:rPr>
              <w:t>、</w:t>
            </w:r>
            <w:r>
              <w:rPr>
                <w:rFonts w:hint="eastAsia" w:ascii="宋体" w:hAnsi="宋体" w:cs="宋体"/>
                <w:szCs w:val="21"/>
                <w:highlight w:val="none"/>
              </w:rPr>
              <w:t>安全生产许可证；</w:t>
            </w:r>
          </w:p>
          <w:p w14:paraId="6987C566">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项目管理机构组成表</w:t>
            </w:r>
            <w:r>
              <w:rPr>
                <w:rFonts w:hint="eastAsia" w:ascii="宋体" w:hAnsi="宋体" w:eastAsia="宋体" w:cs="宋体"/>
                <w:color w:val="auto"/>
                <w:szCs w:val="21"/>
                <w:highlight w:val="none"/>
                <w:lang w:eastAsia="zh-CN"/>
              </w:rPr>
              <w:t>（格式详见第八章）</w:t>
            </w:r>
            <w:r>
              <w:rPr>
                <w:rFonts w:hint="eastAsia" w:ascii="宋体" w:hAnsi="宋体" w:eastAsia="宋体" w:cs="宋体"/>
                <w:color w:val="auto"/>
                <w:szCs w:val="21"/>
                <w:highlight w:val="none"/>
              </w:rPr>
              <w:t>；</w:t>
            </w:r>
          </w:p>
          <w:p w14:paraId="4AD0C930">
            <w:pPr>
              <w:spacing w:line="240" w:lineRule="auto"/>
              <w:rPr>
                <w:rFonts w:hint="eastAsia" w:ascii="宋体" w:hAnsi="宋体" w:cs="宋体"/>
                <w:szCs w:val="21"/>
                <w:highlight w:val="none"/>
                <w:lang w:val="en-US"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 xml:space="preserve"> 项目负责人简历表</w:t>
            </w:r>
            <w:r>
              <w:rPr>
                <w:rFonts w:hint="eastAsia" w:ascii="宋体" w:hAnsi="宋体" w:eastAsia="宋体" w:cs="宋体"/>
                <w:color w:val="auto"/>
                <w:szCs w:val="21"/>
                <w:highlight w:val="none"/>
                <w:lang w:eastAsia="zh-CN"/>
              </w:rPr>
              <w:t>（格式详见第八章）</w:t>
            </w:r>
          </w:p>
          <w:p w14:paraId="14D0E4C6">
            <w:pPr>
              <w:spacing w:line="240" w:lineRule="auto"/>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 xml:space="preserve"> </w:t>
            </w:r>
            <w:r>
              <w:rPr>
                <w:rFonts w:hint="eastAsia" w:ascii="宋体" w:hAnsi="宋体" w:cs="宋体"/>
                <w:szCs w:val="21"/>
                <w:highlight w:val="none"/>
                <w:lang w:val="en-US" w:eastAsia="zh-CN"/>
              </w:rPr>
              <w:t>拟派项目负责人</w:t>
            </w:r>
            <w:r>
              <w:rPr>
                <w:rFonts w:hint="eastAsia" w:ascii="宋体" w:hAnsi="宋体" w:cs="宋体"/>
                <w:szCs w:val="21"/>
                <w:highlight w:val="none"/>
              </w:rPr>
              <w:t>建造师注册证书</w:t>
            </w:r>
            <w:r>
              <w:rPr>
                <w:rFonts w:hint="eastAsia" w:ascii="宋体" w:hAnsi="宋体" w:cs="宋体"/>
                <w:szCs w:val="21"/>
                <w:highlight w:val="none"/>
                <w:lang w:eastAsia="zh-CN"/>
              </w:rPr>
              <w:t>和</w:t>
            </w:r>
            <w:r>
              <w:rPr>
                <w:rFonts w:hint="eastAsia" w:ascii="宋体" w:hAnsi="宋体" w:cs="宋体"/>
                <w:szCs w:val="21"/>
                <w:highlight w:val="none"/>
              </w:rPr>
              <w:t>安全生产考核合格证（B类证书）；</w:t>
            </w:r>
          </w:p>
          <w:bookmarkEnd w:id="58"/>
          <w:p w14:paraId="6791566A">
            <w:pPr>
              <w:spacing w:line="240" w:lineRule="auto"/>
              <w:rPr>
                <w:rFonts w:hint="eastAsia" w:ascii="宋体" w:hAnsi="宋体" w:eastAsia="宋体" w:cs="宋体"/>
                <w:szCs w:val="21"/>
                <w:highlight w:val="none"/>
                <w:u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 xml:space="preserve"> </w:t>
            </w:r>
            <w:r>
              <w:rPr>
                <w:rFonts w:hint="eastAsia" w:ascii="宋体" w:hAnsi="宋体" w:cs="宋体"/>
                <w:bCs/>
                <w:szCs w:val="21"/>
                <w:highlight w:val="none"/>
              </w:rPr>
              <w:t>投标企业与拟派项目负责人双方签订的有效劳</w:t>
            </w:r>
            <w:r>
              <w:rPr>
                <w:rFonts w:hint="eastAsia" w:ascii="宋体" w:hAnsi="宋体" w:eastAsia="宋体" w:cs="宋体"/>
                <w:szCs w:val="21"/>
                <w:highlight w:val="none"/>
                <w:u w:val="none"/>
              </w:rPr>
              <w:t>动合同书；</w:t>
            </w:r>
          </w:p>
          <w:p w14:paraId="5727F376">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cs="宋体"/>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承诺书</w:t>
            </w:r>
            <w:r>
              <w:rPr>
                <w:rFonts w:hint="eastAsia" w:ascii="宋体" w:hAnsi="宋体" w:eastAsia="宋体" w:cs="宋体"/>
                <w:color w:val="auto"/>
                <w:szCs w:val="21"/>
                <w:highlight w:val="none"/>
                <w:lang w:eastAsia="zh-CN"/>
              </w:rPr>
              <w:t>（格式详见第八章）</w:t>
            </w:r>
            <w:r>
              <w:rPr>
                <w:rFonts w:hint="eastAsia" w:ascii="宋体" w:hAnsi="宋体" w:eastAsia="宋体" w:cs="宋体"/>
                <w:color w:val="auto"/>
                <w:szCs w:val="21"/>
                <w:highlight w:val="none"/>
              </w:rPr>
              <w:t>；</w:t>
            </w:r>
          </w:p>
          <w:p w14:paraId="6465CA64">
            <w:pPr>
              <w:spacing w:line="240" w:lineRule="auto"/>
              <w:rPr>
                <w:rFonts w:hint="eastAsia" w:ascii="宋体" w:hAnsi="宋体" w:cs="宋体"/>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其他材料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none"/>
                <w:lang w:val="en-US" w:eastAsia="zh-CN"/>
              </w:rPr>
              <w:t>投标人认为需要提交的的其他资料。</w:t>
            </w:r>
          </w:p>
          <w:p w14:paraId="635D7E8C">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Cs w:val="21"/>
                <w:highlight w:val="none"/>
                <w:lang w:eastAsia="zh-CN"/>
              </w:rPr>
            </w:pPr>
          </w:p>
          <w:p w14:paraId="51B93418">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商务标：</w:t>
            </w:r>
          </w:p>
          <w:p w14:paraId="59DA615D">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封面</w:t>
            </w:r>
            <w:r>
              <w:rPr>
                <w:rFonts w:hint="eastAsia" w:ascii="宋体" w:hAnsi="宋体" w:eastAsia="宋体" w:cs="宋体"/>
                <w:color w:val="auto"/>
                <w:szCs w:val="21"/>
                <w:highlight w:val="none"/>
              </w:rPr>
              <w:t>；</w:t>
            </w:r>
          </w:p>
          <w:p w14:paraId="7FAE752B">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投标函；</w:t>
            </w:r>
          </w:p>
          <w:p w14:paraId="6EF30B19">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已标价工程量清单；</w:t>
            </w:r>
          </w:p>
          <w:p w14:paraId="6ED50396">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计划投入的主要施工机械设备表。</w:t>
            </w:r>
          </w:p>
          <w:p w14:paraId="0752A935">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其他材料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none"/>
                <w:lang w:val="en-US" w:eastAsia="zh-CN"/>
              </w:rPr>
              <w:t>投标人认为需要提交的的其他资料。</w:t>
            </w:r>
          </w:p>
          <w:p w14:paraId="593F4E3E">
            <w:pPr>
              <w:pStyle w:val="40"/>
              <w:rPr>
                <w:rFonts w:hint="eastAsia" w:ascii="宋体" w:hAnsi="宋体" w:eastAsia="宋体" w:cs="宋体"/>
                <w:color w:val="auto"/>
                <w:szCs w:val="21"/>
                <w:highlight w:val="none"/>
                <w:u w:val="none"/>
                <w:lang w:val="en-US" w:eastAsia="zh-CN"/>
              </w:rPr>
            </w:pPr>
          </w:p>
          <w:p w14:paraId="3BD4D65F">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电子投标文件（</w:t>
            </w:r>
            <w:r>
              <w:rPr>
                <w:rFonts w:hint="eastAsia" w:ascii="宋体" w:hAnsi="宋体" w:eastAsia="宋体" w:cs="宋体"/>
                <w:b/>
                <w:bCs/>
                <w:color w:val="auto"/>
                <w:szCs w:val="21"/>
                <w:highlight w:val="none"/>
                <w:lang w:val="en-US" w:eastAsia="zh-CN"/>
              </w:rPr>
              <w:t>U盘）</w:t>
            </w:r>
            <w:r>
              <w:rPr>
                <w:rFonts w:hint="eastAsia" w:ascii="宋体" w:hAnsi="宋体" w:eastAsia="宋体" w:cs="宋体"/>
                <w:b/>
                <w:bCs/>
                <w:color w:val="auto"/>
                <w:szCs w:val="21"/>
                <w:highlight w:val="none"/>
                <w:lang w:eastAsia="zh-CN"/>
              </w:rPr>
              <w:t>：</w:t>
            </w:r>
          </w:p>
          <w:p w14:paraId="2908E3A2">
            <w:pPr>
              <w:pageBreakBefore w:val="0"/>
              <w:kinsoku/>
              <w:wordWrap/>
              <w:overflowPunct/>
              <w:topLinePunct w:val="0"/>
              <w:bidi w:val="0"/>
              <w:adjustRightInd w:val="0"/>
              <w:snapToGrid w:val="0"/>
              <w:spacing w:line="240" w:lineRule="auto"/>
              <w:jc w:val="left"/>
              <w:textAlignment w:val="auto"/>
              <w:rPr>
                <w:rFonts w:hint="eastAsia" w:ascii="宋体" w:hAnsi="宋体" w:eastAsia="宋体" w:cs="宋体"/>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资格审查文件和商务标</w:t>
            </w:r>
            <w:r>
              <w:rPr>
                <w:rFonts w:hint="eastAsia" w:ascii="宋体" w:hAnsi="宋体" w:eastAsia="宋体" w:cs="宋体"/>
                <w:szCs w:val="21"/>
                <w:highlight w:val="none"/>
                <w:lang w:eastAsia="zh-CN"/>
              </w:rPr>
              <w:t>所有内容分别扫描为</w:t>
            </w:r>
            <w:r>
              <w:rPr>
                <w:rFonts w:hint="eastAsia" w:ascii="宋体" w:hAnsi="宋体" w:eastAsia="宋体" w:cs="宋体"/>
                <w:szCs w:val="21"/>
                <w:highlight w:val="none"/>
                <w:lang w:val="en-US" w:eastAsia="zh-CN"/>
              </w:rPr>
              <w:t>PDF格式；</w:t>
            </w:r>
          </w:p>
          <w:p w14:paraId="11432B8A">
            <w:pPr>
              <w:pageBreakBefore w:val="0"/>
              <w:kinsoku/>
              <w:wordWrap/>
              <w:overflowPunct/>
              <w:topLinePunct w:val="0"/>
              <w:bidi w:val="0"/>
              <w:adjustRightInd w:val="0"/>
              <w:snapToGrid w:val="0"/>
              <w:spacing w:line="240" w:lineRule="auto"/>
              <w:jc w:val="left"/>
              <w:textAlignment w:val="auto"/>
              <w:rPr>
                <w:rFonts w:hint="eastAsia"/>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szCs w:val="21"/>
                <w:highlight w:val="none"/>
                <w:lang w:eastAsia="zh-CN"/>
              </w:rPr>
              <w:t>已标价的工程量清单须另行保存为13jt格式。</w:t>
            </w:r>
          </w:p>
        </w:tc>
      </w:tr>
      <w:tr w14:paraId="485447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9" w:hRule="atLeast"/>
          <w:tblHeader/>
        </w:trPr>
        <w:tc>
          <w:tcPr>
            <w:tcW w:w="1077" w:type="dxa"/>
            <w:noWrap w:val="0"/>
            <w:vAlign w:val="center"/>
          </w:tcPr>
          <w:p w14:paraId="2CE0744A">
            <w:pPr>
              <w:spacing w:line="440" w:lineRule="exact"/>
              <w:jc w:val="center"/>
              <w:rPr>
                <w:rFonts w:hint="eastAsia" w:ascii="宋体" w:hAnsi="宋体" w:cs="宋体"/>
                <w:szCs w:val="21"/>
                <w:highlight w:val="none"/>
              </w:rPr>
            </w:pPr>
            <w:r>
              <w:rPr>
                <w:rFonts w:hint="eastAsia" w:ascii="宋体" w:hAnsi="宋体" w:cs="宋体"/>
                <w:szCs w:val="21"/>
                <w:highlight w:val="none"/>
              </w:rPr>
              <w:t>3.2.3</w:t>
            </w:r>
          </w:p>
        </w:tc>
        <w:tc>
          <w:tcPr>
            <w:tcW w:w="2251" w:type="dxa"/>
            <w:noWrap w:val="0"/>
            <w:vAlign w:val="center"/>
          </w:tcPr>
          <w:p w14:paraId="73795222">
            <w:pPr>
              <w:adjustRightInd w:val="0"/>
              <w:snapToGrid w:val="0"/>
              <w:spacing w:line="400" w:lineRule="exact"/>
              <w:jc w:val="center"/>
              <w:rPr>
                <w:rFonts w:hint="eastAsia" w:ascii="宋体" w:hAnsi="宋体" w:cs="宋体"/>
                <w:szCs w:val="21"/>
                <w:highlight w:val="none"/>
              </w:rPr>
            </w:pPr>
            <w:r>
              <w:rPr>
                <w:rFonts w:hint="eastAsia" w:ascii="宋体" w:hAnsi="宋体" w:cs="宋体"/>
                <w:szCs w:val="21"/>
                <w:highlight w:val="none"/>
              </w:rPr>
              <w:t>合同价格形式</w:t>
            </w:r>
          </w:p>
        </w:tc>
        <w:tc>
          <w:tcPr>
            <w:tcW w:w="5943" w:type="dxa"/>
            <w:noWrap w:val="0"/>
            <w:vAlign w:val="center"/>
          </w:tcPr>
          <w:p w14:paraId="3EA5B12F">
            <w:pPr>
              <w:adjustRightInd w:val="0"/>
              <w:snapToGrid w:val="0"/>
              <w:spacing w:line="400" w:lineRule="exact"/>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rPr>
              <w:t>单价合同</w:t>
            </w:r>
          </w:p>
          <w:p w14:paraId="48F18966">
            <w:pPr>
              <w:adjustRightInd w:val="0"/>
              <w:snapToGrid w:val="0"/>
              <w:spacing w:line="400" w:lineRule="exact"/>
              <w:rPr>
                <w:rFonts w:hint="eastAsia" w:ascii="宋体" w:hAnsi="宋体" w:cs="宋体"/>
                <w:szCs w:val="21"/>
                <w:highlight w:val="none"/>
              </w:rPr>
            </w:pPr>
            <w:r>
              <w:rPr>
                <w:rFonts w:hint="eastAsia" w:ascii="宋体" w:hAnsi="宋体" w:cs="宋体"/>
                <w:szCs w:val="21"/>
                <w:highlight w:val="none"/>
              </w:rPr>
              <w:t>□总价合同</w:t>
            </w:r>
          </w:p>
        </w:tc>
      </w:tr>
      <w:tr w14:paraId="33EBFE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1077" w:type="dxa"/>
            <w:noWrap w:val="0"/>
            <w:vAlign w:val="center"/>
          </w:tcPr>
          <w:p w14:paraId="1C0A4FDA">
            <w:pPr>
              <w:spacing w:line="440" w:lineRule="exact"/>
              <w:jc w:val="center"/>
              <w:rPr>
                <w:rFonts w:hint="eastAsia" w:ascii="宋体" w:hAnsi="宋体" w:cs="宋体"/>
                <w:szCs w:val="21"/>
                <w:highlight w:val="none"/>
              </w:rPr>
            </w:pPr>
            <w:r>
              <w:rPr>
                <w:rFonts w:hint="eastAsia" w:ascii="宋体" w:hAnsi="宋体" w:cs="宋体"/>
                <w:szCs w:val="21"/>
                <w:highlight w:val="none"/>
              </w:rPr>
              <w:t>3.3.1</w:t>
            </w:r>
          </w:p>
        </w:tc>
        <w:tc>
          <w:tcPr>
            <w:tcW w:w="2251" w:type="dxa"/>
            <w:noWrap w:val="0"/>
            <w:vAlign w:val="center"/>
          </w:tcPr>
          <w:p w14:paraId="6A6CE981">
            <w:pPr>
              <w:spacing w:line="440" w:lineRule="exact"/>
              <w:jc w:val="center"/>
              <w:rPr>
                <w:rFonts w:hint="eastAsia" w:ascii="宋体" w:hAnsi="宋体" w:cs="宋体"/>
                <w:szCs w:val="21"/>
                <w:highlight w:val="none"/>
              </w:rPr>
            </w:pPr>
            <w:r>
              <w:rPr>
                <w:rFonts w:hint="eastAsia" w:ascii="宋体" w:hAnsi="宋体" w:cs="宋体"/>
                <w:szCs w:val="21"/>
                <w:highlight w:val="none"/>
              </w:rPr>
              <w:t>投标有效期</w:t>
            </w:r>
          </w:p>
        </w:tc>
        <w:tc>
          <w:tcPr>
            <w:tcW w:w="5943" w:type="dxa"/>
            <w:noWrap w:val="0"/>
            <w:vAlign w:val="center"/>
          </w:tcPr>
          <w:p w14:paraId="42E339B4">
            <w:pPr>
              <w:spacing w:line="360" w:lineRule="exact"/>
              <w:rPr>
                <w:rFonts w:hint="eastAsia" w:ascii="宋体" w:hAnsi="宋体" w:cs="宋体"/>
                <w:szCs w:val="21"/>
                <w:highlight w:val="none"/>
              </w:rPr>
            </w:pP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60日历</w:t>
            </w:r>
            <w:r>
              <w:rPr>
                <w:rFonts w:hint="eastAsia" w:ascii="宋体" w:hAnsi="宋体" w:cs="宋体"/>
                <w:szCs w:val="21"/>
                <w:highlight w:val="none"/>
                <w:u w:val="single"/>
              </w:rPr>
              <w:t>天</w:t>
            </w:r>
            <w:r>
              <w:rPr>
                <w:rFonts w:hint="eastAsia" w:ascii="宋体" w:hAnsi="宋体" w:cs="宋体"/>
                <w:szCs w:val="21"/>
                <w:highlight w:val="none"/>
                <w:u w:val="none"/>
              </w:rPr>
              <w:t>（从投标截止之日起算）</w:t>
            </w:r>
          </w:p>
        </w:tc>
      </w:tr>
      <w:tr w14:paraId="21C5DA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0" w:hRule="atLeast"/>
          <w:tblHeader/>
        </w:trPr>
        <w:tc>
          <w:tcPr>
            <w:tcW w:w="1077" w:type="dxa"/>
            <w:noWrap w:val="0"/>
            <w:vAlign w:val="center"/>
          </w:tcPr>
          <w:p w14:paraId="358E66C1">
            <w:pPr>
              <w:spacing w:line="440" w:lineRule="exact"/>
              <w:jc w:val="center"/>
              <w:rPr>
                <w:rFonts w:hint="eastAsia" w:ascii="宋体" w:hAnsi="宋体" w:cs="宋体"/>
                <w:szCs w:val="21"/>
                <w:highlight w:val="none"/>
              </w:rPr>
            </w:pPr>
            <w:r>
              <w:rPr>
                <w:rFonts w:hint="eastAsia" w:ascii="宋体" w:hAnsi="宋体" w:cs="宋体"/>
                <w:szCs w:val="21"/>
                <w:highlight w:val="none"/>
              </w:rPr>
              <w:t>3.4.1</w:t>
            </w:r>
          </w:p>
        </w:tc>
        <w:tc>
          <w:tcPr>
            <w:tcW w:w="2251" w:type="dxa"/>
            <w:noWrap w:val="0"/>
            <w:vAlign w:val="center"/>
          </w:tcPr>
          <w:p w14:paraId="516DBE68">
            <w:pPr>
              <w:spacing w:line="440" w:lineRule="exact"/>
              <w:jc w:val="center"/>
              <w:rPr>
                <w:rFonts w:hint="eastAsia" w:ascii="宋体" w:hAnsi="宋体" w:cs="宋体"/>
                <w:szCs w:val="21"/>
                <w:highlight w:val="none"/>
              </w:rPr>
            </w:pPr>
            <w:r>
              <w:rPr>
                <w:rFonts w:hint="eastAsia" w:ascii="宋体" w:hAnsi="宋体" w:cs="宋体"/>
                <w:color w:val="auto"/>
                <w:szCs w:val="21"/>
                <w:highlight w:val="none"/>
              </w:rPr>
              <w:t>投标保证金</w:t>
            </w:r>
          </w:p>
        </w:tc>
        <w:tc>
          <w:tcPr>
            <w:tcW w:w="5943" w:type="dxa"/>
            <w:noWrap w:val="0"/>
            <w:vAlign w:val="center"/>
          </w:tcPr>
          <w:p w14:paraId="3C1A7F98">
            <w:pPr>
              <w:pStyle w:val="19"/>
              <w:adjustRightInd w:val="0"/>
              <w:snapToGrid w:val="0"/>
              <w:spacing w:before="0" w:beforeAutospacing="0" w:after="0" w:afterAutospacing="0" w:line="240" w:lineRule="auto"/>
              <w:jc w:val="both"/>
              <w:rPr>
                <w:rFonts w:hint="eastAsia" w:ascii="宋体" w:hAnsi="宋体" w:cs="宋体"/>
                <w:szCs w:val="21"/>
                <w:highlight w:val="none"/>
              </w:rPr>
            </w:pPr>
            <w:r>
              <w:rPr>
                <w:rFonts w:hint="eastAsia" w:cs="宋体"/>
                <w:sz w:val="21"/>
                <w:szCs w:val="21"/>
                <w:highlight w:val="none"/>
                <w:lang w:eastAsia="zh-CN"/>
              </w:rPr>
              <w:t>免收</w:t>
            </w:r>
          </w:p>
        </w:tc>
      </w:tr>
      <w:tr w14:paraId="17054489">
        <w:tblPrEx>
          <w:tblCellMar>
            <w:top w:w="0" w:type="dxa"/>
            <w:left w:w="108" w:type="dxa"/>
            <w:bottom w:w="0" w:type="dxa"/>
            <w:right w:w="108" w:type="dxa"/>
          </w:tblCellMar>
        </w:tblPrEx>
        <w:trPr>
          <w:trHeight w:val="768" w:hRule="atLeast"/>
          <w:tblHeader/>
        </w:trPr>
        <w:tc>
          <w:tcPr>
            <w:tcW w:w="1077" w:type="dxa"/>
            <w:noWrap w:val="0"/>
            <w:vAlign w:val="center"/>
          </w:tcPr>
          <w:p w14:paraId="4E8D7CCC">
            <w:pPr>
              <w:spacing w:line="440" w:lineRule="exact"/>
              <w:jc w:val="center"/>
              <w:rPr>
                <w:rFonts w:hint="eastAsia" w:ascii="宋体" w:hAnsi="宋体" w:cs="宋体"/>
                <w:szCs w:val="21"/>
                <w:highlight w:val="none"/>
              </w:rPr>
            </w:pPr>
            <w:r>
              <w:rPr>
                <w:rFonts w:hint="eastAsia" w:ascii="宋体" w:hAnsi="宋体" w:cs="宋体"/>
                <w:szCs w:val="21"/>
                <w:highlight w:val="none"/>
              </w:rPr>
              <w:t>3.4.4(3)</w:t>
            </w:r>
          </w:p>
        </w:tc>
        <w:tc>
          <w:tcPr>
            <w:tcW w:w="2251" w:type="dxa"/>
            <w:noWrap w:val="0"/>
            <w:vAlign w:val="center"/>
          </w:tcPr>
          <w:p w14:paraId="4E066965">
            <w:pPr>
              <w:spacing w:line="240" w:lineRule="auto"/>
              <w:jc w:val="center"/>
              <w:rPr>
                <w:rFonts w:hint="eastAsia" w:ascii="宋体" w:hAnsi="宋体" w:cs="宋体"/>
                <w:szCs w:val="21"/>
                <w:highlight w:val="none"/>
              </w:rPr>
            </w:pPr>
            <w:r>
              <w:rPr>
                <w:rFonts w:hint="eastAsia" w:ascii="宋体" w:hAnsi="宋体" w:cs="宋体"/>
                <w:szCs w:val="21"/>
                <w:highlight w:val="none"/>
              </w:rPr>
              <w:t>投标保证金将不予退还的其他情形</w:t>
            </w:r>
          </w:p>
        </w:tc>
        <w:tc>
          <w:tcPr>
            <w:tcW w:w="5943" w:type="dxa"/>
            <w:noWrap w:val="0"/>
            <w:vAlign w:val="center"/>
          </w:tcPr>
          <w:p w14:paraId="27C16757">
            <w:pPr>
              <w:pStyle w:val="9"/>
              <w:numPr>
                <w:ilvl w:val="0"/>
                <w:numId w:val="0"/>
              </w:numPr>
              <w:rPr>
                <w:rFonts w:hint="default" w:ascii="宋体" w:hAnsi="宋体" w:cs="宋体"/>
                <w:szCs w:val="21"/>
                <w:highlight w:val="none"/>
                <w:u w:val="single"/>
                <w:lang w:val="en-US"/>
              </w:rPr>
            </w:pPr>
            <w:r>
              <w:rPr>
                <w:rFonts w:hint="eastAsia" w:ascii="宋体" w:hAnsi="宋体" w:cs="宋体"/>
                <w:szCs w:val="21"/>
                <w:highlight w:val="none"/>
                <w:lang w:val="en-US" w:eastAsia="zh-CN"/>
              </w:rPr>
              <w:t>/</w:t>
            </w:r>
          </w:p>
        </w:tc>
      </w:tr>
      <w:tr w14:paraId="6406AC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1077" w:type="dxa"/>
            <w:noWrap w:val="0"/>
            <w:vAlign w:val="center"/>
          </w:tcPr>
          <w:p w14:paraId="451E71C1">
            <w:pPr>
              <w:spacing w:line="440" w:lineRule="exact"/>
              <w:jc w:val="center"/>
              <w:rPr>
                <w:rFonts w:hint="eastAsia" w:ascii="宋体" w:hAnsi="宋体" w:cs="宋体"/>
                <w:strike w:val="0"/>
                <w:dstrike w:val="0"/>
                <w:szCs w:val="21"/>
                <w:highlight w:val="none"/>
              </w:rPr>
            </w:pPr>
            <w:r>
              <w:rPr>
                <w:rFonts w:hint="eastAsia" w:ascii="宋体" w:hAnsi="宋体" w:cs="宋体"/>
                <w:strike w:val="0"/>
                <w:dstrike w:val="0"/>
                <w:szCs w:val="21"/>
                <w:highlight w:val="none"/>
              </w:rPr>
              <w:t>3.5.1</w:t>
            </w:r>
          </w:p>
        </w:tc>
        <w:tc>
          <w:tcPr>
            <w:tcW w:w="2251" w:type="dxa"/>
            <w:noWrap w:val="0"/>
            <w:vAlign w:val="center"/>
          </w:tcPr>
          <w:p w14:paraId="5CF50D78">
            <w:pPr>
              <w:spacing w:line="240" w:lineRule="auto"/>
              <w:jc w:val="center"/>
              <w:rPr>
                <w:rFonts w:hint="eastAsia" w:ascii="宋体" w:hAnsi="宋体" w:cs="宋体"/>
                <w:strike w:val="0"/>
                <w:dstrike w:val="0"/>
                <w:szCs w:val="21"/>
                <w:highlight w:val="none"/>
              </w:rPr>
            </w:pPr>
            <w:r>
              <w:rPr>
                <w:rFonts w:hint="eastAsia" w:ascii="宋体" w:hAnsi="宋体" w:cs="宋体"/>
                <w:strike w:val="0"/>
                <w:dstrike w:val="0"/>
                <w:szCs w:val="21"/>
                <w:highlight w:val="none"/>
              </w:rPr>
              <w:t>投标人基本情况表</w:t>
            </w:r>
          </w:p>
          <w:p w14:paraId="7CA40993">
            <w:pPr>
              <w:spacing w:line="240" w:lineRule="auto"/>
              <w:jc w:val="center"/>
              <w:rPr>
                <w:rFonts w:hint="eastAsia" w:ascii="宋体" w:hAnsi="宋体" w:cs="宋体"/>
                <w:strike w:val="0"/>
                <w:dstrike w:val="0"/>
                <w:szCs w:val="21"/>
                <w:highlight w:val="none"/>
              </w:rPr>
            </w:pPr>
            <w:r>
              <w:rPr>
                <w:rFonts w:hint="eastAsia" w:ascii="宋体" w:hAnsi="宋体" w:cs="宋体"/>
                <w:strike w:val="0"/>
                <w:dstrike w:val="0"/>
                <w:szCs w:val="21"/>
                <w:highlight w:val="none"/>
              </w:rPr>
              <w:t>材料要求</w:t>
            </w:r>
          </w:p>
        </w:tc>
        <w:tc>
          <w:tcPr>
            <w:tcW w:w="5943" w:type="dxa"/>
            <w:noWrap w:val="0"/>
            <w:vAlign w:val="center"/>
          </w:tcPr>
          <w:p w14:paraId="51E3E074">
            <w:pPr>
              <w:spacing w:line="360" w:lineRule="exact"/>
              <w:rPr>
                <w:rFonts w:hint="eastAsia" w:ascii="宋体" w:hAnsi="宋体" w:eastAsia="宋体" w:cs="宋体"/>
                <w:szCs w:val="21"/>
                <w:highlight w:val="none"/>
                <w:u w:val="none"/>
              </w:rPr>
            </w:pPr>
            <w:r>
              <w:rPr>
                <w:rFonts w:hint="eastAsia" w:ascii="宋体" w:hAnsi="宋体" w:eastAsia="宋体" w:cs="宋体"/>
                <w:szCs w:val="21"/>
                <w:highlight w:val="none"/>
                <w:u w:val="none"/>
              </w:rPr>
              <w:t>按表格内容要求填写，并提供相关附件</w:t>
            </w:r>
            <w:r>
              <w:rPr>
                <w:rFonts w:hint="eastAsia" w:ascii="宋体" w:hAnsi="宋体" w:eastAsia="宋体" w:cs="宋体"/>
                <w:szCs w:val="21"/>
                <w:highlight w:val="none"/>
                <w:u w:val="none"/>
                <w:lang w:eastAsia="zh-CN"/>
              </w:rPr>
              <w:t>（</w:t>
            </w:r>
            <w:r>
              <w:rPr>
                <w:rFonts w:hint="eastAsia" w:ascii="宋体" w:hAnsi="宋体" w:eastAsia="宋体" w:cs="宋体"/>
                <w:szCs w:val="21"/>
                <w:highlight w:val="none"/>
                <w:u w:val="none"/>
              </w:rPr>
              <w:t>营业执照、资质证书、安全生产许可证等</w:t>
            </w:r>
            <w:r>
              <w:rPr>
                <w:rFonts w:hint="eastAsia" w:ascii="宋体" w:hAnsi="宋体" w:eastAsia="宋体" w:cs="宋体"/>
                <w:szCs w:val="21"/>
                <w:highlight w:val="none"/>
                <w:u w:val="none"/>
                <w:lang w:eastAsia="zh-CN"/>
              </w:rPr>
              <w:t>）</w:t>
            </w:r>
            <w:r>
              <w:rPr>
                <w:rFonts w:hint="eastAsia" w:ascii="宋体" w:hAnsi="宋体" w:eastAsia="宋体" w:cs="宋体"/>
                <w:szCs w:val="21"/>
                <w:highlight w:val="none"/>
                <w:u w:val="none"/>
              </w:rPr>
              <w:t xml:space="preserve"> </w:t>
            </w:r>
          </w:p>
        </w:tc>
      </w:tr>
      <w:tr w14:paraId="1B29B5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1077" w:type="dxa"/>
            <w:noWrap w:val="0"/>
            <w:vAlign w:val="center"/>
          </w:tcPr>
          <w:p w14:paraId="680CF71E">
            <w:pPr>
              <w:spacing w:line="440" w:lineRule="exact"/>
              <w:jc w:val="center"/>
              <w:rPr>
                <w:rFonts w:hint="eastAsia" w:ascii="宋体" w:hAnsi="宋体" w:cs="宋体"/>
                <w:strike w:val="0"/>
                <w:dstrike w:val="0"/>
                <w:szCs w:val="21"/>
                <w:highlight w:val="none"/>
              </w:rPr>
            </w:pPr>
            <w:r>
              <w:rPr>
                <w:rFonts w:hint="eastAsia" w:ascii="宋体" w:hAnsi="宋体" w:cs="宋体"/>
                <w:strike w:val="0"/>
                <w:dstrike w:val="0"/>
                <w:szCs w:val="21"/>
                <w:highlight w:val="none"/>
              </w:rPr>
              <w:t>3.5.2</w:t>
            </w:r>
          </w:p>
        </w:tc>
        <w:tc>
          <w:tcPr>
            <w:tcW w:w="2251" w:type="dxa"/>
            <w:noWrap w:val="0"/>
            <w:vAlign w:val="center"/>
          </w:tcPr>
          <w:p w14:paraId="2BB203FC">
            <w:pPr>
              <w:spacing w:line="240" w:lineRule="auto"/>
              <w:jc w:val="center"/>
              <w:rPr>
                <w:rFonts w:hint="eastAsia" w:ascii="宋体" w:hAnsi="宋体" w:cs="宋体"/>
                <w:strike w:val="0"/>
                <w:dstrike w:val="0"/>
                <w:szCs w:val="21"/>
                <w:highlight w:val="none"/>
              </w:rPr>
            </w:pPr>
            <w:r>
              <w:rPr>
                <w:rFonts w:hint="eastAsia" w:ascii="宋体" w:hAnsi="宋体" w:cs="宋体"/>
                <w:strike w:val="0"/>
                <w:dstrike w:val="0"/>
                <w:szCs w:val="21"/>
                <w:highlight w:val="none"/>
              </w:rPr>
              <w:t>项目负责人资料表</w:t>
            </w:r>
          </w:p>
          <w:p w14:paraId="57735F8A">
            <w:pPr>
              <w:spacing w:line="240" w:lineRule="auto"/>
              <w:jc w:val="center"/>
              <w:rPr>
                <w:rFonts w:hint="eastAsia" w:ascii="宋体" w:hAnsi="宋体" w:cs="宋体"/>
                <w:strike w:val="0"/>
                <w:dstrike w:val="0"/>
                <w:szCs w:val="21"/>
                <w:highlight w:val="none"/>
              </w:rPr>
            </w:pPr>
            <w:r>
              <w:rPr>
                <w:rFonts w:hint="eastAsia" w:ascii="宋体" w:hAnsi="宋体" w:cs="宋体"/>
                <w:strike w:val="0"/>
                <w:dstrike w:val="0"/>
                <w:szCs w:val="21"/>
                <w:highlight w:val="none"/>
              </w:rPr>
              <w:t>材料要求</w:t>
            </w:r>
          </w:p>
        </w:tc>
        <w:tc>
          <w:tcPr>
            <w:tcW w:w="5943" w:type="dxa"/>
            <w:noWrap w:val="0"/>
            <w:vAlign w:val="center"/>
          </w:tcPr>
          <w:p w14:paraId="2923163B">
            <w:pPr>
              <w:pStyle w:val="10"/>
              <w:topLinePunct/>
              <w:spacing w:line="360" w:lineRule="exact"/>
              <w:rPr>
                <w:rFonts w:hint="eastAsia" w:ascii="宋体" w:hAnsi="宋体" w:eastAsia="宋体" w:cs="宋体"/>
                <w:kern w:val="2"/>
                <w:sz w:val="21"/>
                <w:szCs w:val="21"/>
                <w:highlight w:val="none"/>
                <w:u w:val="none"/>
                <w:lang w:val="en-US" w:eastAsia="zh-CN" w:bidi="ar-SA"/>
              </w:rPr>
            </w:pPr>
            <w:r>
              <w:rPr>
                <w:rFonts w:hint="eastAsia" w:ascii="宋体" w:hAnsi="宋体" w:eastAsia="宋体" w:cs="宋体"/>
                <w:kern w:val="2"/>
                <w:sz w:val="21"/>
                <w:szCs w:val="21"/>
                <w:highlight w:val="none"/>
                <w:u w:val="none"/>
                <w:lang w:val="en-US" w:eastAsia="zh-CN" w:bidi="ar-SA"/>
              </w:rPr>
              <w:t>按表格内容要求填写，并提供相关附件（建造师注册证书、安全生产考核B证、身份证、劳动合同等）</w:t>
            </w:r>
          </w:p>
        </w:tc>
      </w:tr>
      <w:tr w14:paraId="2F9114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1077" w:type="dxa"/>
            <w:noWrap w:val="0"/>
            <w:vAlign w:val="center"/>
          </w:tcPr>
          <w:p w14:paraId="48722A5D">
            <w:pPr>
              <w:spacing w:line="440" w:lineRule="exact"/>
              <w:jc w:val="center"/>
              <w:rPr>
                <w:rFonts w:hint="eastAsia" w:ascii="宋体" w:hAnsi="宋体" w:cs="宋体"/>
                <w:strike w:val="0"/>
                <w:dstrike w:val="0"/>
                <w:szCs w:val="21"/>
                <w:highlight w:val="none"/>
              </w:rPr>
            </w:pPr>
            <w:r>
              <w:rPr>
                <w:rFonts w:hint="eastAsia" w:ascii="宋体" w:hAnsi="宋体" w:cs="宋体"/>
                <w:strike w:val="0"/>
                <w:dstrike w:val="0"/>
                <w:szCs w:val="21"/>
                <w:highlight w:val="none"/>
              </w:rPr>
              <w:t>3.5.3</w:t>
            </w:r>
          </w:p>
        </w:tc>
        <w:tc>
          <w:tcPr>
            <w:tcW w:w="2251" w:type="dxa"/>
            <w:noWrap w:val="0"/>
            <w:vAlign w:val="center"/>
          </w:tcPr>
          <w:p w14:paraId="0A2D9A9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近年完成的类似项目及获奖情况表</w:t>
            </w:r>
          </w:p>
          <w:p w14:paraId="3B3A166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材料要求</w:t>
            </w:r>
          </w:p>
        </w:tc>
        <w:tc>
          <w:tcPr>
            <w:tcW w:w="5943" w:type="dxa"/>
            <w:noWrap w:val="0"/>
            <w:vAlign w:val="center"/>
          </w:tcPr>
          <w:p w14:paraId="3B8C0471">
            <w:pPr>
              <w:pStyle w:val="10"/>
              <w:topLinePunct/>
              <w:spacing w:line="360" w:lineRule="exact"/>
              <w:rPr>
                <w:rFonts w:hint="default" w:ascii="宋体" w:hAnsi="宋体" w:eastAsia="宋体" w:cs="宋体"/>
                <w:kern w:val="2"/>
                <w:sz w:val="21"/>
                <w:szCs w:val="21"/>
                <w:highlight w:val="none"/>
                <w:u w:val="none"/>
                <w:lang w:val="en-US" w:eastAsia="zh-CN" w:bidi="ar-SA"/>
              </w:rPr>
            </w:pPr>
            <w:r>
              <w:rPr>
                <w:rFonts w:hint="eastAsia" w:ascii="宋体" w:hAnsi="宋体" w:eastAsia="宋体" w:cs="宋体"/>
                <w:kern w:val="2"/>
                <w:sz w:val="21"/>
                <w:szCs w:val="21"/>
                <w:highlight w:val="none"/>
                <w:u w:val="none"/>
                <w:lang w:val="en-US" w:eastAsia="zh-CN" w:bidi="ar-SA"/>
              </w:rPr>
              <w:t>按表格内容要求填写</w:t>
            </w:r>
            <w:r>
              <w:rPr>
                <w:rFonts w:hint="eastAsia" w:ascii="宋体" w:hAnsi="宋体" w:eastAsia="宋体" w:cs="宋体"/>
                <w:kern w:val="2"/>
                <w:sz w:val="21"/>
                <w:szCs w:val="21"/>
                <w:highlight w:val="none"/>
                <w:u w:val="none"/>
                <w:lang w:val="en-US" w:eastAsia="zh-CN" w:bidi="ar-SA"/>
              </w:rPr>
              <w:t>，并提供相关附件（可以不填写）</w:t>
            </w:r>
            <w:r>
              <w:rPr>
                <w:rFonts w:hint="eastAsia" w:ascii="宋体" w:hAnsi="宋体" w:eastAsia="宋体" w:cs="宋体"/>
                <w:kern w:val="2"/>
                <w:sz w:val="21"/>
                <w:szCs w:val="21"/>
                <w:highlight w:val="none"/>
                <w:u w:val="none"/>
                <w:lang w:val="en-US" w:eastAsia="zh-CN" w:bidi="ar-SA"/>
              </w:rPr>
              <w:t xml:space="preserve"> </w:t>
            </w:r>
          </w:p>
        </w:tc>
      </w:tr>
      <w:tr w14:paraId="77DC36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blHeader/>
        </w:trPr>
        <w:tc>
          <w:tcPr>
            <w:tcW w:w="1077" w:type="dxa"/>
            <w:noWrap w:val="0"/>
            <w:vAlign w:val="center"/>
          </w:tcPr>
          <w:p w14:paraId="44405493">
            <w:pPr>
              <w:spacing w:line="440" w:lineRule="exact"/>
              <w:jc w:val="center"/>
              <w:rPr>
                <w:rFonts w:hint="eastAsia" w:ascii="宋体" w:hAnsi="宋体" w:cs="宋体"/>
                <w:szCs w:val="21"/>
                <w:highlight w:val="none"/>
              </w:rPr>
            </w:pPr>
            <w:r>
              <w:rPr>
                <w:rFonts w:hint="eastAsia" w:ascii="宋体" w:hAnsi="宋体" w:cs="宋体"/>
                <w:szCs w:val="21"/>
                <w:highlight w:val="none"/>
              </w:rPr>
              <w:t>3.6</w:t>
            </w:r>
          </w:p>
        </w:tc>
        <w:tc>
          <w:tcPr>
            <w:tcW w:w="2251" w:type="dxa"/>
            <w:noWrap w:val="0"/>
            <w:vAlign w:val="center"/>
          </w:tcPr>
          <w:p w14:paraId="63348212">
            <w:pPr>
              <w:spacing w:line="240" w:lineRule="auto"/>
              <w:jc w:val="center"/>
              <w:rPr>
                <w:rFonts w:hint="eastAsia" w:ascii="宋体" w:hAnsi="宋体" w:cs="宋体"/>
                <w:szCs w:val="21"/>
                <w:highlight w:val="none"/>
              </w:rPr>
            </w:pPr>
            <w:r>
              <w:rPr>
                <w:rFonts w:hint="eastAsia" w:ascii="宋体" w:hAnsi="宋体" w:cs="宋体"/>
                <w:szCs w:val="21"/>
                <w:highlight w:val="none"/>
              </w:rPr>
              <w:t>是否允许递交备选</w:t>
            </w:r>
          </w:p>
          <w:p w14:paraId="6FE8EF19">
            <w:pPr>
              <w:spacing w:line="240" w:lineRule="auto"/>
              <w:jc w:val="center"/>
              <w:rPr>
                <w:rFonts w:hint="eastAsia" w:ascii="宋体" w:hAnsi="宋体" w:cs="宋体"/>
                <w:szCs w:val="21"/>
                <w:highlight w:val="none"/>
              </w:rPr>
            </w:pPr>
            <w:r>
              <w:rPr>
                <w:rFonts w:hint="eastAsia" w:ascii="宋体" w:hAnsi="宋体" w:cs="宋体"/>
                <w:szCs w:val="21"/>
                <w:highlight w:val="none"/>
              </w:rPr>
              <w:t>投标方案</w:t>
            </w:r>
          </w:p>
        </w:tc>
        <w:tc>
          <w:tcPr>
            <w:tcW w:w="5943" w:type="dxa"/>
            <w:noWrap w:val="0"/>
            <w:vAlign w:val="center"/>
          </w:tcPr>
          <w:p w14:paraId="2A98B745">
            <w:pPr>
              <w:pStyle w:val="10"/>
              <w:topLinePunct/>
              <w:spacing w:line="360" w:lineRule="exact"/>
              <w:rPr>
                <w:rFonts w:hint="eastAsia" w:hAnsi="宋体" w:cs="宋体"/>
                <w:sz w:val="21"/>
                <w:szCs w:val="21"/>
                <w:highlight w:val="none"/>
              </w:rPr>
            </w:pPr>
            <w:bookmarkStart w:id="59" w:name="EB4bcc367d8e9e488fbeb50596753c046e"/>
            <w:r>
              <w:rPr>
                <w:rFonts w:hint="eastAsia" w:hAnsi="宋体" w:cs="宋体"/>
                <w:sz w:val="21"/>
                <w:szCs w:val="21"/>
                <w:highlight w:val="none"/>
                <w:lang w:eastAsia="zh-CN"/>
              </w:rPr>
              <w:t>☑</w:t>
            </w:r>
            <w:r>
              <w:rPr>
                <w:rFonts w:hint="eastAsia" w:hAnsi="宋体" w:cs="宋体"/>
                <w:sz w:val="21"/>
                <w:szCs w:val="21"/>
                <w:highlight w:val="none"/>
              </w:rPr>
              <w:t>不允许</w:t>
            </w:r>
          </w:p>
          <w:p w14:paraId="1F5B0C52">
            <w:pPr>
              <w:pStyle w:val="10"/>
              <w:topLinePunct/>
              <w:spacing w:line="360" w:lineRule="exact"/>
              <w:rPr>
                <w:rFonts w:hint="eastAsia" w:hAnsi="宋体" w:cs="宋体"/>
                <w:sz w:val="21"/>
                <w:szCs w:val="21"/>
                <w:highlight w:val="none"/>
              </w:rPr>
            </w:pPr>
            <w:r>
              <w:rPr>
                <w:rFonts w:hint="eastAsia" w:hAnsi="宋体" w:cs="宋体"/>
                <w:sz w:val="21"/>
                <w:szCs w:val="21"/>
                <w:highlight w:val="none"/>
              </w:rPr>
              <w:t>□允许</w:t>
            </w:r>
            <w:bookmarkEnd w:id="59"/>
          </w:p>
        </w:tc>
      </w:tr>
      <w:tr w14:paraId="28191D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6" w:hRule="atLeast"/>
          <w:tblHeader/>
        </w:trPr>
        <w:tc>
          <w:tcPr>
            <w:tcW w:w="1077" w:type="dxa"/>
            <w:noWrap w:val="0"/>
            <w:vAlign w:val="center"/>
          </w:tcPr>
          <w:p w14:paraId="4459DA71">
            <w:pPr>
              <w:spacing w:line="440" w:lineRule="exact"/>
              <w:jc w:val="center"/>
              <w:rPr>
                <w:rFonts w:hint="eastAsia" w:ascii="宋体" w:hAnsi="宋体" w:cs="宋体"/>
                <w:szCs w:val="21"/>
                <w:highlight w:val="none"/>
              </w:rPr>
            </w:pPr>
            <w:r>
              <w:rPr>
                <w:rFonts w:hint="eastAsia" w:ascii="宋体" w:hAnsi="宋体" w:cs="宋体"/>
                <w:szCs w:val="21"/>
                <w:highlight w:val="none"/>
              </w:rPr>
              <w:t>3.7.4</w:t>
            </w:r>
          </w:p>
        </w:tc>
        <w:tc>
          <w:tcPr>
            <w:tcW w:w="2251" w:type="dxa"/>
            <w:noWrap w:val="0"/>
            <w:vAlign w:val="center"/>
          </w:tcPr>
          <w:p w14:paraId="042257D0">
            <w:pPr>
              <w:spacing w:line="240" w:lineRule="auto"/>
              <w:jc w:val="center"/>
              <w:rPr>
                <w:rFonts w:hint="eastAsia" w:ascii="宋体" w:hAnsi="宋体" w:cs="宋体"/>
                <w:szCs w:val="21"/>
                <w:highlight w:val="none"/>
              </w:rPr>
            </w:pPr>
            <w:r>
              <w:rPr>
                <w:rFonts w:hint="eastAsia" w:ascii="宋体" w:hAnsi="宋体" w:cs="宋体"/>
                <w:szCs w:val="21"/>
                <w:highlight w:val="none"/>
              </w:rPr>
              <w:t>施工组织设计</w:t>
            </w:r>
          </w:p>
          <w:p w14:paraId="07B3A222">
            <w:pPr>
              <w:spacing w:line="240" w:lineRule="auto"/>
              <w:jc w:val="center"/>
              <w:rPr>
                <w:rFonts w:hint="eastAsia" w:ascii="宋体" w:hAnsi="宋体" w:cs="宋体"/>
                <w:szCs w:val="21"/>
                <w:highlight w:val="none"/>
              </w:rPr>
            </w:pPr>
            <w:r>
              <w:rPr>
                <w:rFonts w:hint="eastAsia" w:ascii="宋体" w:hAnsi="宋体" w:cs="宋体"/>
                <w:szCs w:val="21"/>
                <w:highlight w:val="none"/>
              </w:rPr>
              <w:t>暗标要求</w:t>
            </w:r>
          </w:p>
        </w:tc>
        <w:tc>
          <w:tcPr>
            <w:tcW w:w="5943" w:type="dxa"/>
            <w:noWrap w:val="0"/>
            <w:vAlign w:val="center"/>
          </w:tcPr>
          <w:p w14:paraId="6B0B062A">
            <w:pPr>
              <w:spacing w:line="240" w:lineRule="auto"/>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rPr>
              <w:t>不采用</w:t>
            </w:r>
          </w:p>
          <w:p w14:paraId="6C563E3E">
            <w:pPr>
              <w:spacing w:line="240" w:lineRule="auto"/>
              <w:rPr>
                <w:rFonts w:hint="default" w:ascii="宋体" w:hAnsi="宋体" w:eastAsia="宋体" w:cs="宋体"/>
                <w:szCs w:val="21"/>
                <w:highlight w:val="none"/>
                <w:lang w:val="en-US" w:eastAsia="zh-CN"/>
              </w:rPr>
            </w:pPr>
            <w:r>
              <w:rPr>
                <w:rFonts w:hint="eastAsia" w:ascii="宋体" w:hAnsi="宋体" w:cs="宋体"/>
                <w:szCs w:val="21"/>
                <w:highlight w:val="none"/>
              </w:rPr>
              <w:t>□采用，具体规定：</w:t>
            </w:r>
          </w:p>
        </w:tc>
      </w:tr>
      <w:tr w14:paraId="684320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tblHeader/>
        </w:trPr>
        <w:tc>
          <w:tcPr>
            <w:tcW w:w="1077" w:type="dxa"/>
            <w:noWrap w:val="0"/>
            <w:vAlign w:val="center"/>
          </w:tcPr>
          <w:p w14:paraId="38650855">
            <w:pPr>
              <w:pStyle w:val="10"/>
              <w:topLinePunct/>
              <w:spacing w:line="400" w:lineRule="exact"/>
              <w:jc w:val="center"/>
              <w:rPr>
                <w:rFonts w:hint="eastAsia" w:hAnsi="宋体" w:cs="宋体"/>
                <w:bCs/>
                <w:sz w:val="21"/>
                <w:szCs w:val="21"/>
                <w:highlight w:val="none"/>
              </w:rPr>
            </w:pPr>
            <w:r>
              <w:rPr>
                <w:rFonts w:hint="eastAsia" w:hAnsi="宋体" w:cs="宋体"/>
                <w:bCs/>
                <w:sz w:val="21"/>
                <w:szCs w:val="21"/>
                <w:highlight w:val="none"/>
              </w:rPr>
              <w:t>3.7.5</w:t>
            </w:r>
          </w:p>
        </w:tc>
        <w:tc>
          <w:tcPr>
            <w:tcW w:w="2251" w:type="dxa"/>
            <w:noWrap w:val="0"/>
            <w:vAlign w:val="center"/>
          </w:tcPr>
          <w:p w14:paraId="735DC751">
            <w:pPr>
              <w:pStyle w:val="10"/>
              <w:topLinePunct/>
              <w:spacing w:line="400" w:lineRule="exact"/>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其他编制要求</w:t>
            </w:r>
          </w:p>
        </w:tc>
        <w:tc>
          <w:tcPr>
            <w:tcW w:w="5943" w:type="dxa"/>
            <w:noWrap w:val="0"/>
            <w:vAlign w:val="center"/>
          </w:tcPr>
          <w:p w14:paraId="7EFABC0E">
            <w:pPr>
              <w:spacing w:line="440" w:lineRule="exac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p>
        </w:tc>
      </w:tr>
      <w:tr w14:paraId="4A1679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4" w:hRule="atLeast"/>
          <w:tblHeader/>
        </w:trPr>
        <w:tc>
          <w:tcPr>
            <w:tcW w:w="1077" w:type="dxa"/>
            <w:noWrap w:val="0"/>
            <w:vAlign w:val="center"/>
          </w:tcPr>
          <w:p w14:paraId="556DDC6E">
            <w:pPr>
              <w:spacing w:line="440" w:lineRule="exact"/>
              <w:jc w:val="center"/>
              <w:rPr>
                <w:rFonts w:hint="eastAsia" w:ascii="宋体" w:hAnsi="宋体" w:cs="宋体"/>
                <w:szCs w:val="21"/>
                <w:highlight w:val="none"/>
              </w:rPr>
            </w:pPr>
            <w:r>
              <w:rPr>
                <w:rFonts w:hint="eastAsia" w:ascii="宋体" w:hAnsi="宋体" w:cs="宋体"/>
                <w:szCs w:val="21"/>
                <w:highlight w:val="none"/>
              </w:rPr>
              <w:t>4.1.1</w:t>
            </w:r>
          </w:p>
        </w:tc>
        <w:tc>
          <w:tcPr>
            <w:tcW w:w="2251" w:type="dxa"/>
            <w:noWrap w:val="0"/>
            <w:vAlign w:val="center"/>
          </w:tcPr>
          <w:p w14:paraId="1F7EEC82">
            <w:pPr>
              <w:spacing w:line="440" w:lineRule="exact"/>
              <w:jc w:val="center"/>
              <w:rPr>
                <w:rFonts w:hint="eastAsia" w:ascii="宋体" w:hAnsi="宋体" w:cs="宋体"/>
                <w:szCs w:val="21"/>
                <w:highlight w:val="none"/>
              </w:rPr>
            </w:pPr>
            <w:r>
              <w:rPr>
                <w:rFonts w:hint="eastAsia" w:ascii="宋体" w:hAnsi="宋体" w:cs="宋体"/>
                <w:szCs w:val="21"/>
                <w:highlight w:val="none"/>
                <w:lang w:eastAsia="zh-CN"/>
              </w:rPr>
              <w:t>密封</w:t>
            </w:r>
            <w:r>
              <w:rPr>
                <w:rFonts w:hint="eastAsia" w:ascii="宋体" w:hAnsi="宋体" w:cs="宋体"/>
                <w:szCs w:val="21"/>
                <w:highlight w:val="none"/>
              </w:rPr>
              <w:t>要求</w:t>
            </w:r>
          </w:p>
        </w:tc>
        <w:tc>
          <w:tcPr>
            <w:tcW w:w="5943" w:type="dxa"/>
            <w:noWrap w:val="0"/>
            <w:vAlign w:val="center"/>
          </w:tcPr>
          <w:p w14:paraId="08F0D91E">
            <w:pPr>
              <w:spacing w:line="36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1、</w:t>
            </w:r>
            <w:r>
              <w:rPr>
                <w:rFonts w:hint="eastAsia" w:ascii="宋体" w:hAnsi="宋体" w:eastAsia="宋体" w:cs="宋体"/>
                <w:szCs w:val="21"/>
                <w:highlight w:val="none"/>
                <w:lang w:eastAsia="zh-CN"/>
              </w:rPr>
              <w:t>投标人</w:t>
            </w:r>
            <w:r>
              <w:rPr>
                <w:rFonts w:hint="eastAsia" w:ascii="宋体" w:hAnsi="宋体" w:eastAsia="宋体" w:cs="宋体"/>
                <w:szCs w:val="21"/>
                <w:highlight w:val="none"/>
              </w:rPr>
              <w:t>须将</w:t>
            </w:r>
            <w:r>
              <w:rPr>
                <w:rFonts w:hint="eastAsia" w:ascii="宋体" w:hAnsi="宋体" w:eastAsia="宋体" w:cs="宋体"/>
                <w:szCs w:val="21"/>
                <w:highlight w:val="none"/>
                <w:u w:val="single"/>
                <w:lang w:eastAsia="zh-CN"/>
              </w:rPr>
              <w:t>资格审查文件、商务标、电子投标文件</w:t>
            </w:r>
            <w:r>
              <w:rPr>
                <w:rFonts w:hint="eastAsia" w:ascii="宋体" w:hAnsi="宋体" w:eastAsia="宋体" w:cs="宋体"/>
                <w:szCs w:val="21"/>
                <w:highlight w:val="none"/>
                <w:lang w:eastAsia="zh-CN"/>
              </w:rPr>
              <w:t>三</w:t>
            </w:r>
            <w:r>
              <w:rPr>
                <w:rFonts w:hint="eastAsia" w:ascii="宋体" w:hAnsi="宋体" w:eastAsia="宋体" w:cs="宋体"/>
                <w:szCs w:val="21"/>
                <w:highlight w:val="none"/>
              </w:rPr>
              <w:t>个部分的</w:t>
            </w:r>
            <w:r>
              <w:rPr>
                <w:rFonts w:hint="eastAsia" w:ascii="宋体" w:hAnsi="宋体" w:eastAsia="宋体" w:cs="宋体"/>
                <w:szCs w:val="21"/>
                <w:highlight w:val="none"/>
                <w:lang w:eastAsia="zh-CN"/>
              </w:rPr>
              <w:t>投标</w:t>
            </w:r>
            <w:r>
              <w:rPr>
                <w:rFonts w:hint="eastAsia" w:ascii="宋体" w:hAnsi="宋体" w:eastAsia="宋体" w:cs="宋体"/>
                <w:szCs w:val="21"/>
                <w:highlight w:val="none"/>
              </w:rPr>
              <w:t>文件单独密封。密封后，应在每一密封袋上明确标注项目名称</w:t>
            </w:r>
            <w:r>
              <w:rPr>
                <w:rFonts w:hint="eastAsia" w:ascii="宋体" w:hAnsi="宋体" w:eastAsia="宋体" w:cs="宋体"/>
                <w:szCs w:val="21"/>
                <w:highlight w:val="none"/>
                <w:lang w:eastAsia="zh-CN"/>
              </w:rPr>
              <w:t>、标段名称</w:t>
            </w:r>
            <w:r>
              <w:rPr>
                <w:rFonts w:hint="eastAsia" w:ascii="宋体" w:hAnsi="宋体" w:eastAsia="宋体" w:cs="宋体"/>
                <w:szCs w:val="21"/>
                <w:highlight w:val="none"/>
              </w:rPr>
              <w:t>、项目编号、对应的</w:t>
            </w:r>
            <w:r>
              <w:rPr>
                <w:rFonts w:hint="eastAsia" w:ascii="宋体" w:hAnsi="宋体" w:eastAsia="宋体" w:cs="宋体"/>
                <w:szCs w:val="21"/>
                <w:highlight w:val="none"/>
                <w:lang w:eastAsia="zh-CN"/>
              </w:rPr>
              <w:t>投标</w:t>
            </w:r>
            <w:r>
              <w:rPr>
                <w:rFonts w:hint="eastAsia" w:ascii="宋体" w:hAnsi="宋体" w:eastAsia="宋体" w:cs="宋体"/>
                <w:szCs w:val="21"/>
                <w:highlight w:val="none"/>
              </w:rPr>
              <w:t>文件名称（资格审查文件或</w:t>
            </w:r>
            <w:r>
              <w:rPr>
                <w:rFonts w:hint="eastAsia" w:ascii="宋体" w:hAnsi="宋体" w:eastAsia="宋体" w:cs="宋体"/>
                <w:szCs w:val="21"/>
                <w:highlight w:val="none"/>
                <w:lang w:eastAsia="zh-CN"/>
              </w:rPr>
              <w:t>商务标或电子投标文件</w:t>
            </w:r>
            <w:r>
              <w:rPr>
                <w:rFonts w:hint="eastAsia" w:ascii="宋体" w:hAnsi="宋体" w:eastAsia="宋体" w:cs="宋体"/>
                <w:szCs w:val="21"/>
                <w:highlight w:val="none"/>
              </w:rPr>
              <w:t>）、</w:t>
            </w:r>
            <w:r>
              <w:rPr>
                <w:rFonts w:hint="eastAsia" w:ascii="宋体" w:hAnsi="宋体" w:eastAsia="宋体" w:cs="宋体"/>
                <w:szCs w:val="21"/>
                <w:highlight w:val="none"/>
                <w:lang w:eastAsia="zh-CN"/>
              </w:rPr>
              <w:t>投标人</w:t>
            </w:r>
            <w:r>
              <w:rPr>
                <w:rFonts w:hint="eastAsia" w:ascii="宋体" w:hAnsi="宋体" w:eastAsia="宋体" w:cs="宋体"/>
                <w:szCs w:val="21"/>
                <w:highlight w:val="none"/>
              </w:rPr>
              <w:t>全称、日期，封袋上加盖</w:t>
            </w:r>
            <w:r>
              <w:rPr>
                <w:rFonts w:hint="eastAsia" w:ascii="宋体" w:hAnsi="宋体" w:eastAsia="宋体" w:cs="宋体"/>
                <w:szCs w:val="21"/>
                <w:highlight w:val="none"/>
                <w:lang w:eastAsia="zh-CN"/>
              </w:rPr>
              <w:t>投标人</w:t>
            </w:r>
            <w:r>
              <w:rPr>
                <w:rFonts w:hint="eastAsia" w:ascii="宋体" w:hAnsi="宋体" w:eastAsia="宋体" w:cs="宋体"/>
                <w:szCs w:val="21"/>
                <w:highlight w:val="none"/>
              </w:rPr>
              <w:t>公章。</w:t>
            </w:r>
          </w:p>
          <w:p w14:paraId="681077BE">
            <w:pPr>
              <w:spacing w:line="36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2、投标人</w:t>
            </w:r>
            <w:r>
              <w:rPr>
                <w:rFonts w:hint="eastAsia" w:ascii="宋体" w:hAnsi="宋体" w:eastAsia="宋体" w:cs="宋体"/>
                <w:szCs w:val="21"/>
                <w:highlight w:val="none"/>
              </w:rPr>
              <w:t>可将</w:t>
            </w:r>
            <w:r>
              <w:rPr>
                <w:rFonts w:hint="eastAsia" w:ascii="宋体" w:hAnsi="宋体" w:eastAsia="宋体" w:cs="宋体"/>
                <w:szCs w:val="21"/>
                <w:highlight w:val="none"/>
                <w:lang w:eastAsia="zh-CN"/>
              </w:rPr>
              <w:t>投标</w:t>
            </w:r>
            <w:r>
              <w:rPr>
                <w:rFonts w:hint="eastAsia" w:ascii="宋体" w:hAnsi="宋体" w:eastAsia="宋体" w:cs="宋体"/>
                <w:szCs w:val="21"/>
                <w:highlight w:val="none"/>
              </w:rPr>
              <w:t>文件正、副本统一密封</w:t>
            </w:r>
            <w:r>
              <w:rPr>
                <w:rFonts w:hint="eastAsia" w:ascii="宋体" w:hAnsi="宋体" w:eastAsia="宋体" w:cs="宋体"/>
                <w:szCs w:val="21"/>
                <w:highlight w:val="none"/>
                <w:lang w:eastAsia="zh-CN"/>
              </w:rPr>
              <w:t>在一个封袋内</w:t>
            </w:r>
            <w:r>
              <w:rPr>
                <w:rFonts w:hint="eastAsia" w:ascii="宋体" w:hAnsi="宋体" w:eastAsia="宋体" w:cs="宋体"/>
                <w:szCs w:val="21"/>
                <w:highlight w:val="none"/>
              </w:rPr>
              <w:t>或分别密封</w:t>
            </w:r>
            <w:r>
              <w:rPr>
                <w:rFonts w:hint="eastAsia" w:ascii="宋体" w:hAnsi="宋体" w:eastAsia="宋体" w:cs="宋体"/>
                <w:szCs w:val="21"/>
                <w:highlight w:val="none"/>
                <w:lang w:eastAsia="zh-CN"/>
              </w:rPr>
              <w:t>在不同封袋内</w:t>
            </w:r>
            <w:r>
              <w:rPr>
                <w:rFonts w:hint="eastAsia" w:ascii="宋体" w:hAnsi="宋体" w:eastAsia="宋体" w:cs="宋体"/>
                <w:szCs w:val="21"/>
                <w:highlight w:val="none"/>
              </w:rPr>
              <w:t>，如正本和副本分别密封的，应在封袋上标明正、副本字样。</w:t>
            </w:r>
          </w:p>
          <w:p w14:paraId="3E13146B">
            <w:pPr>
              <w:spacing w:line="360" w:lineRule="exact"/>
              <w:rPr>
                <w:rFonts w:hint="eastAsia" w:ascii="宋体" w:hAnsi="宋体" w:cs="宋体"/>
                <w:szCs w:val="21"/>
                <w:highlight w:val="none"/>
              </w:rPr>
            </w:pPr>
            <w:r>
              <w:rPr>
                <w:rFonts w:hint="eastAsia" w:ascii="宋体" w:hAnsi="宋体" w:eastAsia="宋体" w:cs="宋体"/>
                <w:szCs w:val="21"/>
                <w:highlight w:val="none"/>
                <w:lang w:val="en-US" w:eastAsia="zh-CN"/>
              </w:rPr>
              <w:t>3、投标</w:t>
            </w:r>
            <w:r>
              <w:rPr>
                <w:rFonts w:hint="eastAsia" w:ascii="宋体" w:hAnsi="宋体" w:eastAsia="宋体" w:cs="宋体"/>
                <w:szCs w:val="21"/>
                <w:highlight w:val="none"/>
              </w:rPr>
              <w:t>文件中的所有“正本”，其正文内容须按</w:t>
            </w:r>
            <w:r>
              <w:rPr>
                <w:rFonts w:hint="eastAsia" w:ascii="宋体" w:hAnsi="宋体" w:eastAsia="宋体" w:cs="宋体"/>
                <w:szCs w:val="21"/>
                <w:highlight w:val="none"/>
                <w:lang w:eastAsia="zh-CN"/>
              </w:rPr>
              <w:t>招标</w:t>
            </w:r>
            <w:r>
              <w:rPr>
                <w:rFonts w:hint="eastAsia" w:ascii="宋体" w:hAnsi="宋体" w:eastAsia="宋体" w:cs="宋体"/>
                <w:szCs w:val="21"/>
                <w:highlight w:val="none"/>
              </w:rPr>
              <w:t>文件要求由</w:t>
            </w:r>
            <w:r>
              <w:rPr>
                <w:rFonts w:hint="eastAsia" w:ascii="宋体" w:hAnsi="宋体" w:eastAsia="宋体" w:cs="宋体"/>
                <w:szCs w:val="21"/>
                <w:highlight w:val="none"/>
                <w:lang w:eastAsia="zh-CN"/>
              </w:rPr>
              <w:t>投标人</w:t>
            </w:r>
            <w:r>
              <w:rPr>
                <w:rFonts w:hint="eastAsia" w:ascii="宋体" w:hAnsi="宋体" w:eastAsia="宋体" w:cs="宋体"/>
                <w:szCs w:val="21"/>
                <w:highlight w:val="none"/>
              </w:rPr>
              <w:t>法定代表人或被授权人签字（或盖章）</w:t>
            </w:r>
            <w:r>
              <w:rPr>
                <w:rFonts w:hint="eastAsia" w:ascii="宋体" w:hAnsi="宋体" w:eastAsia="宋体" w:cs="宋体"/>
                <w:szCs w:val="21"/>
                <w:highlight w:val="none"/>
                <w:lang w:eastAsia="zh-CN"/>
              </w:rPr>
              <w:t>，</w:t>
            </w:r>
            <w:r>
              <w:rPr>
                <w:rFonts w:hint="eastAsia" w:ascii="宋体" w:hAnsi="宋体" w:eastAsia="宋体" w:cs="宋体"/>
                <w:szCs w:val="21"/>
                <w:highlight w:val="none"/>
              </w:rPr>
              <w:t>并加盖单位公章。“副本”可复印件，但须加盖单位公章。</w:t>
            </w:r>
          </w:p>
        </w:tc>
      </w:tr>
      <w:tr w14:paraId="1B7119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tblHeader/>
        </w:trPr>
        <w:tc>
          <w:tcPr>
            <w:tcW w:w="1077" w:type="dxa"/>
            <w:noWrap w:val="0"/>
            <w:vAlign w:val="center"/>
          </w:tcPr>
          <w:p w14:paraId="2855E081">
            <w:pPr>
              <w:spacing w:line="440" w:lineRule="exact"/>
              <w:jc w:val="center"/>
              <w:rPr>
                <w:rFonts w:hint="eastAsia" w:ascii="宋体" w:hAnsi="宋体" w:cs="宋体"/>
                <w:szCs w:val="21"/>
                <w:highlight w:val="none"/>
              </w:rPr>
            </w:pPr>
            <w:r>
              <w:rPr>
                <w:rFonts w:hint="eastAsia" w:ascii="宋体" w:hAnsi="宋体" w:cs="宋体"/>
                <w:szCs w:val="21"/>
                <w:highlight w:val="none"/>
              </w:rPr>
              <w:t>4.2.1</w:t>
            </w:r>
          </w:p>
        </w:tc>
        <w:tc>
          <w:tcPr>
            <w:tcW w:w="2251" w:type="dxa"/>
            <w:noWrap w:val="0"/>
            <w:vAlign w:val="center"/>
          </w:tcPr>
          <w:p w14:paraId="440E1B17">
            <w:pPr>
              <w:spacing w:line="440" w:lineRule="exact"/>
              <w:jc w:val="center"/>
              <w:rPr>
                <w:rFonts w:hint="eastAsia" w:ascii="宋体" w:hAnsi="宋体" w:cs="宋体"/>
                <w:szCs w:val="21"/>
                <w:highlight w:val="none"/>
              </w:rPr>
            </w:pPr>
            <w:r>
              <w:rPr>
                <w:rFonts w:hint="eastAsia" w:ascii="宋体" w:hAnsi="宋体" w:cs="宋体"/>
                <w:szCs w:val="21"/>
                <w:highlight w:val="none"/>
              </w:rPr>
              <w:t>投标截止时间</w:t>
            </w:r>
          </w:p>
        </w:tc>
        <w:tc>
          <w:tcPr>
            <w:tcW w:w="5943" w:type="dxa"/>
            <w:noWrap w:val="0"/>
            <w:vAlign w:val="center"/>
          </w:tcPr>
          <w:p w14:paraId="23D2C5FA">
            <w:pPr>
              <w:spacing w:line="360" w:lineRule="exact"/>
              <w:rPr>
                <w:rFonts w:hint="eastAsia" w:ascii="宋体" w:hAnsi="宋体" w:cs="宋体"/>
                <w:szCs w:val="21"/>
                <w:highlight w:val="none"/>
              </w:rPr>
            </w:pPr>
            <w:r>
              <w:rPr>
                <w:rFonts w:hint="eastAsia" w:ascii="Times New Roman" w:hAnsi="Times New Roman" w:eastAsia="宋体" w:cs="Times New Roman"/>
                <w:kern w:val="2"/>
                <w:sz w:val="21"/>
                <w:szCs w:val="24"/>
                <w:highlight w:val="none"/>
                <w:lang w:val="en-US" w:eastAsia="zh-CN" w:bidi="ar-SA"/>
              </w:rPr>
              <w:t xml:space="preserve"> 2026年10月22日14时00分</w:t>
            </w:r>
          </w:p>
        </w:tc>
      </w:tr>
      <w:tr w14:paraId="102F29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1" w:hRule="atLeast"/>
          <w:tblHeader/>
        </w:trPr>
        <w:tc>
          <w:tcPr>
            <w:tcW w:w="1077" w:type="dxa"/>
            <w:noWrap w:val="0"/>
            <w:vAlign w:val="center"/>
          </w:tcPr>
          <w:p w14:paraId="6BF235EE">
            <w:pPr>
              <w:spacing w:line="440" w:lineRule="exact"/>
              <w:jc w:val="center"/>
              <w:rPr>
                <w:rFonts w:hint="eastAsia" w:ascii="宋体" w:hAnsi="宋体" w:cs="宋体"/>
                <w:szCs w:val="21"/>
                <w:highlight w:val="none"/>
              </w:rPr>
            </w:pPr>
            <w:r>
              <w:rPr>
                <w:rFonts w:hint="eastAsia" w:ascii="宋体" w:hAnsi="宋体" w:cs="宋体"/>
                <w:szCs w:val="21"/>
                <w:highlight w:val="none"/>
              </w:rPr>
              <w:t>4.2.2</w:t>
            </w:r>
          </w:p>
        </w:tc>
        <w:tc>
          <w:tcPr>
            <w:tcW w:w="2251" w:type="dxa"/>
            <w:noWrap w:val="0"/>
            <w:vAlign w:val="center"/>
          </w:tcPr>
          <w:p w14:paraId="160650E8">
            <w:pPr>
              <w:adjustRightInd w:val="0"/>
              <w:snapToGrid w:val="0"/>
              <w:spacing w:line="400" w:lineRule="exact"/>
              <w:jc w:val="center"/>
              <w:rPr>
                <w:rFonts w:hint="eastAsia" w:ascii="宋体" w:hAnsi="宋体" w:cs="宋体"/>
                <w:szCs w:val="21"/>
                <w:highlight w:val="none"/>
              </w:rPr>
            </w:pPr>
            <w:r>
              <w:rPr>
                <w:rFonts w:hint="eastAsia" w:ascii="宋体" w:hAnsi="宋体" w:cs="宋体"/>
                <w:szCs w:val="21"/>
                <w:highlight w:val="none"/>
              </w:rPr>
              <w:t>递交投标文件地点</w:t>
            </w:r>
          </w:p>
        </w:tc>
        <w:tc>
          <w:tcPr>
            <w:tcW w:w="5943" w:type="dxa"/>
            <w:noWrap w:val="0"/>
            <w:vAlign w:val="center"/>
          </w:tcPr>
          <w:p w14:paraId="22A570A2">
            <w:pPr>
              <w:adjustRightInd w:val="0"/>
              <w:snapToGrid w:val="0"/>
              <w:spacing w:line="400" w:lineRule="exact"/>
              <w:rPr>
                <w:rFonts w:hint="eastAsia" w:ascii="宋体" w:hAnsi="宋体" w:cs="宋体"/>
                <w:szCs w:val="21"/>
                <w:highlight w:val="none"/>
              </w:rPr>
            </w:pPr>
            <w:r>
              <w:rPr>
                <w:rFonts w:hint="eastAsia" w:ascii="宋体" w:hAnsi="宋体" w:cs="宋体"/>
                <w:color w:val="auto"/>
                <w:kern w:val="0"/>
                <w:szCs w:val="21"/>
                <w:highlight w:val="none"/>
                <w:u w:val="none"/>
              </w:rPr>
              <w:t>南通市崇川区崇川路158号</w:t>
            </w:r>
            <w:r>
              <w:rPr>
                <w:rFonts w:hint="eastAsia" w:ascii="宋体" w:hAnsi="宋体" w:cs="宋体"/>
                <w:color w:val="auto"/>
                <w:kern w:val="0"/>
                <w:szCs w:val="21"/>
                <w:highlight w:val="none"/>
                <w:u w:val="none"/>
                <w:lang w:eastAsia="zh-CN"/>
              </w:rPr>
              <w:t>轨交集团</w:t>
            </w:r>
            <w:r>
              <w:rPr>
                <w:rFonts w:hint="eastAsia" w:ascii="宋体" w:hAnsi="宋体" w:cs="宋体"/>
                <w:color w:val="auto"/>
                <w:kern w:val="0"/>
                <w:szCs w:val="21"/>
                <w:highlight w:val="none"/>
                <w:u w:val="none"/>
              </w:rPr>
              <w:t>15楼开标室</w:t>
            </w:r>
            <w:r>
              <w:rPr>
                <w:rFonts w:hint="eastAsia" w:ascii="宋体" w:hAnsi="宋体" w:cs="宋体"/>
                <w:color w:val="auto"/>
                <w:kern w:val="0"/>
                <w:szCs w:val="21"/>
                <w:highlight w:val="none"/>
                <w:u w:val="none"/>
                <w:lang w:val="en-US" w:eastAsia="zh-CN"/>
              </w:rPr>
              <w:t xml:space="preserve"> </w:t>
            </w:r>
          </w:p>
        </w:tc>
      </w:tr>
      <w:tr w14:paraId="6D57F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blHeader/>
        </w:trPr>
        <w:tc>
          <w:tcPr>
            <w:tcW w:w="1077" w:type="dxa"/>
            <w:noWrap w:val="0"/>
            <w:vAlign w:val="center"/>
          </w:tcPr>
          <w:p w14:paraId="2ACBC88C">
            <w:pPr>
              <w:spacing w:line="440" w:lineRule="exact"/>
              <w:jc w:val="center"/>
              <w:rPr>
                <w:rFonts w:hint="eastAsia" w:ascii="宋体" w:hAnsi="宋体" w:cs="宋体"/>
                <w:szCs w:val="21"/>
                <w:highlight w:val="none"/>
              </w:rPr>
            </w:pPr>
            <w:r>
              <w:rPr>
                <w:rFonts w:hint="eastAsia" w:ascii="宋体" w:hAnsi="宋体" w:cs="宋体"/>
                <w:szCs w:val="21"/>
                <w:highlight w:val="none"/>
              </w:rPr>
              <w:t>5.1.1</w:t>
            </w:r>
          </w:p>
        </w:tc>
        <w:tc>
          <w:tcPr>
            <w:tcW w:w="2251" w:type="dxa"/>
            <w:noWrap w:val="0"/>
            <w:vAlign w:val="center"/>
          </w:tcPr>
          <w:p w14:paraId="46C82254">
            <w:pPr>
              <w:spacing w:line="240" w:lineRule="auto"/>
              <w:jc w:val="center"/>
              <w:rPr>
                <w:rFonts w:hint="eastAsia" w:ascii="宋体" w:hAnsi="宋体" w:cs="宋体"/>
                <w:szCs w:val="21"/>
                <w:highlight w:val="none"/>
              </w:rPr>
            </w:pPr>
            <w:r>
              <w:rPr>
                <w:rFonts w:hint="eastAsia" w:ascii="宋体" w:hAnsi="宋体" w:cs="宋体"/>
                <w:szCs w:val="21"/>
                <w:highlight w:val="none"/>
              </w:rPr>
              <w:t>开标时间和地点</w:t>
            </w:r>
          </w:p>
        </w:tc>
        <w:tc>
          <w:tcPr>
            <w:tcW w:w="5943" w:type="dxa"/>
            <w:noWrap w:val="0"/>
            <w:vAlign w:val="center"/>
          </w:tcPr>
          <w:p w14:paraId="049F3B70">
            <w:pPr>
              <w:spacing w:line="240" w:lineRule="auto"/>
              <w:rPr>
                <w:rFonts w:hint="eastAsia" w:ascii="宋体" w:hAnsi="宋体" w:cs="宋体"/>
                <w:szCs w:val="21"/>
                <w:highlight w:val="none"/>
                <w:u w:val="single"/>
              </w:rPr>
            </w:pPr>
            <w:r>
              <w:rPr>
                <w:rFonts w:hint="eastAsia" w:ascii="宋体" w:hAnsi="宋体" w:cs="宋体"/>
                <w:szCs w:val="21"/>
                <w:highlight w:val="none"/>
              </w:rPr>
              <w:t>开标时间：</w:t>
            </w:r>
            <w:r>
              <w:rPr>
                <w:rFonts w:hint="eastAsia" w:ascii="宋体" w:hAnsi="宋体" w:cs="宋体"/>
                <w:szCs w:val="21"/>
                <w:highlight w:val="none"/>
                <w:u w:val="single"/>
              </w:rPr>
              <w:t>同投标截止时间</w:t>
            </w:r>
          </w:p>
          <w:p w14:paraId="5F3ECC79">
            <w:pPr>
              <w:adjustRightInd w:val="0"/>
              <w:snapToGrid w:val="0"/>
              <w:spacing w:line="240" w:lineRule="auto"/>
              <w:rPr>
                <w:rFonts w:hint="eastAsia" w:ascii="宋体" w:hAnsi="宋体" w:eastAsia="宋体" w:cs="宋体"/>
                <w:szCs w:val="21"/>
                <w:highlight w:val="none"/>
                <w:lang w:eastAsia="zh-CN"/>
              </w:rPr>
            </w:pPr>
            <w:r>
              <w:rPr>
                <w:rFonts w:hint="eastAsia" w:ascii="宋体" w:hAnsi="宋体" w:cs="宋体"/>
                <w:szCs w:val="21"/>
                <w:highlight w:val="none"/>
              </w:rPr>
              <w:t>开标地点（见面开标）：</w:t>
            </w:r>
            <w:r>
              <w:rPr>
                <w:rFonts w:hint="eastAsia" w:ascii="宋体" w:hAnsi="宋体" w:cs="宋体"/>
                <w:szCs w:val="21"/>
                <w:highlight w:val="none"/>
                <w:u w:val="single"/>
                <w:lang w:val="en-US" w:eastAsia="zh-CN"/>
              </w:rPr>
              <w:t xml:space="preserve"> </w:t>
            </w:r>
            <w:r>
              <w:rPr>
                <w:rFonts w:hint="eastAsia" w:ascii="宋体" w:hAnsi="宋体" w:cs="宋体"/>
                <w:color w:val="auto"/>
                <w:kern w:val="0"/>
                <w:szCs w:val="21"/>
                <w:highlight w:val="none"/>
                <w:u w:val="single"/>
                <w:lang w:eastAsia="zh-CN"/>
              </w:rPr>
              <w:t>同递交投标文件地点</w:t>
            </w:r>
            <w:r>
              <w:rPr>
                <w:rFonts w:hint="eastAsia" w:ascii="宋体" w:hAnsi="宋体" w:cs="宋体"/>
                <w:color w:val="auto"/>
                <w:kern w:val="0"/>
                <w:szCs w:val="21"/>
                <w:highlight w:val="none"/>
                <w:u w:val="single"/>
                <w:lang w:val="en-US" w:eastAsia="zh-CN"/>
              </w:rPr>
              <w:t xml:space="preserve"> </w:t>
            </w:r>
          </w:p>
        </w:tc>
      </w:tr>
      <w:tr w14:paraId="13467F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2" w:hRule="atLeast"/>
          <w:tblHeader/>
        </w:trPr>
        <w:tc>
          <w:tcPr>
            <w:tcW w:w="1077" w:type="dxa"/>
            <w:noWrap w:val="0"/>
            <w:vAlign w:val="center"/>
          </w:tcPr>
          <w:p w14:paraId="74FEAD85">
            <w:pPr>
              <w:jc w:val="center"/>
              <w:rPr>
                <w:rFonts w:hint="eastAsia" w:ascii="宋体" w:hAnsi="宋体" w:cs="宋体"/>
                <w:kern w:val="0"/>
                <w:szCs w:val="21"/>
                <w:highlight w:val="none"/>
              </w:rPr>
            </w:pPr>
            <w:r>
              <w:rPr>
                <w:rFonts w:hint="eastAsia" w:ascii="宋体" w:hAnsi="宋体" w:cs="宋体"/>
                <w:kern w:val="0"/>
                <w:szCs w:val="21"/>
                <w:highlight w:val="none"/>
              </w:rPr>
              <w:t>5.2</w:t>
            </w:r>
          </w:p>
        </w:tc>
        <w:tc>
          <w:tcPr>
            <w:tcW w:w="2251" w:type="dxa"/>
            <w:noWrap w:val="0"/>
            <w:vAlign w:val="center"/>
          </w:tcPr>
          <w:p w14:paraId="0F2202E4">
            <w:pPr>
              <w:spacing w:line="240" w:lineRule="auto"/>
              <w:jc w:val="center"/>
              <w:rPr>
                <w:rFonts w:hint="eastAsia" w:ascii="宋体" w:hAnsi="宋体" w:cs="宋体"/>
                <w:szCs w:val="21"/>
                <w:highlight w:val="none"/>
              </w:rPr>
            </w:pPr>
            <w:r>
              <w:rPr>
                <w:rFonts w:hint="eastAsia" w:ascii="宋体" w:hAnsi="宋体" w:cs="宋体"/>
                <w:snapToGrid w:val="0"/>
                <w:kern w:val="0"/>
                <w:szCs w:val="21"/>
                <w:highlight w:val="none"/>
              </w:rPr>
              <w:t>开标程序</w:t>
            </w:r>
          </w:p>
        </w:tc>
        <w:tc>
          <w:tcPr>
            <w:tcW w:w="5943" w:type="dxa"/>
            <w:noWrap w:val="0"/>
            <w:vAlign w:val="center"/>
          </w:tcPr>
          <w:p w14:paraId="3A9E3746">
            <w:pPr>
              <w:spacing w:line="240" w:lineRule="auto"/>
              <w:rPr>
                <w:rFonts w:hint="eastAsia" w:ascii="宋体" w:hAnsi="宋体" w:cs="宋体"/>
                <w:snapToGrid w:val="0"/>
                <w:kern w:val="0"/>
                <w:szCs w:val="21"/>
                <w:highlight w:val="none"/>
              </w:rPr>
            </w:pPr>
            <w:r>
              <w:rPr>
                <w:rFonts w:hint="eastAsia" w:ascii="宋体" w:hAnsi="宋体" w:cs="宋体"/>
                <w:snapToGrid w:val="0"/>
                <w:kern w:val="0"/>
                <w:szCs w:val="21"/>
                <w:highlight w:val="none"/>
              </w:rPr>
              <w:t>采用两阶段开标</w:t>
            </w:r>
          </w:p>
          <w:p w14:paraId="628E1A01">
            <w:pPr>
              <w:spacing w:line="240" w:lineRule="auto"/>
              <w:rPr>
                <w:rFonts w:hint="eastAsia" w:ascii="宋体" w:hAnsi="宋体" w:cs="宋体"/>
                <w:szCs w:val="21"/>
                <w:highlight w:val="none"/>
              </w:rPr>
            </w:pPr>
            <w:r>
              <w:rPr>
                <w:rFonts w:hint="eastAsia" w:ascii="宋体" w:hAnsi="宋体" w:cs="宋体"/>
                <w:szCs w:val="21"/>
                <w:highlight w:val="none"/>
              </w:rPr>
              <w:t>□是</w:t>
            </w:r>
          </w:p>
          <w:p w14:paraId="2FDD52F9">
            <w:pPr>
              <w:spacing w:line="240" w:lineRule="auto"/>
              <w:rPr>
                <w:rFonts w:hint="eastAsia" w:ascii="宋体" w:hAnsi="宋体" w:cs="宋体"/>
                <w:snapToGrid w:val="0"/>
                <w:kern w:val="0"/>
                <w:szCs w:val="21"/>
                <w:highlight w:val="none"/>
              </w:rPr>
            </w:pPr>
            <w:r>
              <w:rPr>
                <w:rFonts w:hint="eastAsia" w:ascii="宋体" w:hAnsi="宋体" w:cs="宋体"/>
                <w:szCs w:val="21"/>
                <w:highlight w:val="none"/>
                <w:lang w:eastAsia="zh-CN"/>
              </w:rPr>
              <w:t>☑</w:t>
            </w:r>
            <w:r>
              <w:rPr>
                <w:rFonts w:hint="eastAsia" w:ascii="宋体" w:hAnsi="宋体" w:cs="宋体"/>
                <w:szCs w:val="21"/>
                <w:highlight w:val="none"/>
              </w:rPr>
              <w:t>否</w:t>
            </w:r>
          </w:p>
        </w:tc>
      </w:tr>
      <w:tr w14:paraId="744602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3" w:hRule="atLeast"/>
          <w:tblHeader/>
        </w:trPr>
        <w:tc>
          <w:tcPr>
            <w:tcW w:w="1077" w:type="dxa"/>
            <w:noWrap w:val="0"/>
            <w:vAlign w:val="center"/>
          </w:tcPr>
          <w:p w14:paraId="5F807398">
            <w:pPr>
              <w:adjustRightInd w:val="0"/>
              <w:snapToGrid w:val="0"/>
              <w:spacing w:line="400" w:lineRule="exact"/>
              <w:jc w:val="center"/>
              <w:rPr>
                <w:rFonts w:hint="eastAsia" w:ascii="宋体" w:hAnsi="宋体" w:cs="宋体"/>
                <w:szCs w:val="21"/>
                <w:highlight w:val="none"/>
              </w:rPr>
            </w:pPr>
            <w:r>
              <w:rPr>
                <w:rFonts w:hint="eastAsia" w:ascii="宋体" w:hAnsi="宋体" w:cs="宋体"/>
                <w:szCs w:val="21"/>
                <w:highlight w:val="none"/>
              </w:rPr>
              <w:t>7.1.1</w:t>
            </w:r>
          </w:p>
        </w:tc>
        <w:tc>
          <w:tcPr>
            <w:tcW w:w="2251" w:type="dxa"/>
            <w:noWrap w:val="0"/>
            <w:vAlign w:val="center"/>
          </w:tcPr>
          <w:p w14:paraId="3B252924">
            <w:pPr>
              <w:adjustRightInd w:val="0"/>
              <w:snapToGrid w:val="0"/>
              <w:spacing w:line="240" w:lineRule="auto"/>
              <w:jc w:val="center"/>
              <w:rPr>
                <w:rFonts w:hint="eastAsia" w:ascii="宋体" w:hAnsi="宋体" w:cs="宋体"/>
                <w:szCs w:val="21"/>
                <w:highlight w:val="none"/>
              </w:rPr>
            </w:pPr>
            <w:r>
              <w:rPr>
                <w:rFonts w:hint="eastAsia" w:ascii="宋体" w:hAnsi="宋体" w:cs="宋体"/>
                <w:szCs w:val="21"/>
                <w:highlight w:val="none"/>
              </w:rPr>
              <w:t>评标委员会的组建</w:t>
            </w:r>
          </w:p>
        </w:tc>
        <w:tc>
          <w:tcPr>
            <w:tcW w:w="5943" w:type="dxa"/>
            <w:noWrap w:val="0"/>
            <w:vAlign w:val="center"/>
          </w:tcPr>
          <w:p w14:paraId="44649AFF">
            <w:pPr>
              <w:adjustRightInd w:val="0"/>
              <w:snapToGrid w:val="0"/>
              <w:spacing w:line="240" w:lineRule="auto"/>
              <w:rPr>
                <w:rFonts w:hint="eastAsia" w:ascii="宋体" w:hAnsi="宋体" w:cs="宋体"/>
                <w:szCs w:val="21"/>
                <w:highlight w:val="none"/>
              </w:rPr>
            </w:pPr>
            <w:r>
              <w:rPr>
                <w:rFonts w:hint="eastAsia" w:ascii="宋体" w:hAnsi="宋体" w:cs="宋体"/>
                <w:szCs w:val="21"/>
                <w:highlight w:val="none"/>
              </w:rPr>
              <w:t>评标委员会构成：</w:t>
            </w:r>
            <w:r>
              <w:rPr>
                <w:rFonts w:hint="eastAsia" w:ascii="宋体" w:hAnsi="宋体" w:cs="宋体"/>
                <w:color w:val="auto"/>
                <w:szCs w:val="21"/>
                <w:highlight w:val="none"/>
                <w:u w:val="single"/>
                <w:lang w:val="en-US" w:eastAsia="zh-CN"/>
              </w:rPr>
              <w:t>3</w:t>
            </w:r>
            <w:r>
              <w:rPr>
                <w:rFonts w:hint="eastAsia" w:ascii="宋体" w:hAnsi="宋体" w:cs="宋体"/>
                <w:bCs/>
                <w:color w:val="auto"/>
                <w:szCs w:val="21"/>
                <w:highlight w:val="none"/>
                <w:u w:val="single"/>
              </w:rPr>
              <w:t>人或</w:t>
            </w:r>
            <w:r>
              <w:rPr>
                <w:rFonts w:hint="eastAsia" w:ascii="宋体" w:hAnsi="宋体" w:cs="宋体"/>
                <w:bCs/>
                <w:color w:val="auto"/>
                <w:szCs w:val="21"/>
                <w:highlight w:val="none"/>
                <w:u w:val="single"/>
                <w:lang w:val="en-US" w:eastAsia="zh-CN"/>
              </w:rPr>
              <w:t>3人</w:t>
            </w:r>
            <w:r>
              <w:rPr>
                <w:rFonts w:hint="eastAsia" w:ascii="宋体" w:hAnsi="宋体" w:cs="宋体"/>
                <w:bCs/>
                <w:color w:val="auto"/>
                <w:szCs w:val="21"/>
                <w:highlight w:val="none"/>
                <w:u w:val="single"/>
              </w:rPr>
              <w:t>以上单数</w:t>
            </w:r>
            <w:r>
              <w:rPr>
                <w:rFonts w:hint="eastAsia" w:ascii="宋体" w:hAnsi="宋体" w:cs="宋体"/>
                <w:szCs w:val="21"/>
                <w:highlight w:val="none"/>
              </w:rPr>
              <w:t>。</w:t>
            </w:r>
          </w:p>
          <w:p w14:paraId="2404387F">
            <w:pPr>
              <w:adjustRightInd w:val="0"/>
              <w:snapToGrid w:val="0"/>
              <w:spacing w:line="240" w:lineRule="auto"/>
              <w:rPr>
                <w:rFonts w:hint="eastAsia" w:ascii="宋体" w:hAnsi="宋体" w:cs="宋体"/>
                <w:szCs w:val="21"/>
                <w:highlight w:val="none"/>
              </w:rPr>
            </w:pPr>
            <w:r>
              <w:rPr>
                <w:rFonts w:hint="eastAsia" w:ascii="宋体" w:hAnsi="宋体" w:cs="宋体"/>
                <w:szCs w:val="21"/>
                <w:highlight w:val="none"/>
              </w:rPr>
              <w:t>评标专家确定方式：</w:t>
            </w:r>
            <w:r>
              <w:rPr>
                <w:rFonts w:hint="eastAsia" w:ascii="宋体" w:hAnsi="宋体" w:cs="宋体"/>
                <w:szCs w:val="21"/>
                <w:highlight w:val="none"/>
                <w:u w:val="single"/>
              </w:rPr>
              <w:t xml:space="preserve"> </w:t>
            </w:r>
            <w:r>
              <w:rPr>
                <w:rFonts w:hint="eastAsia" w:ascii="宋体" w:hAnsi="宋体" w:cs="宋体"/>
                <w:szCs w:val="21"/>
                <w:highlight w:val="none"/>
                <w:u w:val="single"/>
                <w:lang w:eastAsia="zh-CN"/>
              </w:rPr>
              <w:t>由招标人组建</w:t>
            </w:r>
            <w:r>
              <w:rPr>
                <w:rFonts w:hint="eastAsia" w:ascii="宋体" w:hAnsi="宋体" w:cs="宋体"/>
                <w:szCs w:val="21"/>
                <w:highlight w:val="none"/>
                <w:u w:val="single"/>
                <w:lang w:val="en-US" w:eastAsia="zh-CN"/>
              </w:rPr>
              <w:t xml:space="preserve"> </w:t>
            </w:r>
            <w:r>
              <w:rPr>
                <w:rFonts w:hint="eastAsia" w:ascii="宋体" w:hAnsi="宋体" w:cs="宋体"/>
                <w:szCs w:val="21"/>
                <w:highlight w:val="none"/>
              </w:rPr>
              <w:t>。</w:t>
            </w:r>
          </w:p>
        </w:tc>
      </w:tr>
      <w:tr w14:paraId="24FB87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077" w:type="dxa"/>
            <w:noWrap w:val="0"/>
            <w:vAlign w:val="center"/>
          </w:tcPr>
          <w:p w14:paraId="68DF45AD">
            <w:pPr>
              <w:adjustRightInd w:val="0"/>
              <w:snapToGrid w:val="0"/>
              <w:spacing w:line="400" w:lineRule="exact"/>
              <w:jc w:val="center"/>
              <w:rPr>
                <w:rFonts w:hint="eastAsia" w:ascii="宋体" w:hAnsi="宋体" w:cs="宋体"/>
                <w:szCs w:val="21"/>
                <w:highlight w:val="none"/>
              </w:rPr>
            </w:pPr>
            <w:r>
              <w:rPr>
                <w:rFonts w:hint="eastAsia" w:ascii="宋体" w:hAnsi="宋体" w:cs="宋体"/>
                <w:szCs w:val="21"/>
                <w:highlight w:val="none"/>
              </w:rPr>
              <w:t>7.3.1</w:t>
            </w:r>
          </w:p>
        </w:tc>
        <w:tc>
          <w:tcPr>
            <w:tcW w:w="2251" w:type="dxa"/>
            <w:noWrap w:val="0"/>
            <w:vAlign w:val="center"/>
          </w:tcPr>
          <w:p w14:paraId="49EEB964">
            <w:pPr>
              <w:adjustRightInd w:val="0"/>
              <w:snapToGrid w:val="0"/>
              <w:spacing w:line="400" w:lineRule="exact"/>
              <w:jc w:val="center"/>
              <w:rPr>
                <w:rFonts w:hint="eastAsia" w:ascii="宋体" w:hAnsi="宋体" w:cs="宋体"/>
                <w:szCs w:val="21"/>
                <w:highlight w:val="none"/>
              </w:rPr>
            </w:pPr>
            <w:r>
              <w:rPr>
                <w:rFonts w:hint="eastAsia" w:ascii="宋体" w:hAnsi="宋体" w:cs="宋体"/>
                <w:szCs w:val="21"/>
                <w:highlight w:val="none"/>
              </w:rPr>
              <w:t>评标方法</w:t>
            </w:r>
          </w:p>
        </w:tc>
        <w:tc>
          <w:tcPr>
            <w:tcW w:w="5943" w:type="dxa"/>
            <w:noWrap w:val="0"/>
            <w:vAlign w:val="center"/>
          </w:tcPr>
          <w:p w14:paraId="220610D7">
            <w:pPr>
              <w:shd w:val="clear" w:color="auto" w:fill="auto"/>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综合评估法</w:t>
            </w:r>
          </w:p>
          <w:p w14:paraId="7B390102">
            <w:pPr>
              <w:shd w:val="clear" w:color="auto" w:fill="auto"/>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□综合评估法—采用评定分离方式</w:t>
            </w:r>
          </w:p>
          <w:p w14:paraId="53DB1812">
            <w:pPr>
              <w:shd w:val="clear" w:color="auto" w:fill="auto"/>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□经评审的最低投标价法</w:t>
            </w:r>
          </w:p>
          <w:p w14:paraId="42955B75">
            <w:pPr>
              <w:adjustRightInd w:val="0"/>
              <w:snapToGrid w:val="0"/>
              <w:spacing w:line="240" w:lineRule="auto"/>
              <w:rPr>
                <w:rFonts w:hint="eastAsia" w:ascii="宋体" w:hAnsi="宋体" w:cs="宋体"/>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合理低价法</w:t>
            </w:r>
          </w:p>
        </w:tc>
      </w:tr>
      <w:tr w14:paraId="7D1E18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1" w:hRule="atLeast"/>
          <w:tblHeader/>
        </w:trPr>
        <w:tc>
          <w:tcPr>
            <w:tcW w:w="1077" w:type="dxa"/>
            <w:noWrap w:val="0"/>
            <w:vAlign w:val="center"/>
          </w:tcPr>
          <w:p w14:paraId="0EB57C66">
            <w:pPr>
              <w:adjustRightInd w:val="0"/>
              <w:snapToGrid w:val="0"/>
              <w:spacing w:line="400" w:lineRule="exact"/>
              <w:jc w:val="center"/>
              <w:rPr>
                <w:rFonts w:hint="eastAsia" w:ascii="宋体" w:hAnsi="宋体" w:cs="宋体"/>
                <w:szCs w:val="21"/>
                <w:highlight w:val="none"/>
              </w:rPr>
            </w:pPr>
            <w:r>
              <w:rPr>
                <w:rFonts w:hint="eastAsia" w:ascii="宋体" w:hAnsi="宋体" w:cs="宋体"/>
                <w:szCs w:val="21"/>
                <w:highlight w:val="none"/>
              </w:rPr>
              <w:t>7.3.2</w:t>
            </w:r>
          </w:p>
        </w:tc>
        <w:tc>
          <w:tcPr>
            <w:tcW w:w="2251" w:type="dxa"/>
            <w:noWrap w:val="0"/>
            <w:vAlign w:val="center"/>
          </w:tcPr>
          <w:p w14:paraId="5CA6A107">
            <w:pPr>
              <w:adjustRightInd w:val="0"/>
              <w:snapToGrid w:val="0"/>
              <w:spacing w:line="240" w:lineRule="auto"/>
              <w:jc w:val="center"/>
              <w:rPr>
                <w:rFonts w:hint="eastAsia" w:ascii="宋体" w:hAnsi="宋体" w:cs="宋体"/>
                <w:szCs w:val="21"/>
                <w:highlight w:val="none"/>
              </w:rPr>
            </w:pPr>
            <w:r>
              <w:rPr>
                <w:rFonts w:hint="eastAsia" w:ascii="宋体" w:hAnsi="宋体" w:cs="宋体"/>
                <w:szCs w:val="21"/>
                <w:highlight w:val="none"/>
              </w:rPr>
              <w:t>评标委员会推荐</w:t>
            </w:r>
          </w:p>
          <w:p w14:paraId="2DED520B">
            <w:pPr>
              <w:adjustRightInd w:val="0"/>
              <w:snapToGrid w:val="0"/>
              <w:spacing w:line="240" w:lineRule="auto"/>
              <w:jc w:val="center"/>
              <w:rPr>
                <w:rFonts w:hint="eastAsia" w:ascii="宋体" w:hAnsi="宋体" w:cs="宋体"/>
                <w:szCs w:val="21"/>
                <w:highlight w:val="none"/>
              </w:rPr>
            </w:pPr>
            <w:r>
              <w:rPr>
                <w:rFonts w:hint="eastAsia" w:ascii="宋体" w:hAnsi="宋体" w:cs="宋体"/>
                <w:szCs w:val="21"/>
                <w:highlight w:val="none"/>
              </w:rPr>
              <w:t>中标候选人的数量</w:t>
            </w:r>
          </w:p>
        </w:tc>
        <w:tc>
          <w:tcPr>
            <w:tcW w:w="5943" w:type="dxa"/>
            <w:noWrap w:val="0"/>
            <w:vAlign w:val="center"/>
          </w:tcPr>
          <w:p w14:paraId="4BB2F849">
            <w:pPr>
              <w:spacing w:line="360" w:lineRule="auto"/>
              <w:rPr>
                <w:rFonts w:hint="eastAsia" w:ascii="宋体" w:hAnsi="宋体" w:cs="宋体"/>
                <w:szCs w:val="21"/>
                <w:highlight w:val="none"/>
              </w:rPr>
            </w:pPr>
            <w:r>
              <w:rPr>
                <w:rFonts w:hint="eastAsia" w:ascii="宋体" w:hAnsi="宋体" w:cs="宋体"/>
                <w:szCs w:val="21"/>
                <w:highlight w:val="none"/>
              </w:rPr>
              <w:t>推荐中标候选人数量</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3</w:t>
            </w:r>
            <w:r>
              <w:rPr>
                <w:rFonts w:hint="eastAsia" w:ascii="宋体" w:hAnsi="宋体" w:cs="宋体"/>
                <w:szCs w:val="21"/>
                <w:highlight w:val="none"/>
                <w:u w:val="single"/>
              </w:rPr>
              <w:t xml:space="preserve">  </w:t>
            </w:r>
            <w:r>
              <w:rPr>
                <w:rFonts w:hint="eastAsia" w:ascii="宋体" w:hAnsi="宋体" w:cs="宋体"/>
                <w:szCs w:val="21"/>
                <w:highlight w:val="none"/>
              </w:rPr>
              <w:t>名。</w:t>
            </w:r>
          </w:p>
        </w:tc>
      </w:tr>
      <w:tr w14:paraId="36E7F0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9" w:hRule="atLeast"/>
          <w:tblHeader/>
        </w:trPr>
        <w:tc>
          <w:tcPr>
            <w:tcW w:w="1077" w:type="dxa"/>
            <w:noWrap w:val="0"/>
            <w:vAlign w:val="center"/>
          </w:tcPr>
          <w:p w14:paraId="43D8185C">
            <w:pPr>
              <w:adjustRightInd w:val="0"/>
              <w:snapToGrid w:val="0"/>
              <w:spacing w:line="400" w:lineRule="exact"/>
              <w:jc w:val="center"/>
              <w:rPr>
                <w:rFonts w:hint="eastAsia" w:ascii="宋体" w:hAnsi="宋体" w:cs="宋体"/>
                <w:szCs w:val="21"/>
                <w:highlight w:val="none"/>
              </w:rPr>
            </w:pPr>
            <w:r>
              <w:rPr>
                <w:rFonts w:hint="eastAsia" w:ascii="宋体" w:hAnsi="宋体" w:cs="宋体"/>
                <w:szCs w:val="21"/>
                <w:highlight w:val="none"/>
              </w:rPr>
              <w:t>8.1.1</w:t>
            </w:r>
          </w:p>
        </w:tc>
        <w:tc>
          <w:tcPr>
            <w:tcW w:w="2251" w:type="dxa"/>
            <w:noWrap w:val="0"/>
            <w:vAlign w:val="center"/>
          </w:tcPr>
          <w:p w14:paraId="6928D311">
            <w:pPr>
              <w:adjustRightInd w:val="0"/>
              <w:snapToGrid w:val="0"/>
              <w:spacing w:line="360" w:lineRule="exact"/>
              <w:jc w:val="center"/>
              <w:rPr>
                <w:rFonts w:hint="eastAsia" w:ascii="宋体" w:hAnsi="宋体" w:eastAsia="宋体" w:cs="宋体"/>
                <w:szCs w:val="21"/>
                <w:highlight w:val="none"/>
              </w:rPr>
            </w:pPr>
            <w:r>
              <w:rPr>
                <w:rFonts w:hint="eastAsia" w:ascii="宋体" w:hAnsi="宋体" w:eastAsia="宋体" w:cs="宋体"/>
                <w:szCs w:val="21"/>
                <w:highlight w:val="none"/>
              </w:rPr>
              <w:t>是否授权评标委员会</w:t>
            </w:r>
          </w:p>
          <w:p w14:paraId="1A23D5D2">
            <w:pPr>
              <w:adjustRightInd w:val="0"/>
              <w:snapToGrid w:val="0"/>
              <w:spacing w:line="360" w:lineRule="exact"/>
              <w:jc w:val="center"/>
              <w:rPr>
                <w:rFonts w:hint="eastAsia" w:ascii="宋体" w:hAnsi="宋体" w:cs="宋体"/>
                <w:szCs w:val="21"/>
                <w:highlight w:val="none"/>
              </w:rPr>
            </w:pPr>
            <w:r>
              <w:rPr>
                <w:rFonts w:hint="eastAsia" w:ascii="宋体" w:hAnsi="宋体" w:eastAsia="宋体" w:cs="宋体"/>
                <w:szCs w:val="21"/>
                <w:highlight w:val="none"/>
              </w:rPr>
              <w:t>确定中标人</w:t>
            </w:r>
          </w:p>
        </w:tc>
        <w:tc>
          <w:tcPr>
            <w:tcW w:w="5943" w:type="dxa"/>
            <w:noWrap w:val="0"/>
            <w:vAlign w:val="center"/>
          </w:tcPr>
          <w:p w14:paraId="201B5D97">
            <w:pPr>
              <w:spacing w:line="360" w:lineRule="exact"/>
              <w:rPr>
                <w:rFonts w:hint="eastAsia" w:ascii="宋体" w:hAnsi="宋体" w:cs="宋体"/>
                <w:szCs w:val="21"/>
                <w:highlight w:val="none"/>
              </w:rPr>
            </w:pPr>
            <w:r>
              <w:rPr>
                <w:rFonts w:hint="eastAsia" w:ascii="宋体" w:hAnsi="宋体" w:cs="宋体"/>
                <w:szCs w:val="21"/>
                <w:highlight w:val="none"/>
              </w:rPr>
              <w:t>□是</w:t>
            </w:r>
          </w:p>
          <w:p w14:paraId="24AE658B">
            <w:pPr>
              <w:spacing w:line="360" w:lineRule="exact"/>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rPr>
              <w:t>否</w:t>
            </w:r>
          </w:p>
        </w:tc>
      </w:tr>
      <w:tr w14:paraId="7A16B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077" w:type="dxa"/>
            <w:noWrap w:val="0"/>
            <w:vAlign w:val="center"/>
          </w:tcPr>
          <w:p w14:paraId="5D60B1FF">
            <w:pPr>
              <w:spacing w:line="440" w:lineRule="exact"/>
              <w:jc w:val="center"/>
              <w:rPr>
                <w:rFonts w:hint="eastAsia" w:ascii="宋体" w:hAnsi="宋体" w:cs="宋体"/>
                <w:szCs w:val="21"/>
                <w:highlight w:val="none"/>
              </w:rPr>
            </w:pPr>
            <w:r>
              <w:rPr>
                <w:rFonts w:hint="eastAsia" w:ascii="宋体" w:hAnsi="宋体" w:cs="宋体"/>
                <w:szCs w:val="21"/>
                <w:highlight w:val="none"/>
              </w:rPr>
              <w:t>8.3</w:t>
            </w:r>
          </w:p>
        </w:tc>
        <w:tc>
          <w:tcPr>
            <w:tcW w:w="2251" w:type="dxa"/>
            <w:noWrap w:val="0"/>
            <w:vAlign w:val="center"/>
          </w:tcPr>
          <w:p w14:paraId="0E22919C">
            <w:pPr>
              <w:spacing w:line="440" w:lineRule="exact"/>
              <w:jc w:val="center"/>
              <w:rPr>
                <w:rFonts w:hint="eastAsia" w:ascii="宋体" w:hAnsi="宋体" w:cs="宋体"/>
                <w:szCs w:val="21"/>
                <w:highlight w:val="none"/>
              </w:rPr>
            </w:pPr>
            <w:r>
              <w:rPr>
                <w:rFonts w:hint="eastAsia" w:ascii="宋体" w:hAnsi="宋体" w:cs="宋体"/>
                <w:szCs w:val="21"/>
                <w:highlight w:val="none"/>
              </w:rPr>
              <w:t>履约担保及支付担保</w:t>
            </w:r>
          </w:p>
        </w:tc>
        <w:tc>
          <w:tcPr>
            <w:tcW w:w="5943" w:type="dxa"/>
            <w:noWrap w:val="0"/>
            <w:vAlign w:val="center"/>
          </w:tcPr>
          <w:p w14:paraId="50B029C2">
            <w:pPr>
              <w:shd w:val="clear" w:color="auto" w:fill="auto"/>
              <w:spacing w:line="240" w:lineRule="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履约担保的形式：</w:t>
            </w:r>
            <w:r>
              <w:rPr>
                <w:rFonts w:hint="eastAsia" w:ascii="宋体" w:hAnsi="宋体" w:eastAsia="宋体" w:cs="宋体"/>
                <w:color w:val="auto"/>
                <w:szCs w:val="21"/>
                <w:highlight w:val="none"/>
                <w:u w:val="single"/>
              </w:rPr>
              <w:t>转账或电汇或网银或银行保函或数字人民币（采用数字人民币缴纳的投标人请提前联系招标人</w:t>
            </w:r>
            <w:r>
              <w:rPr>
                <w:rFonts w:hint="eastAsia" w:ascii="宋体" w:hAnsi="宋体" w:eastAsia="宋体" w:cs="宋体"/>
                <w:color w:val="auto"/>
                <w:szCs w:val="21"/>
                <w:highlight w:val="none"/>
                <w:u w:val="single"/>
                <w:lang w:eastAsia="zh-CN"/>
              </w:rPr>
              <w:t>）</w:t>
            </w:r>
          </w:p>
          <w:p w14:paraId="03168A71">
            <w:pPr>
              <w:pStyle w:val="7"/>
              <w:ind w:left="0" w:leftChars="0" w:firstLine="0" w:firstLineChars="0"/>
              <w:rPr>
                <w:rFonts w:hint="default"/>
                <w:highlight w:val="none"/>
                <w:u w:val="single"/>
                <w:lang w:val="en-US" w:eastAsia="zh-CN"/>
              </w:rPr>
            </w:pPr>
            <w:r>
              <w:rPr>
                <w:rFonts w:hint="eastAsia"/>
                <w:highlight w:val="none"/>
                <w:lang w:eastAsia="zh-CN"/>
              </w:rPr>
              <w:t>履约担保的金额：</w:t>
            </w:r>
            <w:r>
              <w:rPr>
                <w:rFonts w:hint="eastAsia"/>
                <w:highlight w:val="none"/>
                <w:u w:val="single"/>
                <w:lang w:eastAsia="zh-CN"/>
              </w:rPr>
              <w:t>中标合同金额的</w:t>
            </w:r>
            <w:r>
              <w:rPr>
                <w:rFonts w:hint="eastAsia"/>
                <w:highlight w:val="none"/>
                <w:u w:val="single"/>
                <w:lang w:val="en-US" w:eastAsia="zh-CN"/>
              </w:rPr>
              <w:t>10%</w:t>
            </w:r>
          </w:p>
          <w:p w14:paraId="1EB966E6">
            <w:pPr>
              <w:shd w:val="clear" w:color="auto" w:fill="auto"/>
              <w:spacing w:line="24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支付担保的形式：</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none"/>
                <w:lang w:eastAsia="zh-CN"/>
              </w:rPr>
              <w:t>，</w:t>
            </w:r>
            <w:r>
              <w:rPr>
                <w:rFonts w:hint="eastAsia" w:ascii="宋体" w:hAnsi="宋体" w:eastAsia="宋体" w:cs="宋体"/>
                <w:color w:val="auto"/>
                <w:szCs w:val="21"/>
                <w:highlight w:val="none"/>
              </w:rPr>
              <w:t>支付担保的金额：</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lang w:eastAsia="zh-CN"/>
              </w:rPr>
              <w:t xml:space="preserve">  </w:t>
            </w:r>
          </w:p>
          <w:p w14:paraId="7C0F4E52">
            <w:pPr>
              <w:shd w:val="clear" w:color="auto" w:fill="auto"/>
              <w:spacing w:line="24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差额履约担保</w:t>
            </w:r>
            <w:r>
              <w:rPr>
                <w:rFonts w:hint="eastAsia" w:ascii="宋体" w:hAnsi="宋体" w:eastAsia="宋体" w:cs="宋体"/>
                <w:color w:val="auto"/>
                <w:szCs w:val="21"/>
                <w:highlight w:val="none"/>
                <w:lang w:eastAsia="zh-CN"/>
              </w:rPr>
              <w:t>：□采用</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lang w:eastAsia="zh-CN"/>
              </w:rPr>
              <w:t>☑不采用</w:t>
            </w:r>
          </w:p>
          <w:p w14:paraId="11DECFB4">
            <w:pPr>
              <w:shd w:val="clear" w:color="auto" w:fill="auto"/>
              <w:spacing w:line="240" w:lineRule="auto"/>
              <w:rPr>
                <w:rFonts w:hint="eastAsia" w:ascii="宋体" w:hAnsi="宋体" w:cs="宋体"/>
                <w:szCs w:val="21"/>
                <w:highlight w:val="none"/>
              </w:rPr>
            </w:pPr>
            <w:r>
              <w:rPr>
                <w:rFonts w:hint="eastAsia" w:ascii="宋体" w:hAnsi="宋体" w:eastAsia="宋体" w:cs="宋体"/>
                <w:color w:val="auto"/>
                <w:szCs w:val="21"/>
                <w:highlight w:val="none"/>
              </w:rPr>
              <w:t>差额履约担保的形式：</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none"/>
                <w:lang w:eastAsia="zh-CN"/>
              </w:rPr>
              <w:t>，</w:t>
            </w:r>
            <w:r>
              <w:rPr>
                <w:rFonts w:hint="eastAsia" w:ascii="宋体" w:hAnsi="宋体" w:eastAsia="宋体" w:cs="宋体"/>
                <w:color w:val="auto"/>
                <w:szCs w:val="21"/>
                <w:highlight w:val="none"/>
              </w:rPr>
              <w:t>差额履约担保金额：</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lang w:eastAsia="zh-CN"/>
              </w:rPr>
              <w:t xml:space="preserve"> </w:t>
            </w:r>
          </w:p>
        </w:tc>
      </w:tr>
      <w:tr w14:paraId="29AEE5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53" w:hRule="atLeast"/>
          <w:tblHeader/>
        </w:trPr>
        <w:tc>
          <w:tcPr>
            <w:tcW w:w="1077" w:type="dxa"/>
            <w:noWrap w:val="0"/>
            <w:vAlign w:val="center"/>
          </w:tcPr>
          <w:p w14:paraId="222E3F18">
            <w:pPr>
              <w:spacing w:line="440" w:lineRule="exact"/>
              <w:jc w:val="center"/>
              <w:rPr>
                <w:rFonts w:hint="eastAsia" w:ascii="宋体" w:hAnsi="宋体" w:cs="宋体"/>
                <w:szCs w:val="21"/>
                <w:highlight w:val="none"/>
              </w:rPr>
            </w:pPr>
            <w:r>
              <w:rPr>
                <w:rFonts w:hint="eastAsia" w:ascii="宋体" w:hAnsi="宋体" w:cs="宋体"/>
                <w:szCs w:val="21"/>
                <w:highlight w:val="none"/>
              </w:rPr>
              <w:t>10.5.1</w:t>
            </w:r>
          </w:p>
        </w:tc>
        <w:tc>
          <w:tcPr>
            <w:tcW w:w="2251" w:type="dxa"/>
            <w:noWrap w:val="0"/>
            <w:vAlign w:val="center"/>
          </w:tcPr>
          <w:p w14:paraId="5850867E">
            <w:pPr>
              <w:spacing w:line="440" w:lineRule="exact"/>
              <w:jc w:val="center"/>
              <w:rPr>
                <w:rFonts w:hint="eastAsia" w:ascii="宋体" w:hAnsi="宋体" w:cs="宋体"/>
                <w:szCs w:val="21"/>
                <w:highlight w:val="none"/>
              </w:rPr>
            </w:pPr>
            <w:r>
              <w:rPr>
                <w:rFonts w:hint="eastAsia" w:ascii="宋体" w:hAnsi="宋体" w:cs="宋体"/>
                <w:szCs w:val="21"/>
                <w:highlight w:val="none"/>
              </w:rPr>
              <w:t>招投标监督部门</w:t>
            </w:r>
          </w:p>
        </w:tc>
        <w:tc>
          <w:tcPr>
            <w:tcW w:w="5943" w:type="dxa"/>
            <w:noWrap w:val="0"/>
            <w:vAlign w:val="center"/>
          </w:tcPr>
          <w:p w14:paraId="6CE394C5">
            <w:pPr>
              <w:keepNext w:val="0"/>
              <w:keepLines w:val="0"/>
              <w:pageBreakBefore w:val="0"/>
              <w:kinsoku/>
              <w:overflowPunct/>
              <w:topLinePunct w:val="0"/>
              <w:autoSpaceDE/>
              <w:autoSpaceDN/>
              <w:bidi w:val="0"/>
              <w:snapToGrid w:val="0"/>
              <w:spacing w:line="240" w:lineRule="auto"/>
              <w:ind w:right="-105" w:rightChars="-5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投标人或者其他利害关系人对本项目招标有异议的，应在规定的时间内向招标人提出。</w:t>
            </w:r>
          </w:p>
          <w:p w14:paraId="59395670">
            <w:pPr>
              <w:keepNext w:val="0"/>
              <w:keepLines w:val="0"/>
              <w:pageBreakBefore w:val="0"/>
              <w:kinsoku/>
              <w:overflowPunct/>
              <w:topLinePunct w:val="0"/>
              <w:autoSpaceDE/>
              <w:autoSpaceDN/>
              <w:bidi w:val="0"/>
              <w:snapToGrid w:val="0"/>
              <w:spacing w:line="240" w:lineRule="auto"/>
              <w:ind w:right="-1039" w:rightChars="-495"/>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受理异议部门：轨道集团督查审计部</w:t>
            </w:r>
          </w:p>
          <w:p w14:paraId="1C802FAD">
            <w:pPr>
              <w:keepNext w:val="0"/>
              <w:keepLines w:val="0"/>
              <w:pageBreakBefore w:val="0"/>
              <w:kinsoku/>
              <w:overflowPunct/>
              <w:topLinePunct w:val="0"/>
              <w:autoSpaceDE/>
              <w:autoSpaceDN/>
              <w:bidi w:val="0"/>
              <w:snapToGrid w:val="0"/>
              <w:spacing w:line="240" w:lineRule="auto"/>
              <w:ind w:right="-1039" w:rightChars="-495"/>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地    址：南通市崇川区崇川路158号21楼</w:t>
            </w:r>
          </w:p>
          <w:p w14:paraId="5985C449">
            <w:pPr>
              <w:keepNext w:val="0"/>
              <w:keepLines w:val="0"/>
              <w:pageBreakBefore w:val="0"/>
              <w:kinsoku/>
              <w:overflowPunct/>
              <w:topLinePunct w:val="0"/>
              <w:autoSpaceDE/>
              <w:autoSpaceDN/>
              <w:bidi w:val="0"/>
              <w:snapToGrid w:val="0"/>
              <w:spacing w:line="240" w:lineRule="auto"/>
              <w:ind w:right="-1039" w:rightChars="-495"/>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联系方式：0513-69900271</w:t>
            </w:r>
          </w:p>
          <w:p w14:paraId="1BC0B7FE">
            <w:pPr>
              <w:keepNext w:val="0"/>
              <w:keepLines w:val="0"/>
              <w:pageBreakBefore w:val="0"/>
              <w:kinsoku/>
              <w:overflowPunct/>
              <w:topLinePunct w:val="0"/>
              <w:autoSpaceDE/>
              <w:autoSpaceDN/>
              <w:bidi w:val="0"/>
              <w:snapToGrid w:val="0"/>
              <w:spacing w:line="240" w:lineRule="auto"/>
              <w:ind w:right="-1039" w:rightChars="-495"/>
              <w:textAlignment w:val="auto"/>
              <w:rPr>
                <w:rFonts w:hint="eastAsia" w:ascii="宋体" w:hAnsi="宋体" w:eastAsia="宋体" w:cs="宋体"/>
                <w:kern w:val="2"/>
                <w:sz w:val="21"/>
                <w:szCs w:val="21"/>
                <w:highlight w:val="none"/>
                <w:lang w:val="en-US" w:eastAsia="zh-CN" w:bidi="ar-SA"/>
              </w:rPr>
            </w:pPr>
          </w:p>
          <w:p w14:paraId="081F8584">
            <w:pPr>
              <w:keepNext w:val="0"/>
              <w:keepLines w:val="0"/>
              <w:pageBreakBefore w:val="0"/>
              <w:kinsoku/>
              <w:overflowPunct/>
              <w:topLinePunct w:val="0"/>
              <w:autoSpaceDE/>
              <w:autoSpaceDN/>
              <w:bidi w:val="0"/>
              <w:snapToGrid w:val="0"/>
              <w:spacing w:line="240" w:lineRule="auto"/>
              <w:ind w:right="-1039" w:rightChars="-495"/>
              <w:textAlignment w:val="auto"/>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监督部门：南通市人民政府国有资产监督管理委员会</w:t>
            </w:r>
          </w:p>
        </w:tc>
      </w:tr>
    </w:tbl>
    <w:p w14:paraId="79E8128F">
      <w:pPr>
        <w:pStyle w:val="3"/>
        <w:pageBreakBefore w:val="0"/>
        <w:kinsoku/>
        <w:wordWrap/>
        <w:overflowPunct/>
        <w:topLinePunct w:val="0"/>
        <w:bidi w:val="0"/>
        <w:snapToGrid w:val="0"/>
        <w:spacing w:before="0" w:after="0" w:line="360" w:lineRule="auto"/>
        <w:textAlignment w:val="auto"/>
        <w:rPr>
          <w:rFonts w:hint="eastAsia" w:ascii="宋体" w:hAnsi="宋体" w:cs="宋体"/>
          <w:sz w:val="24"/>
          <w:szCs w:val="24"/>
          <w:highlight w:val="none"/>
        </w:rPr>
      </w:pPr>
      <w:bookmarkStart w:id="60" w:name="_Toc3398"/>
      <w:bookmarkStart w:id="61" w:name="_Toc11323"/>
      <w:bookmarkStart w:id="62" w:name="_Toc12739"/>
      <w:bookmarkStart w:id="63" w:name="_Toc14421"/>
      <w:bookmarkStart w:id="64" w:name="_Toc23315"/>
      <w:bookmarkStart w:id="65" w:name="_Toc20997"/>
      <w:bookmarkStart w:id="66" w:name="_Toc17621"/>
      <w:bookmarkStart w:id="67" w:name="_Toc28202"/>
      <w:bookmarkStart w:id="68" w:name="_Toc15288"/>
      <w:bookmarkStart w:id="69" w:name="_Toc26821"/>
      <w:bookmarkStart w:id="70" w:name="_Toc10204"/>
      <w:r>
        <w:rPr>
          <w:rFonts w:hint="eastAsia" w:ascii="宋体" w:hAnsi="宋体" w:cs="宋体"/>
          <w:sz w:val="24"/>
          <w:szCs w:val="24"/>
          <w:highlight w:val="none"/>
        </w:rPr>
        <w:br w:type="page"/>
      </w:r>
      <w:bookmarkStart w:id="71" w:name="_Toc18881"/>
      <w:r>
        <w:rPr>
          <w:rFonts w:hint="eastAsia" w:ascii="宋体" w:hAnsi="宋体" w:cs="宋体"/>
          <w:sz w:val="24"/>
          <w:szCs w:val="24"/>
          <w:highlight w:val="none"/>
        </w:rPr>
        <w:t>1. 总则</w:t>
      </w:r>
      <w:bookmarkEnd w:id="60"/>
      <w:bookmarkEnd w:id="61"/>
      <w:bookmarkEnd w:id="62"/>
      <w:bookmarkEnd w:id="63"/>
      <w:bookmarkEnd w:id="64"/>
      <w:bookmarkEnd w:id="65"/>
      <w:bookmarkEnd w:id="66"/>
      <w:bookmarkEnd w:id="67"/>
      <w:bookmarkEnd w:id="68"/>
      <w:bookmarkEnd w:id="69"/>
      <w:bookmarkEnd w:id="70"/>
      <w:bookmarkEnd w:id="71"/>
    </w:p>
    <w:p w14:paraId="3A2F75D8">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72" w:name="_Toc17273"/>
      <w:bookmarkStart w:id="73" w:name="_Toc31615"/>
      <w:bookmarkStart w:id="74" w:name="_Toc29270"/>
      <w:bookmarkStart w:id="75" w:name="_Toc21279"/>
      <w:bookmarkStart w:id="76" w:name="_Toc5284"/>
      <w:bookmarkStart w:id="77" w:name="_Toc227984002"/>
      <w:bookmarkStart w:id="78" w:name="_Toc28354"/>
      <w:bookmarkStart w:id="79" w:name="_Toc22817"/>
      <w:bookmarkStart w:id="80" w:name="_Toc152042306"/>
      <w:bookmarkStart w:id="81" w:name="_Toc269886740"/>
      <w:bookmarkStart w:id="82" w:name="_Toc8831"/>
      <w:bookmarkStart w:id="83" w:name="_Toc152045530"/>
      <w:bookmarkStart w:id="84" w:name="_Toc23859"/>
      <w:bookmarkStart w:id="85" w:name="_Toc144974498"/>
      <w:bookmarkStart w:id="86" w:name="_Toc9798"/>
      <w:bookmarkStart w:id="87" w:name="_Toc25257"/>
      <w:bookmarkStart w:id="88" w:name="_Toc19788"/>
      <w:r>
        <w:rPr>
          <w:rFonts w:hint="eastAsia" w:ascii="宋体" w:hAnsi="宋体" w:cs="宋体"/>
          <w:sz w:val="21"/>
          <w:szCs w:val="21"/>
          <w:highlight w:val="none"/>
        </w:rPr>
        <w:t>1.1 项目概况</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764678C0">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1.1.1根据《中华人民共和国招标投标法》、《中华人民共和国招标投标法实施条例》等有关法律、法规和规章的规定，本招标项目已具备招标条件，现对本标段施工进行招标。</w:t>
      </w:r>
    </w:p>
    <w:p w14:paraId="2E3A02B5">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1.1.2本招标项目招标人：见投标人须知前附表。</w:t>
      </w:r>
    </w:p>
    <w:p w14:paraId="79C26BAB">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1.1.3本标段招标代理机构：见投标人须知前附表。</w:t>
      </w:r>
    </w:p>
    <w:p w14:paraId="79E03AF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1.1.4本招标项目及标段名称：见投标人须知前附表。</w:t>
      </w:r>
    </w:p>
    <w:p w14:paraId="70445F8D">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1.1.5本招标项目招标方式：见投标人须知前附表。</w:t>
      </w:r>
    </w:p>
    <w:p w14:paraId="68270848">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1.1.6本标段建设地点：见投标人须知前附表。</w:t>
      </w:r>
    </w:p>
    <w:p w14:paraId="44D411DB">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89" w:name="_Toc144974499"/>
      <w:bookmarkStart w:id="90" w:name="_Toc28035"/>
      <w:bookmarkStart w:id="91" w:name="_Toc18696"/>
      <w:bookmarkStart w:id="92" w:name="_Toc20586"/>
      <w:bookmarkStart w:id="93" w:name="_Toc24344"/>
      <w:bookmarkStart w:id="94" w:name="_Toc152042307"/>
      <w:bookmarkStart w:id="95" w:name="_Toc4283"/>
      <w:bookmarkStart w:id="96" w:name="_Toc16531"/>
      <w:bookmarkStart w:id="97" w:name="_Toc269886741"/>
      <w:bookmarkStart w:id="98" w:name="_Toc54"/>
      <w:bookmarkStart w:id="99" w:name="_Toc31072"/>
      <w:bookmarkStart w:id="100" w:name="_Toc29706"/>
      <w:bookmarkStart w:id="101" w:name="_Toc9941"/>
      <w:bookmarkStart w:id="102" w:name="_Toc17234"/>
      <w:bookmarkStart w:id="103" w:name="_Toc227984003"/>
      <w:bookmarkStart w:id="104" w:name="_Toc152045531"/>
      <w:r>
        <w:rPr>
          <w:rFonts w:hint="eastAsia" w:ascii="宋体" w:hAnsi="宋体" w:cs="宋体"/>
          <w:sz w:val="21"/>
          <w:szCs w:val="21"/>
          <w:highlight w:val="none"/>
        </w:rPr>
        <w:t>1.2 资金来源和落实情况</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0C58217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1.2.1本招标项目的资金来源：见投标人须知前附表。</w:t>
      </w:r>
    </w:p>
    <w:p w14:paraId="27C8A6DD">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1.2.2本招标项目的出资比例：见投标人须知前附表。</w:t>
      </w:r>
    </w:p>
    <w:p w14:paraId="57383764">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1.2.3本招标项目的资金落实情况：见投标人须知前附表。</w:t>
      </w:r>
    </w:p>
    <w:p w14:paraId="007A950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1.2.4本招标项目的工程款支付方式：见投标人须知前附表。</w:t>
      </w:r>
    </w:p>
    <w:p w14:paraId="4F49694D">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105" w:name="_Toc20960"/>
      <w:bookmarkStart w:id="106" w:name="_Toc756"/>
      <w:bookmarkStart w:id="107" w:name="_Toc9859"/>
      <w:bookmarkStart w:id="108" w:name="_Toc152042308"/>
      <w:bookmarkStart w:id="109" w:name="_Toc12503"/>
      <w:bookmarkStart w:id="110" w:name="_Toc32720"/>
      <w:bookmarkStart w:id="111" w:name="_Toc152045532"/>
      <w:bookmarkStart w:id="112" w:name="_Toc227984004"/>
      <w:bookmarkStart w:id="113" w:name="_Toc6946"/>
      <w:bookmarkStart w:id="114" w:name="_Toc4744"/>
      <w:bookmarkStart w:id="115" w:name="_Toc16494"/>
      <w:bookmarkStart w:id="116" w:name="_Toc10370"/>
      <w:bookmarkStart w:id="117" w:name="_Toc5207"/>
      <w:bookmarkStart w:id="118" w:name="_Toc144974500"/>
      <w:bookmarkStart w:id="119" w:name="_Toc269886742"/>
      <w:bookmarkStart w:id="120" w:name="_Toc19733"/>
      <w:bookmarkStart w:id="121" w:name="_Toc6164"/>
      <w:r>
        <w:rPr>
          <w:rFonts w:hint="eastAsia" w:ascii="宋体" w:hAnsi="宋体" w:cs="宋体"/>
          <w:sz w:val="21"/>
          <w:szCs w:val="21"/>
          <w:highlight w:val="none"/>
        </w:rPr>
        <w:t>1.3 招标范围、要求工期和质量要求</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0CD483FF">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1.3.1本次招标范围：见投标人须知前附表。</w:t>
      </w:r>
    </w:p>
    <w:p w14:paraId="5C8F961D">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1.3.2本标段的要求工期：见投标人须知前附表。</w:t>
      </w:r>
    </w:p>
    <w:p w14:paraId="3CCC212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1.3.3本标段的质量要求：见投标人须知前附表。</w:t>
      </w:r>
    </w:p>
    <w:p w14:paraId="4646B828">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122" w:name="_Toc12728"/>
      <w:bookmarkStart w:id="123" w:name="_Toc5196"/>
      <w:bookmarkStart w:id="124" w:name="_Toc15112"/>
      <w:bookmarkStart w:id="125" w:name="_Toc28182"/>
      <w:bookmarkStart w:id="126" w:name="_Toc17947"/>
      <w:bookmarkStart w:id="127" w:name="_Toc227984005"/>
      <w:bookmarkStart w:id="128" w:name="_Toc152045533"/>
      <w:bookmarkStart w:id="129" w:name="_Toc5021"/>
      <w:bookmarkStart w:id="130" w:name="_Toc274"/>
      <w:bookmarkStart w:id="131" w:name="_Toc269886743"/>
      <w:bookmarkStart w:id="132" w:name="_Toc144974501"/>
      <w:bookmarkStart w:id="133" w:name="_Toc22771"/>
      <w:bookmarkStart w:id="134" w:name="_Toc14695"/>
      <w:bookmarkStart w:id="135" w:name="_Toc152042309"/>
      <w:bookmarkStart w:id="136" w:name="_Toc28528"/>
      <w:bookmarkStart w:id="137" w:name="_Toc19728"/>
      <w:r>
        <w:rPr>
          <w:rFonts w:hint="eastAsia" w:ascii="宋体" w:hAnsi="宋体" w:cs="宋体"/>
          <w:sz w:val="21"/>
          <w:szCs w:val="21"/>
          <w:highlight w:val="none"/>
        </w:rPr>
        <w:t>1.4 投标人资格要求</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7B61FCDB">
      <w:pPr>
        <w:pStyle w:val="10"/>
        <w:pageBreakBefore w:val="0"/>
        <w:kinsoku/>
        <w:wordWrap/>
        <w:overflowPunct/>
        <w:topLinePunct w:val="0"/>
        <w:bidi w:val="0"/>
        <w:adjustRightInd w:val="0"/>
        <w:snapToGrid w:val="0"/>
        <w:spacing w:line="360" w:lineRule="auto"/>
        <w:ind w:firstLine="420" w:firstLineChars="200"/>
        <w:jc w:val="left"/>
        <w:textAlignment w:val="auto"/>
        <w:rPr>
          <w:rFonts w:hint="eastAsia" w:hAnsi="宋体" w:cs="宋体"/>
          <w:sz w:val="21"/>
          <w:szCs w:val="21"/>
          <w:highlight w:val="none"/>
        </w:rPr>
      </w:pPr>
      <w:r>
        <w:rPr>
          <w:rFonts w:hint="eastAsia" w:hAnsi="宋体" w:cs="宋体"/>
          <w:sz w:val="21"/>
          <w:szCs w:val="21"/>
          <w:highlight w:val="none"/>
        </w:rPr>
        <w:t>1.4.1投标人应具备有效的营业执照以及承担本标段施工的资质条件、能力和信誉，项目负责人注册专业、资格等级符合国家有关规定及本标段要求，具体资格要求见投标人须知前附表。</w:t>
      </w:r>
    </w:p>
    <w:p w14:paraId="7207564F">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 xml:space="preserve">1.4.2投标人须知前附表规定接受联合体投标的，除应符合本章第1.4.1项和投标人须知前附表的要求外，还应遵守以下规定： </w:t>
      </w:r>
    </w:p>
    <w:p w14:paraId="6401E815">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bookmarkStart w:id="138" w:name="_Toc227984006"/>
      <w:bookmarkStart w:id="139" w:name="_Toc144974503"/>
      <w:bookmarkStart w:id="140" w:name="_Toc152042311"/>
      <w:bookmarkStart w:id="141" w:name="_Toc152045535"/>
      <w:bookmarkStart w:id="142" w:name="_Toc269886744"/>
      <w:r>
        <w:rPr>
          <w:rFonts w:hint="eastAsia" w:ascii="宋体" w:hAnsi="宋体" w:cs="宋体"/>
          <w:szCs w:val="21"/>
          <w:highlight w:val="none"/>
        </w:rPr>
        <w:t>（1）联合体各方应按招标文件提供的格式签订共同投标协议，联合体各方必须指定牵头人，授权其代表所有联合体成员负责投标和合同实施阶段的主办、协调工作，并明确各方权利义务；</w:t>
      </w:r>
    </w:p>
    <w:p w14:paraId="6C17C15B">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 xml:space="preserve">（2）联合体各成员单位应当具备与共同投标协议中约定的分工相适应的施工资质和施工能力，共同投标协议约定联合体成员承担同一专业工作的，按照资质等级最低的成员确定资质等级； </w:t>
      </w:r>
    </w:p>
    <w:p w14:paraId="63457665">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（3）联合体各方不得再以自己名义单独或参加其他联合体在同一标段中投标。</w:t>
      </w:r>
    </w:p>
    <w:p w14:paraId="14AD72C8">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1.4.3投标人不得存在下列情形之一：</w:t>
      </w:r>
    </w:p>
    <w:p w14:paraId="3F794D6B">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（1）为招标人不具有独立法人资格的附属机构（单位）；</w:t>
      </w:r>
    </w:p>
    <w:p w14:paraId="05348200">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（2）为本招标项目的监理人、代建人、项目管理人，以及为本招标项目提供招标代理、设计服务的；</w:t>
      </w:r>
    </w:p>
    <w:p w14:paraId="62BF5796">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（3）与本招标项目的监理人、代建人、招标代理机构同为一个法定代表人的，或者相互控股、参股的；</w:t>
      </w:r>
    </w:p>
    <w:p w14:paraId="120CF11C">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（4）与招标人存在利害关系可能影响招标公正性的；</w:t>
      </w:r>
    </w:p>
    <w:p w14:paraId="3BBB9E74">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（5）单位负责人为同一人或者存在控股、管理关系的不同单位，参加同一标段投标或者未划分标段的同一招标项目投标；</w:t>
      </w:r>
    </w:p>
    <w:p w14:paraId="18AA954D">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（6）处于被责令停业，财产被接管，破产状态，以及投标资格被取消或者被暂停且在暂停期内；</w:t>
      </w:r>
    </w:p>
    <w:p w14:paraId="5C06196D">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（7）处于财产被冻结，导致不具备履行本次招标项目能力的；</w:t>
      </w:r>
    </w:p>
    <w:p w14:paraId="0300BD76">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（8）因拖欠工人工资被有关部门限制在招标项目所在地承接工程的；</w:t>
      </w:r>
    </w:p>
    <w:p w14:paraId="143BAF9A">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（9）投标人在资格预审申请文件递交截止时间当日及投标文件递交截止时间当日，本次招标所需建筑业企业资质动态监管结果处于不合格状态；</w:t>
      </w:r>
    </w:p>
    <w:p w14:paraId="48BF3BE8">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（10）</w:t>
      </w:r>
      <w:r>
        <w:rPr>
          <w:rFonts w:hint="eastAsia" w:ascii="宋体" w:hAnsi="宋体" w:cs="宋体"/>
          <w:kern w:val="0"/>
          <w:szCs w:val="21"/>
          <w:highlight w:val="none"/>
        </w:rPr>
        <w:t>在“信用中国”网站（www.creditchina.gov.cn）列入失信被执行人名单的；</w:t>
      </w:r>
    </w:p>
    <w:p w14:paraId="150FA01E">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（11）法律、法规规定的其他条件。</w:t>
      </w:r>
    </w:p>
    <w:p w14:paraId="3425AE14">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143" w:name="_Toc11987"/>
      <w:bookmarkStart w:id="144" w:name="_Toc21121"/>
      <w:bookmarkStart w:id="145" w:name="_Toc7156"/>
      <w:bookmarkStart w:id="146" w:name="_Toc25467"/>
      <w:bookmarkStart w:id="147" w:name="_Toc12829"/>
      <w:bookmarkStart w:id="148" w:name="_Toc14705"/>
      <w:bookmarkStart w:id="149" w:name="_Toc32386"/>
      <w:bookmarkStart w:id="150" w:name="_Toc31814"/>
      <w:bookmarkStart w:id="151" w:name="_Toc8357"/>
      <w:r>
        <w:rPr>
          <w:rFonts w:hint="eastAsia" w:ascii="宋体" w:hAnsi="宋体" w:cs="宋体"/>
          <w:sz w:val="21"/>
          <w:szCs w:val="21"/>
          <w:highlight w:val="none"/>
        </w:rPr>
        <w:t>1.5 费用承担</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3F7C870C">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bookmarkStart w:id="152" w:name="_Toc227984007"/>
      <w:bookmarkStart w:id="153" w:name="_Toc152045536"/>
      <w:bookmarkStart w:id="154" w:name="_Toc144974504"/>
      <w:bookmarkStart w:id="155" w:name="_Toc269886745"/>
      <w:bookmarkStart w:id="156" w:name="_Toc152042312"/>
      <w:r>
        <w:rPr>
          <w:rFonts w:hint="eastAsia" w:ascii="宋体" w:hAnsi="宋体" w:cs="宋体"/>
          <w:szCs w:val="21"/>
          <w:highlight w:val="none"/>
        </w:rPr>
        <w:t>1.5.1投标人准备和参加投标活动发生的费用自理。</w:t>
      </w:r>
    </w:p>
    <w:p w14:paraId="57EDB1B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1.5.2</w:t>
      </w:r>
      <w:r>
        <w:rPr>
          <w:rFonts w:hint="eastAsia" w:ascii="宋体" w:hAnsi="宋体" w:cs="宋体"/>
          <w:kern w:val="0"/>
          <w:szCs w:val="21"/>
          <w:highlight w:val="none"/>
        </w:rPr>
        <w:t>招标人与招标代理机构应当明确约定代理费用。招标代理机构收取的代理费用应当由招标人支付；约定由中标人代为支付代理费用的，应当在招标文件中明确支付标准和时间。招标代理机构不得收取代理合同约定之外的其他费用。</w:t>
      </w:r>
    </w:p>
    <w:p w14:paraId="4B5FCA69">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157" w:name="_Toc10015"/>
      <w:bookmarkStart w:id="158" w:name="_Toc27221"/>
      <w:bookmarkStart w:id="159" w:name="_Toc32247"/>
      <w:bookmarkStart w:id="160" w:name="_Toc2792"/>
      <w:bookmarkStart w:id="161" w:name="_Toc5420"/>
      <w:bookmarkStart w:id="162" w:name="_Toc479"/>
      <w:bookmarkStart w:id="163" w:name="_Toc28900"/>
      <w:bookmarkStart w:id="164" w:name="_Toc3665"/>
      <w:bookmarkStart w:id="165" w:name="_Toc24612"/>
      <w:bookmarkStart w:id="166" w:name="_Toc24942"/>
      <w:bookmarkStart w:id="167" w:name="_Toc6988"/>
      <w:bookmarkStart w:id="168" w:name="_Toc12623"/>
      <w:r>
        <w:rPr>
          <w:rFonts w:hint="eastAsia" w:ascii="宋体" w:hAnsi="宋体" w:cs="宋体"/>
          <w:sz w:val="21"/>
          <w:szCs w:val="21"/>
          <w:highlight w:val="none"/>
        </w:rPr>
        <w:t>1.6 保密</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165A537F">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 xml:space="preserve">参与招标投标活动的各方应对招标文件和投标文件中的商业和技术等秘密保密，违者应对由此造成的后果承担法律责任。 </w:t>
      </w:r>
    </w:p>
    <w:p w14:paraId="7BC2A0DA">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169" w:name="_Toc144974505"/>
      <w:bookmarkStart w:id="170" w:name="_Toc227984008"/>
      <w:bookmarkStart w:id="171" w:name="_Toc269886746"/>
      <w:bookmarkStart w:id="172" w:name="_Toc20875"/>
      <w:bookmarkStart w:id="173" w:name="_Toc9320"/>
      <w:bookmarkStart w:id="174" w:name="_Toc3619"/>
      <w:bookmarkStart w:id="175" w:name="_Toc31161"/>
      <w:bookmarkStart w:id="176" w:name="_Toc29916"/>
      <w:bookmarkStart w:id="177" w:name="_Toc15045"/>
      <w:bookmarkStart w:id="178" w:name="_Toc27945"/>
      <w:bookmarkStart w:id="179" w:name="_Toc3301"/>
      <w:bookmarkStart w:id="180" w:name="_Toc27776"/>
      <w:bookmarkStart w:id="181" w:name="_Toc152045537"/>
      <w:bookmarkStart w:id="182" w:name="_Toc21995"/>
      <w:bookmarkStart w:id="183" w:name="_Toc20540"/>
      <w:bookmarkStart w:id="184" w:name="_Toc152042313"/>
      <w:r>
        <w:rPr>
          <w:rFonts w:hint="eastAsia" w:ascii="宋体" w:hAnsi="宋体" w:cs="宋体"/>
          <w:sz w:val="21"/>
          <w:szCs w:val="21"/>
          <w:highlight w:val="none"/>
        </w:rPr>
        <w:t>1.7 语言</w:t>
      </w:r>
      <w:bookmarkEnd w:id="169"/>
      <w:r>
        <w:rPr>
          <w:rFonts w:hint="eastAsia" w:ascii="宋体" w:hAnsi="宋体" w:cs="宋体"/>
          <w:sz w:val="21"/>
          <w:szCs w:val="21"/>
          <w:highlight w:val="none"/>
        </w:rPr>
        <w:t>文字</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638756EF">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除专用术语外，与招标投标有关的语言均使用中文。必要时专用术语应附有中文注释。</w:t>
      </w:r>
    </w:p>
    <w:p w14:paraId="4FB2961E">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185" w:name="_Toc269886747"/>
      <w:bookmarkStart w:id="186" w:name="_Toc20868"/>
      <w:bookmarkStart w:id="187" w:name="_Toc14649"/>
      <w:bookmarkStart w:id="188" w:name="_Toc22978"/>
      <w:bookmarkStart w:id="189" w:name="_Toc29155"/>
      <w:bookmarkStart w:id="190" w:name="_Toc152045538"/>
      <w:bookmarkStart w:id="191" w:name="_Toc20942"/>
      <w:bookmarkStart w:id="192" w:name="_Toc25317"/>
      <w:bookmarkStart w:id="193" w:name="_Toc227984009"/>
      <w:bookmarkStart w:id="194" w:name="_Toc31889"/>
      <w:bookmarkStart w:id="195" w:name="_Toc28793"/>
      <w:bookmarkStart w:id="196" w:name="_Toc144974506"/>
      <w:bookmarkStart w:id="197" w:name="_Toc25098"/>
      <w:bookmarkStart w:id="198" w:name="_Toc5217"/>
      <w:bookmarkStart w:id="199" w:name="_Toc30014"/>
      <w:bookmarkStart w:id="200" w:name="_Toc152042314"/>
      <w:r>
        <w:rPr>
          <w:rFonts w:hint="eastAsia" w:ascii="宋体" w:hAnsi="宋体" w:cs="宋体"/>
          <w:sz w:val="21"/>
          <w:szCs w:val="21"/>
          <w:highlight w:val="none"/>
        </w:rPr>
        <w:t>1.8 计量单位</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259BABDB">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所有计量均采用中华人民共和国法定计量单位。</w:t>
      </w:r>
    </w:p>
    <w:p w14:paraId="69B51CF7">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201" w:name="_Toc4126"/>
      <w:bookmarkStart w:id="202" w:name="_Toc144974507"/>
      <w:bookmarkStart w:id="203" w:name="_Toc6443"/>
      <w:bookmarkStart w:id="204" w:name="_Toc11585"/>
      <w:bookmarkStart w:id="205" w:name="_Toc8034"/>
      <w:bookmarkStart w:id="206" w:name="_Toc269886748"/>
      <w:bookmarkStart w:id="207" w:name="_Toc31683"/>
      <w:bookmarkStart w:id="208" w:name="_Toc20933"/>
      <w:bookmarkStart w:id="209" w:name="_Toc227984010"/>
      <w:bookmarkStart w:id="210" w:name="_Toc179632556"/>
      <w:bookmarkStart w:id="211" w:name="_Toc1494"/>
      <w:bookmarkStart w:id="212" w:name="_Toc152045539"/>
      <w:bookmarkStart w:id="213" w:name="_Toc152042315"/>
      <w:bookmarkStart w:id="214" w:name="_Toc1793"/>
      <w:bookmarkStart w:id="215" w:name="_Toc649"/>
      <w:bookmarkStart w:id="216" w:name="_Toc21496"/>
      <w:r>
        <w:rPr>
          <w:rFonts w:hint="eastAsia" w:ascii="宋体" w:hAnsi="宋体" w:cs="宋体"/>
          <w:sz w:val="21"/>
          <w:szCs w:val="21"/>
          <w:highlight w:val="none"/>
        </w:rPr>
        <w:t>1.9 踏勘现场</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680F5D5B">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trike/>
          <w:dstrike w:val="0"/>
          <w:szCs w:val="21"/>
          <w:highlight w:val="none"/>
        </w:rPr>
      </w:pPr>
      <w:r>
        <w:rPr>
          <w:rFonts w:hint="eastAsia" w:ascii="宋体" w:hAnsi="宋体" w:cs="宋体"/>
          <w:szCs w:val="21"/>
          <w:highlight w:val="none"/>
        </w:rPr>
        <w:t>1.9.1招标人不组织投标人踏勘现场，投标人可以自行对工程施工现场和周围环境进行勘察，以获取编制投标文件和签署合同所需的所有资料。</w:t>
      </w:r>
    </w:p>
    <w:p w14:paraId="0351B4EA">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1.9.2投标人踏勘现场发生的费用自理。</w:t>
      </w:r>
    </w:p>
    <w:p w14:paraId="2B17543E">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1.9.3除招标人的原因外，投标人自行负责在踏勘现场中所发生的人员伤亡和财产损失。</w:t>
      </w:r>
    </w:p>
    <w:p w14:paraId="3011CA3B">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1.9.4招标人向投标人提供的有关施工现场的资料和数据是招标人现有的能使投标人利用的资料。招标人对投标人由此而做出的推论、理解和结论概不负责。</w:t>
      </w:r>
    </w:p>
    <w:p w14:paraId="06B7C79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1.9.5 现场条件</w:t>
      </w:r>
    </w:p>
    <w:p w14:paraId="16A70A30">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投标人务必自行认真踏勘现场条件，如若对现场施工条件有疑问，请在招标文件规定的时间前提出， 否则视同认可。一旦中标不得对现场条件提出额外要求，不得要求增加费用。</w:t>
      </w:r>
    </w:p>
    <w:p w14:paraId="13CB76B4">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 （1）施工现场拆迁及平整情况：</w:t>
      </w:r>
      <w:r>
        <w:rPr>
          <w:rFonts w:hint="eastAsia" w:ascii="宋体" w:hAnsi="宋体" w:eastAsia="宋体" w:cs="宋体"/>
          <w:szCs w:val="21"/>
          <w:highlight w:val="none"/>
          <w:u w:val="single"/>
        </w:rPr>
        <w:t>以施工场地的现状为准。招标人提供的现状场地，中标人必须无条件接受。各投标人根据踏勘现场的情况自行制定相应措施，所发生的费用由各投标人自行考虑，并列入投标报价，工程结算时不作调整</w:t>
      </w:r>
      <w:r>
        <w:rPr>
          <w:rFonts w:hint="eastAsia" w:ascii="宋体" w:hAnsi="宋体" w:eastAsia="宋体" w:cs="宋体"/>
          <w:szCs w:val="21"/>
          <w:highlight w:val="none"/>
        </w:rPr>
        <w:t>。</w:t>
      </w:r>
    </w:p>
    <w:p w14:paraId="2A00B7C3">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（2）施工用水、电：</w:t>
      </w:r>
      <w:r>
        <w:rPr>
          <w:rFonts w:hint="eastAsia" w:ascii="宋体" w:hAnsi="宋体" w:eastAsia="宋体" w:cs="宋体"/>
          <w:szCs w:val="21"/>
          <w:highlight w:val="none"/>
          <w:u w:val="single"/>
        </w:rPr>
        <w:t>场内临时供水供电及施工中所用的水、电、燃气等费用由承包人自行承担</w:t>
      </w:r>
      <w:r>
        <w:rPr>
          <w:rFonts w:hint="eastAsia" w:ascii="宋体" w:hAnsi="宋体" w:eastAsia="宋体" w:cs="宋体"/>
          <w:szCs w:val="21"/>
          <w:highlight w:val="none"/>
        </w:rPr>
        <w:t>。</w:t>
      </w:r>
    </w:p>
    <w:p w14:paraId="78DF6E72">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（3）场内外道路：</w:t>
      </w:r>
      <w:r>
        <w:rPr>
          <w:rFonts w:hint="eastAsia" w:ascii="宋体" w:hAnsi="宋体" w:eastAsia="宋体" w:cs="宋体"/>
          <w:szCs w:val="21"/>
          <w:highlight w:val="none"/>
          <w:u w:val="single"/>
        </w:rPr>
        <w:t>以施工场地的现状为准。施工便道由投标人自行考虑，并列入投标报价， 工程结算时不作调整。</w:t>
      </w:r>
      <w:r>
        <w:rPr>
          <w:rFonts w:hint="eastAsia" w:ascii="宋体" w:hAnsi="宋体" w:eastAsia="宋体" w:cs="宋体"/>
          <w:szCs w:val="21"/>
          <w:highlight w:val="none"/>
        </w:rPr>
        <w:t xml:space="preserve"> </w:t>
      </w:r>
    </w:p>
    <w:p w14:paraId="5537D20C">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u w:val="single"/>
        </w:rPr>
      </w:pPr>
      <w:r>
        <w:rPr>
          <w:rFonts w:hint="eastAsia" w:ascii="宋体" w:hAnsi="宋体" w:eastAsia="宋体" w:cs="宋体"/>
          <w:szCs w:val="21"/>
          <w:highlight w:val="none"/>
        </w:rPr>
        <w:t>（4）其他：</w:t>
      </w:r>
      <w:r>
        <w:rPr>
          <w:rFonts w:hint="eastAsia" w:ascii="宋体" w:hAnsi="宋体" w:eastAsia="宋体" w:cs="宋体"/>
          <w:szCs w:val="21"/>
          <w:highlight w:val="none"/>
          <w:u w:val="single"/>
        </w:rPr>
        <w:t>中标后中标人应独立、有效地做好该工程周边的有关群众工作，并充分考虑工程实施范围内外的单位、个人和其他可能出现阻挠施工的情况，若发生的机械台班停置费、二次机械进退场费、人员窝工、处理周边群众纠纷等费用和损失，由投标人自行考虑，并列入投标报价，工程结算时不作调整，并无条件接受监理单位的协调、管理，做好与其他专业分包单位的配套、成品保护、防盗等工作。</w:t>
      </w:r>
    </w:p>
    <w:p w14:paraId="201F3ED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u w:val="single"/>
        </w:rPr>
      </w:pPr>
      <w:r>
        <w:rPr>
          <w:rFonts w:hint="eastAsia" w:ascii="宋体" w:hAnsi="宋体" w:eastAsia="宋体" w:cs="宋体"/>
          <w:szCs w:val="21"/>
          <w:highlight w:val="none"/>
          <w:u w:val="single"/>
        </w:rPr>
        <w:t>临时设施及相应场地所需费用均由投标人自行考虑并承担相应费用；临时办公区、生活区等所有临时设施必须按照相关标准及招标人要求实施，由投标人自行考虑并承担相应费用。</w:t>
      </w:r>
    </w:p>
    <w:p w14:paraId="74545F0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u w:val="single"/>
        </w:rPr>
      </w:pPr>
      <w:r>
        <w:rPr>
          <w:rFonts w:hint="eastAsia" w:ascii="宋体" w:hAnsi="宋体" w:eastAsia="宋体" w:cs="宋体"/>
          <w:szCs w:val="21"/>
          <w:highlight w:val="none"/>
          <w:u w:val="single"/>
        </w:rPr>
        <w:t>投标人应认真对现场环境进行踏勘，对施工现场情况和影响施工的因素以及困难条件进行周密的勘察和研究，并已充分了解工地位置、周围条件、道路等所有影响报价的情况。中标后和签订合同时及施工过程中，承包人均不得以不了解现场情况为由，提出任何形式增加工程造价的要求，施工时因场地问题引起的成本费用（含清苗补偿等，如有）增加，均由承包人自行承担，结算时不予调整。</w:t>
      </w:r>
    </w:p>
    <w:p w14:paraId="506655A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u w:val="single"/>
        </w:rPr>
        <w:t>投标人需对施工区域的地质进行全面调查、勘验，利用工作中所收集的一切有价值的数据信息为后期的施工建设工作提供精确的参考信息</w:t>
      </w:r>
      <w:r>
        <w:rPr>
          <w:rFonts w:hint="eastAsia" w:ascii="宋体" w:hAnsi="宋体" w:eastAsia="宋体" w:cs="宋体"/>
          <w:szCs w:val="21"/>
          <w:highlight w:val="none"/>
        </w:rPr>
        <w:t>。</w:t>
      </w:r>
    </w:p>
    <w:p w14:paraId="6707B670">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217" w:name="_Toc32147"/>
      <w:bookmarkStart w:id="218" w:name="_Toc16392"/>
      <w:bookmarkStart w:id="219" w:name="_Toc13718"/>
      <w:bookmarkStart w:id="220" w:name="_Toc17806"/>
      <w:bookmarkStart w:id="221" w:name="_Toc8908"/>
      <w:bookmarkStart w:id="222" w:name="_Toc31260"/>
      <w:bookmarkStart w:id="223" w:name="_Toc2694"/>
      <w:bookmarkStart w:id="224" w:name="_Toc12571"/>
      <w:bookmarkStart w:id="225" w:name="_Toc27117"/>
      <w:bookmarkStart w:id="226" w:name="_Toc3021"/>
      <w:bookmarkStart w:id="227" w:name="_Toc12612"/>
      <w:bookmarkStart w:id="228" w:name="_Toc25042"/>
      <w:r>
        <w:rPr>
          <w:rFonts w:hint="eastAsia" w:ascii="宋体" w:hAnsi="宋体" w:cs="宋体"/>
          <w:sz w:val="21"/>
          <w:szCs w:val="21"/>
          <w:highlight w:val="none"/>
        </w:rPr>
        <w:t>1.1</w:t>
      </w:r>
      <w:r>
        <w:rPr>
          <w:rFonts w:hint="eastAsia" w:ascii="宋体" w:hAnsi="宋体" w:cs="宋体"/>
          <w:sz w:val="21"/>
          <w:szCs w:val="21"/>
          <w:highlight w:val="none"/>
          <w:lang w:val="en-US" w:eastAsia="zh-CN"/>
        </w:rPr>
        <w:t>0</w:t>
      </w:r>
      <w:r>
        <w:rPr>
          <w:rFonts w:hint="eastAsia" w:ascii="宋体" w:hAnsi="宋体" w:cs="宋体"/>
          <w:sz w:val="21"/>
          <w:szCs w:val="21"/>
          <w:highlight w:val="none"/>
        </w:rPr>
        <w:t xml:space="preserve"> 分包</w:t>
      </w:r>
      <w:bookmarkEnd w:id="217"/>
      <w:bookmarkEnd w:id="218"/>
      <w:bookmarkEnd w:id="219"/>
      <w:bookmarkEnd w:id="220"/>
      <w:bookmarkEnd w:id="221"/>
      <w:bookmarkEnd w:id="222"/>
      <w:bookmarkEnd w:id="223"/>
      <w:bookmarkEnd w:id="224"/>
      <w:bookmarkEnd w:id="225"/>
      <w:bookmarkEnd w:id="226"/>
      <w:bookmarkEnd w:id="227"/>
      <w:bookmarkEnd w:id="228"/>
    </w:p>
    <w:p w14:paraId="38A92BE1">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投标人拟在中标后将中标项目的部分非主体、非关键性工作进行分包的，应符合投标人须知前附表规定的分包内容、分包金额和接受分包的第三人资质要求等限制性条件。</w:t>
      </w:r>
    </w:p>
    <w:p w14:paraId="4BCA807A">
      <w:pPr>
        <w:pStyle w:val="4"/>
        <w:keepNext w:val="0"/>
        <w:keepLines w:val="0"/>
        <w:pageBreakBefore w:val="0"/>
        <w:widowControl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229" w:name="_Toc5962"/>
      <w:bookmarkStart w:id="230" w:name="_Toc30416"/>
      <w:bookmarkStart w:id="231" w:name="_Toc29416"/>
      <w:bookmarkStart w:id="232" w:name="_Toc8213"/>
      <w:bookmarkStart w:id="233" w:name="_Toc24100"/>
      <w:bookmarkStart w:id="234" w:name="_Toc9666"/>
      <w:bookmarkStart w:id="235" w:name="_Toc5361"/>
      <w:bookmarkStart w:id="236" w:name="_Toc25084"/>
      <w:bookmarkStart w:id="237" w:name="_Toc22108"/>
      <w:bookmarkStart w:id="238" w:name="_Toc6193"/>
      <w:bookmarkStart w:id="239" w:name="_Toc16775"/>
      <w:r>
        <w:rPr>
          <w:rFonts w:hint="eastAsia" w:ascii="宋体" w:hAnsi="宋体" w:cs="宋体"/>
          <w:sz w:val="21"/>
          <w:szCs w:val="21"/>
          <w:highlight w:val="none"/>
        </w:rPr>
        <w:t>1.1</w:t>
      </w:r>
      <w:r>
        <w:rPr>
          <w:rFonts w:hint="eastAsia" w:ascii="宋体" w:hAnsi="宋体" w:cs="宋体"/>
          <w:sz w:val="21"/>
          <w:szCs w:val="21"/>
          <w:highlight w:val="none"/>
          <w:lang w:val="en-US" w:eastAsia="zh-CN"/>
        </w:rPr>
        <w:t>1</w:t>
      </w:r>
      <w:r>
        <w:rPr>
          <w:rFonts w:hint="eastAsia" w:ascii="宋体" w:hAnsi="宋体" w:cs="宋体"/>
          <w:sz w:val="21"/>
          <w:szCs w:val="21"/>
          <w:highlight w:val="none"/>
        </w:rPr>
        <w:t xml:space="preserve"> 偏差</w:t>
      </w:r>
      <w:bookmarkEnd w:id="229"/>
      <w:bookmarkEnd w:id="230"/>
      <w:bookmarkEnd w:id="231"/>
      <w:bookmarkEnd w:id="232"/>
      <w:bookmarkEnd w:id="233"/>
      <w:bookmarkEnd w:id="234"/>
      <w:bookmarkEnd w:id="235"/>
      <w:bookmarkEnd w:id="236"/>
      <w:bookmarkEnd w:id="237"/>
      <w:bookmarkEnd w:id="238"/>
      <w:bookmarkEnd w:id="239"/>
    </w:p>
    <w:p w14:paraId="76BF2137">
      <w:pPr>
        <w:keepNext w:val="0"/>
        <w:keepLines w:val="0"/>
        <w:pageBreakBefore w:val="0"/>
        <w:widowControl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11</w:t>
      </w:r>
      <w:r>
        <w:rPr>
          <w:rFonts w:hint="eastAsia" w:ascii="宋体" w:hAnsi="宋体" w:cs="宋体"/>
          <w:szCs w:val="21"/>
          <w:highlight w:val="none"/>
        </w:rPr>
        <w:t>.1投标人须知前附表</w:t>
      </w:r>
      <w:r>
        <w:rPr>
          <w:rFonts w:hint="eastAsia" w:ascii="宋体" w:hAnsi="宋体" w:cs="宋体"/>
          <w:szCs w:val="21"/>
          <w:highlight w:val="none"/>
          <w:lang w:val="en-US" w:eastAsia="zh-CN"/>
        </w:rPr>
        <w:t>不</w:t>
      </w:r>
      <w:r>
        <w:rPr>
          <w:rFonts w:hint="eastAsia" w:ascii="宋体" w:hAnsi="宋体" w:cs="宋体"/>
          <w:szCs w:val="21"/>
          <w:highlight w:val="none"/>
        </w:rPr>
        <w:t>允许投标文件偏离招标文件。</w:t>
      </w:r>
    </w:p>
    <w:p w14:paraId="58BECEE2">
      <w:pPr>
        <w:pStyle w:val="4"/>
        <w:keepNext w:val="0"/>
        <w:keepLines w:val="0"/>
        <w:pageBreakBefore w:val="0"/>
        <w:widowControl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240" w:name="_Toc728"/>
      <w:bookmarkStart w:id="241" w:name="_Toc24674"/>
      <w:bookmarkStart w:id="242" w:name="_Toc20237"/>
      <w:bookmarkStart w:id="243" w:name="_Toc12524"/>
      <w:bookmarkStart w:id="244" w:name="_Toc7082"/>
      <w:bookmarkStart w:id="245" w:name="_Toc4054"/>
      <w:bookmarkStart w:id="246" w:name="_Toc1732"/>
      <w:bookmarkStart w:id="247" w:name="_Toc14249"/>
      <w:bookmarkStart w:id="248" w:name="_Toc5550"/>
      <w:bookmarkStart w:id="249" w:name="_Toc10342"/>
      <w:bookmarkStart w:id="250" w:name="_Toc527"/>
      <w:r>
        <w:rPr>
          <w:rFonts w:hint="eastAsia" w:ascii="宋体" w:hAnsi="宋体" w:cs="宋体"/>
          <w:sz w:val="21"/>
          <w:szCs w:val="21"/>
          <w:highlight w:val="none"/>
        </w:rPr>
        <w:t>1.1</w:t>
      </w:r>
      <w:r>
        <w:rPr>
          <w:rFonts w:hint="eastAsia" w:ascii="宋体" w:hAnsi="宋体" w:cs="宋体"/>
          <w:sz w:val="21"/>
          <w:szCs w:val="21"/>
          <w:highlight w:val="none"/>
          <w:lang w:val="en-US" w:eastAsia="zh-CN"/>
        </w:rPr>
        <w:t>2</w:t>
      </w:r>
      <w:r>
        <w:rPr>
          <w:rFonts w:hint="eastAsia" w:ascii="宋体" w:hAnsi="宋体" w:cs="宋体"/>
          <w:sz w:val="21"/>
          <w:szCs w:val="21"/>
          <w:highlight w:val="none"/>
        </w:rPr>
        <w:t xml:space="preserve"> 知识产权</w:t>
      </w:r>
      <w:bookmarkEnd w:id="240"/>
      <w:bookmarkEnd w:id="241"/>
      <w:bookmarkEnd w:id="242"/>
      <w:bookmarkEnd w:id="243"/>
      <w:bookmarkEnd w:id="244"/>
      <w:bookmarkEnd w:id="245"/>
      <w:bookmarkEnd w:id="246"/>
      <w:bookmarkEnd w:id="247"/>
      <w:bookmarkEnd w:id="248"/>
      <w:bookmarkEnd w:id="249"/>
      <w:bookmarkEnd w:id="250"/>
    </w:p>
    <w:p w14:paraId="4001EF69">
      <w:pPr>
        <w:keepNext w:val="0"/>
        <w:keepLines w:val="0"/>
        <w:pageBreakBefore w:val="0"/>
        <w:widowControl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259F4F07">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251" w:name="_Toc6832"/>
      <w:bookmarkStart w:id="252" w:name="_Toc19538"/>
      <w:bookmarkStart w:id="253" w:name="_Toc25850"/>
      <w:bookmarkStart w:id="254" w:name="_Toc25665"/>
      <w:bookmarkStart w:id="255" w:name="_Toc18361"/>
      <w:bookmarkStart w:id="256" w:name="_Toc15126"/>
      <w:bookmarkStart w:id="257" w:name="_Toc29575"/>
      <w:bookmarkStart w:id="258" w:name="_Toc12613"/>
      <w:bookmarkStart w:id="259" w:name="_Toc13117"/>
      <w:bookmarkStart w:id="260" w:name="_Toc24511"/>
      <w:bookmarkStart w:id="261" w:name="_Toc15012"/>
      <w:r>
        <w:rPr>
          <w:rFonts w:hint="eastAsia" w:ascii="宋体" w:hAnsi="宋体" w:cs="宋体"/>
          <w:sz w:val="21"/>
          <w:szCs w:val="21"/>
          <w:highlight w:val="none"/>
        </w:rPr>
        <w:t>1.1</w:t>
      </w:r>
      <w:r>
        <w:rPr>
          <w:rFonts w:hint="eastAsia" w:ascii="宋体" w:hAnsi="宋体" w:cs="宋体"/>
          <w:sz w:val="21"/>
          <w:szCs w:val="21"/>
          <w:highlight w:val="none"/>
          <w:lang w:val="en-US" w:eastAsia="zh-CN"/>
        </w:rPr>
        <w:t>3</w:t>
      </w:r>
      <w:r>
        <w:rPr>
          <w:rFonts w:hint="eastAsia" w:ascii="宋体" w:hAnsi="宋体" w:cs="宋体"/>
          <w:sz w:val="21"/>
          <w:szCs w:val="21"/>
          <w:highlight w:val="none"/>
        </w:rPr>
        <w:t xml:space="preserve"> 同义词语</w:t>
      </w:r>
      <w:bookmarkEnd w:id="251"/>
      <w:bookmarkEnd w:id="252"/>
      <w:bookmarkEnd w:id="253"/>
      <w:bookmarkEnd w:id="254"/>
      <w:bookmarkEnd w:id="255"/>
      <w:bookmarkEnd w:id="256"/>
      <w:bookmarkEnd w:id="257"/>
      <w:bookmarkEnd w:id="258"/>
      <w:bookmarkEnd w:id="259"/>
      <w:bookmarkEnd w:id="260"/>
      <w:bookmarkEnd w:id="261"/>
    </w:p>
    <w:p w14:paraId="7765ABBA">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构成招标文件组成部分的“通用合同条款”、“专用合同条款”、“发包人要求”、“发包人提供的资料”和“招标工程量清单”等章节中出现的措辞“发包人”和“承包人”，在招标投标阶段应当分别按“招标人”和“投标人”进行理解。</w:t>
      </w:r>
    </w:p>
    <w:p w14:paraId="1797E8C8">
      <w:pPr>
        <w:pStyle w:val="3"/>
        <w:pageBreakBefore w:val="0"/>
        <w:kinsoku/>
        <w:wordWrap/>
        <w:overflowPunct/>
        <w:topLinePunct w:val="0"/>
        <w:bidi w:val="0"/>
        <w:snapToGrid w:val="0"/>
        <w:spacing w:before="0" w:after="0" w:line="360" w:lineRule="auto"/>
        <w:textAlignment w:val="auto"/>
        <w:rPr>
          <w:rFonts w:hint="eastAsia" w:ascii="宋体" w:hAnsi="宋体" w:cs="宋体"/>
          <w:sz w:val="24"/>
          <w:szCs w:val="24"/>
          <w:highlight w:val="none"/>
        </w:rPr>
      </w:pPr>
      <w:bookmarkStart w:id="262" w:name="_Toc14546"/>
      <w:bookmarkStart w:id="263" w:name="_Toc27957"/>
      <w:bookmarkStart w:id="264" w:name="_Toc26847"/>
      <w:bookmarkStart w:id="265" w:name="_Toc152042318"/>
      <w:bookmarkStart w:id="266" w:name="_Toc30745"/>
      <w:bookmarkStart w:id="267" w:name="_Toc4875"/>
      <w:bookmarkStart w:id="268" w:name="_Toc152045542"/>
      <w:bookmarkStart w:id="269" w:name="_Toc227984013"/>
      <w:bookmarkStart w:id="270" w:name="_Toc269886751"/>
      <w:bookmarkStart w:id="271" w:name="_Toc13511"/>
      <w:bookmarkStart w:id="272" w:name="_Toc6644"/>
      <w:bookmarkStart w:id="273" w:name="_Toc144974510"/>
      <w:bookmarkStart w:id="274" w:name="_Toc8756"/>
      <w:bookmarkStart w:id="275" w:name="_Toc13516"/>
      <w:bookmarkStart w:id="276" w:name="_Toc5963"/>
      <w:bookmarkStart w:id="277" w:name="_Toc23538"/>
      <w:bookmarkStart w:id="278" w:name="_Toc19993"/>
      <w:r>
        <w:rPr>
          <w:rFonts w:hint="eastAsia" w:ascii="宋体" w:hAnsi="宋体" w:cs="宋体"/>
          <w:sz w:val="24"/>
          <w:szCs w:val="24"/>
          <w:highlight w:val="none"/>
        </w:rPr>
        <w:t>2. 招标文件</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7B9A81B3">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279" w:name="_Toc4515"/>
      <w:bookmarkStart w:id="280" w:name="_Toc152045543"/>
      <w:bookmarkStart w:id="281" w:name="_Toc27216"/>
      <w:bookmarkStart w:id="282" w:name="_Toc152042319"/>
      <w:bookmarkStart w:id="283" w:name="_Toc227984014"/>
      <w:bookmarkStart w:id="284" w:name="_Toc3070"/>
      <w:bookmarkStart w:id="285" w:name="_Toc269886752"/>
      <w:bookmarkStart w:id="286" w:name="_Toc23090"/>
      <w:bookmarkStart w:id="287" w:name="_Toc31606"/>
      <w:bookmarkStart w:id="288" w:name="_Toc144974511"/>
      <w:bookmarkStart w:id="289" w:name="_Toc20149"/>
      <w:bookmarkStart w:id="290" w:name="_Toc4401"/>
      <w:bookmarkStart w:id="291" w:name="_Toc13294"/>
      <w:bookmarkStart w:id="292" w:name="_Toc24262"/>
      <w:bookmarkStart w:id="293" w:name="_Toc28446"/>
      <w:bookmarkStart w:id="294" w:name="_Toc32472"/>
      <w:bookmarkStart w:id="295" w:name="_Toc24328"/>
      <w:r>
        <w:rPr>
          <w:rFonts w:hint="eastAsia" w:ascii="宋体" w:hAnsi="宋体" w:cs="宋体"/>
          <w:sz w:val="21"/>
          <w:szCs w:val="21"/>
          <w:highlight w:val="none"/>
        </w:rPr>
        <w:t>2.1 招标文件的组成</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3D6EDAB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2.1.1</w:t>
      </w:r>
      <w:r>
        <w:rPr>
          <w:rFonts w:hint="eastAsia" w:ascii="宋体" w:hAnsi="宋体" w:cs="宋体"/>
          <w:kern w:val="0"/>
          <w:szCs w:val="21"/>
          <w:highlight w:val="none"/>
        </w:rPr>
        <w:t>本招标文件包括：</w:t>
      </w:r>
    </w:p>
    <w:p w14:paraId="0767144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lang w:eastAsia="zh-CN"/>
        </w:rPr>
      </w:pPr>
      <w:r>
        <w:rPr>
          <w:rFonts w:hint="eastAsia" w:ascii="宋体" w:hAnsi="宋体" w:cs="宋体"/>
          <w:szCs w:val="21"/>
          <w:highlight w:val="none"/>
        </w:rPr>
        <w:t>（1）</w:t>
      </w:r>
      <w:r>
        <w:rPr>
          <w:rFonts w:hint="eastAsia" w:ascii="宋体" w:hAnsi="宋体" w:cs="宋体"/>
          <w:szCs w:val="21"/>
          <w:highlight w:val="none"/>
          <w:lang w:eastAsia="zh-CN"/>
        </w:rPr>
        <w:t>招标公告；</w:t>
      </w:r>
    </w:p>
    <w:p w14:paraId="12F78FE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（2）投标人须知；</w:t>
      </w:r>
    </w:p>
    <w:p w14:paraId="6609988B">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（3）评标办法；</w:t>
      </w:r>
    </w:p>
    <w:p w14:paraId="070F68A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（4）合同主要条款；</w:t>
      </w:r>
    </w:p>
    <w:p w14:paraId="151B7B13">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 xml:space="preserve">（5）招标工程量清单； </w:t>
      </w:r>
    </w:p>
    <w:p w14:paraId="68F61C1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 xml:space="preserve">（6）发包人要求； </w:t>
      </w:r>
    </w:p>
    <w:p w14:paraId="5EF949BC">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 xml:space="preserve">（7）发包人提供的资料； </w:t>
      </w:r>
    </w:p>
    <w:p w14:paraId="3F3A6062">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（8）投标文件格式；</w:t>
      </w:r>
    </w:p>
    <w:p w14:paraId="624B655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（9）投标人须知前附表规定的其他材料。</w:t>
      </w:r>
    </w:p>
    <w:p w14:paraId="2379E33D">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2.1.2</w:t>
      </w:r>
      <w:r>
        <w:rPr>
          <w:rFonts w:hint="eastAsia" w:ascii="宋体" w:hAnsi="宋体" w:cs="宋体"/>
          <w:kern w:val="0"/>
          <w:szCs w:val="21"/>
          <w:highlight w:val="none"/>
        </w:rPr>
        <w:t>根据本章第2.2款和第2.3款对招标文件所作的澄清、修改，构成招标文件的组成部分。</w:t>
      </w:r>
      <w:r>
        <w:rPr>
          <w:rFonts w:hint="eastAsia" w:ascii="宋体" w:hAnsi="宋体" w:cs="宋体"/>
          <w:szCs w:val="21"/>
          <w:highlight w:val="none"/>
        </w:rPr>
        <w:t>当招标文件及其澄清、修改等内容在同一内容的表述上不一致时或者相互矛盾时，若无其他特别说明均以最后发出的文件为准。</w:t>
      </w:r>
    </w:p>
    <w:p w14:paraId="1A0225E0">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296" w:name="_Toc29810"/>
      <w:bookmarkStart w:id="297" w:name="_Toc227984015"/>
      <w:bookmarkStart w:id="298" w:name="_Toc22564"/>
      <w:bookmarkStart w:id="299" w:name="_Toc21877"/>
      <w:bookmarkStart w:id="300" w:name="_Toc269886753"/>
      <w:bookmarkStart w:id="301" w:name="_Toc23433"/>
      <w:bookmarkStart w:id="302" w:name="_Toc7706"/>
      <w:bookmarkStart w:id="303" w:name="_Toc152045544"/>
      <w:bookmarkStart w:id="304" w:name="_Toc13650"/>
      <w:bookmarkStart w:id="305" w:name="_Toc11837"/>
      <w:bookmarkStart w:id="306" w:name="_Toc30342"/>
      <w:bookmarkStart w:id="307" w:name="_Toc3092"/>
      <w:bookmarkStart w:id="308" w:name="_Toc5664"/>
      <w:bookmarkStart w:id="309" w:name="_Toc152042320"/>
      <w:bookmarkStart w:id="310" w:name="_Toc144974512"/>
      <w:r>
        <w:rPr>
          <w:rFonts w:hint="eastAsia" w:ascii="宋体" w:hAnsi="宋体" w:cs="宋体"/>
          <w:sz w:val="21"/>
          <w:szCs w:val="21"/>
          <w:highlight w:val="none"/>
        </w:rPr>
        <w:t>2.2 招标文件的澄清</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5AA0480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2.2.1投标人应仔细阅读和检查招标文件的全部内容。如发现缺页或附件不全，应及时向招标人提出，以便补齐。如有疑问，应在投标人须知前附表规定的时间前通过</w:t>
      </w:r>
      <w:r>
        <w:rPr>
          <w:rFonts w:hint="eastAsia" w:ascii="宋体" w:hAnsi="宋体" w:cs="宋体"/>
          <w:szCs w:val="21"/>
          <w:highlight w:val="none"/>
          <w:lang w:eastAsia="zh-CN"/>
        </w:rPr>
        <w:t>书面方式</w:t>
      </w:r>
      <w:r>
        <w:rPr>
          <w:rFonts w:hint="eastAsia" w:ascii="宋体" w:hAnsi="宋体" w:cs="宋体"/>
          <w:szCs w:val="21"/>
          <w:highlight w:val="none"/>
        </w:rPr>
        <w:t>提交招标人（或招标代理机构），要求招标人对招标文件予以澄清。投标人不在澄清期限内提出，招标人有权不予答复。</w:t>
      </w:r>
    </w:p>
    <w:p w14:paraId="08ED5968">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2.2.2招标文件的澄清将在投标人须知前附表规定的投标截止时间前通过</w:t>
      </w:r>
      <w:r>
        <w:rPr>
          <w:rFonts w:hint="eastAsia" w:ascii="宋体" w:hAnsi="宋体" w:cs="宋体"/>
          <w:szCs w:val="21"/>
          <w:highlight w:val="none"/>
          <w:lang w:eastAsia="zh-CN"/>
        </w:rPr>
        <w:t>书面方式</w:t>
      </w:r>
      <w:r>
        <w:rPr>
          <w:rFonts w:hint="eastAsia" w:ascii="宋体" w:hAnsi="宋体" w:cs="宋体"/>
          <w:szCs w:val="21"/>
          <w:highlight w:val="none"/>
        </w:rPr>
        <w:t>发给所有领取招标文件的投标人，但不指明澄清问题的来源，招标人不再另行通知。如澄清发出的时间距投标人须知前附表</w:t>
      </w:r>
      <w:r>
        <w:rPr>
          <w:rFonts w:hint="eastAsia" w:ascii="宋体" w:hAnsi="宋体" w:cs="宋体"/>
          <w:szCs w:val="21"/>
          <w:highlight w:val="none"/>
          <w:lang w:bidi="ar"/>
        </w:rPr>
        <w:t>规定的投标截止时间不满足相关文件规定的，并且澄清内容可能影响投标文件编制的，将相应延长投标截止时间。</w:t>
      </w:r>
    </w:p>
    <w:p w14:paraId="1CCB2BBB">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2.2.3澄清文件按本章第2.2.2款规定发出之时起，视为投标人已收到该澄清文件。投标人未及时通过</w:t>
      </w:r>
      <w:r>
        <w:rPr>
          <w:rFonts w:hint="eastAsia" w:ascii="宋体" w:hAnsi="宋体" w:cs="宋体"/>
          <w:szCs w:val="21"/>
          <w:highlight w:val="none"/>
          <w:lang w:eastAsia="zh-CN"/>
        </w:rPr>
        <w:t>招标公告发布的媒介</w:t>
      </w:r>
      <w:r>
        <w:rPr>
          <w:rFonts w:hint="eastAsia" w:ascii="宋体" w:hAnsi="宋体" w:cs="宋体"/>
          <w:szCs w:val="21"/>
          <w:highlight w:val="none"/>
        </w:rPr>
        <w:t>查阅招标文件的澄清，或未按照澄清后的招标文件编制投标文件，由此造成的后果由投标人自行承担。</w:t>
      </w:r>
    </w:p>
    <w:p w14:paraId="05305D58">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311" w:name="_Toc19334"/>
      <w:bookmarkStart w:id="312" w:name="_Toc29832"/>
      <w:bookmarkStart w:id="313" w:name="_Toc16696"/>
      <w:bookmarkStart w:id="314" w:name="_Toc23070"/>
      <w:bookmarkStart w:id="315" w:name="_Toc13504"/>
      <w:bookmarkStart w:id="316" w:name="_Toc5715"/>
      <w:bookmarkStart w:id="317" w:name="_Toc19070"/>
      <w:bookmarkStart w:id="318" w:name="_Toc3514"/>
      <w:bookmarkStart w:id="319" w:name="_Toc14140"/>
      <w:bookmarkStart w:id="320" w:name="_Toc17150"/>
      <w:bookmarkStart w:id="321" w:name="_Toc26183"/>
      <w:bookmarkStart w:id="322" w:name="_Toc14915"/>
      <w:r>
        <w:rPr>
          <w:rFonts w:hint="eastAsia" w:ascii="宋体" w:hAnsi="宋体" w:cs="宋体"/>
          <w:sz w:val="21"/>
          <w:szCs w:val="21"/>
          <w:highlight w:val="none"/>
        </w:rPr>
        <w:t>2.3 招标文件的修改</w:t>
      </w:r>
      <w:bookmarkEnd w:id="311"/>
      <w:bookmarkEnd w:id="312"/>
      <w:bookmarkEnd w:id="313"/>
      <w:bookmarkEnd w:id="314"/>
      <w:bookmarkEnd w:id="315"/>
      <w:bookmarkEnd w:id="316"/>
      <w:bookmarkEnd w:id="317"/>
      <w:bookmarkEnd w:id="318"/>
      <w:bookmarkEnd w:id="319"/>
      <w:bookmarkEnd w:id="320"/>
      <w:bookmarkEnd w:id="321"/>
      <w:bookmarkEnd w:id="322"/>
    </w:p>
    <w:p w14:paraId="373BA6DC">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2.3.1招标文件发布后，招标人可以对招标文件进行修改，并通过</w:t>
      </w:r>
      <w:r>
        <w:rPr>
          <w:rFonts w:hint="eastAsia" w:ascii="宋体" w:hAnsi="宋体" w:cs="宋体"/>
          <w:szCs w:val="21"/>
          <w:highlight w:val="none"/>
          <w:lang w:eastAsia="zh-CN"/>
        </w:rPr>
        <w:t>招标公告发布的媒介</w:t>
      </w:r>
      <w:r>
        <w:rPr>
          <w:rFonts w:hint="eastAsia" w:ascii="宋体" w:hAnsi="宋体" w:cs="宋体"/>
          <w:szCs w:val="21"/>
          <w:highlight w:val="none"/>
        </w:rPr>
        <w:t>发给所有已领取招标文件的投标人。如修改发出的时间距投标人须知前附表</w:t>
      </w:r>
      <w:r>
        <w:rPr>
          <w:rFonts w:hint="eastAsia" w:ascii="宋体" w:hAnsi="宋体" w:cs="宋体"/>
          <w:szCs w:val="21"/>
          <w:highlight w:val="none"/>
          <w:lang w:bidi="ar"/>
        </w:rPr>
        <w:t>规定的投标截止时间不满足相关文件规定的，并且澄清内容可能影响投标文件编制的，将相应延长投标截止时间。</w:t>
      </w:r>
    </w:p>
    <w:p w14:paraId="2B337270">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2.3.2修改文件按本章第2.3.1款规定发出之时起，视为投标人已收到该修改文件。投标人未及时通过</w:t>
      </w:r>
      <w:r>
        <w:rPr>
          <w:rFonts w:hint="eastAsia" w:ascii="宋体" w:hAnsi="宋体" w:cs="宋体"/>
          <w:szCs w:val="21"/>
          <w:highlight w:val="none"/>
          <w:lang w:eastAsia="zh-CN"/>
        </w:rPr>
        <w:t>招标公告发布的媒介</w:t>
      </w:r>
      <w:r>
        <w:rPr>
          <w:rFonts w:hint="eastAsia" w:ascii="宋体" w:hAnsi="宋体" w:cs="宋体"/>
          <w:szCs w:val="21"/>
          <w:highlight w:val="none"/>
        </w:rPr>
        <w:t>查阅招标文件的修改，或未按照修改后的招标文件编制投标文件，由此造成的后果由投标人自行承担。</w:t>
      </w:r>
    </w:p>
    <w:p w14:paraId="2D0BEE7C">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323" w:name="_Toc30787"/>
      <w:bookmarkStart w:id="324" w:name="_Toc26411"/>
      <w:bookmarkStart w:id="325" w:name="_Toc18914"/>
      <w:bookmarkStart w:id="326" w:name="_Toc28928"/>
      <w:bookmarkStart w:id="327" w:name="_Toc32221"/>
      <w:bookmarkStart w:id="328" w:name="_Toc10005"/>
      <w:bookmarkStart w:id="329" w:name="_Toc28332"/>
      <w:bookmarkStart w:id="330" w:name="_Toc22950"/>
      <w:bookmarkStart w:id="331" w:name="_Toc26749"/>
      <w:bookmarkStart w:id="332" w:name="_Toc30276"/>
      <w:bookmarkStart w:id="333" w:name="_Toc19187"/>
      <w:bookmarkStart w:id="334" w:name="_Toc3946"/>
      <w:r>
        <w:rPr>
          <w:rFonts w:hint="eastAsia" w:ascii="宋体" w:hAnsi="宋体" w:cs="宋体"/>
          <w:sz w:val="21"/>
          <w:szCs w:val="21"/>
          <w:highlight w:val="none"/>
        </w:rPr>
        <w:t>2.4 最高投标限价</w:t>
      </w:r>
      <w:bookmarkEnd w:id="323"/>
      <w:bookmarkEnd w:id="324"/>
      <w:bookmarkEnd w:id="325"/>
      <w:bookmarkEnd w:id="326"/>
      <w:bookmarkEnd w:id="327"/>
      <w:bookmarkEnd w:id="328"/>
      <w:bookmarkEnd w:id="329"/>
      <w:bookmarkEnd w:id="330"/>
      <w:bookmarkEnd w:id="331"/>
      <w:bookmarkEnd w:id="332"/>
      <w:bookmarkEnd w:id="333"/>
      <w:bookmarkEnd w:id="334"/>
    </w:p>
    <w:p w14:paraId="6563F752">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rPr>
      </w:pPr>
      <w:r>
        <w:rPr>
          <w:rFonts w:hint="eastAsia" w:ascii="宋体" w:hAnsi="宋体" w:cs="宋体"/>
          <w:szCs w:val="21"/>
          <w:highlight w:val="none"/>
        </w:rPr>
        <w:t>最高投标限价，是招标人根据国家或省级、行业建设主管部门颁发的有关计价依据和办法，以及本招标文件和招标工程量清单，结合工程具体情况编制的本次招标工程的最高投标限价。本工程最高投标限价金额见投标人须知前附表。招标人确需对已发布的最高投标限价进行修改的，将通过</w:t>
      </w:r>
      <w:r>
        <w:rPr>
          <w:rFonts w:hint="eastAsia" w:ascii="宋体" w:hAnsi="宋体" w:cs="宋体"/>
          <w:szCs w:val="21"/>
          <w:highlight w:val="none"/>
          <w:lang w:eastAsia="zh-CN"/>
        </w:rPr>
        <w:t>招标公告发布的媒介</w:t>
      </w:r>
      <w:r>
        <w:rPr>
          <w:rFonts w:hint="eastAsia" w:ascii="宋体" w:hAnsi="宋体" w:cs="宋体"/>
          <w:szCs w:val="21"/>
          <w:highlight w:val="none"/>
        </w:rPr>
        <w:t>发给所</w:t>
      </w:r>
      <w:r>
        <w:rPr>
          <w:rFonts w:hint="eastAsia" w:ascii="宋体" w:hAnsi="宋体" w:eastAsia="宋体" w:cs="宋体"/>
          <w:szCs w:val="21"/>
          <w:highlight w:val="none"/>
        </w:rPr>
        <w:t>有投标人。</w:t>
      </w:r>
    </w:p>
    <w:p w14:paraId="6A9D6F66">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335" w:name="_Toc939"/>
      <w:bookmarkStart w:id="336" w:name="_Toc29066"/>
      <w:bookmarkStart w:id="337" w:name="_Toc27581"/>
      <w:bookmarkStart w:id="338" w:name="_Toc30250"/>
      <w:bookmarkStart w:id="339" w:name="_Toc21226"/>
      <w:bookmarkStart w:id="340" w:name="_Toc13480"/>
      <w:bookmarkStart w:id="341" w:name="_Toc29984"/>
      <w:bookmarkStart w:id="342" w:name="_Toc30034"/>
      <w:bookmarkStart w:id="343" w:name="_Toc22086"/>
      <w:bookmarkStart w:id="344" w:name="_Toc9506"/>
      <w:r>
        <w:rPr>
          <w:rFonts w:hint="eastAsia" w:ascii="宋体" w:hAnsi="宋体" w:cs="宋体"/>
          <w:sz w:val="21"/>
          <w:szCs w:val="21"/>
          <w:highlight w:val="none"/>
        </w:rPr>
        <w:t>2.5 暂估价招标</w:t>
      </w:r>
      <w:bookmarkEnd w:id="335"/>
      <w:bookmarkEnd w:id="336"/>
      <w:bookmarkEnd w:id="337"/>
      <w:bookmarkEnd w:id="338"/>
      <w:bookmarkEnd w:id="339"/>
      <w:bookmarkEnd w:id="340"/>
      <w:bookmarkEnd w:id="341"/>
      <w:bookmarkEnd w:id="342"/>
      <w:bookmarkEnd w:id="343"/>
      <w:bookmarkEnd w:id="344"/>
    </w:p>
    <w:p w14:paraId="24E0622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kern w:val="0"/>
          <w:szCs w:val="21"/>
          <w:highlight w:val="none"/>
        </w:rPr>
      </w:pPr>
      <w:r>
        <w:rPr>
          <w:rFonts w:hint="eastAsia" w:ascii="宋体" w:hAnsi="宋体" w:cs="宋体"/>
          <w:szCs w:val="21"/>
          <w:highlight w:val="none"/>
        </w:rPr>
        <w:t>暂估价，是本工程招标时不能确定价格而由招标人在招标文件中暂时估定的工程、货物服务的金额。暂估价的招标主体及其权利义务见</w:t>
      </w:r>
      <w:r>
        <w:rPr>
          <w:rFonts w:hint="eastAsia" w:ascii="宋体" w:hAnsi="宋体" w:cs="宋体"/>
          <w:kern w:val="0"/>
          <w:szCs w:val="21"/>
          <w:highlight w:val="none"/>
        </w:rPr>
        <w:t>投标人须知前附表。</w:t>
      </w:r>
    </w:p>
    <w:p w14:paraId="3A49ADBA">
      <w:pPr>
        <w:pStyle w:val="4"/>
        <w:keepNext w:val="0"/>
        <w:keepLines w:val="0"/>
        <w:pageBreakBefore w:val="0"/>
        <w:widowControl w:val="0"/>
        <w:kinsoku/>
        <w:wordWrap/>
        <w:overflowPunct/>
        <w:topLinePunct w:val="0"/>
        <w:autoSpaceDE/>
        <w:autoSpaceDN/>
        <w:bidi w:val="0"/>
        <w:snapToGrid w:val="0"/>
        <w:spacing w:before="0" w:after="0" w:line="360" w:lineRule="auto"/>
        <w:ind w:firstLine="369" w:firstLineChars="175"/>
        <w:textAlignment w:val="auto"/>
        <w:rPr>
          <w:rFonts w:hint="eastAsia" w:ascii="宋体" w:hAnsi="宋体" w:cs="宋体"/>
          <w:sz w:val="21"/>
          <w:szCs w:val="21"/>
          <w:highlight w:val="none"/>
        </w:rPr>
      </w:pPr>
      <w:bookmarkStart w:id="345" w:name="_Toc28922"/>
      <w:bookmarkStart w:id="346" w:name="_Toc4333"/>
      <w:bookmarkStart w:id="347" w:name="_Toc18565"/>
      <w:bookmarkStart w:id="348" w:name="_Toc7516"/>
      <w:bookmarkStart w:id="349" w:name="_Toc21487"/>
      <w:bookmarkStart w:id="350" w:name="_Toc3625"/>
      <w:bookmarkStart w:id="351" w:name="_Toc2538"/>
      <w:bookmarkStart w:id="352" w:name="_Toc4170"/>
      <w:bookmarkStart w:id="353" w:name="_Toc19295"/>
      <w:bookmarkStart w:id="354" w:name="_Toc16578"/>
      <w:bookmarkStart w:id="355" w:name="_Toc24223"/>
      <w:r>
        <w:rPr>
          <w:rFonts w:hint="eastAsia" w:ascii="宋体" w:hAnsi="宋体" w:cs="宋体"/>
          <w:sz w:val="21"/>
          <w:szCs w:val="21"/>
          <w:highlight w:val="none"/>
        </w:rPr>
        <w:t>2.6 招标文件的异议</w:t>
      </w:r>
      <w:bookmarkEnd w:id="345"/>
      <w:bookmarkEnd w:id="346"/>
      <w:bookmarkEnd w:id="347"/>
      <w:bookmarkEnd w:id="348"/>
      <w:bookmarkEnd w:id="349"/>
      <w:bookmarkEnd w:id="350"/>
      <w:bookmarkEnd w:id="351"/>
      <w:bookmarkEnd w:id="352"/>
      <w:bookmarkEnd w:id="353"/>
      <w:bookmarkEnd w:id="354"/>
      <w:bookmarkEnd w:id="355"/>
    </w:p>
    <w:p w14:paraId="452A041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投标人或者其他利害关系人对招标文件有异议的，应当在法律、法规和规章规定的时间前提出。招标人将在收到异议之日起3日内作出答复；作出答复前，将暂停招标投标活动。</w:t>
      </w:r>
    </w:p>
    <w:p w14:paraId="7847E669">
      <w:pPr>
        <w:pStyle w:val="3"/>
        <w:keepNext w:val="0"/>
        <w:keepLines w:val="0"/>
        <w:pageBreakBefore w:val="0"/>
        <w:widowControl w:val="0"/>
        <w:kinsoku/>
        <w:wordWrap/>
        <w:overflowPunct/>
        <w:topLinePunct w:val="0"/>
        <w:autoSpaceDE/>
        <w:autoSpaceDN/>
        <w:bidi w:val="0"/>
        <w:snapToGrid w:val="0"/>
        <w:spacing w:before="0" w:after="0" w:line="360" w:lineRule="auto"/>
        <w:textAlignment w:val="auto"/>
        <w:rPr>
          <w:rFonts w:hint="eastAsia" w:ascii="宋体" w:hAnsi="宋体" w:cs="宋体"/>
          <w:sz w:val="24"/>
          <w:szCs w:val="24"/>
          <w:highlight w:val="none"/>
        </w:rPr>
      </w:pPr>
      <w:bookmarkStart w:id="356" w:name="_Toc11137"/>
      <w:bookmarkStart w:id="357" w:name="_Toc25827"/>
      <w:bookmarkStart w:id="358" w:name="_Toc32459"/>
      <w:bookmarkStart w:id="359" w:name="_Toc27486"/>
      <w:bookmarkStart w:id="360" w:name="_Toc4630"/>
      <w:bookmarkStart w:id="361" w:name="_Toc144974514"/>
      <w:bookmarkStart w:id="362" w:name="_Toc23328"/>
      <w:bookmarkStart w:id="363" w:name="_Toc17189"/>
      <w:bookmarkStart w:id="364" w:name="_Toc16318"/>
      <w:bookmarkStart w:id="365" w:name="_Toc269886754"/>
      <w:bookmarkStart w:id="366" w:name="_Toc152045546"/>
      <w:bookmarkStart w:id="367" w:name="_Toc152042322"/>
      <w:bookmarkStart w:id="368" w:name="_Toc13321"/>
      <w:bookmarkStart w:id="369" w:name="_Toc227984016"/>
      <w:bookmarkStart w:id="370" w:name="_Toc5514"/>
      <w:bookmarkStart w:id="371" w:name="_Toc10774"/>
      <w:bookmarkStart w:id="372" w:name="_Toc32417"/>
      <w:r>
        <w:rPr>
          <w:rFonts w:hint="eastAsia" w:ascii="宋体" w:hAnsi="宋体" w:cs="宋体"/>
          <w:sz w:val="24"/>
          <w:szCs w:val="24"/>
          <w:highlight w:val="none"/>
        </w:rPr>
        <w:t>3. 投标文件</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4A30A7CC">
      <w:pPr>
        <w:pStyle w:val="4"/>
        <w:keepNext w:val="0"/>
        <w:keepLines w:val="0"/>
        <w:pageBreakBefore w:val="0"/>
        <w:widowControl w:val="0"/>
        <w:kinsoku/>
        <w:wordWrap/>
        <w:overflowPunct/>
        <w:topLinePunct w:val="0"/>
        <w:autoSpaceDE/>
        <w:autoSpaceDN/>
        <w:bidi w:val="0"/>
        <w:snapToGrid w:val="0"/>
        <w:spacing w:before="0" w:after="0" w:line="360" w:lineRule="auto"/>
        <w:ind w:firstLine="369" w:firstLineChars="175"/>
        <w:textAlignment w:val="auto"/>
        <w:rPr>
          <w:rFonts w:hint="eastAsia" w:ascii="宋体" w:hAnsi="宋体" w:cs="宋体"/>
          <w:sz w:val="21"/>
          <w:szCs w:val="21"/>
          <w:highlight w:val="none"/>
        </w:rPr>
      </w:pPr>
      <w:bookmarkStart w:id="373" w:name="_Toc269886755"/>
      <w:bookmarkStart w:id="374" w:name="_Toc8490"/>
      <w:bookmarkStart w:id="375" w:name="_Toc720"/>
      <w:bookmarkStart w:id="376" w:name="_Toc6986"/>
      <w:bookmarkStart w:id="377" w:name="_Toc30526"/>
      <w:bookmarkStart w:id="378" w:name="_Toc227984017"/>
      <w:bookmarkStart w:id="379" w:name="_Toc30013"/>
      <w:bookmarkStart w:id="380" w:name="_Toc9606"/>
      <w:bookmarkStart w:id="381" w:name="_Toc598"/>
      <w:bookmarkStart w:id="382" w:name="_Toc13129"/>
      <w:bookmarkStart w:id="383" w:name="_Toc24718"/>
      <w:bookmarkStart w:id="384" w:name="_Toc152045547"/>
      <w:bookmarkStart w:id="385" w:name="_Toc9800"/>
      <w:bookmarkStart w:id="386" w:name="_Toc12075"/>
      <w:bookmarkStart w:id="387" w:name="_Toc152042323"/>
      <w:bookmarkStart w:id="388" w:name="_Toc144974515"/>
      <w:bookmarkStart w:id="389" w:name="_Toc22554"/>
      <w:r>
        <w:rPr>
          <w:rFonts w:hint="eastAsia" w:ascii="宋体" w:hAnsi="宋体" w:cs="宋体"/>
          <w:sz w:val="21"/>
          <w:szCs w:val="21"/>
          <w:highlight w:val="none"/>
        </w:rPr>
        <w:t>3.1 投标文件的组成</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431BFA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kern w:val="0"/>
          <w:szCs w:val="21"/>
          <w:highlight w:val="none"/>
        </w:rPr>
      </w:pPr>
      <w:r>
        <w:rPr>
          <w:rFonts w:hint="eastAsia" w:ascii="宋体" w:hAnsi="宋体" w:cs="宋体"/>
          <w:kern w:val="0"/>
          <w:szCs w:val="21"/>
          <w:highlight w:val="none"/>
        </w:rPr>
        <w:t>3.1.1</w:t>
      </w:r>
      <w:r>
        <w:rPr>
          <w:rFonts w:hint="eastAsia" w:ascii="宋体" w:hAnsi="宋体" w:cs="宋体"/>
          <w:kern w:val="0"/>
          <w:szCs w:val="21"/>
          <w:highlight w:val="none"/>
          <w:lang w:val="en-US" w:eastAsia="zh-CN"/>
        </w:rPr>
        <w:t xml:space="preserve"> </w:t>
      </w:r>
      <w:r>
        <w:rPr>
          <w:rFonts w:hint="eastAsia" w:ascii="宋体" w:hAnsi="宋体" w:cs="宋体"/>
          <w:kern w:val="0"/>
          <w:szCs w:val="21"/>
          <w:highlight w:val="none"/>
        </w:rPr>
        <w:t>投标文件的组成见投标人须知前附表。</w:t>
      </w:r>
    </w:p>
    <w:p w14:paraId="72339D1B">
      <w:pPr>
        <w:pageBreakBefore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cs="宋体"/>
          <w:kern w:val="0"/>
          <w:szCs w:val="21"/>
          <w:highlight w:val="none"/>
        </w:rPr>
      </w:pPr>
      <w:r>
        <w:rPr>
          <w:rFonts w:hint="eastAsia" w:ascii="宋体" w:hAnsi="宋体" w:cs="宋体"/>
          <w:kern w:val="0"/>
          <w:szCs w:val="21"/>
          <w:highlight w:val="none"/>
        </w:rPr>
        <w:t>3.1.2</w:t>
      </w:r>
      <w:r>
        <w:rPr>
          <w:rFonts w:hint="eastAsia" w:ascii="宋体" w:hAnsi="宋体" w:cs="宋体"/>
          <w:kern w:val="0"/>
          <w:szCs w:val="21"/>
          <w:highlight w:val="none"/>
          <w:lang w:val="en-US" w:eastAsia="zh-CN"/>
        </w:rPr>
        <w:t xml:space="preserve"> </w:t>
      </w:r>
      <w:r>
        <w:rPr>
          <w:rFonts w:hint="eastAsia" w:ascii="宋体" w:hAnsi="宋体" w:cs="宋体"/>
          <w:kern w:val="0"/>
          <w:szCs w:val="21"/>
          <w:highlight w:val="none"/>
        </w:rPr>
        <w:t>第八章“投标文件格式”要求提供相关证明材料作为附件的，投标人应按要求在投标文件中提供相应材料，否则不予认可。</w:t>
      </w:r>
    </w:p>
    <w:p w14:paraId="7017DE6F">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390" w:name="_Toc7533"/>
      <w:bookmarkStart w:id="391" w:name="_Toc9572"/>
      <w:bookmarkStart w:id="392" w:name="_Toc227984018"/>
      <w:bookmarkStart w:id="393" w:name="_Toc13881"/>
      <w:bookmarkStart w:id="394" w:name="_Toc19030"/>
      <w:bookmarkStart w:id="395" w:name="_Toc26778"/>
      <w:bookmarkStart w:id="396" w:name="_Toc152045548"/>
      <w:bookmarkStart w:id="397" w:name="_Toc144974516"/>
      <w:bookmarkStart w:id="398" w:name="_Toc8420"/>
      <w:bookmarkStart w:id="399" w:name="_Toc21705"/>
      <w:bookmarkStart w:id="400" w:name="_Toc18601"/>
      <w:bookmarkStart w:id="401" w:name="_Toc152042324"/>
      <w:bookmarkStart w:id="402" w:name="_Toc269886756"/>
      <w:bookmarkStart w:id="403" w:name="_Toc15210"/>
      <w:bookmarkStart w:id="404" w:name="_Toc2574"/>
      <w:bookmarkStart w:id="405" w:name="_Toc6034"/>
      <w:r>
        <w:rPr>
          <w:rFonts w:hint="eastAsia" w:ascii="宋体" w:hAnsi="宋体" w:cs="宋体"/>
          <w:sz w:val="21"/>
          <w:szCs w:val="21"/>
          <w:highlight w:val="none"/>
        </w:rPr>
        <w:t>3.2 投标报价</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2F436A13">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3.2.1投标人应按第五章</w:t>
      </w:r>
      <w:r>
        <w:rPr>
          <w:rFonts w:hint="eastAsia" w:ascii="宋体" w:hAnsi="宋体" w:cs="宋体"/>
          <w:kern w:val="0"/>
          <w:szCs w:val="21"/>
          <w:highlight w:val="none"/>
        </w:rPr>
        <w:t>“</w:t>
      </w:r>
      <w:r>
        <w:rPr>
          <w:rFonts w:hint="eastAsia" w:ascii="宋体" w:hAnsi="宋体" w:cs="宋体"/>
          <w:szCs w:val="21"/>
          <w:highlight w:val="none"/>
        </w:rPr>
        <w:t>招标工程量清单”的要求编制投标报价。</w:t>
      </w:r>
    </w:p>
    <w:p w14:paraId="13A26B5E">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3.2.2投标人在投标截止时间前修改投标函中的投标总报价，应同时修改第五章</w:t>
      </w:r>
      <w:r>
        <w:rPr>
          <w:rFonts w:hint="eastAsia" w:ascii="宋体" w:hAnsi="宋体" w:cs="宋体"/>
          <w:kern w:val="0"/>
          <w:szCs w:val="21"/>
          <w:highlight w:val="none"/>
        </w:rPr>
        <w:t>“</w:t>
      </w:r>
      <w:r>
        <w:rPr>
          <w:rFonts w:hint="eastAsia" w:ascii="宋体" w:hAnsi="宋体" w:cs="宋体"/>
          <w:szCs w:val="21"/>
          <w:highlight w:val="none"/>
        </w:rPr>
        <w:t>招标工程量清单”中的相应报价。此修改须符合本章第4.3款的有关要求。　　</w:t>
      </w:r>
    </w:p>
    <w:p w14:paraId="0F6E024C">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3.2.3本项目合同价格形式见投标须知前附表，各投标人的投标报价应充分考虑第四章“合同条款及格式”所列合同价格风险。</w:t>
      </w:r>
    </w:p>
    <w:p w14:paraId="397F21FC">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406" w:name="_Toc3820"/>
      <w:bookmarkStart w:id="407" w:name="_Toc2549"/>
      <w:bookmarkStart w:id="408" w:name="_Toc269886757"/>
      <w:bookmarkStart w:id="409" w:name="_Toc11795"/>
      <w:bookmarkStart w:id="410" w:name="_Toc152042325"/>
      <w:bookmarkStart w:id="411" w:name="_Toc5090"/>
      <w:bookmarkStart w:id="412" w:name="_Toc29388"/>
      <w:bookmarkStart w:id="413" w:name="_Toc14775"/>
      <w:bookmarkStart w:id="414" w:name="_Toc13972"/>
      <w:bookmarkStart w:id="415" w:name="_Toc9344"/>
      <w:bookmarkStart w:id="416" w:name="_Toc20696"/>
      <w:bookmarkStart w:id="417" w:name="_Toc18726"/>
      <w:bookmarkStart w:id="418" w:name="_Toc227984019"/>
      <w:bookmarkStart w:id="419" w:name="_Toc144974517"/>
      <w:bookmarkStart w:id="420" w:name="_Toc152045549"/>
      <w:bookmarkStart w:id="421" w:name="_Toc2040"/>
      <w:bookmarkStart w:id="422" w:name="_Toc32497"/>
      <w:r>
        <w:rPr>
          <w:rFonts w:hint="eastAsia" w:ascii="宋体" w:hAnsi="宋体" w:cs="宋体"/>
          <w:sz w:val="21"/>
          <w:szCs w:val="21"/>
          <w:highlight w:val="none"/>
        </w:rPr>
        <w:t>3.3 投标有效期</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0E380FC9">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bookmarkStart w:id="423" w:name="_Toc152042326"/>
      <w:bookmarkStart w:id="424" w:name="_Toc269886758"/>
      <w:bookmarkStart w:id="425" w:name="_Toc144974518"/>
      <w:bookmarkStart w:id="426" w:name="_Toc227984020"/>
      <w:bookmarkStart w:id="427" w:name="_Toc152045550"/>
      <w:r>
        <w:rPr>
          <w:rFonts w:hint="eastAsia" w:ascii="宋体" w:hAnsi="宋体" w:cs="宋体"/>
          <w:szCs w:val="21"/>
          <w:highlight w:val="none"/>
        </w:rPr>
        <w:t>3.3.1投标有效期见投标人须知前附表。</w:t>
      </w:r>
    </w:p>
    <w:p w14:paraId="394193CC">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3.3.2在投标有效期内，投标人撤销投标文件的，应承担招标文件和法律规定的责任。</w:t>
      </w:r>
    </w:p>
    <w:p w14:paraId="7C3A05A8">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3.3.3出现特殊情况需要延长投标有效期的，招标人以书面形式通知所有投标人延长投标有效期。投标人应予以书面答复，同意延长的，不得要求或被允许修改其投标文件；投标人拒绝延长的，其投标失效。</w:t>
      </w:r>
    </w:p>
    <w:p w14:paraId="0876F43E">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428" w:name="_Toc22045"/>
      <w:bookmarkStart w:id="429" w:name="_Toc4970"/>
      <w:bookmarkStart w:id="430" w:name="_Toc13543"/>
      <w:bookmarkStart w:id="431" w:name="_Toc8320"/>
      <w:bookmarkStart w:id="432" w:name="_Toc24860"/>
      <w:bookmarkStart w:id="433" w:name="_Toc21205"/>
      <w:bookmarkStart w:id="434" w:name="_Toc14411"/>
      <w:bookmarkStart w:id="435" w:name="_Toc23133"/>
      <w:bookmarkStart w:id="436" w:name="_Toc28988"/>
      <w:bookmarkStart w:id="437" w:name="_Toc26418"/>
      <w:bookmarkStart w:id="438" w:name="_Toc19700"/>
      <w:r>
        <w:rPr>
          <w:rFonts w:hint="eastAsia" w:ascii="宋体" w:hAnsi="宋体" w:cs="宋体"/>
          <w:sz w:val="21"/>
          <w:szCs w:val="21"/>
          <w:highlight w:val="none"/>
        </w:rPr>
        <w:t>3.4 投标保证金</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2399C91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rPr>
      </w:pPr>
      <w:r>
        <w:rPr>
          <w:rFonts w:hint="eastAsia" w:ascii="宋体" w:hAnsi="宋体" w:cs="宋体"/>
          <w:szCs w:val="21"/>
          <w:highlight w:val="none"/>
          <w:lang w:val="en-US" w:eastAsia="zh-CN"/>
        </w:rPr>
        <w:t>本项目免收投标保证金</w:t>
      </w:r>
      <w:r>
        <w:rPr>
          <w:rFonts w:hint="eastAsia" w:ascii="宋体" w:hAnsi="宋体" w:eastAsia="宋体" w:cs="宋体"/>
          <w:szCs w:val="21"/>
          <w:highlight w:val="none"/>
        </w:rPr>
        <w:t>。</w:t>
      </w:r>
    </w:p>
    <w:p w14:paraId="781EB75A">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439" w:name="_Toc32142"/>
      <w:bookmarkStart w:id="440" w:name="_Toc9453"/>
      <w:bookmarkStart w:id="441" w:name="_Toc29290"/>
      <w:bookmarkStart w:id="442" w:name="_Toc18179"/>
      <w:bookmarkStart w:id="443" w:name="_Toc3535"/>
      <w:bookmarkStart w:id="444" w:name="_Toc29183"/>
      <w:bookmarkStart w:id="445" w:name="_Toc24127"/>
      <w:bookmarkStart w:id="446" w:name="_Toc6837"/>
      <w:bookmarkStart w:id="447" w:name="_Toc24628"/>
      <w:bookmarkStart w:id="448" w:name="_Toc8634"/>
      <w:bookmarkStart w:id="449" w:name="_Toc8436"/>
      <w:r>
        <w:rPr>
          <w:rFonts w:hint="eastAsia" w:ascii="宋体" w:hAnsi="宋体" w:cs="宋体"/>
          <w:sz w:val="21"/>
          <w:szCs w:val="21"/>
          <w:highlight w:val="none"/>
        </w:rPr>
        <w:t>3.5 资格审查资料</w:t>
      </w:r>
      <w:bookmarkEnd w:id="439"/>
      <w:bookmarkEnd w:id="440"/>
      <w:bookmarkEnd w:id="441"/>
      <w:bookmarkEnd w:id="442"/>
      <w:bookmarkEnd w:id="443"/>
      <w:bookmarkEnd w:id="444"/>
      <w:bookmarkEnd w:id="445"/>
      <w:bookmarkEnd w:id="446"/>
      <w:bookmarkEnd w:id="447"/>
      <w:bookmarkEnd w:id="448"/>
      <w:bookmarkEnd w:id="449"/>
    </w:p>
    <w:p w14:paraId="14A2311F">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bookmarkStart w:id="450" w:name="_Toc227984022"/>
      <w:bookmarkStart w:id="451" w:name="_Toc269886760"/>
      <w:bookmarkStart w:id="452" w:name="_Toc152042329"/>
      <w:bookmarkStart w:id="453" w:name="_Toc152045553"/>
      <w:bookmarkStart w:id="454" w:name="_Toc144974521"/>
      <w:r>
        <w:rPr>
          <w:rFonts w:hint="eastAsia" w:ascii="宋体" w:hAnsi="宋体" w:cs="宋体"/>
          <w:szCs w:val="21"/>
          <w:highlight w:val="none"/>
        </w:rPr>
        <w:t>投标人在编制投标文件时，应按本章第3.1项的要求在投标文件中提供资料。</w:t>
      </w:r>
    </w:p>
    <w:p w14:paraId="0ED57F17">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455" w:name="_Toc19278"/>
      <w:bookmarkStart w:id="456" w:name="_Toc12017"/>
      <w:bookmarkStart w:id="457" w:name="_Toc29119"/>
      <w:bookmarkStart w:id="458" w:name="_Toc19463"/>
      <w:bookmarkStart w:id="459" w:name="_Toc19921"/>
      <w:bookmarkStart w:id="460" w:name="_Toc18531"/>
      <w:bookmarkStart w:id="461" w:name="_Toc16229"/>
      <w:bookmarkStart w:id="462" w:name="_Toc8809"/>
      <w:bookmarkStart w:id="463" w:name="_Toc26458"/>
      <w:bookmarkStart w:id="464" w:name="_Toc13859"/>
      <w:bookmarkStart w:id="465" w:name="_Toc6466"/>
      <w:bookmarkStart w:id="466" w:name="_Toc28262"/>
      <w:r>
        <w:rPr>
          <w:rFonts w:hint="eastAsia" w:ascii="宋体" w:hAnsi="宋体" w:cs="宋体"/>
          <w:sz w:val="21"/>
          <w:szCs w:val="21"/>
          <w:highlight w:val="none"/>
        </w:rPr>
        <w:t>3.6 备选投标方案</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476EE7BF">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4A9600B4">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467" w:name="_Toc7331"/>
      <w:bookmarkStart w:id="468" w:name="_Toc26723"/>
      <w:bookmarkStart w:id="469" w:name="_Toc21055"/>
      <w:bookmarkStart w:id="470" w:name="_Toc25586"/>
      <w:bookmarkStart w:id="471" w:name="_Toc152045554"/>
      <w:bookmarkStart w:id="472" w:name="_Toc144974522"/>
      <w:bookmarkStart w:id="473" w:name="_Toc25653"/>
      <w:bookmarkStart w:id="474" w:name="_Toc22257"/>
      <w:bookmarkStart w:id="475" w:name="_Toc152042330"/>
      <w:bookmarkStart w:id="476" w:name="_Toc227984023"/>
      <w:bookmarkStart w:id="477" w:name="_Toc18414"/>
      <w:bookmarkStart w:id="478" w:name="_Toc23493"/>
      <w:bookmarkStart w:id="479" w:name="_Toc29414"/>
      <w:bookmarkStart w:id="480" w:name="_Toc25275"/>
      <w:bookmarkStart w:id="481" w:name="_Toc269886761"/>
      <w:bookmarkStart w:id="482" w:name="_Toc31484"/>
      <w:bookmarkStart w:id="483" w:name="_Toc22816"/>
      <w:r>
        <w:rPr>
          <w:rFonts w:hint="eastAsia" w:ascii="宋体" w:hAnsi="宋体" w:cs="宋体"/>
          <w:sz w:val="21"/>
          <w:szCs w:val="21"/>
          <w:highlight w:val="none"/>
        </w:rPr>
        <w:t>3.7 投标文件的编制</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14:paraId="552C9C33">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rPr>
      </w:pPr>
      <w:r>
        <w:rPr>
          <w:rFonts w:hint="eastAsia" w:ascii="宋体" w:hAnsi="宋体" w:cs="宋体"/>
          <w:szCs w:val="21"/>
          <w:highlight w:val="none"/>
        </w:rPr>
        <w:t>3.7.1</w:t>
      </w:r>
      <w:r>
        <w:rPr>
          <w:rFonts w:hint="eastAsia" w:ascii="宋体" w:hAnsi="宋体" w:cs="宋体"/>
          <w:szCs w:val="21"/>
          <w:highlight w:val="none"/>
          <w:lang w:val="en-US" w:eastAsia="zh-CN"/>
        </w:rPr>
        <w:t xml:space="preserve"> </w:t>
      </w:r>
      <w:r>
        <w:rPr>
          <w:rFonts w:hint="eastAsia" w:ascii="宋体" w:hAnsi="宋体" w:cs="宋体"/>
          <w:szCs w:val="21"/>
          <w:highlight w:val="none"/>
        </w:rPr>
        <w:t>投标文件应按第八章“投标文件格式”要求进行编制，投标人需另行增加的，</w:t>
      </w:r>
      <w:r>
        <w:rPr>
          <w:rFonts w:hint="eastAsia" w:ascii="宋体" w:hAnsi="宋体" w:cs="宋体"/>
          <w:szCs w:val="21"/>
          <w:highlight w:val="none"/>
          <w:lang w:eastAsia="zh-CN"/>
        </w:rPr>
        <w:t>可</w:t>
      </w:r>
      <w:r>
        <w:rPr>
          <w:rFonts w:hint="eastAsia" w:ascii="宋体" w:hAnsi="宋体" w:cs="宋体"/>
          <w:szCs w:val="21"/>
          <w:highlight w:val="none"/>
        </w:rPr>
        <w:t>作为投标文件的组</w:t>
      </w:r>
      <w:r>
        <w:rPr>
          <w:rFonts w:hint="eastAsia" w:ascii="宋体" w:hAnsi="宋体" w:eastAsia="宋体" w:cs="宋体"/>
          <w:szCs w:val="21"/>
          <w:highlight w:val="none"/>
        </w:rPr>
        <w:t>成部分。</w:t>
      </w:r>
    </w:p>
    <w:p w14:paraId="4CBD48D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3.7.2</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投标文件必须</w:t>
      </w:r>
      <w:r>
        <w:rPr>
          <w:rFonts w:hint="eastAsia" w:ascii="宋体" w:hAnsi="宋体" w:eastAsia="宋体" w:cs="宋体"/>
          <w:szCs w:val="21"/>
          <w:highlight w:val="none"/>
          <w:lang w:eastAsia="zh-CN"/>
        </w:rPr>
        <w:t>按招标文件规定</w:t>
      </w:r>
      <w:r>
        <w:rPr>
          <w:rFonts w:hint="eastAsia" w:ascii="宋体" w:hAnsi="宋体" w:eastAsia="宋体" w:cs="宋体"/>
          <w:szCs w:val="21"/>
          <w:highlight w:val="none"/>
        </w:rPr>
        <w:t>编写</w:t>
      </w:r>
      <w:r>
        <w:rPr>
          <w:rFonts w:hint="eastAsia" w:ascii="宋体" w:hAnsi="宋体" w:eastAsia="宋体" w:cs="宋体"/>
          <w:szCs w:val="21"/>
          <w:highlight w:val="none"/>
          <w:lang w:eastAsia="zh-CN"/>
        </w:rPr>
        <w:t>投标</w:t>
      </w:r>
      <w:r>
        <w:rPr>
          <w:rFonts w:hint="eastAsia" w:ascii="宋体" w:hAnsi="宋体" w:eastAsia="宋体" w:cs="宋体"/>
          <w:szCs w:val="21"/>
          <w:highlight w:val="none"/>
        </w:rPr>
        <w:t>文件，并牢固装订成册。</w:t>
      </w:r>
      <w:r>
        <w:rPr>
          <w:rFonts w:hint="eastAsia" w:ascii="宋体" w:hAnsi="宋体" w:eastAsia="宋体" w:cs="宋体"/>
          <w:szCs w:val="21"/>
          <w:highlight w:val="none"/>
          <w:lang w:eastAsia="zh-CN"/>
        </w:rPr>
        <w:t>投标</w:t>
      </w:r>
      <w:r>
        <w:rPr>
          <w:rFonts w:hint="eastAsia" w:ascii="宋体" w:hAnsi="宋体" w:eastAsia="宋体" w:cs="宋体"/>
          <w:szCs w:val="21"/>
          <w:highlight w:val="none"/>
        </w:rPr>
        <w:t>文件均需采用A4纸（图纸等除外），不允许使用活页夹、拉杆夹、文件夹、塑料方便式书脊（插入式或穿孔式）装订。</w:t>
      </w:r>
      <w:r>
        <w:rPr>
          <w:rFonts w:hint="eastAsia" w:ascii="宋体" w:hAnsi="宋体" w:eastAsia="宋体" w:cs="宋体"/>
          <w:szCs w:val="21"/>
          <w:highlight w:val="none"/>
          <w:lang w:eastAsia="zh-CN"/>
        </w:rPr>
        <w:t>投标</w:t>
      </w:r>
      <w:r>
        <w:rPr>
          <w:rFonts w:hint="eastAsia" w:ascii="宋体" w:hAnsi="宋体" w:eastAsia="宋体" w:cs="宋体"/>
          <w:szCs w:val="21"/>
          <w:highlight w:val="none"/>
        </w:rPr>
        <w:t>文件不得行间插字、涂改、增删，如修改错漏处，须经</w:t>
      </w:r>
      <w:r>
        <w:rPr>
          <w:rFonts w:hint="eastAsia" w:ascii="宋体" w:hAnsi="宋体" w:eastAsia="宋体" w:cs="宋体"/>
          <w:szCs w:val="21"/>
          <w:highlight w:val="none"/>
          <w:lang w:eastAsia="zh-CN"/>
        </w:rPr>
        <w:t>投标</w:t>
      </w:r>
      <w:r>
        <w:rPr>
          <w:rFonts w:hint="eastAsia" w:ascii="宋体" w:hAnsi="宋体" w:eastAsia="宋体" w:cs="宋体"/>
          <w:szCs w:val="21"/>
          <w:highlight w:val="none"/>
        </w:rPr>
        <w:t>文件签署人签字并加盖公章。</w:t>
      </w:r>
    </w:p>
    <w:p w14:paraId="35655FAF">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本工程投标文件由</w:t>
      </w:r>
      <w:r>
        <w:rPr>
          <w:rFonts w:hint="eastAsia" w:ascii="宋体" w:hAnsi="宋体" w:eastAsia="宋体" w:cs="宋体"/>
          <w:szCs w:val="21"/>
          <w:highlight w:val="none"/>
          <w:u w:val="single"/>
          <w:lang w:eastAsia="zh-CN"/>
        </w:rPr>
        <w:t>纸质投标文件（资格审查文件、商务标）和电子投标文件</w:t>
      </w:r>
      <w:r>
        <w:rPr>
          <w:rFonts w:hint="eastAsia" w:ascii="宋体" w:hAnsi="宋体" w:eastAsia="宋体" w:cs="宋体"/>
          <w:szCs w:val="21"/>
          <w:highlight w:val="none"/>
          <w:lang w:eastAsia="zh-CN"/>
        </w:rPr>
        <w:t>组成。纸质投标文件均为</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lang w:eastAsia="zh-CN"/>
        </w:rPr>
        <w:t>式</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lang w:eastAsia="zh-CN"/>
        </w:rPr>
        <w:t>份，其中“正本”</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lang w:eastAsia="zh-CN"/>
        </w:rPr>
        <w:t>份和“副本”</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lang w:eastAsia="zh-CN"/>
        </w:rPr>
        <w:t>份；电子投标文件（</w:t>
      </w:r>
      <w:r>
        <w:rPr>
          <w:rFonts w:hint="eastAsia" w:ascii="宋体" w:hAnsi="宋体" w:eastAsia="宋体" w:cs="宋体"/>
          <w:szCs w:val="21"/>
          <w:highlight w:val="none"/>
          <w:lang w:val="en-US" w:eastAsia="zh-CN"/>
        </w:rPr>
        <w:t>U盘）1</w:t>
      </w:r>
      <w:r>
        <w:rPr>
          <w:rFonts w:hint="eastAsia" w:ascii="宋体" w:hAnsi="宋体" w:eastAsia="宋体" w:cs="宋体"/>
          <w:szCs w:val="21"/>
          <w:highlight w:val="none"/>
          <w:lang w:eastAsia="zh-CN"/>
        </w:rPr>
        <w:t>份。</w:t>
      </w:r>
    </w:p>
    <w:p w14:paraId="4D0DD202">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投标文件由①资格审查文件、②商务标、</w:t>
      </w:r>
      <w:r>
        <w:rPr>
          <w:rFonts w:hint="eastAsia" w:ascii="宋体" w:hAnsi="宋体" w:eastAsia="宋体" w:cs="宋体"/>
          <w:szCs w:val="21"/>
          <w:highlight w:val="none"/>
          <w:lang w:eastAsia="zh-CN"/>
        </w:rPr>
        <w:t>③</w:t>
      </w:r>
      <w:r>
        <w:rPr>
          <w:rFonts w:hint="eastAsia" w:ascii="宋体" w:hAnsi="宋体" w:eastAsia="宋体" w:cs="宋体"/>
          <w:szCs w:val="21"/>
          <w:highlight w:val="none"/>
          <w:lang w:eastAsia="zh-CN"/>
        </w:rPr>
        <w:t>电子投标文件，共</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lang w:eastAsia="zh-CN"/>
        </w:rPr>
        <w:t>部分组成。投标人须在每份投标文件上明确标注项目名称、标段名称、项目编号、对应的投标文件名称（资格审查文件或商务标或电子投标文件）、投标人全称、日期、“正本”或“副本”字样。“正本”和“副本”若有差异，概以“正本”为准。</w:t>
      </w:r>
    </w:p>
    <w:p w14:paraId="253F2103">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3.7.3</w:t>
      </w:r>
      <w:r>
        <w:rPr>
          <w:rFonts w:hint="eastAsia" w:ascii="宋体" w:hAnsi="宋体" w:cs="宋体"/>
          <w:szCs w:val="21"/>
          <w:highlight w:val="none"/>
          <w:lang w:val="en-US" w:eastAsia="zh-CN"/>
        </w:rPr>
        <w:t xml:space="preserve"> </w:t>
      </w:r>
      <w:r>
        <w:rPr>
          <w:rFonts w:hint="eastAsia" w:ascii="宋体" w:hAnsi="宋体" w:cs="宋体"/>
          <w:szCs w:val="21"/>
          <w:highlight w:val="none"/>
        </w:rPr>
        <w:t>投标文件需要签章的位置必须按照招标文件要求加盖</w:t>
      </w:r>
      <w:r>
        <w:rPr>
          <w:rFonts w:hint="eastAsia" w:ascii="宋体" w:hAnsi="宋体" w:cs="宋体"/>
          <w:szCs w:val="21"/>
          <w:highlight w:val="none"/>
          <w:lang w:eastAsia="zh-CN"/>
        </w:rPr>
        <w:t>公</w:t>
      </w:r>
      <w:r>
        <w:rPr>
          <w:rFonts w:hint="eastAsia" w:ascii="宋体" w:hAnsi="宋体" w:cs="宋体"/>
          <w:szCs w:val="21"/>
          <w:highlight w:val="none"/>
        </w:rPr>
        <w:t>章。由投标人的法定代表人签字的，应附法定代表人身份证明，由委托代理人签字的，应附由法定代表人签署的授权委托书。</w:t>
      </w:r>
    </w:p>
    <w:p w14:paraId="29E1FC5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3.7.4</w:t>
      </w:r>
      <w:r>
        <w:rPr>
          <w:rFonts w:hint="eastAsia" w:ascii="宋体" w:hAnsi="宋体" w:cs="宋体"/>
          <w:szCs w:val="21"/>
          <w:highlight w:val="none"/>
          <w:lang w:val="en-US" w:eastAsia="zh-CN"/>
        </w:rPr>
        <w:t xml:space="preserve"> </w:t>
      </w:r>
      <w:r>
        <w:rPr>
          <w:rFonts w:hint="eastAsia" w:ascii="宋体" w:hAnsi="宋体" w:cs="宋体"/>
          <w:szCs w:val="21"/>
          <w:highlight w:val="none"/>
        </w:rPr>
        <w:t>施工组织设计暗标要求见投标人须知前附表。</w:t>
      </w:r>
    </w:p>
    <w:p w14:paraId="782F7F03">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3.7.5</w:t>
      </w:r>
      <w:r>
        <w:rPr>
          <w:rFonts w:hint="eastAsia" w:ascii="宋体" w:hAnsi="宋体" w:cs="宋体"/>
          <w:szCs w:val="21"/>
          <w:highlight w:val="none"/>
          <w:lang w:val="en-US" w:eastAsia="zh-CN"/>
        </w:rPr>
        <w:t xml:space="preserve"> </w:t>
      </w:r>
      <w:r>
        <w:rPr>
          <w:rFonts w:hint="eastAsia" w:ascii="宋体" w:hAnsi="宋体" w:cs="宋体"/>
          <w:szCs w:val="21"/>
          <w:highlight w:val="none"/>
        </w:rPr>
        <w:t>投标文件编制的其他要求详见投标人须知前附表。</w:t>
      </w:r>
    </w:p>
    <w:p w14:paraId="09BD075A">
      <w:pPr>
        <w:pStyle w:val="3"/>
        <w:pageBreakBefore w:val="0"/>
        <w:kinsoku/>
        <w:wordWrap/>
        <w:overflowPunct/>
        <w:topLinePunct w:val="0"/>
        <w:bidi w:val="0"/>
        <w:snapToGrid w:val="0"/>
        <w:spacing w:before="0" w:after="0" w:line="360" w:lineRule="auto"/>
        <w:textAlignment w:val="auto"/>
        <w:rPr>
          <w:rFonts w:hint="eastAsia" w:ascii="宋体" w:hAnsi="宋体" w:cs="宋体"/>
          <w:sz w:val="24"/>
          <w:szCs w:val="24"/>
          <w:highlight w:val="none"/>
        </w:rPr>
      </w:pPr>
      <w:bookmarkStart w:id="484" w:name="_Toc6600"/>
      <w:bookmarkStart w:id="485" w:name="_Toc144974523"/>
      <w:bookmarkStart w:id="486" w:name="_Toc4165"/>
      <w:bookmarkStart w:id="487" w:name="_Toc18829"/>
      <w:bookmarkStart w:id="488" w:name="_Toc14540"/>
      <w:bookmarkStart w:id="489" w:name="_Toc152042331"/>
      <w:bookmarkStart w:id="490" w:name="_Toc7336"/>
      <w:bookmarkStart w:id="491" w:name="_Toc32116"/>
      <w:bookmarkStart w:id="492" w:name="_Toc9415"/>
      <w:bookmarkStart w:id="493" w:name="_Toc27558"/>
      <w:bookmarkStart w:id="494" w:name="_Toc152045555"/>
      <w:bookmarkStart w:id="495" w:name="_Toc26464"/>
      <w:bookmarkStart w:id="496" w:name="_Toc227984024"/>
      <w:bookmarkStart w:id="497" w:name="_Toc269886762"/>
      <w:bookmarkStart w:id="498" w:name="_Toc29450"/>
      <w:bookmarkStart w:id="499" w:name="_Toc8103"/>
      <w:bookmarkStart w:id="500" w:name="_Toc2210"/>
      <w:r>
        <w:rPr>
          <w:rFonts w:hint="eastAsia" w:ascii="宋体" w:hAnsi="宋体" w:cs="宋体"/>
          <w:sz w:val="24"/>
          <w:szCs w:val="24"/>
          <w:highlight w:val="none"/>
        </w:rPr>
        <w:t>4. 投标</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14:paraId="7AEA0118">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eastAsia="宋体" w:cs="宋体"/>
          <w:sz w:val="21"/>
          <w:szCs w:val="21"/>
          <w:highlight w:val="none"/>
          <w:lang w:eastAsia="zh-CN"/>
        </w:rPr>
      </w:pPr>
      <w:bookmarkStart w:id="501" w:name="_Toc12126"/>
      <w:bookmarkStart w:id="502" w:name="_Toc200"/>
      <w:bookmarkStart w:id="503" w:name="_Toc814"/>
      <w:bookmarkStart w:id="504" w:name="_Toc31936"/>
      <w:bookmarkStart w:id="505" w:name="_Toc3340"/>
      <w:bookmarkStart w:id="506" w:name="_Toc15063"/>
      <w:bookmarkStart w:id="507" w:name="_Toc8591"/>
      <w:bookmarkStart w:id="508" w:name="_Toc8199"/>
      <w:bookmarkStart w:id="509" w:name="_Toc28375"/>
      <w:bookmarkStart w:id="510" w:name="_Toc3377"/>
      <w:bookmarkStart w:id="511" w:name="_Toc29537"/>
      <w:r>
        <w:rPr>
          <w:rFonts w:hint="eastAsia" w:ascii="宋体" w:hAnsi="宋体" w:cs="宋体"/>
          <w:sz w:val="21"/>
          <w:szCs w:val="21"/>
          <w:highlight w:val="none"/>
        </w:rPr>
        <w:t>4.1 投标文件的</w:t>
      </w:r>
      <w:bookmarkEnd w:id="501"/>
      <w:bookmarkEnd w:id="502"/>
      <w:bookmarkEnd w:id="503"/>
      <w:bookmarkEnd w:id="504"/>
      <w:bookmarkEnd w:id="505"/>
      <w:bookmarkEnd w:id="506"/>
      <w:bookmarkEnd w:id="507"/>
      <w:bookmarkEnd w:id="508"/>
      <w:bookmarkEnd w:id="509"/>
      <w:bookmarkEnd w:id="510"/>
      <w:bookmarkEnd w:id="511"/>
      <w:r>
        <w:rPr>
          <w:rFonts w:hint="eastAsia" w:ascii="宋体" w:hAnsi="宋体" w:cs="宋体"/>
          <w:sz w:val="21"/>
          <w:szCs w:val="21"/>
          <w:highlight w:val="none"/>
          <w:lang w:eastAsia="zh-CN"/>
        </w:rPr>
        <w:t>密封</w:t>
      </w:r>
    </w:p>
    <w:p w14:paraId="071EF39D">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4.1.1潜在投标人应当按照招标文件规定的内容和格式编制、签名、密</w:t>
      </w:r>
      <w:r>
        <w:rPr>
          <w:rFonts w:hint="eastAsia" w:ascii="宋体" w:hAnsi="宋体" w:cs="宋体"/>
          <w:szCs w:val="21"/>
          <w:highlight w:val="none"/>
          <w:lang w:eastAsia="zh-CN"/>
        </w:rPr>
        <w:t>封</w:t>
      </w:r>
      <w:r>
        <w:rPr>
          <w:rFonts w:hint="eastAsia" w:ascii="宋体" w:hAnsi="宋体" w:cs="宋体"/>
          <w:szCs w:val="21"/>
          <w:highlight w:val="none"/>
        </w:rPr>
        <w:t>、递交投标文件。。投标文件密</w:t>
      </w:r>
      <w:r>
        <w:rPr>
          <w:rFonts w:hint="eastAsia" w:ascii="宋体" w:hAnsi="宋体" w:cs="宋体"/>
          <w:szCs w:val="21"/>
          <w:highlight w:val="none"/>
          <w:lang w:eastAsia="zh-CN"/>
        </w:rPr>
        <w:t>封</w:t>
      </w:r>
      <w:r>
        <w:rPr>
          <w:rFonts w:hint="eastAsia" w:ascii="宋体" w:hAnsi="宋体" w:cs="宋体"/>
          <w:szCs w:val="21"/>
          <w:highlight w:val="none"/>
        </w:rPr>
        <w:t>要求具体见投标人须知前附表。</w:t>
      </w:r>
    </w:p>
    <w:p w14:paraId="5178F81F">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512" w:name="_Toc20350"/>
      <w:bookmarkStart w:id="513" w:name="_Toc30898"/>
      <w:bookmarkStart w:id="514" w:name="_Toc211"/>
      <w:bookmarkStart w:id="515" w:name="_Toc9339"/>
      <w:bookmarkStart w:id="516" w:name="_Toc27258"/>
      <w:bookmarkStart w:id="517" w:name="_Toc2148"/>
      <w:bookmarkStart w:id="518" w:name="_Toc22427"/>
      <w:bookmarkStart w:id="519" w:name="_Toc6903"/>
      <w:bookmarkStart w:id="520" w:name="_Toc18510"/>
      <w:bookmarkStart w:id="521" w:name="_Toc17953"/>
      <w:bookmarkStart w:id="522" w:name="_Toc11105"/>
      <w:bookmarkStart w:id="523" w:name="_Toc27448"/>
      <w:r>
        <w:rPr>
          <w:rFonts w:hint="eastAsia" w:ascii="宋体" w:hAnsi="宋体" w:cs="宋体"/>
          <w:sz w:val="21"/>
          <w:szCs w:val="21"/>
          <w:highlight w:val="none"/>
        </w:rPr>
        <w:t>4.2 投标文件的递交</w:t>
      </w:r>
      <w:bookmarkEnd w:id="512"/>
      <w:bookmarkEnd w:id="513"/>
      <w:bookmarkEnd w:id="514"/>
      <w:bookmarkEnd w:id="515"/>
      <w:bookmarkEnd w:id="516"/>
      <w:bookmarkEnd w:id="517"/>
      <w:bookmarkEnd w:id="518"/>
      <w:bookmarkEnd w:id="519"/>
      <w:bookmarkEnd w:id="520"/>
      <w:bookmarkEnd w:id="521"/>
      <w:bookmarkEnd w:id="522"/>
      <w:bookmarkEnd w:id="523"/>
    </w:p>
    <w:p w14:paraId="4CE44005">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4.2.1投标人应在投标人须知前附表规定的投标截止时间前递交投标文件。投标人应充分考虑递交投标文件时的不可预见因素，未在投标截止时间前完成递交的，</w:t>
      </w:r>
      <w:r>
        <w:rPr>
          <w:rFonts w:hint="eastAsia" w:ascii="宋体" w:hAnsi="宋体" w:cs="宋体"/>
          <w:szCs w:val="21"/>
          <w:highlight w:val="none"/>
          <w:lang w:eastAsia="zh-CN"/>
        </w:rPr>
        <w:t>招标人将</w:t>
      </w:r>
      <w:r>
        <w:rPr>
          <w:rFonts w:hint="eastAsia" w:ascii="宋体" w:hAnsi="宋体" w:cs="宋体"/>
          <w:szCs w:val="21"/>
          <w:highlight w:val="none"/>
        </w:rPr>
        <w:t>拒绝其投标文件。</w:t>
      </w:r>
    </w:p>
    <w:p w14:paraId="35DC0B02">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4.2.2投标人递交投标文件的地点：见投标人须知前附表。</w:t>
      </w:r>
    </w:p>
    <w:p w14:paraId="74EE746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4.2.3除投标人须知前附表另有规定外，投标人所递交的投标文件不予退还。</w:t>
      </w:r>
    </w:p>
    <w:p w14:paraId="2DD2A87D">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4.2.4逾期送达的或者未送达指定地点的投标文件，招标人不予受理。</w:t>
      </w:r>
    </w:p>
    <w:p w14:paraId="589AC66A">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524" w:name="_Toc16207"/>
      <w:bookmarkStart w:id="525" w:name="_Toc4538"/>
      <w:bookmarkStart w:id="526" w:name="_Toc7492"/>
      <w:bookmarkStart w:id="527" w:name="_Toc15669"/>
      <w:bookmarkStart w:id="528" w:name="_Toc31223"/>
      <w:bookmarkStart w:id="529" w:name="_Toc12757"/>
      <w:bookmarkStart w:id="530" w:name="_Toc27832"/>
      <w:bookmarkStart w:id="531" w:name="_Toc24908"/>
      <w:bookmarkStart w:id="532" w:name="_Toc14879"/>
      <w:bookmarkStart w:id="533" w:name="_Toc20710"/>
      <w:bookmarkStart w:id="534" w:name="_Toc1332"/>
      <w:bookmarkStart w:id="535" w:name="_Toc17874"/>
      <w:r>
        <w:rPr>
          <w:rFonts w:hint="eastAsia" w:ascii="宋体" w:hAnsi="宋体" w:cs="宋体"/>
          <w:sz w:val="21"/>
          <w:szCs w:val="21"/>
          <w:highlight w:val="none"/>
        </w:rPr>
        <w:t>4.3 投标文件的修改与撤回</w:t>
      </w:r>
      <w:bookmarkEnd w:id="524"/>
      <w:bookmarkEnd w:id="525"/>
      <w:bookmarkEnd w:id="526"/>
      <w:bookmarkEnd w:id="527"/>
      <w:bookmarkEnd w:id="528"/>
      <w:bookmarkEnd w:id="529"/>
      <w:bookmarkEnd w:id="530"/>
      <w:bookmarkEnd w:id="531"/>
      <w:bookmarkEnd w:id="532"/>
      <w:bookmarkEnd w:id="533"/>
      <w:bookmarkEnd w:id="534"/>
      <w:bookmarkEnd w:id="535"/>
    </w:p>
    <w:p w14:paraId="08CFDAA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szCs w:val="21"/>
          <w:highlight w:val="none"/>
        </w:rPr>
      </w:pPr>
      <w:bookmarkStart w:id="536" w:name="_Toc152045559"/>
      <w:bookmarkStart w:id="537" w:name="_Toc227984028"/>
      <w:bookmarkStart w:id="538" w:name="_Toc152042335"/>
      <w:bookmarkStart w:id="539" w:name="_Toc269886766"/>
      <w:bookmarkStart w:id="540" w:name="_Toc144974527"/>
      <w:r>
        <w:rPr>
          <w:rFonts w:hint="eastAsia" w:ascii="宋体" w:hAnsi="宋体" w:eastAsia="宋体" w:cs="宋体"/>
          <w:szCs w:val="21"/>
          <w:highlight w:val="none"/>
        </w:rPr>
        <w:t>在本章第4.2.1项规定的投标截止时间前，投标人可以对已经递交的投标文件进行修改或者撤回，但所递交的修改或撤回通知必须按招标文件的规定进行编制、密封、标志</w:t>
      </w:r>
      <w:r>
        <w:rPr>
          <w:rFonts w:hint="eastAsia" w:ascii="宋体" w:hAnsi="宋体" w:eastAsia="宋体" w:cs="宋体"/>
          <w:szCs w:val="21"/>
          <w:highlight w:val="none"/>
          <w:lang w:eastAsia="zh-CN"/>
        </w:rPr>
        <w:t>（</w:t>
      </w:r>
      <w:r>
        <w:rPr>
          <w:rFonts w:hint="eastAsia" w:ascii="宋体" w:hAnsi="宋体" w:eastAsia="宋体" w:cs="宋体"/>
          <w:szCs w:val="21"/>
          <w:highlight w:val="none"/>
        </w:rPr>
        <w:t>在包封上标明“修改”或“撤回”字样，并注明修改或撤回的时间</w:t>
      </w:r>
      <w:r>
        <w:rPr>
          <w:rFonts w:hint="eastAsia" w:ascii="宋体" w:hAnsi="宋体" w:eastAsia="宋体" w:cs="宋体"/>
          <w:szCs w:val="21"/>
          <w:highlight w:val="none"/>
          <w:lang w:eastAsia="zh-CN"/>
        </w:rPr>
        <w:t>）</w:t>
      </w:r>
      <w:r>
        <w:rPr>
          <w:rFonts w:hint="eastAsia" w:ascii="宋体" w:hAnsi="宋体" w:eastAsia="宋体" w:cs="宋体"/>
          <w:szCs w:val="21"/>
          <w:highlight w:val="none"/>
        </w:rPr>
        <w:t>和递交。投标截止时间之后，投标人不得修改或撤回投标文件。</w:t>
      </w:r>
    </w:p>
    <w:p w14:paraId="6FA67B1C">
      <w:pPr>
        <w:pStyle w:val="3"/>
        <w:keepNext w:val="0"/>
        <w:keepLines w:val="0"/>
        <w:pageBreakBefore w:val="0"/>
        <w:widowControl w:val="0"/>
        <w:kinsoku/>
        <w:wordWrap/>
        <w:overflowPunct/>
        <w:topLinePunct w:val="0"/>
        <w:autoSpaceDE/>
        <w:autoSpaceDN/>
        <w:bidi w:val="0"/>
        <w:snapToGrid w:val="0"/>
        <w:spacing w:before="0" w:after="0" w:line="360" w:lineRule="auto"/>
        <w:textAlignment w:val="auto"/>
        <w:rPr>
          <w:rFonts w:hint="eastAsia" w:ascii="宋体" w:hAnsi="宋体" w:cs="宋体"/>
          <w:sz w:val="24"/>
          <w:szCs w:val="24"/>
          <w:highlight w:val="none"/>
        </w:rPr>
      </w:pPr>
      <w:bookmarkStart w:id="541" w:name="_Toc23222"/>
      <w:bookmarkStart w:id="542" w:name="_Toc31600"/>
      <w:bookmarkStart w:id="543" w:name="_Toc12467"/>
      <w:bookmarkStart w:id="544" w:name="_Toc8837"/>
      <w:bookmarkStart w:id="545" w:name="_Toc9140"/>
      <w:bookmarkStart w:id="546" w:name="_Toc24652"/>
      <w:bookmarkStart w:id="547" w:name="_Toc839"/>
      <w:bookmarkStart w:id="548" w:name="_Toc18444"/>
      <w:bookmarkStart w:id="549" w:name="_Toc10620"/>
      <w:bookmarkStart w:id="550" w:name="_Toc258"/>
      <w:bookmarkStart w:id="551" w:name="_Toc30784"/>
      <w:bookmarkStart w:id="552" w:name="_Toc20525"/>
      <w:r>
        <w:rPr>
          <w:rFonts w:hint="eastAsia" w:ascii="宋体" w:hAnsi="宋体" w:cs="宋体"/>
          <w:sz w:val="24"/>
          <w:szCs w:val="24"/>
          <w:highlight w:val="none"/>
        </w:rPr>
        <w:t>5. 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43567DC5">
      <w:pPr>
        <w:pStyle w:val="4"/>
        <w:keepNext w:val="0"/>
        <w:keepLines w:val="0"/>
        <w:pageBreakBefore w:val="0"/>
        <w:widowControl w:val="0"/>
        <w:kinsoku/>
        <w:wordWrap/>
        <w:overflowPunct/>
        <w:topLinePunct w:val="0"/>
        <w:autoSpaceDE/>
        <w:autoSpaceDN/>
        <w:bidi w:val="0"/>
        <w:snapToGrid w:val="0"/>
        <w:spacing w:before="0" w:after="0" w:line="360" w:lineRule="auto"/>
        <w:ind w:firstLine="369" w:firstLineChars="175"/>
        <w:textAlignment w:val="auto"/>
        <w:rPr>
          <w:rFonts w:hint="eastAsia" w:ascii="宋体" w:hAnsi="宋体" w:cs="宋体"/>
          <w:sz w:val="21"/>
          <w:szCs w:val="21"/>
          <w:highlight w:val="none"/>
        </w:rPr>
      </w:pPr>
      <w:bookmarkStart w:id="553" w:name="_Toc19053"/>
      <w:bookmarkStart w:id="554" w:name="_Toc8098"/>
      <w:bookmarkStart w:id="555" w:name="_Toc20491"/>
      <w:bookmarkStart w:id="556" w:name="_Toc281"/>
      <w:bookmarkStart w:id="557" w:name="_Toc20782"/>
      <w:bookmarkStart w:id="558" w:name="_Toc29953"/>
      <w:bookmarkStart w:id="559" w:name="_Toc12331"/>
      <w:bookmarkStart w:id="560" w:name="_Toc12944"/>
      <w:bookmarkStart w:id="561" w:name="_Toc31353"/>
      <w:bookmarkStart w:id="562" w:name="_Toc5274"/>
      <w:bookmarkStart w:id="563" w:name="_Toc22022"/>
      <w:bookmarkStart w:id="564" w:name="_Toc387526403"/>
      <w:bookmarkStart w:id="565" w:name="_Toc397928579"/>
      <w:bookmarkStart w:id="566" w:name="_Toc387526207"/>
      <w:bookmarkStart w:id="567" w:name="_Toc387526311"/>
      <w:bookmarkStart w:id="568" w:name="_Toc3233"/>
      <w:r>
        <w:rPr>
          <w:rFonts w:hint="eastAsia" w:ascii="宋体" w:hAnsi="宋体" w:cs="宋体"/>
          <w:sz w:val="21"/>
          <w:szCs w:val="21"/>
          <w:highlight w:val="none"/>
        </w:rPr>
        <w:t>5.1 开标时间和地点</w:t>
      </w:r>
      <w:bookmarkEnd w:id="553"/>
      <w:bookmarkEnd w:id="554"/>
      <w:bookmarkEnd w:id="555"/>
      <w:bookmarkEnd w:id="556"/>
      <w:bookmarkEnd w:id="557"/>
      <w:bookmarkEnd w:id="558"/>
      <w:bookmarkEnd w:id="559"/>
      <w:bookmarkEnd w:id="560"/>
      <w:bookmarkEnd w:id="561"/>
      <w:bookmarkEnd w:id="562"/>
      <w:bookmarkEnd w:id="563"/>
    </w:p>
    <w:p w14:paraId="209E3DD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5.1.1招标人在投标人须知前附表规定的开标时间和地点公开开标，所有投标人应在投标截止前</w:t>
      </w:r>
      <w:r>
        <w:rPr>
          <w:rFonts w:hint="eastAsia" w:ascii="宋体" w:hAnsi="宋体" w:cs="宋体"/>
          <w:szCs w:val="21"/>
          <w:highlight w:val="none"/>
          <w:lang w:eastAsia="zh-CN"/>
        </w:rPr>
        <w:t>至开标地点</w:t>
      </w:r>
      <w:r>
        <w:rPr>
          <w:rFonts w:hint="eastAsia" w:ascii="宋体" w:hAnsi="宋体" w:cs="宋体"/>
          <w:szCs w:val="21"/>
          <w:highlight w:val="none"/>
        </w:rPr>
        <w:t>参加开标会。</w:t>
      </w:r>
    </w:p>
    <w:p w14:paraId="7F27487D">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5.1.2投标人参加开标会人员要求：见前附表须知。</w:t>
      </w:r>
    </w:p>
    <w:p w14:paraId="75FBF375">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569" w:name="_Toc16557"/>
      <w:bookmarkStart w:id="570" w:name="_Toc14431"/>
      <w:bookmarkStart w:id="571" w:name="_Toc4933"/>
      <w:bookmarkStart w:id="572" w:name="_Toc9934"/>
      <w:bookmarkStart w:id="573" w:name="_Toc27799"/>
      <w:bookmarkStart w:id="574" w:name="_Toc31364"/>
      <w:bookmarkStart w:id="575" w:name="_Toc956"/>
      <w:bookmarkStart w:id="576" w:name="_Toc1432"/>
      <w:bookmarkStart w:id="577" w:name="_Toc29719"/>
      <w:bookmarkStart w:id="578" w:name="_Toc25187"/>
      <w:bookmarkStart w:id="579" w:name="_Toc12127"/>
      <w:r>
        <w:rPr>
          <w:rFonts w:hint="eastAsia" w:ascii="宋体" w:hAnsi="宋体" w:cs="宋体"/>
          <w:sz w:val="21"/>
          <w:szCs w:val="21"/>
          <w:highlight w:val="none"/>
        </w:rPr>
        <w:t>5.2 开标程序</w:t>
      </w:r>
      <w:bookmarkEnd w:id="569"/>
      <w:bookmarkEnd w:id="570"/>
      <w:bookmarkEnd w:id="571"/>
      <w:bookmarkEnd w:id="572"/>
      <w:bookmarkEnd w:id="573"/>
      <w:bookmarkEnd w:id="574"/>
      <w:bookmarkEnd w:id="575"/>
      <w:bookmarkEnd w:id="576"/>
      <w:bookmarkEnd w:id="577"/>
      <w:bookmarkEnd w:id="578"/>
      <w:bookmarkEnd w:id="579"/>
    </w:p>
    <w:bookmarkEnd w:id="564"/>
    <w:bookmarkEnd w:id="565"/>
    <w:bookmarkEnd w:id="566"/>
    <w:bookmarkEnd w:id="567"/>
    <w:bookmarkEnd w:id="568"/>
    <w:p w14:paraId="3B6F4082">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主持人按下列程序进行开标：</w:t>
      </w:r>
    </w:p>
    <w:p w14:paraId="7A8159C9">
      <w:pPr>
        <w:pageBreakBefore w:val="0"/>
        <w:widowControl/>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kern w:val="0"/>
          <w:szCs w:val="21"/>
          <w:highlight w:val="none"/>
          <w:lang w:bidi="ar"/>
        </w:rPr>
        <w:t xml:space="preserve">（1）公布投标人名单； </w:t>
      </w:r>
    </w:p>
    <w:p w14:paraId="61B8093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w:t>
      </w:r>
      <w:r>
        <w:rPr>
          <w:rFonts w:hint="eastAsia" w:ascii="宋体" w:hAnsi="宋体" w:cs="宋体"/>
          <w:szCs w:val="21"/>
          <w:highlight w:val="none"/>
          <w:lang w:eastAsia="zh-CN"/>
        </w:rPr>
        <w:t>解封投标人的资格审查文件</w:t>
      </w:r>
      <w:r>
        <w:rPr>
          <w:rFonts w:hint="eastAsia" w:ascii="宋体" w:hAnsi="宋体" w:cs="宋体"/>
          <w:szCs w:val="21"/>
          <w:highlight w:val="none"/>
        </w:rPr>
        <w:t>；</w:t>
      </w:r>
    </w:p>
    <w:p w14:paraId="51104742">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（3）按招标文件要求随机抽取评标相关参数；</w:t>
      </w:r>
    </w:p>
    <w:p w14:paraId="270A0EAA">
      <w:pPr>
        <w:pageBreakBefore w:val="0"/>
        <w:widowControl/>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kern w:val="0"/>
          <w:szCs w:val="21"/>
          <w:highlight w:val="none"/>
          <w:lang w:bidi="ar"/>
        </w:rPr>
        <w:t>（4）</w:t>
      </w:r>
      <w:r>
        <w:rPr>
          <w:rFonts w:hint="eastAsia" w:ascii="宋体" w:hAnsi="宋体" w:cs="宋体"/>
          <w:szCs w:val="21"/>
          <w:highlight w:val="none"/>
          <w:lang w:eastAsia="zh-CN"/>
        </w:rPr>
        <w:t>解封投标人的商务标文件，并</w:t>
      </w:r>
      <w:r>
        <w:rPr>
          <w:rFonts w:hint="eastAsia" w:ascii="宋体" w:hAnsi="宋体" w:cs="宋体"/>
          <w:kern w:val="0"/>
          <w:szCs w:val="21"/>
          <w:highlight w:val="none"/>
          <w:lang w:bidi="ar"/>
        </w:rPr>
        <w:t>公</w:t>
      </w:r>
      <w:r>
        <w:rPr>
          <w:rFonts w:hint="eastAsia" w:ascii="宋体" w:hAnsi="宋体" w:cs="宋体"/>
          <w:kern w:val="0"/>
          <w:szCs w:val="21"/>
          <w:highlight w:val="none"/>
          <w:lang w:eastAsia="zh-CN" w:bidi="ar"/>
        </w:rPr>
        <w:t>布开</w:t>
      </w:r>
      <w:r>
        <w:rPr>
          <w:rFonts w:hint="eastAsia" w:ascii="宋体" w:hAnsi="宋体" w:cs="宋体"/>
          <w:kern w:val="0"/>
          <w:szCs w:val="21"/>
          <w:highlight w:val="none"/>
          <w:lang w:bidi="ar"/>
        </w:rPr>
        <w:t xml:space="preserve">标结果； </w:t>
      </w:r>
    </w:p>
    <w:p w14:paraId="71A45F14">
      <w:pPr>
        <w:pageBreakBefore w:val="0"/>
        <w:widowControl/>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kern w:val="0"/>
          <w:szCs w:val="21"/>
          <w:highlight w:val="none"/>
          <w:lang w:bidi="ar"/>
        </w:rPr>
        <w:t>（</w:t>
      </w:r>
      <w:r>
        <w:rPr>
          <w:rFonts w:hint="eastAsia" w:ascii="宋体" w:hAnsi="宋体" w:cs="宋体"/>
          <w:kern w:val="0"/>
          <w:szCs w:val="21"/>
          <w:highlight w:val="none"/>
          <w:lang w:val="en-US" w:eastAsia="zh-CN" w:bidi="ar"/>
        </w:rPr>
        <w:t>5</w:t>
      </w:r>
      <w:r>
        <w:rPr>
          <w:rFonts w:hint="eastAsia" w:ascii="宋体" w:hAnsi="宋体" w:cs="宋体"/>
          <w:kern w:val="0"/>
          <w:szCs w:val="21"/>
          <w:highlight w:val="none"/>
          <w:lang w:bidi="ar"/>
        </w:rPr>
        <w:t xml:space="preserve">）投标人提出异议（如有）； </w:t>
      </w:r>
    </w:p>
    <w:p w14:paraId="4E63A831">
      <w:pPr>
        <w:pageBreakBefore w:val="0"/>
        <w:widowControl/>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kern w:val="0"/>
          <w:szCs w:val="21"/>
          <w:highlight w:val="none"/>
          <w:lang w:bidi="ar"/>
        </w:rPr>
        <w:t>（</w:t>
      </w:r>
      <w:r>
        <w:rPr>
          <w:rFonts w:hint="eastAsia" w:ascii="宋体" w:hAnsi="宋体" w:cs="宋体"/>
          <w:kern w:val="0"/>
          <w:szCs w:val="21"/>
          <w:highlight w:val="none"/>
          <w:lang w:val="en-US" w:eastAsia="zh-CN" w:bidi="ar"/>
        </w:rPr>
        <w:t>6</w:t>
      </w:r>
      <w:r>
        <w:rPr>
          <w:rFonts w:hint="eastAsia" w:ascii="宋体" w:hAnsi="宋体" w:cs="宋体"/>
          <w:kern w:val="0"/>
          <w:szCs w:val="21"/>
          <w:highlight w:val="none"/>
          <w:lang w:bidi="ar"/>
        </w:rPr>
        <w:t>）招标人答复投标人提出的异议（如有）；</w:t>
      </w:r>
    </w:p>
    <w:p w14:paraId="293C990A">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7</w:t>
      </w:r>
      <w:r>
        <w:rPr>
          <w:rFonts w:hint="eastAsia" w:ascii="宋体" w:hAnsi="宋体" w:cs="宋体"/>
          <w:szCs w:val="21"/>
          <w:highlight w:val="none"/>
        </w:rPr>
        <w:t>）全部开标结束。</w:t>
      </w:r>
    </w:p>
    <w:p w14:paraId="09074597">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580" w:name="_Toc27721"/>
      <w:bookmarkStart w:id="581" w:name="_Toc4852"/>
      <w:bookmarkStart w:id="582" w:name="_Toc11746"/>
      <w:bookmarkStart w:id="583" w:name="_Toc759"/>
      <w:bookmarkStart w:id="584" w:name="_Toc5811"/>
      <w:bookmarkStart w:id="585" w:name="_Toc8443"/>
      <w:bookmarkStart w:id="586" w:name="_Toc11152"/>
      <w:bookmarkStart w:id="587" w:name="_Toc2424"/>
      <w:bookmarkStart w:id="588" w:name="_Toc9758"/>
      <w:bookmarkStart w:id="589" w:name="_Toc23437"/>
      <w:r>
        <w:rPr>
          <w:rFonts w:hint="eastAsia" w:ascii="宋体" w:hAnsi="宋体" w:cs="宋体"/>
          <w:sz w:val="21"/>
          <w:szCs w:val="21"/>
          <w:highlight w:val="none"/>
        </w:rPr>
        <w:t>5.3 开标异议</w:t>
      </w:r>
      <w:bookmarkEnd w:id="580"/>
      <w:bookmarkEnd w:id="581"/>
      <w:bookmarkEnd w:id="582"/>
      <w:bookmarkEnd w:id="583"/>
      <w:bookmarkEnd w:id="584"/>
      <w:bookmarkEnd w:id="585"/>
      <w:bookmarkEnd w:id="586"/>
      <w:bookmarkEnd w:id="587"/>
      <w:bookmarkEnd w:id="588"/>
      <w:bookmarkEnd w:id="589"/>
    </w:p>
    <w:p w14:paraId="55C5063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 xml:space="preserve">投标人对开标有异议的，应当在开标现场提出，招标人当场作出答复，并制作记录。  </w:t>
      </w:r>
    </w:p>
    <w:p w14:paraId="062CF47C">
      <w:pPr>
        <w:pStyle w:val="3"/>
        <w:pageBreakBefore w:val="0"/>
        <w:kinsoku/>
        <w:wordWrap/>
        <w:overflowPunct/>
        <w:topLinePunct w:val="0"/>
        <w:bidi w:val="0"/>
        <w:snapToGrid w:val="0"/>
        <w:spacing w:before="0" w:after="0" w:line="360" w:lineRule="auto"/>
        <w:textAlignment w:val="auto"/>
        <w:rPr>
          <w:rFonts w:hint="eastAsia" w:ascii="宋体" w:hAnsi="宋体" w:cs="宋体"/>
          <w:sz w:val="24"/>
          <w:szCs w:val="24"/>
          <w:highlight w:val="none"/>
        </w:rPr>
      </w:pPr>
      <w:bookmarkStart w:id="590" w:name="_Toc32182"/>
      <w:bookmarkStart w:id="591" w:name="_Toc25557"/>
      <w:bookmarkStart w:id="592" w:name="_Toc26485"/>
      <w:bookmarkStart w:id="593" w:name="_Toc9803"/>
      <w:bookmarkStart w:id="594" w:name="_Toc16075"/>
      <w:bookmarkStart w:id="595" w:name="_Toc4922"/>
      <w:bookmarkStart w:id="596" w:name="_Toc16114"/>
      <w:bookmarkStart w:id="597" w:name="_Toc7362"/>
      <w:bookmarkStart w:id="598" w:name="_Toc24587"/>
      <w:bookmarkStart w:id="599" w:name="_Toc30325"/>
      <w:bookmarkStart w:id="600" w:name="_Toc29288"/>
      <w:r>
        <w:rPr>
          <w:rFonts w:hint="eastAsia" w:ascii="宋体" w:hAnsi="宋体" w:cs="宋体"/>
          <w:sz w:val="24"/>
          <w:szCs w:val="24"/>
          <w:highlight w:val="none"/>
        </w:rPr>
        <w:t>6. 招标人评标前准备</w:t>
      </w:r>
      <w:bookmarkEnd w:id="590"/>
      <w:bookmarkEnd w:id="591"/>
      <w:bookmarkEnd w:id="592"/>
      <w:bookmarkEnd w:id="593"/>
      <w:bookmarkEnd w:id="594"/>
      <w:bookmarkEnd w:id="595"/>
      <w:bookmarkEnd w:id="596"/>
      <w:bookmarkEnd w:id="597"/>
      <w:bookmarkEnd w:id="598"/>
      <w:bookmarkEnd w:id="599"/>
      <w:bookmarkEnd w:id="600"/>
    </w:p>
    <w:p w14:paraId="243F48C5">
      <w:pPr>
        <w:pStyle w:val="19"/>
        <w:pageBreakBefore w:val="0"/>
        <w:kinsoku/>
        <w:wordWrap/>
        <w:overflowPunct/>
        <w:topLinePunct w:val="0"/>
        <w:bidi w:val="0"/>
        <w:adjustRightInd w:val="0"/>
        <w:snapToGrid w:val="0"/>
        <w:spacing w:before="0" w:beforeAutospacing="0" w:after="0" w:afterAutospacing="0" w:line="360" w:lineRule="auto"/>
        <w:ind w:firstLine="420"/>
        <w:textAlignment w:val="auto"/>
        <w:rPr>
          <w:rFonts w:hint="eastAsia" w:cs="宋体"/>
          <w:kern w:val="2"/>
          <w:sz w:val="21"/>
          <w:szCs w:val="21"/>
          <w:highlight w:val="none"/>
        </w:rPr>
      </w:pPr>
      <w:r>
        <w:rPr>
          <w:rFonts w:hint="eastAsia" w:cs="宋体"/>
          <w:kern w:val="2"/>
          <w:sz w:val="21"/>
          <w:szCs w:val="21"/>
          <w:highlight w:val="none"/>
        </w:rPr>
        <w:t>评标前，招标人应当组织进行下列评标准备工作，并向评标委员会提供相关信息：</w:t>
      </w:r>
    </w:p>
    <w:p w14:paraId="146C8ACE">
      <w:pPr>
        <w:pStyle w:val="19"/>
        <w:pageBreakBefore w:val="0"/>
        <w:kinsoku/>
        <w:wordWrap/>
        <w:overflowPunct/>
        <w:topLinePunct w:val="0"/>
        <w:bidi w:val="0"/>
        <w:adjustRightInd w:val="0"/>
        <w:snapToGrid w:val="0"/>
        <w:spacing w:before="0" w:beforeAutospacing="0" w:after="0" w:afterAutospacing="0" w:line="360" w:lineRule="auto"/>
        <w:ind w:firstLine="420"/>
        <w:textAlignment w:val="auto"/>
        <w:rPr>
          <w:rFonts w:hint="eastAsia" w:cs="宋体"/>
          <w:kern w:val="2"/>
          <w:sz w:val="21"/>
          <w:szCs w:val="21"/>
          <w:highlight w:val="none"/>
        </w:rPr>
      </w:pPr>
      <w:r>
        <w:rPr>
          <w:rFonts w:hint="eastAsia" w:cs="宋体"/>
          <w:kern w:val="2"/>
          <w:sz w:val="21"/>
          <w:szCs w:val="21"/>
          <w:highlight w:val="none"/>
        </w:rPr>
        <w:t>（1）根据招标文件，编制评标使用的相应表格；</w:t>
      </w:r>
    </w:p>
    <w:p w14:paraId="0C0229D3">
      <w:pPr>
        <w:pStyle w:val="19"/>
        <w:pageBreakBefore w:val="0"/>
        <w:kinsoku/>
        <w:wordWrap/>
        <w:overflowPunct/>
        <w:topLinePunct w:val="0"/>
        <w:bidi w:val="0"/>
        <w:adjustRightInd w:val="0"/>
        <w:snapToGrid w:val="0"/>
        <w:spacing w:before="0" w:beforeAutospacing="0" w:after="0" w:afterAutospacing="0" w:line="360" w:lineRule="auto"/>
        <w:ind w:firstLine="420"/>
        <w:textAlignment w:val="auto"/>
        <w:rPr>
          <w:rFonts w:hint="eastAsia" w:eastAsia="宋体" w:cs="宋体"/>
          <w:kern w:val="2"/>
          <w:sz w:val="21"/>
          <w:szCs w:val="21"/>
          <w:highlight w:val="none"/>
          <w:lang w:eastAsia="zh-CN"/>
        </w:rPr>
      </w:pPr>
      <w:r>
        <w:rPr>
          <w:rFonts w:hint="eastAsia" w:cs="宋体"/>
          <w:kern w:val="2"/>
          <w:sz w:val="21"/>
          <w:szCs w:val="21"/>
          <w:highlight w:val="none"/>
        </w:rPr>
        <w:t>（2）对投标报价进行算术性校核</w:t>
      </w:r>
      <w:r>
        <w:rPr>
          <w:rFonts w:hint="eastAsia" w:cs="宋体"/>
          <w:kern w:val="2"/>
          <w:sz w:val="21"/>
          <w:szCs w:val="21"/>
          <w:highlight w:val="none"/>
          <w:lang w:eastAsia="zh-CN"/>
        </w:rPr>
        <w:t>。</w:t>
      </w:r>
    </w:p>
    <w:p w14:paraId="731FA86F">
      <w:pPr>
        <w:pStyle w:val="19"/>
        <w:pageBreakBefore w:val="0"/>
        <w:kinsoku/>
        <w:wordWrap/>
        <w:overflowPunct/>
        <w:topLinePunct w:val="0"/>
        <w:bidi w:val="0"/>
        <w:adjustRightInd w:val="0"/>
        <w:snapToGrid w:val="0"/>
        <w:spacing w:before="0" w:beforeAutospacing="0" w:after="0" w:afterAutospacing="0" w:line="360" w:lineRule="auto"/>
        <w:ind w:firstLine="420"/>
        <w:textAlignment w:val="auto"/>
        <w:rPr>
          <w:rFonts w:hint="eastAsia" w:cs="宋体"/>
          <w:kern w:val="2"/>
          <w:sz w:val="21"/>
          <w:szCs w:val="21"/>
          <w:highlight w:val="none"/>
        </w:rPr>
      </w:pPr>
      <w:r>
        <w:rPr>
          <w:rFonts w:hint="eastAsia" w:cs="宋体"/>
          <w:kern w:val="2"/>
          <w:sz w:val="21"/>
          <w:szCs w:val="21"/>
          <w:highlight w:val="none"/>
        </w:rPr>
        <w:t>招标人认为投标人的投标价有可能无法完成招标文件规定的所有工程内容，招标人可以提请评标委员会要求该投标人作出书面说明并提供相关证明材料。</w:t>
      </w:r>
    </w:p>
    <w:p w14:paraId="362CB7FF">
      <w:pPr>
        <w:pStyle w:val="3"/>
        <w:pageBreakBefore w:val="0"/>
        <w:kinsoku/>
        <w:wordWrap/>
        <w:overflowPunct/>
        <w:topLinePunct w:val="0"/>
        <w:bidi w:val="0"/>
        <w:snapToGrid w:val="0"/>
        <w:spacing w:before="0" w:after="0" w:line="360" w:lineRule="auto"/>
        <w:textAlignment w:val="auto"/>
        <w:rPr>
          <w:rFonts w:hint="eastAsia" w:ascii="宋体" w:hAnsi="宋体" w:cs="宋体"/>
          <w:sz w:val="24"/>
          <w:szCs w:val="24"/>
          <w:highlight w:val="none"/>
        </w:rPr>
      </w:pPr>
      <w:bookmarkStart w:id="601" w:name="_Toc23510"/>
      <w:bookmarkStart w:id="602" w:name="_Toc19166"/>
      <w:bookmarkStart w:id="603" w:name="_Toc11544"/>
      <w:bookmarkStart w:id="604" w:name="_Toc16849"/>
      <w:bookmarkStart w:id="605" w:name="_Toc2531"/>
      <w:bookmarkStart w:id="606" w:name="_Toc8679"/>
      <w:bookmarkStart w:id="607" w:name="_Toc2409"/>
      <w:bookmarkStart w:id="608" w:name="_Toc30468"/>
      <w:bookmarkStart w:id="609" w:name="_Toc23782"/>
      <w:bookmarkStart w:id="610" w:name="_Toc30131"/>
      <w:bookmarkStart w:id="611" w:name="_Toc4122"/>
      <w:bookmarkStart w:id="612" w:name="_Toc31741"/>
      <w:r>
        <w:rPr>
          <w:rFonts w:hint="eastAsia" w:ascii="宋体" w:hAnsi="宋体" w:cs="宋体"/>
          <w:sz w:val="24"/>
          <w:szCs w:val="24"/>
          <w:highlight w:val="none"/>
        </w:rPr>
        <w:t>7. 评标</w:t>
      </w:r>
      <w:bookmarkEnd w:id="601"/>
      <w:bookmarkEnd w:id="602"/>
      <w:bookmarkEnd w:id="603"/>
      <w:bookmarkEnd w:id="604"/>
      <w:bookmarkEnd w:id="605"/>
      <w:bookmarkEnd w:id="606"/>
      <w:bookmarkEnd w:id="607"/>
      <w:bookmarkEnd w:id="608"/>
      <w:bookmarkEnd w:id="609"/>
      <w:bookmarkEnd w:id="610"/>
      <w:bookmarkEnd w:id="611"/>
      <w:bookmarkEnd w:id="612"/>
    </w:p>
    <w:p w14:paraId="58D427EA">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613" w:name="_Toc520"/>
      <w:bookmarkStart w:id="614" w:name="_Toc8719"/>
      <w:bookmarkStart w:id="615" w:name="_Toc14418"/>
      <w:bookmarkStart w:id="616" w:name="_Toc27199"/>
      <w:bookmarkStart w:id="617" w:name="_Toc7789"/>
      <w:bookmarkStart w:id="618" w:name="_Toc15662"/>
      <w:bookmarkStart w:id="619" w:name="_Toc20106"/>
      <w:bookmarkStart w:id="620" w:name="_Toc29595"/>
      <w:bookmarkStart w:id="621" w:name="_Toc20738"/>
      <w:bookmarkStart w:id="622" w:name="_Toc31900"/>
      <w:bookmarkStart w:id="623" w:name="_Toc28274"/>
      <w:bookmarkStart w:id="624" w:name="_Toc27338"/>
      <w:r>
        <w:rPr>
          <w:rFonts w:hint="eastAsia" w:ascii="宋体" w:hAnsi="宋体" w:cs="宋体"/>
          <w:sz w:val="21"/>
          <w:szCs w:val="21"/>
          <w:highlight w:val="none"/>
        </w:rPr>
        <w:t>7.1 评标委员会</w:t>
      </w:r>
      <w:bookmarkEnd w:id="613"/>
      <w:bookmarkEnd w:id="614"/>
      <w:bookmarkEnd w:id="615"/>
      <w:bookmarkEnd w:id="616"/>
      <w:bookmarkEnd w:id="617"/>
      <w:bookmarkEnd w:id="618"/>
      <w:bookmarkEnd w:id="619"/>
      <w:bookmarkEnd w:id="620"/>
      <w:bookmarkEnd w:id="621"/>
      <w:bookmarkEnd w:id="622"/>
      <w:bookmarkEnd w:id="623"/>
      <w:bookmarkEnd w:id="624"/>
    </w:p>
    <w:p w14:paraId="24D8C48C">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7.1.1评标由招标人依法组建的评标委员会负责。评标委员会由招标人代表和有关技术、经济等方面的专家组成。评标委员会成员人数以及技术、经济等方面专家的确定方式见投标人须知前附表。</w:t>
      </w:r>
    </w:p>
    <w:p w14:paraId="1FA1B7D5">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7.1.2评标委员会成员有下列情形之一的，应当回避：</w:t>
      </w:r>
    </w:p>
    <w:p w14:paraId="5EBA9E64">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（1）投标人或投标人的主要负责人的近亲属；</w:t>
      </w:r>
    </w:p>
    <w:p w14:paraId="4B5BE3F8">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（2）项目主管部门或者行政监督部门的人员；</w:t>
      </w:r>
    </w:p>
    <w:p w14:paraId="19BCFDBF">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（3）与投标人有经济利益关系，可能影响对投标公正评审的；</w:t>
      </w:r>
    </w:p>
    <w:p w14:paraId="34B6CC39">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（4）曾因在招标、评标以及其他与招标投标有关活动中从事违法行为而受过行政处罚或刑事处罚的。</w:t>
      </w:r>
    </w:p>
    <w:p w14:paraId="427C2C3C">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（5）与投标人有其他利害关系。</w:t>
      </w:r>
    </w:p>
    <w:p w14:paraId="769469E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7.1.3评标过程中，评标委员会成员有回避事由、擅离职守或者因健康等原因不能继续评标的，招标人有权更换。被更换的评标委员会成员作出的评审结论无效，由更换后的评标委员会成员重新进行评审。</w:t>
      </w:r>
    </w:p>
    <w:p w14:paraId="051EFBC1">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625" w:name="_Toc10464"/>
      <w:bookmarkStart w:id="626" w:name="_Toc27081"/>
      <w:bookmarkStart w:id="627" w:name="_Toc29170"/>
      <w:bookmarkStart w:id="628" w:name="_Toc22079"/>
      <w:bookmarkStart w:id="629" w:name="_Toc12342"/>
      <w:bookmarkStart w:id="630" w:name="_Toc18948"/>
      <w:bookmarkStart w:id="631" w:name="_Toc15521"/>
      <w:bookmarkStart w:id="632" w:name="_Toc15604"/>
      <w:bookmarkStart w:id="633" w:name="_Toc15060"/>
      <w:bookmarkStart w:id="634" w:name="_Toc21536"/>
      <w:bookmarkStart w:id="635" w:name="_Toc29745"/>
      <w:r>
        <w:rPr>
          <w:rFonts w:hint="eastAsia" w:ascii="宋体" w:hAnsi="宋体" w:cs="宋体"/>
          <w:sz w:val="21"/>
          <w:szCs w:val="21"/>
          <w:highlight w:val="none"/>
        </w:rPr>
        <w:t>7.2 评标原则</w:t>
      </w:r>
      <w:bookmarkEnd w:id="625"/>
      <w:bookmarkEnd w:id="626"/>
      <w:bookmarkEnd w:id="627"/>
      <w:bookmarkEnd w:id="628"/>
      <w:bookmarkEnd w:id="629"/>
      <w:bookmarkEnd w:id="630"/>
      <w:bookmarkEnd w:id="631"/>
      <w:bookmarkEnd w:id="632"/>
      <w:bookmarkEnd w:id="633"/>
      <w:bookmarkEnd w:id="634"/>
      <w:bookmarkEnd w:id="635"/>
    </w:p>
    <w:p w14:paraId="730D746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评标活动遵循公平、公正、科学和择优的原则。</w:t>
      </w:r>
    </w:p>
    <w:p w14:paraId="3F793607">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636" w:name="_Toc29991"/>
      <w:bookmarkStart w:id="637" w:name="_Toc23715"/>
      <w:bookmarkStart w:id="638" w:name="_Toc10493"/>
      <w:bookmarkStart w:id="639" w:name="_Toc15247"/>
      <w:bookmarkStart w:id="640" w:name="_Toc30929"/>
      <w:bookmarkStart w:id="641" w:name="_Toc18170"/>
      <w:bookmarkStart w:id="642" w:name="_Toc31448"/>
      <w:bookmarkStart w:id="643" w:name="_Toc22858"/>
      <w:bookmarkStart w:id="644" w:name="_Toc13520"/>
      <w:bookmarkStart w:id="645" w:name="_Toc935"/>
      <w:r>
        <w:rPr>
          <w:rFonts w:hint="eastAsia" w:ascii="宋体" w:hAnsi="宋体" w:cs="宋体"/>
          <w:sz w:val="21"/>
          <w:szCs w:val="21"/>
          <w:highlight w:val="none"/>
        </w:rPr>
        <w:t>7.3 评标</w:t>
      </w:r>
      <w:bookmarkEnd w:id="636"/>
      <w:bookmarkEnd w:id="637"/>
      <w:bookmarkEnd w:id="638"/>
      <w:bookmarkEnd w:id="639"/>
      <w:bookmarkEnd w:id="640"/>
      <w:bookmarkEnd w:id="641"/>
      <w:bookmarkEnd w:id="642"/>
      <w:bookmarkEnd w:id="643"/>
      <w:bookmarkEnd w:id="644"/>
      <w:bookmarkEnd w:id="645"/>
    </w:p>
    <w:p w14:paraId="47A4AAF2">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7.3.1评标委员会按照第三章“评标办法”规定的方法、评审因素、标准和程序对投标文件进行评审，并对招标人提供的评标准备报告相关信息进行复核，发现错误或者遗漏的，应当进行补正。第三章“评标办法”没有规定的方法、评审因素和标准，不作为评标依据。</w:t>
      </w:r>
    </w:p>
    <w:p w14:paraId="72AD38E0">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7.3.2评标完成后，评标委员会应当向招标人提交书面评标报告和中标候选人名单。评标委员会推荐中标候选人的人数见投标人须知前附表。</w:t>
      </w:r>
    </w:p>
    <w:p w14:paraId="39B3130D">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646" w:name="_Toc30264"/>
      <w:bookmarkStart w:id="647" w:name="_Toc2525"/>
      <w:bookmarkStart w:id="648" w:name="_Toc7984"/>
      <w:bookmarkStart w:id="649" w:name="_Toc20885"/>
      <w:bookmarkStart w:id="650" w:name="_Toc15563"/>
      <w:bookmarkStart w:id="651" w:name="_Toc11206"/>
      <w:bookmarkStart w:id="652" w:name="_Toc9742"/>
      <w:bookmarkStart w:id="653" w:name="_Toc20675"/>
      <w:bookmarkStart w:id="654" w:name="_Toc30315"/>
      <w:bookmarkStart w:id="655" w:name="_Toc13166"/>
      <w:bookmarkStart w:id="656" w:name="_Toc21392"/>
      <w:bookmarkStart w:id="657" w:name="_Toc18514"/>
      <w:r>
        <w:rPr>
          <w:rFonts w:hint="eastAsia" w:ascii="宋体" w:hAnsi="宋体" w:cs="宋体"/>
          <w:sz w:val="21"/>
          <w:szCs w:val="21"/>
          <w:highlight w:val="none"/>
        </w:rPr>
        <w:t>7.4 评标结果（中标候选人）公示</w:t>
      </w:r>
      <w:bookmarkEnd w:id="646"/>
      <w:bookmarkEnd w:id="647"/>
      <w:bookmarkEnd w:id="648"/>
      <w:bookmarkEnd w:id="649"/>
      <w:bookmarkEnd w:id="650"/>
      <w:bookmarkEnd w:id="651"/>
      <w:bookmarkEnd w:id="652"/>
      <w:bookmarkEnd w:id="653"/>
      <w:bookmarkEnd w:id="654"/>
      <w:bookmarkEnd w:id="655"/>
      <w:bookmarkEnd w:id="656"/>
      <w:bookmarkEnd w:id="657"/>
    </w:p>
    <w:p w14:paraId="319DCA37">
      <w:pPr>
        <w:pageBreakBefore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 xml:space="preserve">7.4.1招标人在收到评标报告之日起3日内发布评标结果公示，公示期不少于3日。 </w:t>
      </w:r>
    </w:p>
    <w:p w14:paraId="2603E180">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7.4.2投标人或者其他利害关系人对评标结果有异议的，应当在评标结果公示期间向招标人提出。招标人将在收到异议之日起3日内作出答复；作出答复前，将暂停招标投标活动。投标人或者其他利害关系人对招标人的答复不满意或者招标人拒不答复的，可以按照本章10.5条的规定程序向有关监督部门提出投诉。</w:t>
      </w:r>
    </w:p>
    <w:p w14:paraId="4070D3EE">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7.4.3招标人在异议处理过程中认为需要重新评标的，将书面报告</w:t>
      </w:r>
      <w:r>
        <w:rPr>
          <w:rFonts w:hint="eastAsia" w:ascii="宋体" w:hAnsi="宋体" w:cs="宋体"/>
          <w:szCs w:val="21"/>
          <w:highlight w:val="none"/>
          <w:lang w:eastAsia="zh-CN"/>
        </w:rPr>
        <w:t>相关部门</w:t>
      </w:r>
      <w:r>
        <w:rPr>
          <w:rFonts w:hint="eastAsia" w:ascii="宋体" w:hAnsi="宋体" w:cs="宋体"/>
          <w:szCs w:val="21"/>
          <w:highlight w:val="none"/>
        </w:rPr>
        <w:t>。</w:t>
      </w:r>
    </w:p>
    <w:p w14:paraId="1E030D63">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7.4.4因招投标当事人异议、投诉</w:t>
      </w:r>
      <w:r>
        <w:rPr>
          <w:rFonts w:hint="eastAsia" w:ascii="宋体" w:hAnsi="宋体" w:cs="宋体"/>
          <w:szCs w:val="21"/>
          <w:highlight w:val="none"/>
          <w:lang w:bidi="ar"/>
        </w:rPr>
        <w:t>导致中标候选人发生改变的</w:t>
      </w:r>
      <w:r>
        <w:rPr>
          <w:rFonts w:hint="eastAsia" w:ascii="宋体" w:hAnsi="宋体" w:cs="宋体"/>
          <w:szCs w:val="21"/>
          <w:highlight w:val="none"/>
        </w:rPr>
        <w:t>，招标人将重新公示中标候选人，公示期不少于3日。</w:t>
      </w:r>
    </w:p>
    <w:p w14:paraId="65A3C063">
      <w:pPr>
        <w:pStyle w:val="3"/>
        <w:pageBreakBefore w:val="0"/>
        <w:kinsoku/>
        <w:wordWrap/>
        <w:overflowPunct/>
        <w:topLinePunct w:val="0"/>
        <w:bidi w:val="0"/>
        <w:snapToGrid w:val="0"/>
        <w:spacing w:before="0" w:after="0" w:line="360" w:lineRule="auto"/>
        <w:textAlignment w:val="auto"/>
        <w:rPr>
          <w:rFonts w:hint="eastAsia" w:ascii="宋体" w:hAnsi="宋体" w:cs="宋体"/>
          <w:sz w:val="24"/>
          <w:szCs w:val="24"/>
          <w:highlight w:val="none"/>
        </w:rPr>
      </w:pPr>
      <w:bookmarkStart w:id="658" w:name="_Toc18448"/>
      <w:bookmarkStart w:id="659" w:name="_Toc19327"/>
      <w:bookmarkStart w:id="660" w:name="_Toc21701"/>
      <w:bookmarkStart w:id="661" w:name="_Toc23213"/>
      <w:bookmarkStart w:id="662" w:name="_Toc5322"/>
      <w:bookmarkStart w:id="663" w:name="_Toc23749"/>
      <w:bookmarkStart w:id="664" w:name="_Toc21361"/>
      <w:bookmarkStart w:id="665" w:name="_Toc7290"/>
      <w:bookmarkStart w:id="666" w:name="_Toc12793"/>
      <w:bookmarkStart w:id="667" w:name="_Toc20183"/>
      <w:bookmarkStart w:id="668" w:name="_Toc24896"/>
      <w:r>
        <w:rPr>
          <w:rFonts w:hint="eastAsia" w:ascii="宋体" w:hAnsi="宋体" w:cs="宋体"/>
          <w:sz w:val="24"/>
          <w:szCs w:val="24"/>
          <w:highlight w:val="none"/>
        </w:rPr>
        <w:t>8. 合同授予</w:t>
      </w:r>
      <w:bookmarkEnd w:id="658"/>
      <w:bookmarkEnd w:id="659"/>
      <w:bookmarkEnd w:id="660"/>
      <w:bookmarkEnd w:id="661"/>
      <w:bookmarkEnd w:id="662"/>
      <w:bookmarkEnd w:id="663"/>
      <w:bookmarkEnd w:id="664"/>
      <w:bookmarkEnd w:id="665"/>
      <w:bookmarkEnd w:id="666"/>
      <w:bookmarkEnd w:id="667"/>
      <w:bookmarkEnd w:id="668"/>
    </w:p>
    <w:p w14:paraId="1F2C8FD3">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669" w:name="_Toc8903"/>
      <w:bookmarkStart w:id="670" w:name="_Toc11222"/>
      <w:bookmarkStart w:id="671" w:name="_Toc9977"/>
      <w:bookmarkStart w:id="672" w:name="_Toc5617"/>
      <w:bookmarkStart w:id="673" w:name="_Toc27364"/>
      <w:bookmarkStart w:id="674" w:name="_Toc22827"/>
      <w:bookmarkStart w:id="675" w:name="_Toc29292"/>
      <w:bookmarkStart w:id="676" w:name="_Toc6194"/>
      <w:bookmarkStart w:id="677" w:name="_Toc22781"/>
      <w:bookmarkStart w:id="678" w:name="_Toc28461"/>
      <w:bookmarkStart w:id="679" w:name="_Toc13825"/>
      <w:bookmarkStart w:id="680" w:name="_Toc19177"/>
      <w:r>
        <w:rPr>
          <w:rFonts w:hint="eastAsia" w:ascii="宋体" w:hAnsi="宋体" w:cs="宋体"/>
          <w:sz w:val="21"/>
          <w:szCs w:val="21"/>
          <w:highlight w:val="none"/>
        </w:rPr>
        <w:t>8.1 定标方式</w:t>
      </w:r>
      <w:bookmarkEnd w:id="669"/>
      <w:bookmarkEnd w:id="670"/>
      <w:bookmarkEnd w:id="671"/>
      <w:bookmarkEnd w:id="672"/>
      <w:bookmarkEnd w:id="673"/>
      <w:bookmarkEnd w:id="674"/>
      <w:bookmarkEnd w:id="675"/>
      <w:bookmarkEnd w:id="676"/>
      <w:bookmarkEnd w:id="677"/>
      <w:bookmarkEnd w:id="678"/>
      <w:bookmarkEnd w:id="679"/>
      <w:bookmarkEnd w:id="680"/>
    </w:p>
    <w:p w14:paraId="5599E153">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8.1.1除投标人须知前附表规定评标委员会直接确定中标人外，招标人依据评标委员会推荐的中标候选人确定中标人，评标委员会推荐中标候选人的人数见投标人须知前附表。</w:t>
      </w:r>
    </w:p>
    <w:p w14:paraId="5B42C866">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681" w:name="_Toc25426"/>
      <w:bookmarkStart w:id="682" w:name="_Toc25841"/>
      <w:bookmarkStart w:id="683" w:name="_Toc19305"/>
      <w:bookmarkStart w:id="684" w:name="_Toc874"/>
      <w:bookmarkStart w:id="685" w:name="_Toc27259"/>
      <w:bookmarkStart w:id="686" w:name="_Toc21920"/>
      <w:bookmarkStart w:id="687" w:name="_Toc8859"/>
      <w:bookmarkStart w:id="688" w:name="_Toc7664"/>
      <w:bookmarkStart w:id="689" w:name="_Toc23768"/>
      <w:bookmarkStart w:id="690" w:name="_Toc29885"/>
      <w:bookmarkStart w:id="691" w:name="_Toc27965"/>
      <w:bookmarkStart w:id="692" w:name="_Toc13013"/>
      <w:r>
        <w:rPr>
          <w:rFonts w:hint="eastAsia" w:ascii="宋体" w:hAnsi="宋体" w:cs="宋体"/>
          <w:sz w:val="21"/>
          <w:szCs w:val="21"/>
          <w:highlight w:val="none"/>
        </w:rPr>
        <w:t>8.2 拟定中标人公示、中标结果公告及中标通知</w:t>
      </w:r>
      <w:bookmarkEnd w:id="681"/>
      <w:bookmarkEnd w:id="682"/>
      <w:bookmarkEnd w:id="683"/>
      <w:bookmarkEnd w:id="684"/>
      <w:bookmarkEnd w:id="685"/>
      <w:bookmarkEnd w:id="686"/>
      <w:bookmarkEnd w:id="687"/>
      <w:bookmarkEnd w:id="688"/>
      <w:bookmarkEnd w:id="689"/>
      <w:bookmarkEnd w:id="690"/>
      <w:bookmarkEnd w:id="691"/>
      <w:bookmarkEnd w:id="692"/>
    </w:p>
    <w:p w14:paraId="7FBCA62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8.2.1评标结果公示期满无异议或投诉的，招标人应按规定以书面形式向中标人发出中标通知书。</w:t>
      </w:r>
    </w:p>
    <w:p w14:paraId="4866B60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投标人或者其他利害关系人对中标结果有异议的，应当在拟定中标人公示期间提出。异议或投诉处理决定不改变评标委员会推荐的中标候选人名单。中标候选人公示期间已经处理过的异议或投诉，投标人或者其他利害关系人不得在拟定中标人公示期间以相同理由再次提出相同异议或投诉。</w:t>
      </w:r>
    </w:p>
    <w:p w14:paraId="6686F6A8">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拟定中标人公示期满无异议或投诉的，招标人应在公示期满后以书面形式发出中标通知书。</w:t>
      </w:r>
    </w:p>
    <w:p w14:paraId="344F4836">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693" w:name="_Toc10206"/>
      <w:bookmarkStart w:id="694" w:name="_Toc9889"/>
      <w:bookmarkStart w:id="695" w:name="_Toc27096"/>
      <w:bookmarkStart w:id="696" w:name="_Toc726"/>
      <w:bookmarkStart w:id="697" w:name="_Toc1907"/>
      <w:bookmarkStart w:id="698" w:name="_Toc11476"/>
      <w:bookmarkStart w:id="699" w:name="_Toc18032"/>
      <w:bookmarkStart w:id="700" w:name="_Toc13470"/>
      <w:bookmarkStart w:id="701" w:name="_Toc16959"/>
      <w:bookmarkStart w:id="702" w:name="_Toc20530"/>
      <w:bookmarkStart w:id="703" w:name="_Toc25260"/>
      <w:r>
        <w:rPr>
          <w:rFonts w:hint="eastAsia" w:ascii="宋体" w:hAnsi="宋体" w:cs="宋体"/>
          <w:sz w:val="21"/>
          <w:szCs w:val="21"/>
          <w:highlight w:val="none"/>
        </w:rPr>
        <w:t>8.3 履约担保及支付担保</w:t>
      </w:r>
      <w:bookmarkEnd w:id="693"/>
      <w:bookmarkEnd w:id="694"/>
      <w:bookmarkEnd w:id="695"/>
      <w:bookmarkEnd w:id="696"/>
      <w:bookmarkEnd w:id="697"/>
      <w:bookmarkEnd w:id="698"/>
      <w:bookmarkEnd w:id="699"/>
      <w:bookmarkEnd w:id="700"/>
      <w:bookmarkEnd w:id="701"/>
      <w:bookmarkEnd w:id="702"/>
      <w:bookmarkEnd w:id="703"/>
    </w:p>
    <w:p w14:paraId="1931C48A">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8.3.1在签订合同前，中标人应按投标人须知前附表规定的金额、担保形式和招标文件第四章“合同条款及格式”规定的履约担保格式向招标人提交履约保证金。联合体中标的，其履约保证金由牵头人递交或者由联合体各方按比例分别向招标人递交，并应符合投标人须知前附表规定的金额、担保形式和招标文件第四章“合同条款及格式”规定的履约担保格式要求。</w:t>
      </w:r>
    </w:p>
    <w:p w14:paraId="683350E8">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8.3.2中标人不能按本章第8.3.1项要求提交履约保证金的，视为放弃中标，给招标人造成损失的，中标人还应当予以赔偿。</w:t>
      </w:r>
    </w:p>
    <w:p w14:paraId="096A873B">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8.3.3招标人应按规定向中标人提供工程款支付担保。</w:t>
      </w:r>
    </w:p>
    <w:p w14:paraId="64AA38B9">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704" w:name="_Toc3228"/>
      <w:bookmarkStart w:id="705" w:name="_Toc22643"/>
      <w:bookmarkStart w:id="706" w:name="_Toc18922"/>
      <w:bookmarkStart w:id="707" w:name="_Toc17646"/>
      <w:bookmarkStart w:id="708" w:name="_Toc19154"/>
      <w:bookmarkStart w:id="709" w:name="_Toc21087"/>
      <w:bookmarkStart w:id="710" w:name="_Toc9927"/>
      <w:bookmarkStart w:id="711" w:name="_Toc28430"/>
      <w:bookmarkStart w:id="712" w:name="_Toc1414"/>
      <w:bookmarkStart w:id="713" w:name="_Toc30258"/>
      <w:bookmarkStart w:id="714" w:name="_Toc17049"/>
      <w:r>
        <w:rPr>
          <w:rFonts w:hint="eastAsia" w:ascii="宋体" w:hAnsi="宋体" w:cs="宋体"/>
          <w:sz w:val="21"/>
          <w:szCs w:val="21"/>
          <w:highlight w:val="none"/>
        </w:rPr>
        <w:t>8.4 签订合同</w:t>
      </w:r>
      <w:bookmarkEnd w:id="704"/>
      <w:bookmarkEnd w:id="705"/>
      <w:bookmarkEnd w:id="706"/>
      <w:bookmarkEnd w:id="707"/>
      <w:bookmarkEnd w:id="708"/>
      <w:bookmarkEnd w:id="709"/>
      <w:bookmarkEnd w:id="710"/>
      <w:bookmarkEnd w:id="711"/>
      <w:bookmarkEnd w:id="712"/>
      <w:bookmarkEnd w:id="713"/>
      <w:bookmarkEnd w:id="714"/>
    </w:p>
    <w:p w14:paraId="3A03A63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8.4.1中标人确定后，招标人应当与中标人在投标有效期内以及中标通知书发出之日起30日内签订合同。招标人和中标人不得再行订立背离合同实质性内容的其他协议。中标人无正当理由拒签合同的，招标人取消其中标资格；给招标人造成损失的，中标人还应当予以赔偿。</w:t>
      </w:r>
    </w:p>
    <w:p w14:paraId="413C564B">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8.4.2</w:t>
      </w:r>
      <w:r>
        <w:rPr>
          <w:rFonts w:hint="eastAsia" w:ascii="宋体" w:hAnsi="宋体" w:cs="宋体"/>
          <w:szCs w:val="21"/>
          <w:highlight w:val="none"/>
          <w:lang w:val="en-US" w:eastAsia="zh-CN"/>
        </w:rPr>
        <w:t xml:space="preserve"> </w:t>
      </w:r>
      <w:r>
        <w:rPr>
          <w:rFonts w:hint="eastAsia" w:ascii="宋体" w:hAnsi="宋体" w:cs="宋体"/>
          <w:szCs w:val="21"/>
          <w:highlight w:val="none"/>
        </w:rPr>
        <w:t>排名第一的中标候选人（或者评标委员会依据招标人的授权直接确定的中标人）放弃中标，或因不可抗力提出不能履行合同，或者被查实存在影响中标结果的违法行为等情形，不符合中标条件的，招标人可以按照评标委员会提出的中标候选人名单排序依次确定其他中标候选人为中标人，依次确定其他中标候选人与招标人预期差距较大，或者对招标人明显不利的，招标人可以重新招标。</w:t>
      </w:r>
    </w:p>
    <w:p w14:paraId="070F97A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8.4.3</w:t>
      </w:r>
      <w:r>
        <w:rPr>
          <w:rFonts w:hint="eastAsia" w:ascii="宋体" w:hAnsi="宋体" w:cs="宋体"/>
          <w:szCs w:val="21"/>
          <w:highlight w:val="none"/>
          <w:lang w:val="en-US" w:eastAsia="zh-CN"/>
        </w:rPr>
        <w:t xml:space="preserve"> </w:t>
      </w:r>
      <w:r>
        <w:rPr>
          <w:rFonts w:hint="eastAsia" w:ascii="宋体" w:hAnsi="宋体" w:cs="宋体"/>
          <w:szCs w:val="21"/>
          <w:highlight w:val="none"/>
        </w:rPr>
        <w:t>发出中标通知书后，招标人无正当理由拒签合同，或者在签订合同时向中标人提出附加条件的，招标人赔偿损失。</w:t>
      </w:r>
    </w:p>
    <w:p w14:paraId="0DE6D1B9">
      <w:pPr>
        <w:pageBreakBefore w:val="0"/>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8.4.4</w:t>
      </w:r>
      <w:r>
        <w:rPr>
          <w:rFonts w:hint="eastAsia" w:ascii="宋体" w:hAnsi="宋体" w:cs="宋体"/>
          <w:szCs w:val="21"/>
          <w:highlight w:val="none"/>
          <w:lang w:val="en-US" w:eastAsia="zh-CN"/>
        </w:rPr>
        <w:t xml:space="preserve"> </w:t>
      </w:r>
      <w:r>
        <w:rPr>
          <w:rFonts w:hint="eastAsia" w:ascii="宋体" w:hAnsi="宋体" w:cs="宋体"/>
          <w:szCs w:val="21"/>
          <w:highlight w:val="none"/>
        </w:rPr>
        <w:t>联合体中标的，联合体各方应当共同与招标人签订合同，就中标项目向招标人承担连带责任</w:t>
      </w:r>
      <w:r>
        <w:rPr>
          <w:rFonts w:hint="eastAsia" w:ascii="宋体" w:hAnsi="宋体" w:cs="宋体"/>
          <w:kern w:val="0"/>
          <w:szCs w:val="21"/>
          <w:highlight w:val="none"/>
        </w:rPr>
        <w:t>。</w:t>
      </w:r>
    </w:p>
    <w:p w14:paraId="1F7F0A9C">
      <w:pPr>
        <w:pStyle w:val="3"/>
        <w:pageBreakBefore w:val="0"/>
        <w:kinsoku/>
        <w:wordWrap/>
        <w:overflowPunct/>
        <w:topLinePunct w:val="0"/>
        <w:bidi w:val="0"/>
        <w:snapToGrid w:val="0"/>
        <w:spacing w:before="0" w:after="0" w:line="360" w:lineRule="auto"/>
        <w:textAlignment w:val="auto"/>
        <w:rPr>
          <w:rFonts w:hint="eastAsia" w:ascii="宋体" w:hAnsi="宋体" w:cs="宋体"/>
          <w:sz w:val="24"/>
          <w:szCs w:val="24"/>
          <w:highlight w:val="none"/>
        </w:rPr>
      </w:pPr>
      <w:bookmarkStart w:id="715" w:name="_Toc1862"/>
      <w:bookmarkStart w:id="716" w:name="_Toc14251"/>
      <w:bookmarkStart w:id="717" w:name="_Toc27079"/>
      <w:bookmarkStart w:id="718" w:name="_Toc12243"/>
      <w:bookmarkStart w:id="719" w:name="_Toc4019"/>
      <w:bookmarkStart w:id="720" w:name="_Toc30502"/>
      <w:bookmarkStart w:id="721" w:name="_Toc9697"/>
      <w:bookmarkStart w:id="722" w:name="_Toc25953"/>
      <w:bookmarkStart w:id="723" w:name="_Toc32676"/>
      <w:bookmarkStart w:id="724" w:name="_Toc718"/>
      <w:bookmarkStart w:id="725" w:name="_Toc28157"/>
      <w:r>
        <w:rPr>
          <w:rFonts w:hint="eastAsia" w:ascii="宋体" w:hAnsi="宋体" w:cs="宋体"/>
          <w:sz w:val="24"/>
          <w:szCs w:val="24"/>
          <w:highlight w:val="none"/>
        </w:rPr>
        <w:t>9. 重新招标和不再招标</w:t>
      </w:r>
      <w:bookmarkEnd w:id="715"/>
      <w:bookmarkEnd w:id="716"/>
      <w:bookmarkEnd w:id="717"/>
      <w:bookmarkEnd w:id="718"/>
      <w:bookmarkEnd w:id="719"/>
      <w:bookmarkEnd w:id="720"/>
      <w:bookmarkEnd w:id="721"/>
      <w:bookmarkEnd w:id="722"/>
      <w:bookmarkEnd w:id="723"/>
      <w:bookmarkEnd w:id="724"/>
      <w:bookmarkEnd w:id="725"/>
    </w:p>
    <w:p w14:paraId="0E8218B8">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726" w:name="_Toc20624"/>
      <w:bookmarkStart w:id="727" w:name="_Toc10310"/>
      <w:bookmarkStart w:id="728" w:name="_Toc12741"/>
      <w:bookmarkStart w:id="729" w:name="_Toc8361"/>
      <w:bookmarkStart w:id="730" w:name="_Toc27480"/>
      <w:bookmarkStart w:id="731" w:name="_Toc20487"/>
      <w:bookmarkStart w:id="732" w:name="_Toc1316"/>
      <w:bookmarkStart w:id="733" w:name="_Toc24181"/>
      <w:bookmarkStart w:id="734" w:name="_Toc29396"/>
      <w:bookmarkStart w:id="735" w:name="_Toc5973"/>
      <w:bookmarkStart w:id="736" w:name="_Toc23130"/>
      <w:bookmarkStart w:id="737" w:name="_Toc25820"/>
      <w:r>
        <w:rPr>
          <w:rFonts w:hint="eastAsia" w:ascii="宋体" w:hAnsi="宋体" w:cs="宋体"/>
          <w:sz w:val="21"/>
          <w:szCs w:val="21"/>
          <w:highlight w:val="none"/>
        </w:rPr>
        <w:t>9.1 重新招标</w:t>
      </w:r>
      <w:bookmarkEnd w:id="726"/>
      <w:bookmarkEnd w:id="727"/>
      <w:bookmarkEnd w:id="728"/>
      <w:bookmarkEnd w:id="729"/>
      <w:bookmarkEnd w:id="730"/>
      <w:bookmarkEnd w:id="731"/>
      <w:bookmarkEnd w:id="732"/>
      <w:bookmarkEnd w:id="733"/>
      <w:bookmarkEnd w:id="734"/>
      <w:bookmarkEnd w:id="735"/>
      <w:bookmarkEnd w:id="736"/>
      <w:bookmarkEnd w:id="737"/>
    </w:p>
    <w:p w14:paraId="32DD7367">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bookmarkStart w:id="738" w:name="_Toc8488"/>
      <w:r>
        <w:rPr>
          <w:rFonts w:hint="eastAsia" w:ascii="宋体" w:hAnsi="宋体" w:cs="宋体"/>
          <w:szCs w:val="21"/>
          <w:highlight w:val="none"/>
        </w:rPr>
        <w:t>依法必须进行招标的项目有下列情形之一的，招标人应当分析原因，采取改进措施后依法重新招标：</w:t>
      </w:r>
    </w:p>
    <w:p w14:paraId="1B7E774F">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9.1.1</w:t>
      </w:r>
      <w:r>
        <w:rPr>
          <w:rFonts w:hint="eastAsia" w:ascii="宋体" w:hAnsi="宋体" w:cs="宋体"/>
          <w:szCs w:val="21"/>
          <w:highlight w:val="none"/>
          <w:lang w:val="en-US" w:eastAsia="zh-CN"/>
        </w:rPr>
        <w:t xml:space="preserve"> </w:t>
      </w:r>
      <w:r>
        <w:rPr>
          <w:rFonts w:hint="eastAsia" w:ascii="宋体" w:hAnsi="宋体" w:cs="宋体"/>
          <w:szCs w:val="21"/>
          <w:highlight w:val="none"/>
        </w:rPr>
        <w:t>获取招标文件的潜在投标人少于3个的；</w:t>
      </w:r>
    </w:p>
    <w:p w14:paraId="6EC3827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9.1.2</w:t>
      </w:r>
      <w:r>
        <w:rPr>
          <w:rFonts w:hint="eastAsia" w:ascii="宋体" w:hAnsi="宋体" w:cs="宋体"/>
          <w:szCs w:val="21"/>
          <w:highlight w:val="none"/>
          <w:lang w:val="en-US" w:eastAsia="zh-CN"/>
        </w:rPr>
        <w:t xml:space="preserve"> </w:t>
      </w:r>
      <w:r>
        <w:rPr>
          <w:rFonts w:hint="eastAsia" w:ascii="宋体" w:hAnsi="宋体" w:cs="宋体"/>
          <w:szCs w:val="21"/>
          <w:highlight w:val="none"/>
        </w:rPr>
        <w:t>投标人少于3个的；</w:t>
      </w:r>
    </w:p>
    <w:p w14:paraId="11AEAB9A">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9.1.3</w:t>
      </w:r>
      <w:r>
        <w:rPr>
          <w:rFonts w:hint="eastAsia" w:ascii="宋体" w:hAnsi="宋体" w:cs="宋体"/>
          <w:szCs w:val="21"/>
          <w:highlight w:val="none"/>
          <w:lang w:val="en-US" w:eastAsia="zh-CN"/>
        </w:rPr>
        <w:t xml:space="preserve"> </w:t>
      </w:r>
      <w:r>
        <w:rPr>
          <w:rFonts w:hint="eastAsia" w:ascii="宋体" w:hAnsi="宋体" w:cs="宋体"/>
          <w:szCs w:val="21"/>
          <w:highlight w:val="none"/>
        </w:rPr>
        <w:t>有效投标不足三个，评标委员会对有效投标是否仍具有竞争性无法达成一致意见的，决定否决全部投标；</w:t>
      </w:r>
    </w:p>
    <w:p w14:paraId="4D9DAFA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9.1.4</w:t>
      </w:r>
      <w:r>
        <w:rPr>
          <w:rFonts w:hint="eastAsia" w:ascii="宋体" w:hAnsi="宋体" w:cs="宋体"/>
          <w:szCs w:val="21"/>
          <w:highlight w:val="none"/>
          <w:lang w:val="en-US" w:eastAsia="zh-CN"/>
        </w:rPr>
        <w:t xml:space="preserve"> </w:t>
      </w:r>
      <w:r>
        <w:rPr>
          <w:rFonts w:hint="eastAsia" w:ascii="宋体" w:hAnsi="宋体" w:cs="宋体"/>
          <w:szCs w:val="21"/>
          <w:highlight w:val="none"/>
        </w:rPr>
        <w:t>所有投标均不符合招标文件要求，被评标委员会否决；</w:t>
      </w:r>
    </w:p>
    <w:p w14:paraId="06612FB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9.1.5</w:t>
      </w:r>
      <w:r>
        <w:rPr>
          <w:rFonts w:hint="eastAsia" w:ascii="宋体" w:hAnsi="宋体" w:cs="宋体"/>
          <w:szCs w:val="21"/>
          <w:highlight w:val="none"/>
          <w:lang w:val="en-US" w:eastAsia="zh-CN"/>
        </w:rPr>
        <w:t xml:space="preserve"> </w:t>
      </w:r>
      <w:r>
        <w:rPr>
          <w:rFonts w:hint="eastAsia" w:ascii="宋体" w:hAnsi="宋体" w:cs="宋体"/>
          <w:szCs w:val="21"/>
          <w:highlight w:val="none"/>
        </w:rPr>
        <w:t>招标投标过程中，因项目发生变更，现有招标资格条件无法满足项目工程规模的；</w:t>
      </w:r>
    </w:p>
    <w:p w14:paraId="754EBECF">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9.1.6</w:t>
      </w:r>
      <w:r>
        <w:rPr>
          <w:rFonts w:hint="eastAsia" w:ascii="宋体" w:hAnsi="宋体" w:cs="宋体"/>
          <w:szCs w:val="21"/>
          <w:highlight w:val="none"/>
          <w:lang w:val="en-US" w:eastAsia="zh-CN"/>
        </w:rPr>
        <w:t xml:space="preserve"> </w:t>
      </w:r>
      <w:r>
        <w:rPr>
          <w:rFonts w:hint="eastAsia" w:ascii="宋体" w:hAnsi="宋体" w:cs="宋体"/>
          <w:szCs w:val="21"/>
          <w:highlight w:val="none"/>
        </w:rPr>
        <w:t>评标委员会认为按照评标办法，无法确定中标候选人或者中标人的；</w:t>
      </w:r>
    </w:p>
    <w:p w14:paraId="283683F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9.1.7</w:t>
      </w:r>
      <w:r>
        <w:rPr>
          <w:rFonts w:hint="eastAsia" w:ascii="宋体" w:hAnsi="宋体" w:cs="宋体"/>
          <w:szCs w:val="21"/>
          <w:highlight w:val="none"/>
          <w:lang w:val="en-US" w:eastAsia="zh-CN"/>
        </w:rPr>
        <w:t xml:space="preserve"> </w:t>
      </w:r>
      <w:r>
        <w:rPr>
          <w:rFonts w:hint="eastAsia" w:ascii="宋体" w:hAnsi="宋体" w:cs="宋体"/>
          <w:szCs w:val="21"/>
          <w:highlight w:val="none"/>
        </w:rPr>
        <w:t>法律、法规规定的其他情形。</w:t>
      </w:r>
    </w:p>
    <w:p w14:paraId="32F1666B">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739" w:name="_Toc25909"/>
      <w:bookmarkStart w:id="740" w:name="_Toc4559"/>
      <w:bookmarkStart w:id="741" w:name="_Toc29347"/>
      <w:bookmarkStart w:id="742" w:name="_Toc24191"/>
      <w:bookmarkStart w:id="743" w:name="_Toc562"/>
      <w:bookmarkStart w:id="744" w:name="_Toc25344"/>
      <w:bookmarkStart w:id="745" w:name="_Toc9850"/>
      <w:bookmarkStart w:id="746" w:name="_Toc21849"/>
      <w:bookmarkStart w:id="747" w:name="_Toc26159"/>
      <w:bookmarkStart w:id="748" w:name="_Toc2104"/>
      <w:bookmarkStart w:id="749" w:name="_Toc15237"/>
      <w:bookmarkStart w:id="750" w:name="_Toc15230"/>
      <w:r>
        <w:rPr>
          <w:rFonts w:hint="eastAsia" w:ascii="宋体" w:hAnsi="宋体" w:cs="宋体"/>
          <w:sz w:val="21"/>
          <w:szCs w:val="21"/>
          <w:highlight w:val="none"/>
        </w:rPr>
        <w:t>9.2 不再招标</w:t>
      </w:r>
      <w:bookmarkEnd w:id="738"/>
      <w:bookmarkEnd w:id="739"/>
      <w:bookmarkEnd w:id="740"/>
      <w:bookmarkEnd w:id="741"/>
      <w:bookmarkEnd w:id="742"/>
      <w:bookmarkEnd w:id="743"/>
      <w:bookmarkEnd w:id="744"/>
      <w:bookmarkEnd w:id="745"/>
      <w:bookmarkEnd w:id="746"/>
      <w:bookmarkEnd w:id="747"/>
      <w:bookmarkEnd w:id="748"/>
      <w:bookmarkEnd w:id="749"/>
      <w:bookmarkEnd w:id="750"/>
    </w:p>
    <w:p w14:paraId="23EA6D02">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有前款9.1.1-9.1.5情形重新招标，投标人仍少于三个的，属于必须审批、核准的工程建设项目，报经原审批、核准部门审批、核准后可以不再进行招标；其他工程建设项目，招标人可以自行决定不再进行招标。国家另有规定的，从其规定。</w:t>
      </w:r>
    </w:p>
    <w:p w14:paraId="17997FF1">
      <w:pPr>
        <w:pStyle w:val="3"/>
        <w:pageBreakBefore w:val="0"/>
        <w:kinsoku/>
        <w:wordWrap/>
        <w:overflowPunct/>
        <w:topLinePunct w:val="0"/>
        <w:bidi w:val="0"/>
        <w:snapToGrid w:val="0"/>
        <w:spacing w:before="0" w:after="0" w:line="360" w:lineRule="auto"/>
        <w:textAlignment w:val="auto"/>
        <w:rPr>
          <w:rFonts w:hint="eastAsia" w:ascii="宋体" w:hAnsi="宋体" w:cs="宋体"/>
          <w:sz w:val="24"/>
          <w:szCs w:val="24"/>
          <w:highlight w:val="none"/>
        </w:rPr>
      </w:pPr>
      <w:bookmarkStart w:id="751" w:name="_Toc8830"/>
      <w:bookmarkStart w:id="752" w:name="_Toc1237"/>
      <w:bookmarkStart w:id="753" w:name="_Toc14056"/>
      <w:bookmarkStart w:id="754" w:name="_Toc10121"/>
      <w:bookmarkStart w:id="755" w:name="_Toc17306"/>
      <w:bookmarkStart w:id="756" w:name="_Toc20722"/>
      <w:bookmarkStart w:id="757" w:name="_Toc29611"/>
      <w:bookmarkStart w:id="758" w:name="_Toc28785"/>
      <w:bookmarkStart w:id="759" w:name="_Toc10130"/>
      <w:bookmarkStart w:id="760" w:name="_Toc14539"/>
      <w:bookmarkStart w:id="761" w:name="_Toc20257"/>
      <w:r>
        <w:rPr>
          <w:rFonts w:hint="eastAsia" w:ascii="宋体" w:hAnsi="宋体" w:cs="宋体"/>
          <w:sz w:val="24"/>
          <w:szCs w:val="24"/>
          <w:highlight w:val="none"/>
        </w:rPr>
        <w:t>10. 纪律和监督</w:t>
      </w:r>
      <w:bookmarkEnd w:id="751"/>
      <w:bookmarkEnd w:id="752"/>
      <w:bookmarkEnd w:id="753"/>
      <w:bookmarkEnd w:id="754"/>
      <w:bookmarkEnd w:id="755"/>
      <w:bookmarkEnd w:id="756"/>
      <w:bookmarkEnd w:id="757"/>
      <w:bookmarkEnd w:id="758"/>
      <w:bookmarkEnd w:id="759"/>
      <w:bookmarkEnd w:id="760"/>
      <w:bookmarkEnd w:id="761"/>
    </w:p>
    <w:p w14:paraId="1D9A618A">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762" w:name="_Toc19927"/>
      <w:bookmarkStart w:id="763" w:name="_Toc12176"/>
      <w:bookmarkStart w:id="764" w:name="_Toc2130"/>
      <w:bookmarkStart w:id="765" w:name="_Toc25621"/>
      <w:bookmarkStart w:id="766" w:name="_Toc20939"/>
      <w:bookmarkStart w:id="767" w:name="_Toc4216"/>
      <w:bookmarkStart w:id="768" w:name="_Toc19127"/>
      <w:bookmarkStart w:id="769" w:name="_Toc2654"/>
      <w:bookmarkStart w:id="770" w:name="_Toc23091"/>
      <w:bookmarkStart w:id="771" w:name="_Toc22547"/>
      <w:r>
        <w:rPr>
          <w:rFonts w:hint="eastAsia" w:ascii="宋体" w:hAnsi="宋体" w:cs="宋体"/>
          <w:sz w:val="21"/>
          <w:szCs w:val="21"/>
          <w:highlight w:val="none"/>
        </w:rPr>
        <w:t>10.1 对招标人的纪律要求</w:t>
      </w:r>
      <w:bookmarkEnd w:id="762"/>
      <w:bookmarkEnd w:id="763"/>
      <w:bookmarkEnd w:id="764"/>
      <w:bookmarkEnd w:id="765"/>
      <w:bookmarkEnd w:id="766"/>
      <w:bookmarkEnd w:id="767"/>
      <w:bookmarkEnd w:id="768"/>
      <w:bookmarkEnd w:id="769"/>
      <w:bookmarkEnd w:id="770"/>
      <w:bookmarkEnd w:id="771"/>
    </w:p>
    <w:p w14:paraId="57ED0C6A">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招标人不得泄露招标投标活动中应当保密的情况和资料，不得与投标人串通损害国家利益、社会公共利益或者他人合法权益。</w:t>
      </w:r>
    </w:p>
    <w:p w14:paraId="21D37A54">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772" w:name="_Toc29216"/>
      <w:bookmarkStart w:id="773" w:name="_Toc28486"/>
      <w:bookmarkStart w:id="774" w:name="_Toc15948"/>
      <w:bookmarkStart w:id="775" w:name="_Toc22862"/>
      <w:bookmarkStart w:id="776" w:name="_Toc10431"/>
      <w:bookmarkStart w:id="777" w:name="_Toc21133"/>
      <w:bookmarkStart w:id="778" w:name="_Toc2844"/>
      <w:bookmarkStart w:id="779" w:name="_Toc4976"/>
      <w:bookmarkStart w:id="780" w:name="_Toc9715"/>
      <w:bookmarkStart w:id="781" w:name="_Toc14429"/>
      <w:bookmarkStart w:id="782" w:name="_Toc19372"/>
      <w:bookmarkStart w:id="783" w:name="_Toc3123"/>
      <w:r>
        <w:rPr>
          <w:rFonts w:hint="eastAsia" w:ascii="宋体" w:hAnsi="宋体" w:cs="宋体"/>
          <w:sz w:val="21"/>
          <w:szCs w:val="21"/>
          <w:highlight w:val="none"/>
        </w:rPr>
        <w:t>10.2 对投标人的纪律要求</w:t>
      </w:r>
      <w:bookmarkEnd w:id="772"/>
      <w:bookmarkEnd w:id="773"/>
      <w:bookmarkEnd w:id="774"/>
      <w:bookmarkEnd w:id="775"/>
      <w:bookmarkEnd w:id="776"/>
      <w:bookmarkEnd w:id="777"/>
      <w:bookmarkEnd w:id="778"/>
      <w:bookmarkEnd w:id="779"/>
      <w:bookmarkEnd w:id="780"/>
      <w:bookmarkEnd w:id="781"/>
      <w:bookmarkEnd w:id="782"/>
      <w:bookmarkEnd w:id="783"/>
    </w:p>
    <w:p w14:paraId="31FE2033">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E70BCD5">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784" w:name="_Toc9950"/>
      <w:bookmarkStart w:id="785" w:name="_Toc7252"/>
      <w:bookmarkStart w:id="786" w:name="_Toc25594"/>
      <w:bookmarkStart w:id="787" w:name="_Toc10919"/>
      <w:bookmarkStart w:id="788" w:name="_Toc4894"/>
      <w:bookmarkStart w:id="789" w:name="_Toc10936"/>
      <w:bookmarkStart w:id="790" w:name="_Toc9462"/>
      <w:bookmarkStart w:id="791" w:name="_Toc25773"/>
      <w:bookmarkStart w:id="792" w:name="_Toc7226"/>
      <w:bookmarkStart w:id="793" w:name="_Toc16924"/>
      <w:bookmarkStart w:id="794" w:name="_Toc11503"/>
      <w:bookmarkStart w:id="795" w:name="_Toc9272"/>
      <w:r>
        <w:rPr>
          <w:rFonts w:hint="eastAsia" w:ascii="宋体" w:hAnsi="宋体" w:cs="宋体"/>
          <w:sz w:val="21"/>
          <w:szCs w:val="21"/>
          <w:highlight w:val="none"/>
        </w:rPr>
        <w:t>10.3 对评标委员会成员的纪律要求</w:t>
      </w:r>
      <w:bookmarkEnd w:id="784"/>
      <w:bookmarkEnd w:id="785"/>
      <w:bookmarkEnd w:id="786"/>
      <w:bookmarkEnd w:id="787"/>
      <w:bookmarkEnd w:id="788"/>
      <w:bookmarkEnd w:id="789"/>
      <w:bookmarkEnd w:id="790"/>
      <w:bookmarkEnd w:id="791"/>
      <w:bookmarkEnd w:id="792"/>
      <w:bookmarkEnd w:id="793"/>
      <w:bookmarkEnd w:id="794"/>
      <w:bookmarkEnd w:id="795"/>
    </w:p>
    <w:p w14:paraId="6AA674FA">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kern w:val="0"/>
          <w:szCs w:val="21"/>
          <w:highlight w:val="none"/>
        </w:rPr>
        <w:t>评标委员会成员不得收受他人的财物或者其他好处，不得向他人透</w:t>
      </w:r>
      <w:r>
        <w:rPr>
          <w:rFonts w:hint="eastAsia" w:ascii="宋体" w:hAnsi="宋体" w:cs="宋体"/>
          <w:szCs w:val="21"/>
          <w:highlight w:val="none"/>
        </w:rPr>
        <w:t>露</w:t>
      </w:r>
      <w:r>
        <w:rPr>
          <w:rFonts w:hint="eastAsia" w:ascii="宋体" w:hAnsi="宋体" w:cs="宋体"/>
          <w:kern w:val="0"/>
          <w:szCs w:val="21"/>
          <w:highlight w:val="none"/>
        </w:rPr>
        <w:t>对投标文件的评审和比较、中标候选人的推荐情况以及评标有关的其他情况。在评标活动中，评标委员会成员应当客观、公正地履行职责，遵守职业道德，不得擅离职守，影响评标程序正常进行，不得使用招标文件规定以外的评审因素和标准进行评标。</w:t>
      </w:r>
    </w:p>
    <w:p w14:paraId="2570EB87">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796" w:name="_Toc27085"/>
      <w:bookmarkStart w:id="797" w:name="_Toc3583"/>
      <w:bookmarkStart w:id="798" w:name="_Toc18848"/>
      <w:bookmarkStart w:id="799" w:name="_Toc15394"/>
      <w:bookmarkStart w:id="800" w:name="_Toc14409"/>
      <w:bookmarkStart w:id="801" w:name="_Toc29786"/>
      <w:bookmarkStart w:id="802" w:name="_Toc14713"/>
      <w:bookmarkStart w:id="803" w:name="_Toc24184"/>
      <w:bookmarkStart w:id="804" w:name="_Toc3841"/>
      <w:bookmarkStart w:id="805" w:name="_Toc28808"/>
      <w:bookmarkStart w:id="806" w:name="_Toc1683"/>
      <w:bookmarkStart w:id="807" w:name="_Toc14654"/>
      <w:r>
        <w:rPr>
          <w:rFonts w:hint="eastAsia" w:ascii="宋体" w:hAnsi="宋体" w:cs="宋体"/>
          <w:sz w:val="21"/>
          <w:szCs w:val="21"/>
          <w:highlight w:val="none"/>
        </w:rPr>
        <w:t>10.4 对与评标活动有关的工作人员的纪律要求</w:t>
      </w:r>
      <w:bookmarkEnd w:id="796"/>
      <w:bookmarkEnd w:id="797"/>
      <w:bookmarkEnd w:id="798"/>
      <w:bookmarkEnd w:id="799"/>
      <w:bookmarkEnd w:id="800"/>
      <w:bookmarkEnd w:id="801"/>
      <w:bookmarkEnd w:id="802"/>
      <w:bookmarkEnd w:id="803"/>
      <w:bookmarkEnd w:id="804"/>
      <w:bookmarkEnd w:id="805"/>
      <w:bookmarkEnd w:id="806"/>
      <w:bookmarkEnd w:id="807"/>
    </w:p>
    <w:p w14:paraId="47889C4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kern w:val="0"/>
          <w:szCs w:val="21"/>
          <w:highlight w:val="none"/>
        </w:rPr>
        <w:t>与评标活动有关的工作人员不得收受他人的财物或者其他好处，不得向他人透</w:t>
      </w:r>
      <w:r>
        <w:rPr>
          <w:rFonts w:hint="eastAsia" w:ascii="宋体" w:hAnsi="宋体" w:cs="宋体"/>
          <w:szCs w:val="21"/>
          <w:highlight w:val="none"/>
        </w:rPr>
        <w:t>露</w:t>
      </w:r>
      <w:r>
        <w:rPr>
          <w:rFonts w:hint="eastAsia" w:ascii="宋体" w:hAnsi="宋体" w:cs="宋体"/>
          <w:kern w:val="0"/>
          <w:szCs w:val="21"/>
          <w:highlight w:val="none"/>
        </w:rPr>
        <w:t>对投标文件的评审和比较、中标候选人的推荐情况以及评标有关的其他情况。在评标活动中，与评标活动有关的工作人员不得擅离职守，影响评标程序正常进行。</w:t>
      </w:r>
    </w:p>
    <w:p w14:paraId="3A21204D">
      <w:pPr>
        <w:pStyle w:val="4"/>
        <w:pageBreakBefore w:val="0"/>
        <w:kinsoku/>
        <w:wordWrap/>
        <w:overflowPunct/>
        <w:topLinePunct w:val="0"/>
        <w:bidi w:val="0"/>
        <w:snapToGrid w:val="0"/>
        <w:spacing w:before="0" w:after="0" w:line="360" w:lineRule="auto"/>
        <w:ind w:firstLine="369" w:firstLineChars="175"/>
        <w:textAlignment w:val="auto"/>
        <w:rPr>
          <w:rFonts w:hint="eastAsia" w:ascii="宋体" w:hAnsi="宋体" w:cs="宋体"/>
          <w:sz w:val="21"/>
          <w:szCs w:val="21"/>
          <w:highlight w:val="none"/>
        </w:rPr>
      </w:pPr>
      <w:bookmarkStart w:id="808" w:name="_Toc17829"/>
      <w:bookmarkStart w:id="809" w:name="_Toc26908"/>
      <w:bookmarkStart w:id="810" w:name="_Toc23019"/>
      <w:bookmarkStart w:id="811" w:name="_Toc361"/>
      <w:bookmarkStart w:id="812" w:name="_Toc24383"/>
      <w:bookmarkStart w:id="813" w:name="_Toc5516"/>
      <w:bookmarkStart w:id="814" w:name="_Toc21704"/>
      <w:bookmarkStart w:id="815" w:name="_Toc17505"/>
      <w:bookmarkStart w:id="816" w:name="_Toc16164"/>
      <w:bookmarkStart w:id="817" w:name="_Toc22076"/>
      <w:bookmarkStart w:id="818" w:name="_Toc26823"/>
      <w:r>
        <w:rPr>
          <w:rFonts w:hint="eastAsia" w:ascii="宋体" w:hAnsi="宋体" w:cs="宋体"/>
          <w:sz w:val="21"/>
          <w:szCs w:val="21"/>
          <w:highlight w:val="none"/>
        </w:rPr>
        <w:t>10.5 投诉</w:t>
      </w:r>
      <w:bookmarkEnd w:id="808"/>
      <w:bookmarkEnd w:id="809"/>
      <w:bookmarkEnd w:id="810"/>
      <w:bookmarkEnd w:id="811"/>
      <w:bookmarkEnd w:id="812"/>
      <w:bookmarkEnd w:id="813"/>
      <w:bookmarkEnd w:id="814"/>
      <w:bookmarkEnd w:id="815"/>
      <w:bookmarkEnd w:id="816"/>
      <w:bookmarkEnd w:id="817"/>
      <w:bookmarkEnd w:id="818"/>
    </w:p>
    <w:p w14:paraId="7AB7B9A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10.5.1投标人或者其他利害关系人认为本次招标投标活动不符合法律、法规和规章规定的，可以自知道或者应当知道之日起10日内向投标人须知前附表明确的有关招投标监督部门提出投诉。</w:t>
      </w:r>
    </w:p>
    <w:p w14:paraId="49FA23E1">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10.5.2投标人或者其他利害关系人对招标文件、开标和评标结果提出投诉的，应当按照投标人须知第2.6款、第5.3款、第7.4款和第8.2款的规定先向招标人提出异议。异议答复期间不计算在第10.5.1项规定的期限内。</w:t>
      </w:r>
    </w:p>
    <w:p w14:paraId="33FD951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10.5.3投诉必须在规定的时限内严格按照有关法律、法规规定的方式和程序提出。招投标监督部门将依法受理和处理投诉。</w:t>
      </w:r>
    </w:p>
    <w:p w14:paraId="44D88AC9">
      <w:pPr>
        <w:pageBreakBefore w:val="0"/>
        <w:kinsoku/>
        <w:wordWrap/>
        <w:overflowPunct/>
        <w:topLinePunct w:val="0"/>
        <w:bidi w:val="0"/>
        <w:adjustRightInd w:val="0"/>
        <w:snapToGrid w:val="0"/>
        <w:spacing w:line="360" w:lineRule="auto"/>
        <w:ind w:firstLine="420" w:firstLineChars="200"/>
        <w:jc w:val="left"/>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10.5.4</w:t>
      </w:r>
      <w:r>
        <w:rPr>
          <w:rFonts w:hint="eastAsia"/>
          <w:highlight w:val="none"/>
          <w:lang w:val="en-US" w:eastAsia="zh-CN"/>
        </w:rPr>
        <w:t>当出现第一中标候选人被质疑投诉，取消其第一中标候选人资格的情况，本项目重新招标。</w:t>
      </w:r>
    </w:p>
    <w:p w14:paraId="53CB296B">
      <w:pPr>
        <w:pStyle w:val="3"/>
        <w:pageBreakBefore w:val="0"/>
        <w:kinsoku/>
        <w:wordWrap/>
        <w:overflowPunct/>
        <w:topLinePunct w:val="0"/>
        <w:bidi w:val="0"/>
        <w:snapToGrid w:val="0"/>
        <w:spacing w:before="0" w:after="0" w:line="360" w:lineRule="auto"/>
        <w:textAlignment w:val="auto"/>
        <w:rPr>
          <w:rFonts w:hint="eastAsia" w:ascii="宋体" w:hAnsi="宋体" w:cs="宋体"/>
          <w:sz w:val="24"/>
          <w:szCs w:val="24"/>
          <w:highlight w:val="none"/>
        </w:rPr>
      </w:pPr>
      <w:bookmarkStart w:id="819" w:name="_Toc19667"/>
      <w:bookmarkStart w:id="820" w:name="_Toc14318"/>
      <w:bookmarkStart w:id="821" w:name="_Toc3661"/>
      <w:bookmarkStart w:id="822" w:name="_Toc13089"/>
      <w:bookmarkStart w:id="823" w:name="_Toc20413"/>
      <w:bookmarkStart w:id="824" w:name="_Toc23993"/>
      <w:bookmarkStart w:id="825" w:name="_Toc15444"/>
      <w:bookmarkStart w:id="826" w:name="_Toc11753"/>
      <w:bookmarkStart w:id="827" w:name="_Toc22894"/>
      <w:bookmarkStart w:id="828" w:name="_Toc32420"/>
      <w:r>
        <w:rPr>
          <w:rFonts w:hint="eastAsia" w:ascii="宋体" w:hAnsi="宋体" w:cs="宋体"/>
          <w:sz w:val="24"/>
          <w:szCs w:val="24"/>
          <w:highlight w:val="none"/>
        </w:rPr>
        <w:t>11. 解释权</w:t>
      </w:r>
      <w:bookmarkEnd w:id="819"/>
      <w:bookmarkEnd w:id="820"/>
      <w:bookmarkEnd w:id="821"/>
      <w:bookmarkEnd w:id="822"/>
      <w:bookmarkEnd w:id="823"/>
      <w:bookmarkEnd w:id="824"/>
      <w:bookmarkEnd w:id="825"/>
      <w:bookmarkEnd w:id="826"/>
      <w:bookmarkEnd w:id="827"/>
      <w:bookmarkEnd w:id="828"/>
    </w:p>
    <w:p w14:paraId="715B1486">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63310078">
      <w:pPr>
        <w:pStyle w:val="3"/>
        <w:pageBreakBefore w:val="0"/>
        <w:kinsoku/>
        <w:wordWrap/>
        <w:overflowPunct/>
        <w:topLinePunct w:val="0"/>
        <w:bidi w:val="0"/>
        <w:snapToGrid w:val="0"/>
        <w:spacing w:before="0" w:after="0" w:line="360" w:lineRule="auto"/>
        <w:textAlignment w:val="auto"/>
        <w:rPr>
          <w:rFonts w:hint="eastAsia" w:ascii="宋体" w:hAnsi="宋体" w:cs="宋体"/>
          <w:sz w:val="24"/>
          <w:szCs w:val="24"/>
          <w:highlight w:val="none"/>
        </w:rPr>
      </w:pPr>
      <w:bookmarkStart w:id="829" w:name="_Toc7542"/>
      <w:bookmarkStart w:id="830" w:name="_Toc31422"/>
      <w:bookmarkStart w:id="831" w:name="_Toc23920"/>
      <w:bookmarkStart w:id="832" w:name="_Toc29205"/>
      <w:bookmarkStart w:id="833" w:name="_Toc4727"/>
      <w:bookmarkStart w:id="834" w:name="_Toc29796"/>
      <w:bookmarkStart w:id="835" w:name="_Toc1725"/>
      <w:bookmarkStart w:id="836" w:name="_Toc19687"/>
      <w:bookmarkStart w:id="837" w:name="_Toc13852"/>
      <w:bookmarkStart w:id="838" w:name="_Toc4128"/>
      <w:bookmarkStart w:id="839" w:name="_Toc21879"/>
      <w:bookmarkStart w:id="840" w:name="_Toc31135"/>
      <w:r>
        <w:rPr>
          <w:rFonts w:hint="eastAsia" w:ascii="宋体" w:hAnsi="宋体" w:cs="宋体"/>
          <w:sz w:val="24"/>
          <w:szCs w:val="24"/>
          <w:highlight w:val="none"/>
        </w:rPr>
        <w:t>12. 需要补充的其他内容</w:t>
      </w:r>
      <w:bookmarkEnd w:id="829"/>
      <w:bookmarkEnd w:id="830"/>
      <w:bookmarkEnd w:id="831"/>
      <w:bookmarkEnd w:id="832"/>
      <w:bookmarkEnd w:id="833"/>
      <w:bookmarkEnd w:id="834"/>
      <w:bookmarkEnd w:id="835"/>
      <w:bookmarkEnd w:id="836"/>
      <w:bookmarkEnd w:id="837"/>
      <w:bookmarkEnd w:id="838"/>
      <w:bookmarkEnd w:id="839"/>
      <w:bookmarkEnd w:id="840"/>
    </w:p>
    <w:p w14:paraId="74A7C103">
      <w:pPr>
        <w:pageBreakBefore w:val="0"/>
        <w:kinsoku/>
        <w:wordWrap/>
        <w:overflowPunct/>
        <w:topLinePunct w:val="0"/>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招标人补充的具体其他内容见投标人须知前附表。</w:t>
      </w:r>
    </w:p>
    <w:p w14:paraId="7B7CA65A">
      <w:pPr>
        <w:rPr>
          <w:rFonts w:hint="eastAsia" w:ascii="宋体" w:hAnsi="宋体" w:cs="宋体"/>
          <w:szCs w:val="21"/>
          <w:highlight w:val="none"/>
        </w:rPr>
        <w:sectPr>
          <w:footerReference r:id="rId8" w:type="default"/>
          <w:pgSz w:w="11906" w:h="16838"/>
          <w:pgMar w:top="1440" w:right="1286" w:bottom="1117" w:left="1800" w:header="851" w:footer="879" w:gutter="0"/>
          <w:paperSrc/>
          <w:pgBorders>
            <w:top w:val="none" w:sz="0" w:space="0"/>
            <w:left w:val="none" w:sz="0" w:space="0"/>
            <w:bottom w:val="none" w:sz="0" w:space="0"/>
            <w:right w:val="none" w:sz="0" w:space="0"/>
          </w:pgBorders>
          <w:pgNumType w:fmt="decimal" w:start="1"/>
          <w:cols w:space="720" w:num="1"/>
          <w:rtlGutter w:val="0"/>
          <w:docGrid w:type="lines" w:linePitch="312" w:charSpace="0"/>
        </w:sectPr>
      </w:pPr>
    </w:p>
    <w:p w14:paraId="75095060">
      <w:pPr>
        <w:pStyle w:val="2"/>
        <w:keepNext/>
        <w:keepLines/>
        <w:pageBreakBefore w:val="0"/>
        <w:widowControl w:val="0"/>
        <w:shd w:val="clear" w:color="auto" w:fill="auto"/>
        <w:kinsoku/>
        <w:wordWrap/>
        <w:overflowPunct/>
        <w:topLinePunct w:val="0"/>
        <w:autoSpaceDE/>
        <w:autoSpaceDN/>
        <w:bidi w:val="0"/>
        <w:adjustRightInd/>
        <w:snapToGrid w:val="0"/>
        <w:spacing w:before="0" w:beforeLines="0" w:beforeAutospacing="0" w:after="0" w:afterLines="0" w:afterAutospacing="0" w:line="240" w:lineRule="auto"/>
        <w:jc w:val="center"/>
        <w:textAlignment w:val="auto"/>
        <w:outlineLvl w:val="0"/>
        <w:rPr>
          <w:rFonts w:hint="eastAsia" w:ascii="宋体" w:hAnsi="宋体" w:eastAsia="宋体" w:cs="宋体"/>
          <w:b/>
          <w:bCs/>
          <w:color w:val="auto"/>
          <w:sz w:val="36"/>
          <w:szCs w:val="36"/>
          <w:highlight w:val="none"/>
          <w:lang w:val="en-US" w:eastAsia="zh-CN"/>
        </w:rPr>
      </w:pPr>
      <w:bookmarkStart w:id="841" w:name="_Toc6714"/>
      <w:bookmarkStart w:id="842" w:name="_Toc30955"/>
      <w:bookmarkStart w:id="843" w:name="_Toc8901"/>
      <w:bookmarkStart w:id="844" w:name="_Toc26501"/>
      <w:bookmarkStart w:id="845" w:name="_Toc18786"/>
      <w:bookmarkStart w:id="846" w:name="_Toc12787"/>
      <w:bookmarkStart w:id="847" w:name="_Toc5195"/>
      <w:bookmarkStart w:id="848" w:name="_Toc10918"/>
      <w:bookmarkStart w:id="849" w:name="_Toc28460"/>
      <w:bookmarkStart w:id="850" w:name="_Toc20541"/>
      <w:bookmarkStart w:id="851" w:name="_Toc9286"/>
      <w:bookmarkStart w:id="852" w:name="_Toc23158"/>
      <w:r>
        <w:rPr>
          <w:rFonts w:hint="eastAsia" w:ascii="宋体" w:hAnsi="宋体" w:eastAsia="宋体" w:cs="宋体"/>
          <w:b/>
          <w:bCs/>
          <w:color w:val="auto"/>
          <w:sz w:val="36"/>
          <w:szCs w:val="36"/>
          <w:highlight w:val="none"/>
          <w:lang w:val="en-US" w:eastAsia="zh-CN"/>
        </w:rPr>
        <w:t>第三章 评标办法（</w:t>
      </w:r>
      <w:r>
        <w:rPr>
          <w:rFonts w:hint="eastAsia" w:cs="宋体"/>
          <w:b/>
          <w:bCs/>
          <w:color w:val="auto"/>
          <w:sz w:val="36"/>
          <w:szCs w:val="36"/>
          <w:highlight w:val="none"/>
          <w:lang w:val="en-US" w:eastAsia="zh-CN"/>
        </w:rPr>
        <w:t>合理低价</w:t>
      </w:r>
      <w:r>
        <w:rPr>
          <w:rFonts w:hint="eastAsia" w:ascii="宋体" w:hAnsi="宋体" w:eastAsia="宋体" w:cs="宋体"/>
          <w:b/>
          <w:bCs/>
          <w:color w:val="auto"/>
          <w:sz w:val="36"/>
          <w:szCs w:val="36"/>
          <w:highlight w:val="none"/>
          <w:lang w:val="en-US" w:eastAsia="zh-CN"/>
        </w:rPr>
        <w:t>法）</w:t>
      </w:r>
      <w:bookmarkEnd w:id="841"/>
      <w:bookmarkEnd w:id="842"/>
      <w:bookmarkEnd w:id="843"/>
      <w:bookmarkEnd w:id="844"/>
      <w:bookmarkEnd w:id="845"/>
      <w:bookmarkEnd w:id="846"/>
      <w:bookmarkEnd w:id="847"/>
      <w:bookmarkEnd w:id="848"/>
      <w:bookmarkEnd w:id="849"/>
      <w:bookmarkEnd w:id="850"/>
      <w:bookmarkEnd w:id="851"/>
      <w:bookmarkEnd w:id="852"/>
    </w:p>
    <w:p w14:paraId="2B12D3E6">
      <w:pPr>
        <w:pStyle w:val="3"/>
        <w:keepNext/>
        <w:keepLines/>
        <w:pageBreakBefore w:val="0"/>
        <w:widowControl w:val="0"/>
        <w:shd w:val="clear" w:color="auto" w:fill="auto"/>
        <w:kinsoku/>
        <w:wordWrap/>
        <w:overflowPunct/>
        <w:topLinePunct w:val="0"/>
        <w:autoSpaceDE/>
        <w:autoSpaceDN/>
        <w:bidi w:val="0"/>
        <w:adjustRightInd/>
        <w:snapToGrid w:val="0"/>
        <w:spacing w:before="0" w:beforeLines="0" w:beforeAutospacing="0" w:after="0" w:afterLines="0" w:afterAutospacing="0" w:line="240" w:lineRule="auto"/>
        <w:jc w:val="center"/>
        <w:textAlignment w:val="auto"/>
        <w:rPr>
          <w:rFonts w:hint="eastAsia" w:ascii="宋体" w:hAnsi="宋体" w:eastAsia="宋体" w:cs="宋体"/>
          <w:b/>
          <w:bCs/>
          <w:color w:val="auto"/>
          <w:sz w:val="24"/>
          <w:szCs w:val="24"/>
          <w:highlight w:val="none"/>
        </w:rPr>
      </w:pPr>
      <w:bookmarkStart w:id="853" w:name="_Toc27740"/>
      <w:bookmarkStart w:id="854" w:name="_Toc10843"/>
      <w:bookmarkStart w:id="855" w:name="_Toc21669"/>
      <w:bookmarkStart w:id="856" w:name="_Toc15094"/>
      <w:bookmarkStart w:id="857" w:name="_Toc25049"/>
      <w:bookmarkStart w:id="858" w:name="_Toc26077"/>
      <w:bookmarkStart w:id="859" w:name="_Toc8926"/>
      <w:bookmarkStart w:id="860" w:name="_Toc22249"/>
      <w:bookmarkStart w:id="861" w:name="_Toc3217"/>
      <w:bookmarkStart w:id="862" w:name="_Toc30584"/>
      <w:bookmarkStart w:id="863" w:name="_Toc30265"/>
      <w:bookmarkStart w:id="864" w:name="_Toc134"/>
      <w:bookmarkStart w:id="865" w:name="_Toc1781"/>
      <w:r>
        <w:rPr>
          <w:rFonts w:hint="eastAsia" w:ascii="宋体" w:hAnsi="宋体" w:eastAsia="宋体" w:cs="宋体"/>
          <w:b/>
          <w:bCs/>
          <w:color w:val="auto"/>
          <w:sz w:val="24"/>
          <w:szCs w:val="24"/>
          <w:highlight w:val="none"/>
        </w:rPr>
        <w:t>评标办法前附表</w:t>
      </w:r>
      <w:bookmarkEnd w:id="853"/>
      <w:bookmarkEnd w:id="854"/>
      <w:bookmarkEnd w:id="855"/>
      <w:bookmarkEnd w:id="856"/>
      <w:bookmarkEnd w:id="857"/>
      <w:bookmarkEnd w:id="858"/>
      <w:bookmarkEnd w:id="859"/>
      <w:bookmarkEnd w:id="860"/>
      <w:bookmarkEnd w:id="861"/>
      <w:bookmarkEnd w:id="862"/>
      <w:bookmarkEnd w:id="863"/>
      <w:bookmarkEnd w:id="864"/>
      <w:bookmarkEnd w:id="865"/>
    </w:p>
    <w:p w14:paraId="7969FA2E">
      <w:pPr>
        <w:rPr>
          <w:rFonts w:hint="eastAsia" w:ascii="宋体" w:hAnsi="宋体" w:eastAsia="宋体" w:cs="宋体"/>
          <w:b/>
          <w:bCs/>
          <w:color w:val="auto"/>
          <w:sz w:val="24"/>
          <w:szCs w:val="24"/>
          <w:highlight w:val="none"/>
        </w:rPr>
      </w:pPr>
    </w:p>
    <w:tbl>
      <w:tblPr>
        <w:tblStyle w:val="22"/>
        <w:tblW w:w="93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8"/>
        <w:gridCol w:w="1260"/>
        <w:gridCol w:w="47"/>
        <w:gridCol w:w="1754"/>
        <w:gridCol w:w="5467"/>
      </w:tblGrid>
      <w:tr w14:paraId="104FAE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828" w:type="dxa"/>
            <w:tcBorders>
              <w:top w:val="single" w:color="auto" w:sz="4" w:space="0"/>
              <w:left w:val="single" w:color="auto" w:sz="4" w:space="0"/>
              <w:bottom w:val="single" w:color="auto" w:sz="4" w:space="0"/>
              <w:right w:val="single" w:color="auto" w:sz="4" w:space="0"/>
            </w:tcBorders>
            <w:shd w:val="clear" w:color="auto" w:fill="A6A6A6"/>
            <w:noWrap w:val="0"/>
            <w:vAlign w:val="center"/>
          </w:tcPr>
          <w:p w14:paraId="007B11F7">
            <w:pPr>
              <w:shd w:val="clear" w:color="auto" w:fill="auto"/>
              <w:ind w:right="-227" w:rightChars="-108"/>
              <w:jc w:val="both"/>
              <w:textAlignment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307" w:type="dxa"/>
            <w:gridSpan w:val="2"/>
            <w:tcBorders>
              <w:top w:val="single" w:color="auto" w:sz="4" w:space="0"/>
              <w:left w:val="single" w:color="auto" w:sz="4" w:space="0"/>
              <w:bottom w:val="single" w:color="auto" w:sz="4" w:space="0"/>
              <w:right w:val="single" w:color="auto" w:sz="4" w:space="0"/>
            </w:tcBorders>
            <w:shd w:val="clear" w:color="auto" w:fill="A6A6A6"/>
            <w:noWrap w:val="0"/>
            <w:vAlign w:val="center"/>
          </w:tcPr>
          <w:p w14:paraId="4C760EB9">
            <w:pPr>
              <w:shd w:val="clear" w:color="auto" w:fill="auto"/>
              <w:jc w:val="center"/>
              <w:textAlignment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7221" w:type="dxa"/>
            <w:gridSpan w:val="2"/>
            <w:tcBorders>
              <w:top w:val="single" w:color="auto" w:sz="4" w:space="0"/>
              <w:left w:val="single" w:color="auto" w:sz="4" w:space="0"/>
              <w:bottom w:val="single" w:color="auto" w:sz="4" w:space="0"/>
              <w:right w:val="single" w:color="auto" w:sz="4" w:space="0"/>
            </w:tcBorders>
            <w:shd w:val="clear" w:color="auto" w:fill="A6A6A6"/>
            <w:noWrap w:val="0"/>
            <w:vAlign w:val="center"/>
          </w:tcPr>
          <w:p w14:paraId="24E99B57">
            <w:pPr>
              <w:shd w:val="clear" w:color="auto" w:fill="auto"/>
              <w:jc w:val="center"/>
              <w:textAlignment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r>
      <w:tr w14:paraId="297181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40BE1A96">
            <w:pPr>
              <w:shd w:val="clear" w:color="auto" w:fill="auto"/>
              <w:spacing w:line="240" w:lineRule="auto"/>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307" w:type="dxa"/>
            <w:gridSpan w:val="2"/>
            <w:tcBorders>
              <w:top w:val="single" w:color="auto" w:sz="4" w:space="0"/>
              <w:left w:val="single" w:color="auto" w:sz="4" w:space="0"/>
              <w:bottom w:val="single" w:color="auto" w:sz="4" w:space="0"/>
              <w:right w:val="single" w:color="auto" w:sz="4" w:space="0"/>
            </w:tcBorders>
            <w:noWrap w:val="0"/>
            <w:vAlign w:val="center"/>
          </w:tcPr>
          <w:p w14:paraId="3BB8615D">
            <w:pPr>
              <w:shd w:val="clear" w:color="auto" w:fill="auto"/>
              <w:spacing w:line="240" w:lineRule="auto"/>
              <w:ind w:right="-168" w:rightChars="-8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中标候选人排序方法</w:t>
            </w:r>
          </w:p>
        </w:tc>
        <w:tc>
          <w:tcPr>
            <w:tcW w:w="7221" w:type="dxa"/>
            <w:gridSpan w:val="2"/>
            <w:tcBorders>
              <w:top w:val="single" w:color="auto" w:sz="4" w:space="0"/>
              <w:left w:val="single" w:color="auto" w:sz="4" w:space="0"/>
              <w:bottom w:val="single" w:color="auto" w:sz="4" w:space="0"/>
              <w:right w:val="single" w:color="auto" w:sz="4" w:space="0"/>
            </w:tcBorders>
            <w:noWrap w:val="0"/>
            <w:vAlign w:val="center"/>
          </w:tcPr>
          <w:p w14:paraId="42CEE908">
            <w:pPr>
              <w:shd w:val="clear" w:color="auto" w:fill="auto"/>
              <w:jc w:val="left"/>
              <w:textAlignment w:val="center"/>
              <w:rPr>
                <w:rFonts w:hint="eastAsia" w:ascii="宋体" w:hAnsi="宋体" w:eastAsia="宋体" w:cs="宋体"/>
                <w:b/>
                <w:color w:val="auto"/>
                <w:szCs w:val="21"/>
                <w:highlight w:val="none"/>
              </w:rPr>
            </w:pPr>
            <w:r>
              <w:rPr>
                <w:rFonts w:hint="eastAsia" w:ascii="宋体" w:hAnsi="宋体" w:eastAsia="宋体" w:cs="宋体"/>
                <w:color w:val="auto"/>
                <w:sz w:val="21"/>
                <w:szCs w:val="21"/>
                <w:highlight w:val="none"/>
                <w:u w:val="none"/>
                <w:lang w:eastAsia="zh-CN"/>
              </w:rPr>
              <w:t>评标委员会依次按照初步评审、评标入围、详细评审的顺序进行评审，对满足招标文件实质性要求的投标文件，按照评分标准进行打分，并按得分由高到低顺序推荐</w:t>
            </w:r>
            <w:r>
              <w:rPr>
                <w:rFonts w:hint="eastAsia" w:ascii="宋体" w:hAnsi="宋体" w:eastAsia="宋体" w:cs="宋体"/>
                <w:color w:val="auto"/>
                <w:sz w:val="21"/>
                <w:szCs w:val="21"/>
                <w:highlight w:val="none"/>
                <w:u w:val="none"/>
                <w:lang w:val="en-US" w:eastAsia="zh-CN"/>
              </w:rPr>
              <w:t>3名</w:t>
            </w:r>
            <w:r>
              <w:rPr>
                <w:rFonts w:hint="eastAsia" w:ascii="宋体" w:hAnsi="宋体" w:eastAsia="宋体" w:cs="宋体"/>
                <w:color w:val="auto"/>
                <w:sz w:val="21"/>
                <w:szCs w:val="21"/>
                <w:highlight w:val="none"/>
                <w:u w:val="none"/>
                <w:lang w:eastAsia="zh-CN"/>
              </w:rPr>
              <w:t>中标候选人。</w:t>
            </w:r>
            <w:r>
              <w:rPr>
                <w:rFonts w:hint="eastAsia" w:ascii="宋体" w:hAnsi="宋体" w:eastAsia="宋体" w:cs="宋体"/>
                <w:color w:val="auto"/>
                <w:sz w:val="21"/>
                <w:szCs w:val="21"/>
                <w:highlight w:val="none"/>
                <w:u w:val="none"/>
                <w:lang w:val="en-US" w:eastAsia="zh-CN"/>
              </w:rPr>
              <w:t>得分相等时，</w:t>
            </w:r>
            <w:r>
              <w:rPr>
                <w:rFonts w:hint="eastAsia" w:ascii="宋体" w:hAnsi="宋体" w:eastAsia="宋体" w:cs="宋体"/>
                <w:color w:val="auto"/>
                <w:sz w:val="21"/>
                <w:szCs w:val="21"/>
                <w:highlight w:val="none"/>
                <w:u w:val="none"/>
                <w:lang w:eastAsia="zh-CN"/>
              </w:rPr>
              <w:t>以投标报价低的优先；投标报价也相等的由招标人现场抽签确定。</w:t>
            </w:r>
          </w:p>
        </w:tc>
      </w:tr>
      <w:tr w14:paraId="00D71C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9356" w:type="dxa"/>
            <w:gridSpan w:val="5"/>
            <w:tcBorders>
              <w:top w:val="single" w:color="auto" w:sz="4" w:space="0"/>
              <w:left w:val="single" w:color="auto" w:sz="4" w:space="0"/>
              <w:bottom w:val="single" w:color="auto" w:sz="4" w:space="0"/>
              <w:right w:val="single" w:color="auto" w:sz="4" w:space="0"/>
            </w:tcBorders>
            <w:shd w:val="clear" w:color="auto" w:fill="A6A6A6"/>
            <w:noWrap w:val="0"/>
            <w:vAlign w:val="center"/>
          </w:tcPr>
          <w:p w14:paraId="74CB50F6">
            <w:pPr>
              <w:shd w:val="clear" w:color="auto" w:fill="auto"/>
              <w:jc w:val="center"/>
              <w:textAlignment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初步评审</w:t>
            </w:r>
          </w:p>
        </w:tc>
      </w:tr>
      <w:tr w14:paraId="38DA3C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2088" w:type="dxa"/>
            <w:gridSpan w:val="2"/>
            <w:tcBorders>
              <w:top w:val="single" w:color="auto" w:sz="4" w:space="0"/>
              <w:left w:val="single" w:color="auto" w:sz="4" w:space="0"/>
              <w:bottom w:val="single" w:color="auto" w:sz="4" w:space="0"/>
              <w:right w:val="single" w:color="auto" w:sz="4" w:space="0"/>
            </w:tcBorders>
            <w:noWrap w:val="0"/>
            <w:vAlign w:val="center"/>
          </w:tcPr>
          <w:p w14:paraId="68949167">
            <w:pPr>
              <w:shd w:val="clear" w:color="auto" w:fill="auto"/>
              <w:jc w:val="center"/>
              <w:textAlignment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05BE68A7">
            <w:pPr>
              <w:shd w:val="clear" w:color="auto" w:fill="auto"/>
              <w:jc w:val="center"/>
              <w:textAlignment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12F4A784">
            <w:pPr>
              <w:shd w:val="clear" w:color="auto" w:fill="auto"/>
              <w:jc w:val="center"/>
              <w:textAlignment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r>
      <w:tr w14:paraId="23DC09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828" w:type="dxa"/>
            <w:vMerge w:val="restart"/>
            <w:tcBorders>
              <w:top w:val="single" w:color="auto" w:sz="4" w:space="0"/>
              <w:right w:val="single" w:color="auto" w:sz="4" w:space="0"/>
            </w:tcBorders>
            <w:noWrap w:val="0"/>
            <w:vAlign w:val="center"/>
          </w:tcPr>
          <w:p w14:paraId="0267C79F">
            <w:pPr>
              <w:shd w:val="clear" w:color="auto" w:fill="auto"/>
              <w:spacing w:line="44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.1</w:t>
            </w:r>
          </w:p>
        </w:tc>
        <w:tc>
          <w:tcPr>
            <w:tcW w:w="1260" w:type="dxa"/>
            <w:vMerge w:val="restart"/>
            <w:tcBorders>
              <w:top w:val="single" w:color="auto" w:sz="4" w:space="0"/>
              <w:right w:val="single" w:color="auto" w:sz="4" w:space="0"/>
            </w:tcBorders>
            <w:noWrap w:val="0"/>
            <w:vAlign w:val="center"/>
          </w:tcPr>
          <w:p w14:paraId="310A21C7">
            <w:pPr>
              <w:shd w:val="clear" w:color="auto" w:fill="auto"/>
              <w:spacing w:line="240" w:lineRule="auto"/>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形式性评审标准</w:t>
            </w: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2FE64F00">
            <w:pPr>
              <w:shd w:val="clear" w:color="auto" w:fill="auto"/>
              <w:spacing w:line="240" w:lineRule="auto"/>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投标人名称</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0A050F8F">
            <w:pPr>
              <w:shd w:val="clear" w:color="auto" w:fill="auto"/>
              <w:spacing w:line="240" w:lineRule="auto"/>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投标人名称与营业执照、资质证书、安全生产许可证一致；不一致的，有有效证明材料</w:t>
            </w:r>
            <w:r>
              <w:rPr>
                <w:rFonts w:hint="eastAsia" w:ascii="宋体" w:hAnsi="宋体" w:eastAsia="宋体" w:cs="宋体"/>
                <w:color w:val="auto"/>
                <w:szCs w:val="21"/>
                <w:highlight w:val="none"/>
                <w:lang w:eastAsia="zh-CN"/>
              </w:rPr>
              <w:t>。</w:t>
            </w:r>
          </w:p>
        </w:tc>
      </w:tr>
      <w:tr w14:paraId="5FEED2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828" w:type="dxa"/>
            <w:vMerge w:val="continue"/>
            <w:tcBorders>
              <w:right w:val="single" w:color="auto" w:sz="4" w:space="0"/>
            </w:tcBorders>
            <w:noWrap w:val="0"/>
            <w:vAlign w:val="center"/>
          </w:tcPr>
          <w:p w14:paraId="5BDE7781">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right w:val="single" w:color="auto" w:sz="4" w:space="0"/>
            </w:tcBorders>
            <w:noWrap w:val="0"/>
            <w:vAlign w:val="center"/>
          </w:tcPr>
          <w:p w14:paraId="3D90E373">
            <w:pPr>
              <w:shd w:val="clear" w:color="auto" w:fill="auto"/>
              <w:spacing w:line="240" w:lineRule="auto"/>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38FA7442">
            <w:pPr>
              <w:shd w:val="clear" w:color="auto" w:fill="auto"/>
              <w:adjustRightInd w:val="0"/>
              <w:spacing w:line="240" w:lineRule="auto"/>
              <w:jc w:val="center"/>
              <w:textAlignment w:val="baseline"/>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投标</w:t>
            </w:r>
            <w:r>
              <w:rPr>
                <w:rFonts w:hint="eastAsia" w:ascii="宋体" w:hAnsi="宋体" w:eastAsia="宋体" w:cs="宋体"/>
                <w:color w:val="auto"/>
                <w:szCs w:val="21"/>
                <w:highlight w:val="none"/>
                <w:lang w:val="en-US" w:eastAsia="zh-CN"/>
              </w:rPr>
              <w:t>函</w:t>
            </w:r>
          </w:p>
          <w:p w14:paraId="70986CBF">
            <w:pPr>
              <w:shd w:val="clear" w:color="auto" w:fill="auto"/>
              <w:adjustRightInd w:val="0"/>
              <w:spacing w:line="240" w:lineRule="auto"/>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签字盖章</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67D63693">
            <w:pPr>
              <w:shd w:val="clear" w:color="auto" w:fill="auto"/>
              <w:adjustRightInd w:val="0"/>
              <w:spacing w:line="240" w:lineRule="auto"/>
              <w:jc w:val="left"/>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投标函加盖企业公章</w:t>
            </w:r>
            <w:r>
              <w:rPr>
                <w:rFonts w:hint="eastAsia" w:ascii="宋体" w:hAnsi="宋体" w:eastAsia="宋体" w:cs="宋体"/>
                <w:color w:val="auto"/>
                <w:szCs w:val="21"/>
                <w:highlight w:val="none"/>
                <w:lang w:val="en-US" w:eastAsia="zh-CN"/>
              </w:rPr>
              <w:t>和</w:t>
            </w:r>
            <w:r>
              <w:rPr>
                <w:rFonts w:hint="eastAsia" w:ascii="宋体" w:hAnsi="宋体" w:eastAsia="宋体" w:cs="宋体"/>
                <w:color w:val="auto"/>
                <w:szCs w:val="21"/>
                <w:highlight w:val="none"/>
              </w:rPr>
              <w:t>企业法定代表人（或企业法定代表人委托代理人）印章（或签字）</w:t>
            </w:r>
            <w:r>
              <w:rPr>
                <w:rFonts w:hint="eastAsia" w:ascii="宋体" w:hAnsi="宋体" w:eastAsia="宋体" w:cs="宋体"/>
                <w:color w:val="auto"/>
                <w:szCs w:val="21"/>
                <w:highlight w:val="none"/>
                <w:lang w:eastAsia="zh-CN"/>
              </w:rPr>
              <w:t>。</w:t>
            </w:r>
          </w:p>
        </w:tc>
      </w:tr>
      <w:tr w14:paraId="0CAE1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828" w:type="dxa"/>
            <w:vMerge w:val="continue"/>
            <w:tcBorders>
              <w:right w:val="single" w:color="auto" w:sz="4" w:space="0"/>
            </w:tcBorders>
            <w:noWrap w:val="0"/>
            <w:vAlign w:val="center"/>
          </w:tcPr>
          <w:p w14:paraId="69DF8AD4">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right w:val="single" w:color="auto" w:sz="4" w:space="0"/>
            </w:tcBorders>
            <w:noWrap w:val="0"/>
            <w:vAlign w:val="center"/>
          </w:tcPr>
          <w:p w14:paraId="6E1B1C5B">
            <w:pPr>
              <w:shd w:val="clear" w:color="auto" w:fill="auto"/>
              <w:spacing w:line="240" w:lineRule="auto"/>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78D344DE">
            <w:pPr>
              <w:pStyle w:val="42"/>
              <w:shd w:val="clear" w:color="auto" w:fill="auto"/>
              <w:spacing w:line="24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0"/>
                <w:w w:val="100"/>
                <w:sz w:val="21"/>
                <w:szCs w:val="21"/>
                <w:highlight w:val="none"/>
              </w:rPr>
              <w:t>投标文件的组成</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665159BB">
            <w:pPr>
              <w:pStyle w:val="42"/>
              <w:shd w:val="clear" w:color="auto" w:fill="auto"/>
              <w:spacing w:line="24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0"/>
                <w:w w:val="100"/>
                <w:sz w:val="21"/>
                <w:szCs w:val="21"/>
                <w:highlight w:val="none"/>
              </w:rPr>
              <w:t>符合第二章“投标人须知”3.1.1的要求</w:t>
            </w:r>
            <w:r>
              <w:rPr>
                <w:rFonts w:hint="eastAsia" w:ascii="宋体" w:hAnsi="宋体" w:eastAsia="宋体" w:cs="宋体"/>
                <w:color w:val="auto"/>
                <w:spacing w:val="0"/>
                <w:w w:val="100"/>
                <w:sz w:val="21"/>
                <w:szCs w:val="21"/>
                <w:highlight w:val="none"/>
                <w:lang w:eastAsia="zh-CN"/>
              </w:rPr>
              <w:t>。</w:t>
            </w:r>
          </w:p>
        </w:tc>
      </w:tr>
      <w:tr w14:paraId="212DB1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828" w:type="dxa"/>
            <w:vMerge w:val="continue"/>
            <w:tcBorders>
              <w:right w:val="single" w:color="auto" w:sz="4" w:space="0"/>
            </w:tcBorders>
            <w:noWrap w:val="0"/>
            <w:vAlign w:val="center"/>
          </w:tcPr>
          <w:p w14:paraId="56DF3ACC">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right w:val="single" w:color="auto" w:sz="4" w:space="0"/>
            </w:tcBorders>
            <w:noWrap w:val="0"/>
            <w:vAlign w:val="center"/>
          </w:tcPr>
          <w:p w14:paraId="43991FCB">
            <w:pPr>
              <w:shd w:val="clear" w:color="auto" w:fill="auto"/>
              <w:spacing w:line="240" w:lineRule="auto"/>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709B5CF2">
            <w:pPr>
              <w:spacing w:line="240" w:lineRule="auto"/>
              <w:jc w:val="center"/>
              <w:rPr>
                <w:rFonts w:hint="eastAsia" w:ascii="宋体" w:hAnsi="宋体" w:eastAsia="宋体" w:cs="宋体"/>
                <w:strike w:val="0"/>
                <w:dstrike w:val="0"/>
                <w:color w:val="auto"/>
                <w:kern w:val="2"/>
                <w:sz w:val="21"/>
                <w:szCs w:val="21"/>
                <w:highlight w:val="none"/>
                <w:lang w:val="en-US" w:eastAsia="zh-CN" w:bidi="ar-SA"/>
              </w:rPr>
            </w:pPr>
            <w:r>
              <w:rPr>
                <w:rFonts w:hint="eastAsia" w:ascii="宋体" w:hAnsi="宋体" w:eastAsia="宋体" w:cs="宋体"/>
                <w:strike w:val="0"/>
                <w:dstrike w:val="0"/>
                <w:color w:val="auto"/>
                <w:szCs w:val="21"/>
                <w:highlight w:val="none"/>
              </w:rPr>
              <w:t>报价唯一</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6E5EC6E6">
            <w:pPr>
              <w:spacing w:line="240" w:lineRule="auto"/>
              <w:jc w:val="both"/>
              <w:rPr>
                <w:rFonts w:hint="eastAsia" w:ascii="宋体" w:hAnsi="宋体" w:eastAsia="宋体" w:cs="宋体"/>
                <w:strike w:val="0"/>
                <w:dstrike w:val="0"/>
                <w:color w:val="auto"/>
                <w:kern w:val="2"/>
                <w:sz w:val="21"/>
                <w:szCs w:val="21"/>
                <w:highlight w:val="none"/>
                <w:lang w:val="en-US" w:eastAsia="zh-CN" w:bidi="ar-SA"/>
              </w:rPr>
            </w:pPr>
            <w:r>
              <w:rPr>
                <w:rFonts w:hint="eastAsia" w:ascii="宋体" w:hAnsi="宋体" w:eastAsia="宋体" w:cs="宋体"/>
                <w:strike w:val="0"/>
                <w:dstrike w:val="0"/>
                <w:color w:val="auto"/>
                <w:szCs w:val="21"/>
                <w:highlight w:val="none"/>
              </w:rPr>
              <w:t>只能有一个有效报价</w:t>
            </w:r>
            <w:r>
              <w:rPr>
                <w:rFonts w:hint="eastAsia" w:ascii="宋体" w:hAnsi="宋体" w:eastAsia="宋体" w:cs="宋体"/>
                <w:strike w:val="0"/>
                <w:dstrike w:val="0"/>
                <w:color w:val="auto"/>
                <w:szCs w:val="21"/>
                <w:highlight w:val="none"/>
                <w:lang w:eastAsia="zh-CN"/>
              </w:rPr>
              <w:t>。</w:t>
            </w:r>
          </w:p>
        </w:tc>
      </w:tr>
      <w:tr w14:paraId="3ADCDB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828" w:type="dxa"/>
            <w:vMerge w:val="continue"/>
            <w:tcBorders>
              <w:right w:val="single" w:color="auto" w:sz="4" w:space="0"/>
            </w:tcBorders>
            <w:noWrap w:val="0"/>
            <w:vAlign w:val="center"/>
          </w:tcPr>
          <w:p w14:paraId="10164748">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right w:val="single" w:color="auto" w:sz="4" w:space="0"/>
            </w:tcBorders>
            <w:noWrap w:val="0"/>
            <w:vAlign w:val="center"/>
          </w:tcPr>
          <w:p w14:paraId="4C3C7C46">
            <w:pPr>
              <w:shd w:val="clear" w:color="auto" w:fill="auto"/>
              <w:spacing w:line="240" w:lineRule="auto"/>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69028D62">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暗标</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62C28587">
            <w:pPr>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符合招标文件有关暗标的要求</w:t>
            </w:r>
            <w:r>
              <w:rPr>
                <w:rFonts w:hint="eastAsia" w:ascii="宋体" w:hAnsi="宋体" w:eastAsia="宋体" w:cs="宋体"/>
                <w:color w:val="auto"/>
                <w:szCs w:val="21"/>
                <w:highlight w:val="none"/>
                <w:lang w:eastAsia="zh-CN"/>
              </w:rPr>
              <w:t>。</w:t>
            </w:r>
          </w:p>
        </w:tc>
      </w:tr>
      <w:tr w14:paraId="6611B1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vMerge w:val="restart"/>
            <w:tcBorders>
              <w:top w:val="single" w:color="auto" w:sz="4" w:space="0"/>
              <w:bottom w:val="single" w:color="auto" w:sz="4" w:space="0"/>
              <w:right w:val="single" w:color="auto" w:sz="4" w:space="0"/>
            </w:tcBorders>
            <w:noWrap w:val="0"/>
            <w:vAlign w:val="center"/>
          </w:tcPr>
          <w:p w14:paraId="0171A0CC">
            <w:pPr>
              <w:shd w:val="clear" w:color="auto" w:fill="auto"/>
              <w:spacing w:line="44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.2</w:t>
            </w:r>
          </w:p>
        </w:tc>
        <w:tc>
          <w:tcPr>
            <w:tcW w:w="1260" w:type="dxa"/>
            <w:vMerge w:val="restart"/>
            <w:tcBorders>
              <w:top w:val="single" w:color="auto" w:sz="4" w:space="0"/>
              <w:bottom w:val="single" w:color="auto" w:sz="4" w:space="0"/>
              <w:right w:val="single" w:color="auto" w:sz="4" w:space="0"/>
            </w:tcBorders>
            <w:noWrap w:val="0"/>
            <w:vAlign w:val="center"/>
          </w:tcPr>
          <w:p w14:paraId="0248A012">
            <w:pPr>
              <w:shd w:val="clear" w:color="auto" w:fill="auto"/>
              <w:spacing w:line="32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资格评审标准</w:t>
            </w: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66085A34">
            <w:pPr>
              <w:shd w:val="clear" w:color="auto" w:fill="auto"/>
              <w:spacing w:line="44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2F8F4275">
            <w:pPr>
              <w:shd w:val="clear" w:color="auto" w:fill="auto"/>
              <w:spacing w:line="360" w:lineRule="exact"/>
              <w:jc w:val="left"/>
              <w:textAlignment w:val="center"/>
              <w:rPr>
                <w:rFonts w:hint="eastAsia" w:ascii="宋体" w:hAnsi="宋体" w:eastAsia="宋体" w:cs="宋体"/>
                <w:color w:val="auto"/>
                <w:szCs w:val="21"/>
                <w:highlight w:val="none"/>
                <w:lang w:eastAsia="zh-CN"/>
              </w:rPr>
            </w:pPr>
            <w:r>
              <w:rPr>
                <w:rFonts w:hint="eastAsia" w:ascii="宋体" w:hAnsi="宋体" w:cs="宋体"/>
                <w:color w:val="000000"/>
                <w:szCs w:val="21"/>
                <w:highlight w:val="none"/>
              </w:rPr>
              <w:t>具备有效的营业执照，提供有效的营业执照</w:t>
            </w:r>
            <w:r>
              <w:rPr>
                <w:rFonts w:hint="eastAsia" w:ascii="宋体" w:hAnsi="宋体" w:cs="宋体"/>
                <w:szCs w:val="21"/>
                <w:highlight w:val="none"/>
              </w:rPr>
              <w:t>。</w:t>
            </w:r>
          </w:p>
        </w:tc>
      </w:tr>
      <w:tr w14:paraId="22B89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828" w:type="dxa"/>
            <w:vMerge w:val="continue"/>
            <w:tcBorders>
              <w:top w:val="nil"/>
              <w:bottom w:val="single" w:color="auto" w:sz="4" w:space="0"/>
              <w:right w:val="single" w:color="auto" w:sz="4" w:space="0"/>
            </w:tcBorders>
            <w:noWrap w:val="0"/>
            <w:vAlign w:val="center"/>
          </w:tcPr>
          <w:p w14:paraId="43796B62">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nil"/>
              <w:bottom w:val="single" w:color="auto" w:sz="4" w:space="0"/>
              <w:right w:val="single" w:color="auto" w:sz="4" w:space="0"/>
            </w:tcBorders>
            <w:noWrap w:val="0"/>
            <w:vAlign w:val="center"/>
          </w:tcPr>
          <w:p w14:paraId="5AE37B40">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73E3AEAD">
            <w:pPr>
              <w:shd w:val="clear" w:color="auto" w:fill="auto"/>
              <w:spacing w:line="240" w:lineRule="auto"/>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安全生产许可证</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1A7BFE26">
            <w:pPr>
              <w:shd w:val="clear" w:color="auto" w:fill="auto"/>
              <w:spacing w:line="240" w:lineRule="auto"/>
              <w:jc w:val="left"/>
              <w:textAlignment w:val="center"/>
              <w:rPr>
                <w:rFonts w:hint="eastAsia" w:ascii="宋体" w:hAnsi="宋体" w:eastAsia="宋体" w:cs="宋体"/>
                <w:color w:val="auto"/>
                <w:szCs w:val="21"/>
                <w:highlight w:val="none"/>
                <w:lang w:eastAsia="zh-CN"/>
              </w:rPr>
            </w:pPr>
            <w:r>
              <w:rPr>
                <w:rFonts w:hint="eastAsia" w:ascii="宋体" w:hAnsi="宋体" w:cs="宋体"/>
                <w:color w:val="000000"/>
                <w:szCs w:val="21"/>
                <w:highlight w:val="none"/>
              </w:rPr>
              <w:t>具备有效的安全生产许可证，提供有效的安全生产许可证</w:t>
            </w:r>
            <w:r>
              <w:rPr>
                <w:rFonts w:hint="eastAsia" w:ascii="宋体" w:hAnsi="宋体" w:cs="宋体"/>
                <w:szCs w:val="21"/>
                <w:highlight w:val="none"/>
              </w:rPr>
              <w:t>。</w:t>
            </w:r>
          </w:p>
        </w:tc>
      </w:tr>
      <w:tr w14:paraId="1A39A8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9" w:hRule="atLeast"/>
        </w:trPr>
        <w:tc>
          <w:tcPr>
            <w:tcW w:w="828" w:type="dxa"/>
            <w:vMerge w:val="continue"/>
            <w:tcBorders>
              <w:top w:val="nil"/>
              <w:bottom w:val="single" w:color="auto" w:sz="4" w:space="0"/>
              <w:right w:val="single" w:color="auto" w:sz="4" w:space="0"/>
            </w:tcBorders>
            <w:noWrap w:val="0"/>
            <w:vAlign w:val="center"/>
          </w:tcPr>
          <w:p w14:paraId="796EB3BA">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nil"/>
              <w:bottom w:val="single" w:color="auto" w:sz="4" w:space="0"/>
              <w:right w:val="single" w:color="auto" w:sz="4" w:space="0"/>
            </w:tcBorders>
            <w:noWrap w:val="0"/>
            <w:vAlign w:val="center"/>
          </w:tcPr>
          <w:p w14:paraId="3A338B18">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6F9B66C5">
            <w:pPr>
              <w:shd w:val="clear" w:color="auto" w:fill="auto"/>
              <w:spacing w:line="240" w:lineRule="auto"/>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资质等级</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2C64653D">
            <w:pPr>
              <w:shd w:val="clear" w:color="auto" w:fill="auto"/>
              <w:spacing w:line="240" w:lineRule="auto"/>
              <w:jc w:val="left"/>
              <w:textAlignment w:val="center"/>
              <w:rPr>
                <w:rFonts w:hint="default"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投标人须具备市政公用工程施工总承包三级及以上资质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提供有效的资质证书。</w:t>
            </w:r>
          </w:p>
        </w:tc>
      </w:tr>
      <w:tr w14:paraId="1653FA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828" w:type="dxa"/>
            <w:vMerge w:val="continue"/>
            <w:tcBorders>
              <w:top w:val="nil"/>
              <w:bottom w:val="single" w:color="auto" w:sz="4" w:space="0"/>
              <w:right w:val="single" w:color="auto" w:sz="4" w:space="0"/>
            </w:tcBorders>
            <w:noWrap w:val="0"/>
            <w:vAlign w:val="center"/>
          </w:tcPr>
          <w:p w14:paraId="3F606B5B">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nil"/>
              <w:bottom w:val="single" w:color="auto" w:sz="4" w:space="0"/>
              <w:right w:val="single" w:color="auto" w:sz="4" w:space="0"/>
            </w:tcBorders>
            <w:noWrap w:val="0"/>
            <w:vAlign w:val="center"/>
          </w:tcPr>
          <w:p w14:paraId="1DEE1680">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1517E8BF">
            <w:pPr>
              <w:shd w:val="clear" w:color="auto" w:fill="auto"/>
              <w:spacing w:line="240" w:lineRule="auto"/>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项目负责人资质</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31B72FF2">
            <w:pPr>
              <w:shd w:val="clear" w:color="auto" w:fill="auto"/>
              <w:spacing w:line="240" w:lineRule="auto"/>
              <w:jc w:val="left"/>
              <w:textAlignment w:val="center"/>
              <w:rPr>
                <w:rFonts w:hint="default"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具备市政公用工程专业二级及以上注册建造师</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提供项目负责人有效的资质证书。</w:t>
            </w:r>
          </w:p>
        </w:tc>
      </w:tr>
      <w:tr w14:paraId="4F186E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7" w:hRule="atLeast"/>
        </w:trPr>
        <w:tc>
          <w:tcPr>
            <w:tcW w:w="828" w:type="dxa"/>
            <w:vMerge w:val="continue"/>
            <w:tcBorders>
              <w:top w:val="nil"/>
              <w:bottom w:val="single" w:color="auto" w:sz="4" w:space="0"/>
              <w:right w:val="single" w:color="auto" w:sz="4" w:space="0"/>
            </w:tcBorders>
            <w:noWrap w:val="0"/>
            <w:vAlign w:val="center"/>
          </w:tcPr>
          <w:p w14:paraId="6259452A">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nil"/>
              <w:bottom w:val="single" w:color="auto" w:sz="4" w:space="0"/>
              <w:right w:val="single" w:color="auto" w:sz="4" w:space="0"/>
            </w:tcBorders>
            <w:noWrap w:val="0"/>
            <w:vAlign w:val="center"/>
          </w:tcPr>
          <w:p w14:paraId="6E93B89B">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4031E706">
            <w:pPr>
              <w:shd w:val="clear" w:color="auto" w:fill="auto"/>
              <w:spacing w:line="240" w:lineRule="auto"/>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p>
          <w:p w14:paraId="42A8CDA7">
            <w:pPr>
              <w:shd w:val="clear" w:color="auto" w:fill="auto"/>
              <w:spacing w:line="240" w:lineRule="auto"/>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安全生产考核</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1A8B40D5">
            <w:pPr>
              <w:shd w:val="clear" w:color="auto" w:fill="auto"/>
              <w:spacing w:line="240" w:lineRule="auto"/>
              <w:jc w:val="left"/>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同时具有安全生产考核合格证（B证）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提供有效的安全生产考核合格证书。</w:t>
            </w:r>
          </w:p>
        </w:tc>
      </w:tr>
      <w:tr w14:paraId="7A48F7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28" w:type="dxa"/>
            <w:vMerge w:val="continue"/>
            <w:tcBorders>
              <w:top w:val="nil"/>
              <w:bottom w:val="single" w:color="auto" w:sz="4" w:space="0"/>
              <w:right w:val="single" w:color="auto" w:sz="4" w:space="0"/>
            </w:tcBorders>
            <w:noWrap w:val="0"/>
            <w:vAlign w:val="center"/>
          </w:tcPr>
          <w:p w14:paraId="39188997">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nil"/>
              <w:bottom w:val="single" w:color="auto" w:sz="4" w:space="0"/>
              <w:right w:val="single" w:color="auto" w:sz="4" w:space="0"/>
            </w:tcBorders>
            <w:noWrap w:val="0"/>
            <w:vAlign w:val="center"/>
          </w:tcPr>
          <w:p w14:paraId="11FDCE5C">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1E990415">
            <w:pPr>
              <w:shd w:val="clear" w:color="auto" w:fill="auto"/>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项目负责人其他要求</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7BB53FCF">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项目负责人必须满足下列条件：</w:t>
            </w:r>
          </w:p>
          <w:p w14:paraId="41BBBEDC">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项目负责人不得同时在两个或者两个以上单位受聘或者执业；</w:t>
            </w:r>
          </w:p>
          <w:p w14:paraId="100E476F">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center"/>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cs="宋体"/>
                <w:szCs w:val="21"/>
                <w:highlight w:val="none"/>
              </w:rPr>
              <w:t>项目负责人是非变更后无在建工程；或项目负责人是变更后无在建工程；或因非承包方原因致使工程项目停工超过120天（含），经建设单位同意的；或项目负责人有在建工程，但该在建工程与本次招标的工程属于同一工程项目、同一项目批文、同一施工地点分段发包或分期施工的情况且总的工程规模在项目负责人执业范围之内。</w:t>
            </w:r>
            <w:r>
              <w:rPr>
                <w:rFonts w:hint="eastAsia" w:ascii="宋体" w:hAnsi="宋体" w:eastAsia="宋体" w:cs="宋体"/>
                <w:color w:val="auto"/>
                <w:sz w:val="21"/>
                <w:szCs w:val="21"/>
                <w:highlight w:val="none"/>
              </w:rPr>
              <w:t>。</w:t>
            </w:r>
            <w:r>
              <w:rPr>
                <w:rFonts w:hint="eastAsia" w:ascii="宋体" w:hAnsi="宋体" w:eastAsia="宋体" w:cs="宋体"/>
                <w:color w:val="auto"/>
                <w:szCs w:val="21"/>
                <w:highlight w:val="none"/>
                <w:u w:val="none"/>
              </w:rPr>
              <w:t xml:space="preserve"> </w:t>
            </w:r>
          </w:p>
          <w:p w14:paraId="1D3E713E">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center"/>
              <w:rPr>
                <w:rFonts w:hint="eastAsia" w:ascii="宋体" w:hAnsi="宋体" w:cs="宋体"/>
                <w:b w:val="0"/>
                <w:bCs w:val="0"/>
                <w:szCs w:val="21"/>
                <w:highlight w:val="none"/>
                <w:u w:val="none"/>
                <w:lang w:eastAsia="zh-CN"/>
              </w:rPr>
            </w:pPr>
            <w:r>
              <w:rPr>
                <w:rFonts w:hint="eastAsia" w:ascii="宋体" w:hAnsi="宋体" w:eastAsia="宋体" w:cs="宋体"/>
                <w:color w:val="auto"/>
                <w:szCs w:val="21"/>
                <w:highlight w:val="none"/>
                <w:u w:val="none"/>
                <w:lang w:val="en-US" w:eastAsia="zh-CN"/>
              </w:rPr>
              <w:t xml:space="preserve"> （3）</w:t>
            </w:r>
            <w:r>
              <w:rPr>
                <w:rFonts w:hint="eastAsia" w:ascii="宋体" w:hAnsi="宋体" w:cs="宋体"/>
                <w:b w:val="0"/>
                <w:bCs w:val="0"/>
                <w:szCs w:val="21"/>
                <w:highlight w:val="none"/>
                <w:u w:val="none"/>
              </w:rPr>
              <w:t>拟派项目负责人必须为投标企业正式人员</w:t>
            </w:r>
            <w:r>
              <w:rPr>
                <w:rFonts w:hint="eastAsia" w:ascii="宋体" w:hAnsi="宋体" w:cs="宋体"/>
                <w:b w:val="0"/>
                <w:bCs w:val="0"/>
                <w:szCs w:val="21"/>
                <w:highlight w:val="none"/>
                <w:u w:val="none"/>
                <w:lang w:eastAsia="zh-CN"/>
              </w:rPr>
              <w:t>（不接受退休返聘人员）。</w:t>
            </w:r>
          </w:p>
          <w:p w14:paraId="2CD97C86">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center"/>
              <w:rPr>
                <w:rFonts w:hint="eastAsia" w:ascii="宋体" w:hAnsi="宋体" w:eastAsia="宋体" w:cs="宋体"/>
                <w:b w:val="0"/>
                <w:bCs w:val="0"/>
                <w:szCs w:val="21"/>
                <w:highlight w:val="none"/>
                <w:u w:val="none"/>
                <w:lang w:val="en-US" w:eastAsia="zh-CN"/>
              </w:rPr>
            </w:pPr>
            <w:r>
              <w:rPr>
                <w:rFonts w:hint="eastAsia" w:ascii="宋体" w:hAnsi="宋体" w:cs="宋体"/>
                <w:szCs w:val="21"/>
                <w:highlight w:val="none"/>
                <w:u w:val="single"/>
              </w:rPr>
              <w:t>提供：①诚信承诺书（格式见第八章投标文件格式“诚信承诺书”）或</w:t>
            </w:r>
            <w:r>
              <w:rPr>
                <w:rFonts w:hint="eastAsia" w:ascii="宋体" w:hAnsi="宋体" w:cs="宋体"/>
                <w:szCs w:val="21"/>
                <w:highlight w:val="none"/>
              </w:rPr>
              <w:t>因非承包方原因致使工程项目停工超过120天（含），</w:t>
            </w:r>
            <w:r>
              <w:rPr>
                <w:rFonts w:hint="eastAsia" w:ascii="宋体" w:hAnsi="宋体" w:cs="宋体"/>
                <w:szCs w:val="21"/>
                <w:highlight w:val="none"/>
                <w:u w:val="single"/>
              </w:rPr>
              <w:t>或因故不能按期开工、且已办理项目负责人解锁手续证明；②投标企业与拟派项目负责人双方签订的有效劳动合同书</w:t>
            </w:r>
            <w:r>
              <w:rPr>
                <w:rFonts w:hint="eastAsia" w:ascii="宋体" w:hAnsi="宋体" w:cs="宋体"/>
                <w:szCs w:val="21"/>
                <w:highlight w:val="none"/>
                <w:u w:val="single"/>
                <w:lang w:eastAsia="zh-CN"/>
              </w:rPr>
              <w:t>。</w:t>
            </w:r>
          </w:p>
        </w:tc>
      </w:tr>
      <w:tr w14:paraId="473937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88" w:hRule="atLeast"/>
        </w:trPr>
        <w:tc>
          <w:tcPr>
            <w:tcW w:w="828" w:type="dxa"/>
            <w:vMerge w:val="continue"/>
            <w:tcBorders>
              <w:top w:val="nil"/>
              <w:bottom w:val="single" w:color="auto" w:sz="4" w:space="0"/>
              <w:right w:val="single" w:color="auto" w:sz="4" w:space="0"/>
            </w:tcBorders>
            <w:noWrap w:val="0"/>
            <w:vAlign w:val="center"/>
          </w:tcPr>
          <w:p w14:paraId="3C51BC19">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nil"/>
              <w:bottom w:val="single" w:color="auto" w:sz="4" w:space="0"/>
              <w:right w:val="single" w:color="auto" w:sz="4" w:space="0"/>
            </w:tcBorders>
            <w:noWrap w:val="0"/>
            <w:vAlign w:val="center"/>
          </w:tcPr>
          <w:p w14:paraId="39347614">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06967AEB">
            <w:pPr>
              <w:shd w:val="clear" w:color="auto" w:fill="auto"/>
              <w:spacing w:line="240" w:lineRule="auto"/>
              <w:textAlignment w:val="center"/>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建筑业企业资质动态监管结果</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2795D51D">
            <w:pPr>
              <w:shd w:val="clear" w:color="auto" w:fill="auto"/>
              <w:spacing w:line="240" w:lineRule="auto"/>
              <w:textAlignment w:val="center"/>
              <w:rPr>
                <w:rFonts w:hint="eastAsia" w:ascii="宋体" w:hAnsi="宋体" w:eastAsia="宋体" w:cs="宋体"/>
                <w:color w:val="auto"/>
                <w:szCs w:val="21"/>
                <w:highlight w:val="none"/>
                <w:u w:val="none"/>
                <w:lang w:val="zh-CN" w:eastAsia="zh-CN"/>
              </w:rPr>
            </w:pPr>
            <w:r>
              <w:rPr>
                <w:rFonts w:hint="eastAsia" w:ascii="宋体" w:hAnsi="宋体" w:eastAsia="宋体" w:cs="宋体"/>
                <w:color w:val="auto"/>
                <w:szCs w:val="21"/>
                <w:highlight w:val="none"/>
                <w:u w:val="none"/>
                <w:lang w:val="zh-CN" w:eastAsia="zh-CN"/>
              </w:rPr>
              <w:t>投标人在本招标项目投标文件递交截止时间当日，建筑业企业资质动态监管结果中本项目要求的资质不处于不合格状态。</w:t>
            </w:r>
          </w:p>
          <w:p w14:paraId="39B448C4">
            <w:pPr>
              <w:shd w:val="clear" w:color="auto" w:fill="auto"/>
              <w:spacing w:line="240" w:lineRule="auto"/>
              <w:textAlignment w:val="center"/>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zh-CN" w:eastAsia="zh-CN"/>
              </w:rPr>
              <w:t>招标人在本招标项目投标文件递交截止时间当日登录“江苏省建筑市场监管与诚信信息一体化平台”，检查投标人的建筑企业资质动态监管结果中本项目要求的资质，对动态监管处于不合格状态的投标人进行截图保存，提供给评标委员会。</w:t>
            </w:r>
          </w:p>
        </w:tc>
      </w:tr>
      <w:tr w14:paraId="1EC98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8" w:type="dxa"/>
            <w:vMerge w:val="continue"/>
            <w:tcBorders>
              <w:top w:val="nil"/>
              <w:bottom w:val="single" w:color="auto" w:sz="4" w:space="0"/>
              <w:right w:val="single" w:color="auto" w:sz="4" w:space="0"/>
            </w:tcBorders>
            <w:noWrap w:val="0"/>
            <w:vAlign w:val="center"/>
          </w:tcPr>
          <w:p w14:paraId="505C6815">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nil"/>
              <w:bottom w:val="single" w:color="auto" w:sz="4" w:space="0"/>
              <w:right w:val="single" w:color="auto" w:sz="4" w:space="0"/>
            </w:tcBorders>
            <w:noWrap w:val="0"/>
            <w:vAlign w:val="center"/>
          </w:tcPr>
          <w:p w14:paraId="6543E579">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7848A362">
            <w:pPr>
              <w:shd w:val="clear" w:color="auto" w:fill="auto"/>
              <w:spacing w:line="240" w:lineRule="auto"/>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联合体投标人</w:t>
            </w:r>
          </w:p>
          <w:p w14:paraId="4E022229">
            <w:pPr>
              <w:shd w:val="clear" w:color="auto" w:fill="auto"/>
              <w:spacing w:line="240" w:lineRule="auto"/>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pacing w:val="0"/>
                <w:w w:val="100"/>
                <w:sz w:val="21"/>
                <w:szCs w:val="21"/>
                <w:highlight w:val="none"/>
              </w:rPr>
              <w:t>（如有）</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652F5E9D">
            <w:pPr>
              <w:shd w:val="clear" w:color="auto" w:fill="auto"/>
              <w:spacing w:line="240" w:lineRule="auto"/>
              <w:jc w:val="left"/>
              <w:textAlignment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符合第二章“投标人须知”第1.4.1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1.4.2项规定</w:t>
            </w:r>
            <w:r>
              <w:rPr>
                <w:rFonts w:hint="eastAsia" w:ascii="宋体" w:hAnsi="宋体" w:eastAsia="宋体" w:cs="宋体"/>
                <w:color w:val="auto"/>
                <w:szCs w:val="21"/>
                <w:highlight w:val="none"/>
                <w:lang w:eastAsia="zh-CN"/>
              </w:rPr>
              <w:t>。</w:t>
            </w:r>
          </w:p>
        </w:tc>
      </w:tr>
      <w:tr w14:paraId="5BF6EE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8" w:type="dxa"/>
            <w:vMerge w:val="continue"/>
            <w:tcBorders>
              <w:top w:val="nil"/>
              <w:bottom w:val="single" w:color="auto" w:sz="4" w:space="0"/>
              <w:right w:val="single" w:color="auto" w:sz="4" w:space="0"/>
            </w:tcBorders>
            <w:noWrap w:val="0"/>
            <w:vAlign w:val="center"/>
          </w:tcPr>
          <w:p w14:paraId="3BA808B3">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nil"/>
              <w:bottom w:val="single" w:color="auto" w:sz="4" w:space="0"/>
              <w:right w:val="single" w:color="auto" w:sz="4" w:space="0"/>
            </w:tcBorders>
            <w:noWrap w:val="0"/>
            <w:vAlign w:val="center"/>
          </w:tcPr>
          <w:p w14:paraId="7B626157">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40E078DD">
            <w:pPr>
              <w:shd w:val="clear" w:color="auto" w:fill="auto"/>
              <w:spacing w:line="240" w:lineRule="auto"/>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其他禁止性情形</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71BF8C54">
            <w:pPr>
              <w:shd w:val="clear" w:color="auto" w:fill="auto"/>
              <w:spacing w:line="240" w:lineRule="auto"/>
              <w:jc w:val="left"/>
              <w:textAlignment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无第二章“投标人须知”第1.4.3项规定的任一项情形</w:t>
            </w:r>
            <w:r>
              <w:rPr>
                <w:rFonts w:hint="eastAsia" w:ascii="宋体" w:hAnsi="宋体" w:eastAsia="宋体" w:cs="宋体"/>
                <w:color w:val="auto"/>
                <w:szCs w:val="21"/>
                <w:highlight w:val="none"/>
                <w:lang w:eastAsia="zh-CN"/>
              </w:rPr>
              <w:t>。</w:t>
            </w:r>
          </w:p>
        </w:tc>
      </w:tr>
      <w:tr w14:paraId="0BBAC8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8" w:type="dxa"/>
            <w:vMerge w:val="continue"/>
            <w:tcBorders>
              <w:top w:val="nil"/>
              <w:bottom w:val="single" w:color="auto" w:sz="4" w:space="0"/>
              <w:right w:val="single" w:color="auto" w:sz="4" w:space="0"/>
            </w:tcBorders>
            <w:noWrap w:val="0"/>
            <w:vAlign w:val="center"/>
          </w:tcPr>
          <w:p w14:paraId="703872E3">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nil"/>
              <w:bottom w:val="single" w:color="auto" w:sz="4" w:space="0"/>
              <w:right w:val="single" w:color="auto" w:sz="4" w:space="0"/>
            </w:tcBorders>
            <w:noWrap w:val="0"/>
            <w:vAlign w:val="center"/>
          </w:tcPr>
          <w:p w14:paraId="3C27B482">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01850AF3">
            <w:pPr>
              <w:shd w:val="clear" w:color="auto" w:fill="auto"/>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其他要求</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7BD8BD3A">
            <w:pPr>
              <w:shd w:val="clear" w:color="auto" w:fill="auto"/>
              <w:spacing w:line="24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符合第二章“投标人须知”第1.4.1项规定的其他要求</w:t>
            </w:r>
            <w:r>
              <w:rPr>
                <w:rFonts w:hint="eastAsia" w:ascii="宋体" w:hAnsi="宋体" w:eastAsia="宋体" w:cs="宋体"/>
                <w:color w:val="auto"/>
                <w:szCs w:val="21"/>
                <w:highlight w:val="none"/>
                <w:lang w:eastAsia="zh-CN"/>
              </w:rPr>
              <w:t>。</w:t>
            </w:r>
          </w:p>
        </w:tc>
      </w:tr>
      <w:tr w14:paraId="3FE9DB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28" w:type="dxa"/>
            <w:vMerge w:val="restart"/>
            <w:tcBorders>
              <w:top w:val="single" w:color="auto" w:sz="4" w:space="0"/>
              <w:bottom w:val="single" w:color="auto" w:sz="4" w:space="0"/>
              <w:right w:val="single" w:color="auto" w:sz="4" w:space="0"/>
            </w:tcBorders>
            <w:noWrap w:val="0"/>
            <w:vAlign w:val="center"/>
          </w:tcPr>
          <w:p w14:paraId="5BA44111">
            <w:pPr>
              <w:shd w:val="clear" w:color="auto" w:fill="auto"/>
              <w:spacing w:line="44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w:t>
            </w:r>
          </w:p>
        </w:tc>
        <w:tc>
          <w:tcPr>
            <w:tcW w:w="1260" w:type="dxa"/>
            <w:vMerge w:val="restart"/>
            <w:tcBorders>
              <w:top w:val="single" w:color="auto" w:sz="4" w:space="0"/>
              <w:bottom w:val="single" w:color="auto" w:sz="4" w:space="0"/>
              <w:right w:val="single" w:color="auto" w:sz="4" w:space="0"/>
            </w:tcBorders>
            <w:noWrap w:val="0"/>
            <w:vAlign w:val="center"/>
          </w:tcPr>
          <w:p w14:paraId="6D304035">
            <w:pPr>
              <w:shd w:val="clear" w:color="auto" w:fill="auto"/>
              <w:spacing w:line="32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响应性</w:t>
            </w:r>
          </w:p>
          <w:p w14:paraId="6BAA2F67">
            <w:pPr>
              <w:shd w:val="clear" w:color="auto" w:fill="auto"/>
              <w:spacing w:line="32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评审标准</w:t>
            </w: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08EC5457">
            <w:pPr>
              <w:shd w:val="clear" w:color="auto" w:fill="auto"/>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投标内容</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7B2C4563">
            <w:pPr>
              <w:shd w:val="clear" w:color="auto" w:fill="auto"/>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符合第二章“投标人须知”第1.3.1项规定</w:t>
            </w:r>
            <w:r>
              <w:rPr>
                <w:rFonts w:hint="eastAsia" w:ascii="宋体" w:hAnsi="宋体" w:eastAsia="宋体" w:cs="宋体"/>
                <w:color w:val="auto"/>
                <w:szCs w:val="21"/>
                <w:highlight w:val="none"/>
                <w:lang w:eastAsia="zh-CN"/>
              </w:rPr>
              <w:t>。</w:t>
            </w:r>
          </w:p>
        </w:tc>
      </w:tr>
      <w:tr w14:paraId="7C8714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828" w:type="dxa"/>
            <w:vMerge w:val="continue"/>
            <w:tcBorders>
              <w:top w:val="single" w:color="auto" w:sz="4" w:space="0"/>
              <w:bottom w:val="single" w:color="auto" w:sz="4" w:space="0"/>
              <w:right w:val="single" w:color="auto" w:sz="4" w:space="0"/>
            </w:tcBorders>
            <w:noWrap w:val="0"/>
            <w:vAlign w:val="center"/>
          </w:tcPr>
          <w:p w14:paraId="3378DC93">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single" w:color="auto" w:sz="4" w:space="0"/>
              <w:bottom w:val="single" w:color="auto" w:sz="4" w:space="0"/>
              <w:right w:val="single" w:color="auto" w:sz="4" w:space="0"/>
            </w:tcBorders>
            <w:noWrap w:val="0"/>
            <w:vAlign w:val="center"/>
          </w:tcPr>
          <w:p w14:paraId="6CC7ACAE">
            <w:pPr>
              <w:shd w:val="clear" w:color="auto" w:fill="auto"/>
              <w:spacing w:line="32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43301771">
            <w:pPr>
              <w:shd w:val="clear" w:color="auto" w:fill="auto"/>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工期</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132DC938">
            <w:pPr>
              <w:shd w:val="clear" w:color="auto" w:fill="auto"/>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投标函中载明的工期符合第二章“投标人须知”第1.3.2项规定</w:t>
            </w:r>
            <w:r>
              <w:rPr>
                <w:rFonts w:hint="eastAsia" w:ascii="宋体" w:hAnsi="宋体" w:eastAsia="宋体" w:cs="宋体"/>
                <w:color w:val="auto"/>
                <w:szCs w:val="21"/>
                <w:highlight w:val="none"/>
                <w:lang w:eastAsia="zh-CN"/>
              </w:rPr>
              <w:t>。</w:t>
            </w:r>
          </w:p>
        </w:tc>
      </w:tr>
      <w:tr w14:paraId="2C785D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828" w:type="dxa"/>
            <w:vMerge w:val="continue"/>
            <w:tcBorders>
              <w:top w:val="single" w:color="auto" w:sz="4" w:space="0"/>
              <w:bottom w:val="single" w:color="auto" w:sz="4" w:space="0"/>
              <w:right w:val="single" w:color="auto" w:sz="4" w:space="0"/>
            </w:tcBorders>
            <w:noWrap w:val="0"/>
            <w:vAlign w:val="center"/>
          </w:tcPr>
          <w:p w14:paraId="48FA95D2">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single" w:color="auto" w:sz="4" w:space="0"/>
              <w:bottom w:val="single" w:color="auto" w:sz="4" w:space="0"/>
              <w:right w:val="single" w:color="auto" w:sz="4" w:space="0"/>
            </w:tcBorders>
            <w:noWrap w:val="0"/>
            <w:vAlign w:val="center"/>
          </w:tcPr>
          <w:p w14:paraId="70B7B2B3">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03BF7DCD">
            <w:pPr>
              <w:shd w:val="clear" w:color="auto" w:fill="auto"/>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工程质量</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4E85C95B">
            <w:pPr>
              <w:shd w:val="clear" w:color="auto" w:fill="auto"/>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投标函中载明的质量符合第二章“投标人须知”第1.3.3项规定</w:t>
            </w:r>
            <w:r>
              <w:rPr>
                <w:rFonts w:hint="eastAsia" w:ascii="宋体" w:hAnsi="宋体" w:eastAsia="宋体" w:cs="宋体"/>
                <w:color w:val="auto"/>
                <w:szCs w:val="21"/>
                <w:highlight w:val="none"/>
                <w:lang w:eastAsia="zh-CN"/>
              </w:rPr>
              <w:t>。</w:t>
            </w:r>
          </w:p>
        </w:tc>
      </w:tr>
      <w:tr w14:paraId="5D02A9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828" w:type="dxa"/>
            <w:vMerge w:val="continue"/>
            <w:tcBorders>
              <w:top w:val="single" w:color="auto" w:sz="4" w:space="0"/>
              <w:bottom w:val="single" w:color="auto" w:sz="4" w:space="0"/>
              <w:right w:val="single" w:color="auto" w:sz="4" w:space="0"/>
            </w:tcBorders>
            <w:noWrap w:val="0"/>
            <w:vAlign w:val="center"/>
          </w:tcPr>
          <w:p w14:paraId="2C7D5726">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single" w:color="auto" w:sz="4" w:space="0"/>
              <w:bottom w:val="single" w:color="auto" w:sz="4" w:space="0"/>
              <w:right w:val="single" w:color="auto" w:sz="4" w:space="0"/>
            </w:tcBorders>
            <w:noWrap w:val="0"/>
            <w:vAlign w:val="center"/>
          </w:tcPr>
          <w:p w14:paraId="19D93C0B">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3DB9B4BB">
            <w:pPr>
              <w:shd w:val="clear" w:color="auto" w:fill="auto"/>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投标有效期</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40DED1F8">
            <w:pPr>
              <w:shd w:val="clear" w:color="auto" w:fill="auto"/>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符合第二章“投标人须知”第3.3.1项规定</w:t>
            </w:r>
            <w:r>
              <w:rPr>
                <w:rFonts w:hint="eastAsia" w:ascii="宋体" w:hAnsi="宋体" w:eastAsia="宋体" w:cs="宋体"/>
                <w:color w:val="auto"/>
                <w:szCs w:val="21"/>
                <w:highlight w:val="none"/>
                <w:lang w:eastAsia="zh-CN"/>
              </w:rPr>
              <w:t>。</w:t>
            </w:r>
          </w:p>
        </w:tc>
      </w:tr>
      <w:tr w14:paraId="2AE512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828" w:type="dxa"/>
            <w:vMerge w:val="continue"/>
            <w:tcBorders>
              <w:top w:val="single" w:color="auto" w:sz="4" w:space="0"/>
              <w:bottom w:val="single" w:color="auto" w:sz="4" w:space="0"/>
              <w:right w:val="single" w:color="auto" w:sz="4" w:space="0"/>
            </w:tcBorders>
            <w:noWrap w:val="0"/>
            <w:vAlign w:val="center"/>
          </w:tcPr>
          <w:p w14:paraId="770D4498">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single" w:color="auto" w:sz="4" w:space="0"/>
              <w:bottom w:val="single" w:color="auto" w:sz="4" w:space="0"/>
              <w:right w:val="single" w:color="auto" w:sz="4" w:space="0"/>
            </w:tcBorders>
            <w:noWrap w:val="0"/>
            <w:vAlign w:val="center"/>
          </w:tcPr>
          <w:p w14:paraId="74681AFF">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4DFDA42D">
            <w:pPr>
              <w:shd w:val="clear" w:color="auto" w:fill="auto"/>
              <w:spacing w:line="360" w:lineRule="auto"/>
              <w:jc w:val="center"/>
              <w:rPr>
                <w:rFonts w:hint="eastAsia" w:ascii="宋体" w:hAnsi="宋体" w:eastAsia="宋体" w:cs="宋体"/>
                <w:strike w:val="0"/>
                <w:dstrike w:val="0"/>
                <w:color w:val="auto"/>
                <w:kern w:val="2"/>
                <w:sz w:val="21"/>
                <w:szCs w:val="21"/>
                <w:highlight w:val="none"/>
                <w:lang w:val="en-US" w:eastAsia="zh-CN" w:bidi="ar-SA"/>
              </w:rPr>
            </w:pPr>
            <w:r>
              <w:rPr>
                <w:rFonts w:hint="eastAsia" w:ascii="宋体" w:hAnsi="宋体" w:eastAsia="宋体" w:cs="宋体"/>
                <w:strike w:val="0"/>
                <w:dstrike w:val="0"/>
                <w:color w:val="auto"/>
                <w:szCs w:val="21"/>
                <w:highlight w:val="none"/>
              </w:rPr>
              <w:t>投标报价</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31E4D582">
            <w:pPr>
              <w:shd w:val="clear" w:color="auto" w:fill="auto"/>
              <w:spacing w:line="240" w:lineRule="auto"/>
              <w:jc w:val="both"/>
              <w:textAlignment w:val="center"/>
              <w:rPr>
                <w:rFonts w:hint="eastAsia" w:ascii="宋体" w:hAnsi="宋体" w:eastAsia="宋体" w:cs="宋体"/>
                <w:strike w:val="0"/>
                <w:dstrike w:val="0"/>
                <w:color w:val="auto"/>
                <w:kern w:val="2"/>
                <w:sz w:val="21"/>
                <w:szCs w:val="21"/>
                <w:highlight w:val="none"/>
                <w:lang w:val="en-US" w:eastAsia="zh-CN" w:bidi="ar-SA"/>
              </w:rPr>
            </w:pPr>
            <w:r>
              <w:rPr>
                <w:rFonts w:hint="eastAsia" w:ascii="宋体" w:hAnsi="宋体" w:eastAsia="宋体" w:cs="宋体"/>
                <w:strike w:val="0"/>
                <w:dstrike w:val="0"/>
                <w:color w:val="auto"/>
                <w:szCs w:val="21"/>
                <w:highlight w:val="none"/>
              </w:rPr>
              <w:t>无下列情形之一：（1）低于成本；（2）高于招标文件设定的最高投标限价；（</w:t>
            </w:r>
            <w:r>
              <w:rPr>
                <w:rFonts w:hint="eastAsia" w:ascii="宋体" w:hAnsi="宋体" w:eastAsia="宋体" w:cs="宋体"/>
                <w:strike w:val="0"/>
                <w:dstrike w:val="0"/>
                <w:color w:val="auto"/>
                <w:szCs w:val="21"/>
                <w:highlight w:val="none"/>
                <w:lang w:val="en-US" w:eastAsia="zh-CN"/>
              </w:rPr>
              <w:t>3</w:t>
            </w:r>
            <w:r>
              <w:rPr>
                <w:rFonts w:hint="eastAsia" w:ascii="宋体" w:hAnsi="宋体" w:eastAsia="宋体" w:cs="宋体"/>
                <w:strike w:val="0"/>
                <w:dstrike w:val="0"/>
                <w:color w:val="auto"/>
                <w:szCs w:val="21"/>
                <w:highlight w:val="none"/>
              </w:rPr>
              <w:t>）不符合第二章“投标人须知”第3.2项的规定</w:t>
            </w:r>
            <w:r>
              <w:rPr>
                <w:rFonts w:hint="eastAsia" w:ascii="宋体" w:hAnsi="宋体" w:eastAsia="宋体" w:cs="宋体"/>
                <w:strike w:val="0"/>
                <w:dstrike w:val="0"/>
                <w:color w:val="auto"/>
                <w:szCs w:val="21"/>
                <w:highlight w:val="none"/>
                <w:lang w:eastAsia="zh-CN"/>
              </w:rPr>
              <w:t>。</w:t>
            </w:r>
          </w:p>
        </w:tc>
      </w:tr>
      <w:tr w14:paraId="33EAF5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9" w:hRule="atLeast"/>
        </w:trPr>
        <w:tc>
          <w:tcPr>
            <w:tcW w:w="828" w:type="dxa"/>
            <w:vMerge w:val="continue"/>
            <w:tcBorders>
              <w:top w:val="single" w:color="auto" w:sz="4" w:space="0"/>
              <w:bottom w:val="single" w:color="auto" w:sz="4" w:space="0"/>
              <w:right w:val="single" w:color="auto" w:sz="4" w:space="0"/>
            </w:tcBorders>
            <w:noWrap w:val="0"/>
            <w:vAlign w:val="center"/>
          </w:tcPr>
          <w:p w14:paraId="58655F40">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single" w:color="auto" w:sz="4" w:space="0"/>
              <w:bottom w:val="single" w:color="auto" w:sz="4" w:space="0"/>
              <w:right w:val="single" w:color="auto" w:sz="4" w:space="0"/>
            </w:tcBorders>
            <w:noWrap w:val="0"/>
            <w:vAlign w:val="center"/>
          </w:tcPr>
          <w:p w14:paraId="3BABF0A5">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46E10948">
            <w:pPr>
              <w:shd w:val="clear" w:color="auto" w:fill="auto"/>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承诺书</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73626995">
            <w:pPr>
              <w:numPr>
                <w:ilvl w:val="0"/>
                <w:numId w:val="0"/>
              </w:numPr>
              <w:shd w:val="clear" w:color="auto" w:fill="auto"/>
              <w:spacing w:line="240" w:lineRule="auto"/>
              <w:jc w:val="both"/>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诚信承诺书：</w:t>
            </w:r>
            <w:r>
              <w:rPr>
                <w:rFonts w:hint="eastAsia" w:ascii="宋体" w:hAnsi="宋体" w:cs="宋体"/>
                <w:color w:val="000000"/>
                <w:szCs w:val="21"/>
                <w:highlight w:val="none"/>
              </w:rPr>
              <w:t>提供经投标人法定代表人或其委托代理人签字（或盖章）并加盖单位公章的诚信承诺书（格式见投标文件格式“诚信承诺书”）</w:t>
            </w:r>
          </w:p>
        </w:tc>
      </w:tr>
      <w:tr w14:paraId="6B4446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28" w:type="dxa"/>
            <w:vMerge w:val="continue"/>
            <w:tcBorders>
              <w:top w:val="single" w:color="auto" w:sz="4" w:space="0"/>
              <w:bottom w:val="single" w:color="auto" w:sz="4" w:space="0"/>
              <w:right w:val="single" w:color="auto" w:sz="4" w:space="0"/>
            </w:tcBorders>
            <w:noWrap w:val="0"/>
            <w:vAlign w:val="center"/>
          </w:tcPr>
          <w:p w14:paraId="638A1679">
            <w:pPr>
              <w:shd w:val="clear" w:color="auto" w:fill="auto"/>
              <w:spacing w:line="440" w:lineRule="exact"/>
              <w:jc w:val="center"/>
              <w:textAlignment w:val="center"/>
              <w:rPr>
                <w:rFonts w:hint="eastAsia" w:ascii="宋体" w:hAnsi="宋体" w:eastAsia="宋体" w:cs="宋体"/>
                <w:color w:val="auto"/>
                <w:szCs w:val="21"/>
                <w:highlight w:val="none"/>
              </w:rPr>
            </w:pPr>
          </w:p>
        </w:tc>
        <w:tc>
          <w:tcPr>
            <w:tcW w:w="1260" w:type="dxa"/>
            <w:vMerge w:val="continue"/>
            <w:tcBorders>
              <w:top w:val="single" w:color="auto" w:sz="4" w:space="0"/>
              <w:bottom w:val="single" w:color="auto" w:sz="4" w:space="0"/>
              <w:right w:val="single" w:color="auto" w:sz="4" w:space="0"/>
            </w:tcBorders>
            <w:noWrap w:val="0"/>
            <w:vAlign w:val="center"/>
          </w:tcPr>
          <w:p w14:paraId="3763602A">
            <w:pPr>
              <w:shd w:val="clear" w:color="auto" w:fill="auto"/>
              <w:spacing w:line="440" w:lineRule="exact"/>
              <w:jc w:val="center"/>
              <w:textAlignment w:val="center"/>
              <w:rPr>
                <w:rFonts w:hint="eastAsia" w:ascii="宋体" w:hAnsi="宋体" w:eastAsia="宋体" w:cs="宋体"/>
                <w:color w:val="auto"/>
                <w:szCs w:val="21"/>
                <w:highlight w:val="none"/>
              </w:rPr>
            </w:pPr>
          </w:p>
        </w:tc>
        <w:tc>
          <w:tcPr>
            <w:tcW w:w="1801" w:type="dxa"/>
            <w:gridSpan w:val="2"/>
            <w:tcBorders>
              <w:top w:val="single" w:color="auto" w:sz="4" w:space="0"/>
              <w:left w:val="single" w:color="auto" w:sz="4" w:space="0"/>
              <w:bottom w:val="single" w:color="auto" w:sz="4" w:space="0"/>
              <w:right w:val="single" w:color="auto" w:sz="4" w:space="0"/>
            </w:tcBorders>
            <w:noWrap w:val="0"/>
            <w:vAlign w:val="center"/>
          </w:tcPr>
          <w:p w14:paraId="53A42862">
            <w:pPr>
              <w:shd w:val="clear" w:color="auto" w:fill="auto"/>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其他</w:t>
            </w:r>
          </w:p>
        </w:tc>
        <w:tc>
          <w:tcPr>
            <w:tcW w:w="5467" w:type="dxa"/>
            <w:tcBorders>
              <w:top w:val="single" w:color="auto" w:sz="4" w:space="0"/>
              <w:left w:val="single" w:color="auto" w:sz="4" w:space="0"/>
              <w:bottom w:val="single" w:color="auto" w:sz="4" w:space="0"/>
              <w:right w:val="single" w:color="auto" w:sz="4" w:space="0"/>
            </w:tcBorders>
            <w:noWrap w:val="0"/>
            <w:vAlign w:val="center"/>
          </w:tcPr>
          <w:p w14:paraId="115981AB">
            <w:pPr>
              <w:shd w:val="clear" w:color="auto" w:fill="auto"/>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无第三章“评标办法”</w:t>
            </w:r>
            <w:r>
              <w:rPr>
                <w:rFonts w:hint="eastAsia" w:ascii="宋体" w:hAnsi="宋体" w:eastAsia="宋体" w:cs="宋体"/>
                <w:color w:val="auto"/>
                <w:szCs w:val="21"/>
                <w:highlight w:val="none"/>
                <w:lang w:val="en-US" w:eastAsia="zh-CN"/>
              </w:rPr>
              <w:t>4.无效标条款</w:t>
            </w:r>
            <w:r>
              <w:rPr>
                <w:rFonts w:hint="eastAsia" w:ascii="宋体" w:hAnsi="宋体" w:eastAsia="宋体" w:cs="宋体"/>
                <w:color w:val="auto"/>
                <w:szCs w:val="21"/>
                <w:highlight w:val="none"/>
              </w:rPr>
              <w:t>所列情形</w:t>
            </w:r>
            <w:r>
              <w:rPr>
                <w:rFonts w:hint="eastAsia" w:ascii="宋体" w:hAnsi="宋体" w:eastAsia="宋体" w:cs="宋体"/>
                <w:color w:val="auto"/>
                <w:szCs w:val="21"/>
                <w:highlight w:val="none"/>
                <w:lang w:eastAsia="zh-CN"/>
              </w:rPr>
              <w:t>。</w:t>
            </w:r>
          </w:p>
        </w:tc>
      </w:tr>
    </w:tbl>
    <w:p w14:paraId="0809B786">
      <w:pPr>
        <w:rPr>
          <w:rFonts w:hint="eastAsia" w:ascii="宋体" w:hAnsi="宋体" w:eastAsia="宋体" w:cs="宋体"/>
          <w:b/>
          <w:bCs/>
          <w:color w:val="auto"/>
          <w:sz w:val="24"/>
          <w:szCs w:val="24"/>
          <w:highlight w:val="none"/>
        </w:rPr>
      </w:pPr>
    </w:p>
    <w:p w14:paraId="13AF6394">
      <w:pPr>
        <w:rPr>
          <w:rFonts w:hint="eastAsia" w:ascii="宋体" w:hAnsi="宋体" w:eastAsia="宋体" w:cs="宋体"/>
          <w:b/>
          <w:bCs/>
          <w:color w:val="auto"/>
          <w:sz w:val="24"/>
          <w:szCs w:val="24"/>
          <w:highlight w:val="none"/>
        </w:rPr>
      </w:pPr>
    </w:p>
    <w:tbl>
      <w:tblPr>
        <w:tblStyle w:val="22"/>
        <w:tblW w:w="937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7"/>
        <w:gridCol w:w="1"/>
        <w:gridCol w:w="1260"/>
        <w:gridCol w:w="1801"/>
        <w:gridCol w:w="4480"/>
        <w:gridCol w:w="1007"/>
      </w:tblGrid>
      <w:tr w14:paraId="7C10F3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9376" w:type="dxa"/>
            <w:gridSpan w:val="6"/>
            <w:tcBorders>
              <w:top w:val="single" w:color="auto" w:sz="4" w:space="0"/>
              <w:bottom w:val="single" w:color="auto" w:sz="4" w:space="0"/>
              <w:right w:val="single" w:color="auto" w:sz="4" w:space="0"/>
            </w:tcBorders>
            <w:shd w:val="clear" w:color="auto" w:fill="A4A4A4"/>
            <w:noWrap w:val="0"/>
            <w:vAlign w:val="center"/>
          </w:tcPr>
          <w:p w14:paraId="37200D24">
            <w:pPr>
              <w:spacing w:line="400" w:lineRule="exact"/>
              <w:jc w:val="center"/>
              <w:rPr>
                <w:highlight w:val="none"/>
              </w:rPr>
            </w:pPr>
            <w:r>
              <w:rPr>
                <w:rFonts w:hint="eastAsia" w:ascii="宋体" w:hAnsi="宋体" w:cs="宋体"/>
                <w:b/>
                <w:szCs w:val="21"/>
                <w:highlight w:val="none"/>
              </w:rPr>
              <w:t>评标入围</w:t>
            </w:r>
          </w:p>
        </w:tc>
      </w:tr>
      <w:tr w14:paraId="084164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1" w:hRule="atLeast"/>
        </w:trPr>
        <w:tc>
          <w:tcPr>
            <w:tcW w:w="827" w:type="dxa"/>
            <w:tcBorders>
              <w:top w:val="single" w:color="auto" w:sz="4" w:space="0"/>
              <w:bottom w:val="single" w:color="auto" w:sz="4" w:space="0"/>
              <w:right w:val="single" w:color="auto" w:sz="4" w:space="0"/>
            </w:tcBorders>
            <w:noWrap w:val="0"/>
            <w:vAlign w:val="center"/>
          </w:tcPr>
          <w:p w14:paraId="6A8D5BF1">
            <w:pPr>
              <w:jc w:val="center"/>
              <w:textAlignment w:val="center"/>
              <w:rPr>
                <w:rFonts w:hint="eastAsia" w:ascii="宋体" w:hAnsi="宋体" w:cs="宋体"/>
                <w:szCs w:val="21"/>
                <w:highlight w:val="none"/>
              </w:rPr>
            </w:pPr>
            <w:r>
              <w:rPr>
                <w:rFonts w:hint="eastAsia" w:ascii="宋体" w:hAnsi="宋体" w:cs="宋体"/>
                <w:szCs w:val="21"/>
                <w:highlight w:val="none"/>
              </w:rPr>
              <w:t>2.2.1</w:t>
            </w:r>
          </w:p>
        </w:tc>
        <w:tc>
          <w:tcPr>
            <w:tcW w:w="1261" w:type="dxa"/>
            <w:gridSpan w:val="2"/>
            <w:tcBorders>
              <w:top w:val="single" w:color="auto" w:sz="4" w:space="0"/>
              <w:bottom w:val="single" w:color="auto" w:sz="4" w:space="0"/>
              <w:right w:val="single" w:color="auto" w:sz="4" w:space="0"/>
            </w:tcBorders>
            <w:noWrap w:val="0"/>
            <w:vAlign w:val="center"/>
          </w:tcPr>
          <w:p w14:paraId="038D9ECF">
            <w:pPr>
              <w:jc w:val="center"/>
              <w:textAlignment w:val="center"/>
              <w:rPr>
                <w:rFonts w:hint="eastAsia" w:ascii="宋体" w:hAnsi="宋体" w:cs="宋体"/>
                <w:szCs w:val="21"/>
                <w:highlight w:val="none"/>
              </w:rPr>
            </w:pPr>
            <w:r>
              <w:rPr>
                <w:rFonts w:hint="eastAsia" w:ascii="宋体" w:hAnsi="宋体" w:cs="宋体"/>
                <w:kern w:val="0"/>
                <w:szCs w:val="21"/>
                <w:highlight w:val="none"/>
              </w:rPr>
              <w:t>评标入围条件</w:t>
            </w:r>
          </w:p>
        </w:tc>
        <w:tc>
          <w:tcPr>
            <w:tcW w:w="7288" w:type="dxa"/>
            <w:gridSpan w:val="3"/>
            <w:tcBorders>
              <w:top w:val="single" w:color="auto" w:sz="4" w:space="0"/>
              <w:left w:val="single" w:color="auto" w:sz="4" w:space="0"/>
              <w:bottom w:val="single" w:color="auto" w:sz="4" w:space="0"/>
              <w:right w:val="single" w:color="auto" w:sz="4" w:space="0"/>
            </w:tcBorders>
            <w:noWrap w:val="0"/>
            <w:vAlign w:val="center"/>
          </w:tcPr>
          <w:p w14:paraId="55E088D0">
            <w:pPr>
              <w:spacing w:line="400" w:lineRule="exact"/>
              <w:rPr>
                <w:rFonts w:hint="eastAsia" w:ascii="宋体" w:hAnsi="宋体" w:cs="宋体"/>
                <w:szCs w:val="21"/>
                <w:highlight w:val="none"/>
              </w:rPr>
            </w:pPr>
            <w:r>
              <w:rPr>
                <w:rFonts w:hint="eastAsia"/>
                <w:highlight w:val="none"/>
              </w:rPr>
              <w:t>通过初步评审</w:t>
            </w:r>
          </w:p>
        </w:tc>
      </w:tr>
      <w:tr w14:paraId="5D7316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827" w:type="dxa"/>
            <w:tcBorders>
              <w:top w:val="single" w:color="auto" w:sz="4" w:space="0"/>
              <w:bottom w:val="single" w:color="auto" w:sz="4" w:space="0"/>
              <w:right w:val="single" w:color="auto" w:sz="4" w:space="0"/>
            </w:tcBorders>
            <w:noWrap w:val="0"/>
            <w:vAlign w:val="center"/>
          </w:tcPr>
          <w:p w14:paraId="6F12A5DD">
            <w:pPr>
              <w:jc w:val="center"/>
              <w:textAlignment w:val="center"/>
              <w:rPr>
                <w:rFonts w:hint="eastAsia" w:ascii="宋体" w:hAnsi="宋体" w:cs="宋体"/>
                <w:szCs w:val="21"/>
                <w:highlight w:val="none"/>
              </w:rPr>
            </w:pPr>
            <w:r>
              <w:rPr>
                <w:rFonts w:hint="eastAsia" w:ascii="宋体" w:hAnsi="宋体" w:cs="宋体"/>
                <w:szCs w:val="21"/>
                <w:highlight w:val="none"/>
              </w:rPr>
              <w:t>2.1.2</w:t>
            </w:r>
          </w:p>
        </w:tc>
        <w:tc>
          <w:tcPr>
            <w:tcW w:w="1261" w:type="dxa"/>
            <w:gridSpan w:val="2"/>
            <w:tcBorders>
              <w:top w:val="single" w:color="auto" w:sz="4" w:space="0"/>
              <w:bottom w:val="single" w:color="auto" w:sz="4" w:space="0"/>
              <w:right w:val="single" w:color="auto" w:sz="4" w:space="0"/>
            </w:tcBorders>
            <w:noWrap w:val="0"/>
            <w:vAlign w:val="center"/>
          </w:tcPr>
          <w:p w14:paraId="47D22BC6">
            <w:pPr>
              <w:jc w:val="center"/>
              <w:textAlignment w:val="center"/>
              <w:rPr>
                <w:rFonts w:hint="eastAsia" w:ascii="宋体" w:hAnsi="宋体" w:cs="宋体"/>
                <w:kern w:val="0"/>
                <w:szCs w:val="21"/>
                <w:highlight w:val="none"/>
              </w:rPr>
            </w:pPr>
            <w:r>
              <w:rPr>
                <w:rFonts w:hint="eastAsia" w:ascii="宋体" w:hAnsi="宋体" w:cs="宋体"/>
                <w:kern w:val="0"/>
                <w:szCs w:val="21"/>
                <w:highlight w:val="none"/>
              </w:rPr>
              <w:t>评标入围方法和</w:t>
            </w:r>
          </w:p>
          <w:p w14:paraId="659DB956">
            <w:pPr>
              <w:jc w:val="center"/>
              <w:textAlignment w:val="center"/>
              <w:rPr>
                <w:rFonts w:hint="eastAsia" w:ascii="宋体" w:hAnsi="宋体" w:cs="宋体"/>
                <w:szCs w:val="21"/>
                <w:highlight w:val="none"/>
              </w:rPr>
            </w:pPr>
            <w:r>
              <w:rPr>
                <w:rFonts w:hint="eastAsia" w:ascii="宋体" w:hAnsi="宋体" w:cs="宋体"/>
                <w:kern w:val="0"/>
                <w:szCs w:val="21"/>
                <w:highlight w:val="none"/>
              </w:rPr>
              <w:t>数量</w:t>
            </w:r>
          </w:p>
        </w:tc>
        <w:tc>
          <w:tcPr>
            <w:tcW w:w="7288" w:type="dxa"/>
            <w:gridSpan w:val="3"/>
            <w:tcBorders>
              <w:top w:val="single" w:color="auto" w:sz="4" w:space="0"/>
              <w:left w:val="single" w:color="auto" w:sz="4" w:space="0"/>
              <w:bottom w:val="single" w:color="auto" w:sz="4" w:space="0"/>
              <w:right w:val="single" w:color="auto" w:sz="4" w:space="0"/>
            </w:tcBorders>
            <w:noWrap w:val="0"/>
            <w:vAlign w:val="center"/>
          </w:tcPr>
          <w:p w14:paraId="4CC57956">
            <w:pPr>
              <w:adjustRightInd w:val="0"/>
              <w:snapToGrid w:val="0"/>
              <w:spacing w:line="360" w:lineRule="auto"/>
              <w:jc w:val="left"/>
              <w:rPr>
                <w:rFonts w:hint="eastAsia" w:ascii="宋体" w:hAnsi="宋体" w:cs="宋体"/>
                <w:szCs w:val="21"/>
                <w:highlight w:val="none"/>
              </w:rPr>
            </w:pPr>
            <w:r>
              <w:rPr>
                <w:rFonts w:hint="eastAsia" w:ascii="宋体" w:hAnsi="宋体" w:cs="宋体"/>
                <w:szCs w:val="21"/>
                <w:highlight w:val="none"/>
              </w:rPr>
              <w:t>进入评标入围环节的投标人全部进入后续评标程序。</w:t>
            </w:r>
          </w:p>
        </w:tc>
      </w:tr>
      <w:tr w14:paraId="5D7FE0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376" w:type="dxa"/>
            <w:gridSpan w:val="6"/>
            <w:tcBorders>
              <w:top w:val="single" w:color="auto" w:sz="4" w:space="0"/>
              <w:bottom w:val="single" w:color="auto" w:sz="4" w:space="0"/>
              <w:right w:val="single" w:color="auto" w:sz="4" w:space="0"/>
            </w:tcBorders>
            <w:shd w:val="clear" w:color="auto" w:fill="A6A6A6"/>
            <w:noWrap w:val="0"/>
            <w:vAlign w:val="center"/>
          </w:tcPr>
          <w:p w14:paraId="5133FBE9">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szCs w:val="21"/>
                <w:highlight w:val="none"/>
              </w:rPr>
              <w:t>详细评审</w:t>
            </w:r>
          </w:p>
        </w:tc>
      </w:tr>
      <w:tr w14:paraId="2C7EAB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2088" w:type="dxa"/>
            <w:gridSpan w:val="3"/>
            <w:tcBorders>
              <w:top w:val="single" w:color="auto" w:sz="4" w:space="0"/>
              <w:bottom w:val="single" w:color="auto" w:sz="4" w:space="0"/>
              <w:right w:val="single" w:color="auto" w:sz="4" w:space="0"/>
            </w:tcBorders>
            <w:noWrap w:val="0"/>
            <w:vAlign w:val="center"/>
          </w:tcPr>
          <w:p w14:paraId="5FAEDFA6">
            <w:pPr>
              <w:shd w:val="clear" w:color="auto" w:fill="auto"/>
              <w:spacing w:line="440" w:lineRule="exact"/>
              <w:jc w:val="center"/>
              <w:textAlignment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801" w:type="dxa"/>
            <w:tcBorders>
              <w:top w:val="single" w:color="auto" w:sz="4" w:space="0"/>
              <w:left w:val="single" w:color="auto" w:sz="4" w:space="0"/>
              <w:bottom w:val="single" w:color="auto" w:sz="4" w:space="0"/>
              <w:right w:val="single" w:color="auto" w:sz="4" w:space="0"/>
            </w:tcBorders>
            <w:noWrap w:val="0"/>
            <w:vAlign w:val="center"/>
          </w:tcPr>
          <w:p w14:paraId="43A0CDF4">
            <w:pPr>
              <w:shd w:val="clear" w:color="auto" w:fill="auto"/>
              <w:spacing w:line="440" w:lineRule="exact"/>
              <w:jc w:val="center"/>
              <w:textAlignment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5487" w:type="dxa"/>
            <w:gridSpan w:val="2"/>
            <w:tcBorders>
              <w:top w:val="single" w:color="auto" w:sz="4" w:space="0"/>
              <w:left w:val="single" w:color="auto" w:sz="4" w:space="0"/>
              <w:bottom w:val="single" w:color="auto" w:sz="4" w:space="0"/>
              <w:right w:val="single" w:color="auto" w:sz="4" w:space="0"/>
            </w:tcBorders>
            <w:noWrap w:val="0"/>
            <w:vAlign w:val="center"/>
          </w:tcPr>
          <w:p w14:paraId="70C75469">
            <w:pPr>
              <w:shd w:val="clear" w:color="auto" w:fill="auto"/>
              <w:spacing w:line="360" w:lineRule="exact"/>
              <w:jc w:val="center"/>
              <w:textAlignment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编列内容</w:t>
            </w:r>
          </w:p>
        </w:tc>
      </w:tr>
      <w:tr w14:paraId="265A2E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92" w:hRule="atLeast"/>
        </w:trPr>
        <w:tc>
          <w:tcPr>
            <w:tcW w:w="2088" w:type="dxa"/>
            <w:gridSpan w:val="3"/>
            <w:tcBorders>
              <w:bottom w:val="single" w:color="auto" w:sz="4" w:space="0"/>
              <w:right w:val="single" w:color="auto" w:sz="4" w:space="0"/>
            </w:tcBorders>
            <w:noWrap w:val="0"/>
            <w:vAlign w:val="center"/>
          </w:tcPr>
          <w:p w14:paraId="3A4332A0">
            <w:pPr>
              <w:shd w:val="clear" w:color="auto" w:fill="auto"/>
              <w:spacing w:line="44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w:t>
            </w:r>
          </w:p>
        </w:tc>
        <w:tc>
          <w:tcPr>
            <w:tcW w:w="1801" w:type="dxa"/>
            <w:tcBorders>
              <w:top w:val="single" w:color="auto" w:sz="4" w:space="0"/>
              <w:left w:val="single" w:color="auto" w:sz="4" w:space="0"/>
              <w:bottom w:val="single" w:color="auto" w:sz="4" w:space="0"/>
              <w:right w:val="single" w:color="auto" w:sz="4" w:space="0"/>
            </w:tcBorders>
            <w:noWrap w:val="0"/>
            <w:vAlign w:val="center"/>
          </w:tcPr>
          <w:p w14:paraId="1D800D6A">
            <w:pPr>
              <w:shd w:val="clear" w:color="auto" w:fill="auto"/>
              <w:spacing w:line="32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分值构成</w:t>
            </w:r>
          </w:p>
          <w:p w14:paraId="5B586263">
            <w:pPr>
              <w:shd w:val="clear" w:color="auto" w:fill="auto"/>
              <w:spacing w:line="32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总分100分</w:t>
            </w:r>
            <w:r>
              <w:rPr>
                <w:rFonts w:hint="eastAsia" w:ascii="宋体" w:hAnsi="宋体" w:eastAsia="宋体" w:cs="宋体"/>
                <w:color w:val="auto"/>
                <w:szCs w:val="21"/>
                <w:highlight w:val="none"/>
                <w:lang w:eastAsia="zh-CN"/>
              </w:rPr>
              <w:t>）</w:t>
            </w:r>
          </w:p>
        </w:tc>
        <w:tc>
          <w:tcPr>
            <w:tcW w:w="5487" w:type="dxa"/>
            <w:gridSpan w:val="2"/>
            <w:tcBorders>
              <w:top w:val="single" w:color="auto" w:sz="4" w:space="0"/>
              <w:left w:val="single" w:color="auto" w:sz="4" w:space="0"/>
              <w:bottom w:val="single" w:color="auto" w:sz="4" w:space="0"/>
              <w:right w:val="single" w:color="auto" w:sz="4" w:space="0"/>
            </w:tcBorders>
            <w:noWrap w:val="0"/>
            <w:vAlign w:val="center"/>
          </w:tcPr>
          <w:p w14:paraId="418BAC95">
            <w:pPr>
              <w:shd w:val="clear" w:color="auto" w:fill="auto"/>
              <w:spacing w:line="24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lang w:eastAsia="zh-CN"/>
              </w:rPr>
              <w:t>□</w:t>
            </w:r>
            <w:r>
              <w:rPr>
                <w:rFonts w:hint="eastAsia" w:ascii="宋体" w:hAnsi="宋体" w:eastAsia="宋体" w:cs="宋体"/>
                <w:color w:val="auto"/>
                <w:szCs w:val="21"/>
                <w:highlight w:val="none"/>
              </w:rPr>
              <w:t>以投标报价为评审因素</w:t>
            </w:r>
          </w:p>
          <w:p w14:paraId="215C8AC3">
            <w:pPr>
              <w:shd w:val="clear" w:color="auto" w:fill="auto"/>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投标报价：</w:t>
            </w:r>
            <w:r>
              <w:rPr>
                <w:rFonts w:hint="eastAsia" w:ascii="宋体" w:hAnsi="宋体" w:eastAsia="宋体" w:cs="宋体"/>
                <w:color w:val="auto"/>
                <w:szCs w:val="21"/>
                <w:highlight w:val="none"/>
                <w:u w:val="single"/>
              </w:rPr>
              <w:t xml:space="preserve">  100  </w:t>
            </w:r>
            <w:r>
              <w:rPr>
                <w:rFonts w:hint="eastAsia" w:ascii="宋体" w:hAnsi="宋体" w:eastAsia="宋体" w:cs="宋体"/>
                <w:color w:val="auto"/>
                <w:szCs w:val="21"/>
                <w:highlight w:val="none"/>
              </w:rPr>
              <w:t>分</w:t>
            </w:r>
          </w:p>
          <w:p w14:paraId="73CC1BDD">
            <w:pPr>
              <w:shd w:val="clear" w:color="auto" w:fill="auto"/>
              <w:spacing w:line="240" w:lineRule="auto"/>
              <w:jc w:val="left"/>
              <w:rPr>
                <w:rFonts w:hint="eastAsia" w:ascii="宋体" w:hAnsi="宋体" w:eastAsia="宋体" w:cs="宋体"/>
                <w:color w:val="auto"/>
                <w:szCs w:val="21"/>
                <w:highlight w:val="none"/>
              </w:rPr>
            </w:pPr>
            <w:r>
              <w:rPr>
                <w:rFonts w:hint="eastAsia" w:ascii="宋体" w:hAnsi="宋体" w:cs="宋体"/>
                <w:b/>
                <w:color w:val="auto"/>
                <w:szCs w:val="21"/>
                <w:highlight w:val="none"/>
                <w:lang w:eastAsia="zh-CN"/>
              </w:rPr>
              <w:t>☑</w:t>
            </w:r>
            <w:r>
              <w:rPr>
                <w:rFonts w:hint="eastAsia" w:ascii="宋体" w:hAnsi="宋体" w:eastAsia="宋体" w:cs="宋体"/>
                <w:color w:val="auto"/>
                <w:szCs w:val="21"/>
                <w:highlight w:val="none"/>
              </w:rPr>
              <w:t>以投标报价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信用评价为评审因素</w:t>
            </w:r>
          </w:p>
          <w:p w14:paraId="37EEF8AD">
            <w:pPr>
              <w:shd w:val="clear" w:color="auto" w:fill="auto"/>
              <w:spacing w:line="24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w:t>
            </w:r>
            <w:r>
              <w:rPr>
                <w:rFonts w:hint="eastAsia" w:ascii="宋体" w:hAnsi="宋体" w:cs="宋体"/>
                <w:color w:val="auto"/>
                <w:szCs w:val="21"/>
                <w:highlight w:val="none"/>
                <w:u w:val="single"/>
                <w:lang w:val="en-US" w:eastAsia="zh-CN"/>
              </w:rPr>
              <w:t xml:space="preserve"> 92 </w:t>
            </w:r>
            <w:r>
              <w:rPr>
                <w:rFonts w:hint="eastAsia" w:ascii="宋体" w:hAnsi="宋体" w:eastAsia="宋体" w:cs="宋体"/>
                <w:color w:val="auto"/>
                <w:szCs w:val="21"/>
                <w:highlight w:val="none"/>
              </w:rPr>
              <w:t>分</w:t>
            </w:r>
          </w:p>
          <w:p w14:paraId="2FA92BA8">
            <w:pPr>
              <w:shd w:val="clear" w:color="auto" w:fill="auto"/>
              <w:spacing w:line="240" w:lineRule="auto"/>
              <w:ind w:firstLine="420" w:firstLineChars="200"/>
              <w:jc w:val="left"/>
              <w:rPr>
                <w:rFonts w:hint="eastAsia" w:ascii="宋体" w:hAnsi="宋体" w:eastAsia="宋体" w:cs="宋体"/>
                <w:b/>
                <w:bCs/>
                <w:color w:val="FF0000"/>
                <w:szCs w:val="21"/>
                <w:highlight w:val="none"/>
                <w:lang w:eastAsia="zh-CN"/>
              </w:rPr>
            </w:pPr>
            <w:r>
              <w:rPr>
                <w:rFonts w:hint="eastAsia" w:ascii="宋体" w:hAnsi="宋体" w:eastAsia="宋体" w:cs="宋体"/>
                <w:color w:val="auto"/>
                <w:szCs w:val="21"/>
                <w:highlight w:val="none"/>
              </w:rPr>
              <w:t>投标人市场信用评价：</w:t>
            </w:r>
            <w:r>
              <w:rPr>
                <w:rFonts w:hint="eastAsia" w:ascii="宋体" w:hAnsi="宋体" w:cs="宋体"/>
                <w:color w:val="auto"/>
                <w:szCs w:val="21"/>
                <w:highlight w:val="none"/>
                <w:u w:val="single"/>
                <w:lang w:val="en-US" w:eastAsia="zh-CN"/>
              </w:rPr>
              <w:t xml:space="preserve"> 8 </w:t>
            </w:r>
            <w:r>
              <w:rPr>
                <w:rFonts w:hint="eastAsia" w:ascii="宋体" w:hAnsi="宋体" w:eastAsia="宋体" w:cs="宋体"/>
                <w:color w:val="auto"/>
                <w:szCs w:val="21"/>
                <w:highlight w:val="none"/>
              </w:rPr>
              <w:t>分</w:t>
            </w:r>
          </w:p>
        </w:tc>
      </w:tr>
      <w:tr w14:paraId="2862B1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46" w:hRule="atLeast"/>
        </w:trPr>
        <w:tc>
          <w:tcPr>
            <w:tcW w:w="2088" w:type="dxa"/>
            <w:gridSpan w:val="3"/>
            <w:tcBorders>
              <w:top w:val="single" w:color="auto" w:sz="4" w:space="0"/>
              <w:bottom w:val="single" w:color="auto" w:sz="4" w:space="0"/>
              <w:right w:val="single" w:color="auto" w:sz="4" w:space="0"/>
            </w:tcBorders>
            <w:noWrap w:val="0"/>
            <w:vAlign w:val="center"/>
          </w:tcPr>
          <w:p w14:paraId="0730839A">
            <w:pPr>
              <w:shd w:val="clear" w:color="auto" w:fill="auto"/>
              <w:spacing w:line="44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2.3.2</w:t>
            </w:r>
          </w:p>
        </w:tc>
        <w:tc>
          <w:tcPr>
            <w:tcW w:w="1801" w:type="dxa"/>
            <w:tcBorders>
              <w:top w:val="single" w:color="auto" w:sz="4" w:space="0"/>
              <w:left w:val="single" w:color="auto" w:sz="4" w:space="0"/>
              <w:bottom w:val="single" w:color="auto" w:sz="4" w:space="0"/>
              <w:right w:val="single" w:color="auto" w:sz="4" w:space="0"/>
            </w:tcBorders>
            <w:noWrap w:val="0"/>
            <w:vAlign w:val="center"/>
          </w:tcPr>
          <w:p w14:paraId="4150C777">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评标基准价计算方法</w:t>
            </w:r>
          </w:p>
        </w:tc>
        <w:tc>
          <w:tcPr>
            <w:tcW w:w="5487" w:type="dxa"/>
            <w:gridSpan w:val="2"/>
            <w:tcBorders>
              <w:top w:val="single" w:color="auto" w:sz="4" w:space="0"/>
              <w:left w:val="single" w:color="auto" w:sz="4" w:space="0"/>
              <w:bottom w:val="single" w:color="auto" w:sz="4" w:space="0"/>
              <w:right w:val="single" w:color="auto" w:sz="4" w:space="0"/>
            </w:tcBorders>
            <w:noWrap w:val="0"/>
            <w:vAlign w:val="center"/>
          </w:tcPr>
          <w:p w14:paraId="1E1A12D6">
            <w:pPr>
              <w:keepNext w:val="0"/>
              <w:keepLines w:val="0"/>
              <w:pageBreakBefore w:val="0"/>
              <w:widowControl w:val="0"/>
              <w:numPr>
                <w:ilvl w:val="0"/>
                <w:numId w:val="3"/>
              </w:numPr>
              <w:shd w:val="clear" w:color="auto" w:fill="auto"/>
              <w:kinsoku/>
              <w:wordWrap/>
              <w:overflowPunct/>
              <w:topLinePunct w:val="0"/>
              <w:autoSpaceDE/>
              <w:autoSpaceDN/>
              <w:bidi w:val="0"/>
              <w:spacing w:line="360" w:lineRule="auto"/>
              <w:jc w:val="both"/>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评标基准价计算方法：</w:t>
            </w:r>
          </w:p>
          <w:p w14:paraId="23D9C8B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0" w:firstLine="422" w:firstLineChars="200"/>
              <w:jc w:val="both"/>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在投标文件开启</w:t>
            </w:r>
            <w:r>
              <w:rPr>
                <w:rFonts w:hint="eastAsia" w:ascii="宋体" w:hAnsi="宋体" w:eastAsia="宋体" w:cs="宋体"/>
                <w:b/>
                <w:color w:val="auto"/>
                <w:szCs w:val="21"/>
                <w:highlight w:val="none"/>
                <w:lang w:eastAsia="zh-CN"/>
              </w:rPr>
              <w:t>后</w:t>
            </w:r>
            <w:r>
              <w:rPr>
                <w:rFonts w:hint="eastAsia" w:ascii="宋体" w:hAnsi="宋体" w:eastAsia="宋体" w:cs="宋体"/>
                <w:b/>
                <w:color w:val="auto"/>
                <w:szCs w:val="21"/>
                <w:highlight w:val="none"/>
              </w:rPr>
              <w:t>，由</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b/>
                <w:bCs/>
                <w:color w:val="auto"/>
                <w:sz w:val="21"/>
                <w:szCs w:val="21"/>
                <w:highlight w:val="none"/>
                <w:u w:val="single"/>
                <w:lang w:val="en-US" w:eastAsia="zh-CN"/>
              </w:rPr>
              <w:t>招标人代表</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b/>
                <w:color w:val="auto"/>
                <w:szCs w:val="21"/>
                <w:highlight w:val="none"/>
              </w:rPr>
              <w:t>从以下</w:t>
            </w:r>
            <w:r>
              <w:rPr>
                <w:rFonts w:hint="eastAsia" w:ascii="宋体" w:hAnsi="宋体" w:eastAsia="宋体" w:cs="宋体"/>
                <w:b/>
                <w:color w:val="auto"/>
                <w:szCs w:val="21"/>
                <w:highlight w:val="none"/>
                <w:u w:val="single"/>
              </w:rPr>
              <w:t>方法</w:t>
            </w:r>
            <w:r>
              <w:rPr>
                <w:rFonts w:hint="eastAsia" w:ascii="宋体" w:hAnsi="宋体" w:eastAsia="宋体" w:cs="宋体"/>
                <w:b/>
                <w:color w:val="auto"/>
                <w:szCs w:val="21"/>
                <w:highlight w:val="none"/>
                <w:u w:val="single"/>
                <w:lang w:val="en-US" w:eastAsia="zh-CN"/>
              </w:rPr>
              <w:t>一</w:t>
            </w:r>
            <w:r>
              <w:rPr>
                <w:rFonts w:hint="eastAsia" w:ascii="宋体" w:hAnsi="宋体" w:eastAsia="宋体" w:cs="宋体"/>
                <w:b/>
                <w:color w:val="auto"/>
                <w:szCs w:val="21"/>
                <w:highlight w:val="none"/>
                <w:u w:val="single"/>
              </w:rPr>
              <w:t>、</w:t>
            </w:r>
            <w:r>
              <w:rPr>
                <w:rFonts w:hint="eastAsia" w:ascii="宋体" w:hAnsi="宋体" w:eastAsia="宋体" w:cs="宋体"/>
                <w:b/>
                <w:color w:val="auto"/>
                <w:szCs w:val="21"/>
                <w:highlight w:val="none"/>
                <w:u w:val="single"/>
                <w:lang w:eastAsia="zh-CN"/>
              </w:rPr>
              <w:t>方法二、</w:t>
            </w:r>
            <w:r>
              <w:rPr>
                <w:rFonts w:hint="eastAsia" w:ascii="宋体" w:hAnsi="宋体" w:eastAsia="宋体" w:cs="宋体"/>
                <w:b/>
                <w:color w:val="auto"/>
                <w:szCs w:val="21"/>
                <w:highlight w:val="none"/>
                <w:u w:val="single"/>
              </w:rPr>
              <w:t>方法</w:t>
            </w:r>
            <w:r>
              <w:rPr>
                <w:rFonts w:hint="eastAsia" w:ascii="宋体" w:hAnsi="宋体" w:eastAsia="宋体" w:cs="宋体"/>
                <w:b/>
                <w:color w:val="auto"/>
                <w:szCs w:val="21"/>
                <w:highlight w:val="none"/>
                <w:u w:val="single"/>
                <w:lang w:val="en-US" w:eastAsia="zh-CN"/>
              </w:rPr>
              <w:t xml:space="preserve">三 </w:t>
            </w:r>
            <w:r>
              <w:rPr>
                <w:rFonts w:hint="eastAsia" w:ascii="宋体" w:hAnsi="宋体" w:eastAsia="宋体" w:cs="宋体"/>
                <w:b/>
                <w:color w:val="auto"/>
                <w:szCs w:val="21"/>
                <w:highlight w:val="none"/>
              </w:rPr>
              <w:t>中随机抽取一种。</w:t>
            </w:r>
          </w:p>
          <w:p w14:paraId="08EE17B0">
            <w:pPr>
              <w:keepNext w:val="0"/>
              <w:keepLines w:val="0"/>
              <w:pageBreakBefore w:val="0"/>
              <w:shd w:val="clear" w:color="auto" w:fill="auto"/>
              <w:kinsoku/>
              <w:wordWrap/>
              <w:overflowPunct/>
              <w:topLinePunct w:val="0"/>
              <w:autoSpaceDE/>
              <w:autoSpaceDN/>
              <w:bidi w:val="0"/>
              <w:adjustRightInd w:val="0"/>
              <w:snapToGrid w:val="0"/>
              <w:spacing w:line="360" w:lineRule="auto"/>
              <w:ind w:right="0" w:firstLine="422" w:firstLineChars="200"/>
              <w:jc w:val="both"/>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方法一：</w:t>
            </w:r>
            <w:r>
              <w:rPr>
                <w:rFonts w:hint="eastAsia" w:ascii="宋体" w:hAnsi="宋体" w:eastAsia="宋体" w:cs="宋体"/>
                <w:color w:val="auto"/>
                <w:szCs w:val="21"/>
                <w:highlight w:val="none"/>
              </w:rPr>
              <w:t>以有效投标文件（</w:t>
            </w:r>
            <w:r>
              <w:rPr>
                <w:rFonts w:hint="eastAsia" w:ascii="宋体" w:hAnsi="宋体" w:eastAsia="宋体" w:cs="宋体"/>
                <w:color w:val="auto"/>
                <w:sz w:val="21"/>
                <w:szCs w:val="21"/>
                <w:highlight w:val="none"/>
              </w:rPr>
              <w:t>有效投标文件是指初步评审合格的投标文件</w:t>
            </w:r>
            <w:r>
              <w:rPr>
                <w:rFonts w:hint="eastAsia" w:ascii="宋体" w:hAnsi="宋体" w:eastAsia="宋体" w:cs="宋体"/>
                <w:color w:val="auto"/>
                <w:szCs w:val="21"/>
                <w:highlight w:val="none"/>
              </w:rPr>
              <w:t>，下同）的评标价（评标价是指经澄清、补正和修正算术计算错误的投标报价，下同）算术平均值为A〔当有效投标文件≥7家时，去掉最高和最低20%（四舍五入取整，末位投标报价相同的均保留）后进行平均；当有效投标文件4－6家时，剔除最高报价（最高报价相同的均剔除）后进行算术平均；当有效投标文件＜4时，则次低报价作为投标平均价A〕。</w:t>
            </w:r>
          </w:p>
          <w:p w14:paraId="6C04A6FA">
            <w:pPr>
              <w:keepNext w:val="0"/>
              <w:keepLines w:val="0"/>
              <w:pageBreakBefore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评标基准价=A×K，K值在投标文件开启</w:t>
            </w:r>
            <w:r>
              <w:rPr>
                <w:rFonts w:hint="eastAsia" w:ascii="宋体" w:hAnsi="宋体" w:eastAsia="宋体" w:cs="宋体"/>
                <w:color w:val="auto"/>
                <w:szCs w:val="21"/>
                <w:highlight w:val="none"/>
                <w:lang w:eastAsia="zh-CN"/>
              </w:rPr>
              <w:t>后</w:t>
            </w:r>
            <w:r>
              <w:rPr>
                <w:rFonts w:hint="eastAsia" w:ascii="宋体" w:hAnsi="宋体" w:eastAsia="宋体" w:cs="宋体"/>
                <w:color w:val="auto"/>
                <w:szCs w:val="21"/>
                <w:highlight w:val="none"/>
              </w:rPr>
              <w:t>由</w:t>
            </w:r>
            <w:r>
              <w:rPr>
                <w:rFonts w:hint="eastAsia" w:ascii="宋体" w:hAnsi="宋体" w:eastAsia="宋体" w:cs="宋体"/>
                <w:b/>
                <w:color w:val="auto"/>
                <w:sz w:val="21"/>
                <w:szCs w:val="21"/>
                <w:highlight w:val="none"/>
                <w:u w:val="single"/>
                <w:lang w:eastAsia="zh-CN"/>
              </w:rPr>
              <w:t xml:space="preserve"> </w:t>
            </w:r>
            <w:r>
              <w:rPr>
                <w:rFonts w:hint="eastAsia" w:ascii="宋体" w:hAnsi="宋体" w:eastAsia="宋体" w:cs="宋体"/>
                <w:b/>
                <w:color w:val="auto"/>
                <w:sz w:val="21"/>
                <w:szCs w:val="21"/>
                <w:highlight w:val="none"/>
                <w:u w:val="single"/>
                <w:lang w:val="en-US" w:eastAsia="zh-CN"/>
              </w:rPr>
              <w:t>招标人代表</w:t>
            </w:r>
            <w:r>
              <w:rPr>
                <w:rFonts w:hint="eastAsia" w:ascii="宋体" w:hAnsi="宋体" w:eastAsia="宋体" w:cs="宋体"/>
                <w:b/>
                <w:color w:val="auto"/>
                <w:sz w:val="21"/>
                <w:szCs w:val="21"/>
                <w:highlight w:val="none"/>
                <w:u w:val="single"/>
                <w:lang w:eastAsia="zh-CN"/>
              </w:rPr>
              <w:t xml:space="preserve"> </w:t>
            </w:r>
            <w:r>
              <w:rPr>
                <w:rFonts w:hint="eastAsia" w:ascii="宋体" w:hAnsi="宋体" w:eastAsia="宋体" w:cs="宋体"/>
                <w:color w:val="auto"/>
                <w:szCs w:val="21"/>
                <w:highlight w:val="none"/>
              </w:rPr>
              <w:t>随机抽取确定，K值的取值范围为：</w:t>
            </w:r>
            <w:r>
              <w:rPr>
                <w:rFonts w:hint="eastAsia" w:ascii="宋体" w:hAnsi="宋体" w:cs="宋体"/>
                <w:szCs w:val="21"/>
                <w:highlight w:val="none"/>
                <w:u w:val="single"/>
              </w:rPr>
              <w:t xml:space="preserve"> </w:t>
            </w:r>
            <w:r>
              <w:rPr>
                <w:rFonts w:hint="eastAsia" w:ascii="宋体" w:hAnsi="宋体" w:eastAsia="宋体" w:cs="宋体"/>
                <w:b/>
                <w:color w:val="auto"/>
                <w:sz w:val="21"/>
                <w:szCs w:val="21"/>
                <w:highlight w:val="none"/>
                <w:u w:val="single"/>
                <w:lang w:val="en-US" w:eastAsia="zh-CN"/>
              </w:rPr>
              <w:t>95%、96%、97%、98%</w:t>
            </w:r>
            <w:r>
              <w:rPr>
                <w:rFonts w:hint="eastAsia" w:ascii="宋体" w:hAnsi="宋体" w:cs="宋体"/>
                <w:szCs w:val="21"/>
                <w:highlight w:val="none"/>
                <w:u w:val="single"/>
              </w:rPr>
              <w:t xml:space="preserve"> </w:t>
            </w:r>
            <w:r>
              <w:rPr>
                <w:rFonts w:hint="eastAsia" w:ascii="宋体" w:hAnsi="宋体" w:eastAsia="宋体" w:cs="宋体"/>
                <w:color w:val="auto"/>
                <w:szCs w:val="21"/>
                <w:highlight w:val="none"/>
              </w:rPr>
              <w:t>； </w:t>
            </w:r>
          </w:p>
          <w:p w14:paraId="362ABC23">
            <w:pPr>
              <w:keepNext w:val="0"/>
              <w:keepLines w:val="0"/>
              <w:pageBreakBefore w:val="0"/>
              <w:shd w:val="clear" w:color="auto" w:fill="auto"/>
              <w:kinsoku/>
              <w:wordWrap/>
              <w:overflowPunct/>
              <w:topLinePunct w:val="0"/>
              <w:autoSpaceDE/>
              <w:autoSpaceDN/>
              <w:bidi w:val="0"/>
              <w:adjustRightInd w:val="0"/>
              <w:snapToGrid w:val="0"/>
              <w:spacing w:line="360" w:lineRule="auto"/>
              <w:ind w:right="0" w:firstLine="422" w:firstLineChars="200"/>
              <w:jc w:val="both"/>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方法二：</w:t>
            </w:r>
            <w:r>
              <w:rPr>
                <w:rFonts w:hint="eastAsia" w:ascii="宋体" w:hAnsi="宋体" w:eastAsia="宋体" w:cs="宋体"/>
                <w:color w:val="auto"/>
                <w:szCs w:val="21"/>
                <w:highlight w:val="none"/>
              </w:rPr>
              <w:t>以有效投标文件的评标价算术平均值为A〔当有效投标文件≥7家时，去掉最高和最低20%（四舍五入取整）后进行平均；当有效投标文件4－6家时，剔除最高报价（最高报价相同的均剔除）后进行算术平均；当有效投标文件＜4时，则次低报价作为投标平均价A〕，</w:t>
            </w:r>
            <w:r>
              <w:rPr>
                <w:rFonts w:hint="eastAsia" w:ascii="宋体" w:hAnsi="宋体" w:eastAsia="宋体" w:cs="宋体"/>
                <w:color w:val="auto"/>
                <w:szCs w:val="21"/>
                <w:highlight w:val="none"/>
                <w:lang w:eastAsia="zh-CN"/>
              </w:rPr>
              <w:t>最高投标限价</w:t>
            </w:r>
            <w:r>
              <w:rPr>
                <w:rFonts w:hint="eastAsia" w:ascii="宋体" w:hAnsi="宋体" w:eastAsia="宋体" w:cs="宋体"/>
                <w:color w:val="auto"/>
                <w:szCs w:val="21"/>
                <w:highlight w:val="none"/>
              </w:rPr>
              <w:t>为B，则：</w:t>
            </w:r>
          </w:p>
          <w:p w14:paraId="2719FD96">
            <w:pPr>
              <w:keepNext w:val="0"/>
              <w:keepLines w:val="0"/>
              <w:pageBreakBefore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评标基准价=A×K1×Q1+B×K2×Q2</w:t>
            </w:r>
          </w:p>
          <w:p w14:paraId="4480E0AF">
            <w:pPr>
              <w:keepNext w:val="0"/>
              <w:keepLines w:val="0"/>
              <w:pageBreakBefore w:val="0"/>
              <w:shd w:val="clear" w:color="auto" w:fill="auto"/>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Q2=1－Q1； Q1的取值范围为：</w:t>
            </w:r>
            <w:r>
              <w:rPr>
                <w:rFonts w:hint="eastAsia" w:ascii="宋体" w:hAnsi="宋体" w:eastAsia="宋体" w:cs="宋体"/>
                <w:color w:val="auto"/>
                <w:szCs w:val="21"/>
                <w:highlight w:val="none"/>
                <w:u w:val="single"/>
              </w:rPr>
              <w:t>65%</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rPr>
              <w:t>70%</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rPr>
              <w:t>75%</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rPr>
              <w:t>80%</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rPr>
              <w:t>85%</w:t>
            </w:r>
            <w:r>
              <w:rPr>
                <w:rFonts w:hint="eastAsia" w:ascii="宋体" w:hAnsi="宋体" w:eastAsia="宋体" w:cs="宋体"/>
                <w:color w:val="auto"/>
                <w:szCs w:val="21"/>
                <w:highlight w:val="none"/>
              </w:rPr>
              <w:t>；</w:t>
            </w:r>
          </w:p>
          <w:p w14:paraId="0066575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K1的取值范围为：</w:t>
            </w:r>
            <w:r>
              <w:rPr>
                <w:rFonts w:hint="eastAsia" w:ascii="宋体" w:hAnsi="宋体" w:eastAsia="宋体" w:cs="宋体"/>
                <w:color w:val="auto"/>
                <w:szCs w:val="21"/>
                <w:highlight w:val="none"/>
                <w:u w:val="single"/>
              </w:rPr>
              <w:t xml:space="preserve"> 95%</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rPr>
              <w:t>96%</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rPr>
              <w:t>97%</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rPr>
              <w:t xml:space="preserve">98% </w:t>
            </w:r>
            <w:r>
              <w:rPr>
                <w:rFonts w:hint="eastAsia" w:ascii="宋体" w:hAnsi="宋体" w:eastAsia="宋体" w:cs="宋体"/>
                <w:color w:val="auto"/>
                <w:szCs w:val="21"/>
                <w:highlight w:val="none"/>
              </w:rPr>
              <w:t>；</w:t>
            </w:r>
          </w:p>
          <w:p w14:paraId="68AD073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i w:val="0"/>
                <w:iCs w:val="0"/>
                <w:caps w:val="0"/>
                <w:color w:val="auto"/>
                <w:spacing w:val="0"/>
                <w:sz w:val="21"/>
                <w:szCs w:val="21"/>
                <w:highlight w:val="none"/>
              </w:rPr>
              <w:t>K2的取值范围</w:t>
            </w:r>
            <w:r>
              <w:rPr>
                <w:rFonts w:hint="eastAsia" w:ascii="宋体" w:hAnsi="宋体" w:eastAsia="宋体" w:cs="宋体"/>
                <w:i w:val="0"/>
                <w:iCs w:val="0"/>
                <w:caps w:val="0"/>
                <w:color w:val="auto"/>
                <w:spacing w:val="0"/>
                <w:sz w:val="21"/>
                <w:szCs w:val="21"/>
                <w:highlight w:val="none"/>
                <w:lang w:eastAsia="zh-CN"/>
              </w:rPr>
              <w:t>为：</w:t>
            </w:r>
            <w:r>
              <w:rPr>
                <w:rFonts w:hint="eastAsia" w:ascii="宋体" w:hAnsi="宋体" w:eastAsia="宋体" w:cs="宋体"/>
                <w:i w:val="0"/>
                <w:iCs w:val="0"/>
                <w:caps w:val="0"/>
                <w:color w:val="auto"/>
                <w:spacing w:val="0"/>
                <w:sz w:val="21"/>
                <w:szCs w:val="21"/>
                <w:highlight w:val="none"/>
                <w:u w:val="single"/>
              </w:rPr>
              <w:t>88%</w:t>
            </w:r>
            <w:r>
              <w:rPr>
                <w:rFonts w:hint="eastAsia" w:ascii="宋体" w:hAnsi="宋体" w:eastAsia="宋体" w:cs="宋体"/>
                <w:color w:val="auto"/>
                <w:szCs w:val="21"/>
                <w:highlight w:val="none"/>
                <w:u w:val="single"/>
              </w:rPr>
              <w:t>～</w:t>
            </w:r>
            <w:r>
              <w:rPr>
                <w:rFonts w:hint="eastAsia" w:ascii="宋体" w:hAnsi="宋体" w:eastAsia="宋体" w:cs="宋体"/>
                <w:i w:val="0"/>
                <w:iCs w:val="0"/>
                <w:caps w:val="0"/>
                <w:color w:val="auto"/>
                <w:spacing w:val="0"/>
                <w:sz w:val="21"/>
                <w:szCs w:val="21"/>
                <w:highlight w:val="none"/>
                <w:u w:val="single"/>
              </w:rPr>
              <w:t>100%，市政工程为86%</w:t>
            </w:r>
            <w:r>
              <w:rPr>
                <w:rFonts w:hint="eastAsia" w:ascii="宋体" w:hAnsi="宋体" w:eastAsia="宋体" w:cs="宋体"/>
                <w:color w:val="auto"/>
                <w:szCs w:val="21"/>
                <w:highlight w:val="none"/>
                <w:u w:val="single"/>
              </w:rPr>
              <w:t>～</w:t>
            </w:r>
            <w:r>
              <w:rPr>
                <w:rFonts w:hint="eastAsia" w:ascii="宋体" w:hAnsi="宋体" w:eastAsia="宋体" w:cs="宋体"/>
                <w:i w:val="0"/>
                <w:iCs w:val="0"/>
                <w:caps w:val="0"/>
                <w:color w:val="auto"/>
                <w:spacing w:val="0"/>
                <w:sz w:val="21"/>
                <w:szCs w:val="21"/>
                <w:highlight w:val="none"/>
                <w:u w:val="single"/>
              </w:rPr>
              <w:t>100%，园林绿化工程为84%</w:t>
            </w:r>
            <w:r>
              <w:rPr>
                <w:rFonts w:hint="eastAsia" w:ascii="宋体" w:hAnsi="宋体" w:eastAsia="宋体" w:cs="宋体"/>
                <w:color w:val="auto"/>
                <w:szCs w:val="21"/>
                <w:highlight w:val="none"/>
                <w:u w:val="single"/>
              </w:rPr>
              <w:t>～</w:t>
            </w:r>
            <w:r>
              <w:rPr>
                <w:rFonts w:hint="eastAsia" w:ascii="宋体" w:hAnsi="宋体" w:eastAsia="宋体" w:cs="宋体"/>
                <w:i w:val="0"/>
                <w:iCs w:val="0"/>
                <w:caps w:val="0"/>
                <w:color w:val="auto"/>
                <w:spacing w:val="0"/>
                <w:sz w:val="21"/>
                <w:szCs w:val="21"/>
                <w:highlight w:val="none"/>
                <w:u w:val="single"/>
              </w:rPr>
              <w:t>100%，其他工程88%</w:t>
            </w:r>
            <w:r>
              <w:rPr>
                <w:rFonts w:hint="eastAsia" w:ascii="宋体" w:hAnsi="宋体" w:eastAsia="宋体" w:cs="宋体"/>
                <w:color w:val="auto"/>
                <w:szCs w:val="21"/>
                <w:highlight w:val="none"/>
                <w:u w:val="single"/>
              </w:rPr>
              <w:t>～</w:t>
            </w:r>
            <w:r>
              <w:rPr>
                <w:rFonts w:hint="eastAsia" w:ascii="宋体" w:hAnsi="宋体" w:eastAsia="宋体" w:cs="宋体"/>
                <w:i w:val="0"/>
                <w:iCs w:val="0"/>
                <w:caps w:val="0"/>
                <w:color w:val="auto"/>
                <w:spacing w:val="0"/>
                <w:sz w:val="21"/>
                <w:szCs w:val="21"/>
                <w:highlight w:val="none"/>
                <w:u w:val="single"/>
              </w:rPr>
              <w:t>100%。</w:t>
            </w:r>
            <w:r>
              <w:rPr>
                <w:rFonts w:hint="eastAsia" w:ascii="宋体" w:hAnsi="宋体" w:eastAsia="宋体" w:cs="宋体"/>
                <w:i w:val="0"/>
                <w:iCs w:val="0"/>
                <w:caps w:val="0"/>
                <w:color w:val="auto"/>
                <w:spacing w:val="0"/>
                <w:sz w:val="21"/>
                <w:szCs w:val="21"/>
                <w:highlight w:val="none"/>
                <w:lang w:eastAsia="zh-CN"/>
              </w:rPr>
              <w:t>；</w:t>
            </w:r>
          </w:p>
          <w:p w14:paraId="38A9EC8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color w:val="auto"/>
                <w:szCs w:val="21"/>
                <w:highlight w:val="none"/>
              </w:rPr>
              <w:t>Q1、K1值在投标文件开启</w:t>
            </w:r>
            <w:r>
              <w:rPr>
                <w:rFonts w:hint="eastAsia" w:ascii="宋体" w:hAnsi="宋体" w:eastAsia="宋体" w:cs="宋体"/>
                <w:color w:val="auto"/>
                <w:szCs w:val="21"/>
                <w:highlight w:val="none"/>
                <w:lang w:eastAsia="zh-CN"/>
              </w:rPr>
              <w:t>后</w:t>
            </w:r>
            <w:r>
              <w:rPr>
                <w:rFonts w:hint="eastAsia" w:ascii="宋体" w:hAnsi="宋体" w:eastAsia="宋体" w:cs="宋体"/>
                <w:color w:val="auto"/>
                <w:szCs w:val="21"/>
                <w:highlight w:val="none"/>
              </w:rPr>
              <w:t>由</w:t>
            </w:r>
            <w:r>
              <w:rPr>
                <w:rFonts w:hint="eastAsia" w:ascii="宋体" w:hAnsi="宋体" w:eastAsia="宋体" w:cs="宋体"/>
                <w:b/>
                <w:color w:val="auto"/>
                <w:sz w:val="21"/>
                <w:szCs w:val="21"/>
                <w:highlight w:val="none"/>
                <w:u w:val="single"/>
                <w:lang w:eastAsia="zh-CN"/>
              </w:rPr>
              <w:t xml:space="preserve"> 招标人代表 </w:t>
            </w:r>
            <w:r>
              <w:rPr>
                <w:rFonts w:hint="eastAsia" w:ascii="宋体" w:hAnsi="宋体" w:eastAsia="宋体" w:cs="宋体"/>
                <w:color w:val="auto"/>
                <w:szCs w:val="21"/>
                <w:highlight w:val="none"/>
              </w:rPr>
              <w:t>随机抽取确定。K2的取值为：</w:t>
            </w:r>
            <w:r>
              <w:rPr>
                <w:rFonts w:hint="eastAsia" w:ascii="宋体" w:hAnsi="宋体" w:eastAsia="宋体" w:cs="宋体"/>
                <w:b/>
                <w:bCs w:val="0"/>
                <w:color w:val="auto"/>
                <w:sz w:val="21"/>
                <w:szCs w:val="21"/>
                <w:highlight w:val="none"/>
                <w:u w:val="single"/>
                <w:lang w:val="en-US" w:eastAsia="zh-CN"/>
              </w:rPr>
              <w:t xml:space="preserve"> 88%</w:t>
            </w:r>
            <w:r>
              <w:rPr>
                <w:rFonts w:hint="eastAsia" w:ascii="宋体" w:hAnsi="宋体" w:eastAsia="宋体"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eastAsia="zh-CN"/>
              </w:rPr>
              <w:t>。</w:t>
            </w:r>
          </w:p>
          <w:p w14:paraId="746167C0">
            <w:pPr>
              <w:keepNext w:val="0"/>
              <w:keepLines w:val="0"/>
              <w:pageBreakBefore w:val="0"/>
              <w:shd w:val="clear" w:color="auto" w:fill="auto"/>
              <w:kinsoku/>
              <w:wordWrap/>
              <w:overflowPunct/>
              <w:topLinePunct w:val="0"/>
              <w:autoSpaceDE/>
              <w:autoSpaceDN/>
              <w:bidi w:val="0"/>
              <w:adjustRightInd w:val="0"/>
              <w:snapToGrid w:val="0"/>
              <w:spacing w:line="360" w:lineRule="auto"/>
              <w:ind w:right="0" w:firstLine="422" w:firstLineChars="200"/>
              <w:jc w:val="both"/>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方法三：</w:t>
            </w:r>
            <w:r>
              <w:rPr>
                <w:rFonts w:hint="eastAsia" w:ascii="宋体" w:hAnsi="宋体" w:eastAsia="宋体" w:cs="宋体"/>
                <w:color w:val="auto"/>
                <w:szCs w:val="21"/>
                <w:highlight w:val="none"/>
              </w:rPr>
              <w:t>以有效投标文件的次低评标价为评标基准价。</w:t>
            </w:r>
          </w:p>
          <w:p w14:paraId="01406A65">
            <w:pPr>
              <w:keepNext w:val="0"/>
              <w:keepLines w:val="0"/>
              <w:pageBreakBefore w:val="0"/>
              <w:shd w:val="clear" w:color="auto" w:fill="auto"/>
              <w:kinsoku/>
              <w:wordWrap/>
              <w:overflowPunct/>
              <w:topLinePunct w:val="0"/>
              <w:autoSpaceDE/>
              <w:autoSpaceDN/>
              <w:bidi w:val="0"/>
              <w:adjustRightInd w:val="0"/>
              <w:snapToGrid w:val="0"/>
              <w:spacing w:line="360" w:lineRule="auto"/>
              <w:ind w:right="0" w:firstLine="422" w:firstLineChars="200"/>
              <w:jc w:val="both"/>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□方法四：</w:t>
            </w:r>
            <w:r>
              <w:rPr>
                <w:rFonts w:hint="eastAsia" w:ascii="宋体" w:hAnsi="宋体" w:eastAsia="宋体" w:cs="宋体"/>
                <w:color w:val="auto"/>
                <w:szCs w:val="21"/>
                <w:highlight w:val="none"/>
              </w:rPr>
              <w:t>以合理最低价作为评标基准价。</w:t>
            </w:r>
          </w:p>
          <w:p w14:paraId="35A7E76A">
            <w:pPr>
              <w:keepNext w:val="0"/>
              <w:keepLines w:val="0"/>
              <w:pageBreakBefore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有效投标文件工程量清单中的分部分项工程项目清单综合单价子目（指单价）、单价措施项目清单综合单价子目（指单价）、总价措施项目清单费用（指总费用）、其他项目清单费用（指总费用）等所有报价由低到高分别依次排序。</w:t>
            </w:r>
          </w:p>
          <w:p w14:paraId="44C8E51B">
            <w:pPr>
              <w:keepNext w:val="0"/>
              <w:keepLines w:val="0"/>
              <w:pageBreakBefore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当有效投标文件≥7家时，先剔除各报价中最高的20%项（四舍五入取整，投标报价相同的均保留）和最低的20%项（四舍五入取整，投标报价相同的均保留）后进行算术平均；当有效投标文件4－6家时，剔除各报价中最高值（最高值相同的均剔除）后进行算术平均；当有效投标文件＜4时，取各报价中的次低值。</w:t>
            </w:r>
          </w:p>
          <w:p w14:paraId="4DDA7B4C">
            <w:pPr>
              <w:keepNext w:val="0"/>
              <w:keepLines w:val="0"/>
              <w:pageBreakBefore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将上述计算结果按计价规范，分别生成分部分项工程费、措施项目费和其他项目费，再按招标清单所列费率计算规费、税金，得出总价A。</w:t>
            </w:r>
          </w:p>
          <w:p w14:paraId="2AC3FE9D">
            <w:pPr>
              <w:keepNext w:val="0"/>
              <w:keepLines w:val="0"/>
              <w:pageBreakBefore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评标基准价（合理最低价）=A×K</w:t>
            </w:r>
            <w:r>
              <w:rPr>
                <w:rFonts w:hint="eastAsia" w:ascii="宋体" w:hAnsi="宋体" w:eastAsia="宋体" w:cs="宋体"/>
                <w:color w:val="auto"/>
                <w:szCs w:val="21"/>
                <w:highlight w:val="none"/>
                <w:lang w:eastAsia="zh-CN"/>
              </w:rPr>
              <w:t>。</w:t>
            </w:r>
          </w:p>
          <w:p w14:paraId="4F19FEFE">
            <w:pPr>
              <w:keepNext w:val="0"/>
              <w:keepLines w:val="0"/>
              <w:pageBreakBefore w:val="0"/>
              <w:shd w:val="clear" w:color="auto" w:fill="auto"/>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下浮率K值的确定（下浮率取整）：</w:t>
            </w:r>
          </w:p>
          <w:p w14:paraId="1C6D4116">
            <w:pPr>
              <w:keepNext w:val="0"/>
              <w:keepLines w:val="0"/>
              <w:pageBreakBefore w:val="0"/>
              <w:shd w:val="clear" w:color="auto" w:fill="auto"/>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rPr>
              <w:t>本工程下浮率K值</w:t>
            </w:r>
          </w:p>
          <w:p w14:paraId="08E8E7A1">
            <w:pPr>
              <w:keepNext w:val="0"/>
              <w:keepLines w:val="0"/>
              <w:pageBreakBefore w:val="0"/>
              <w:shd w:val="clear" w:color="auto" w:fill="auto"/>
              <w:kinsoku/>
              <w:wordWrap/>
              <w:overflowPunct/>
              <w:topLinePunct w:val="0"/>
              <w:autoSpaceDE/>
              <w:autoSpaceDN/>
              <w:bidi w:val="0"/>
              <w:adjustRightInd w:val="0"/>
              <w:snapToGrid w:val="0"/>
              <w:spacing w:line="360" w:lineRule="auto"/>
              <w:ind w:right="0" w:firstLine="422" w:firstLineChars="200"/>
              <w:jc w:val="both"/>
              <w:textAlignment w:val="auto"/>
              <w:rPr>
                <w:rFonts w:hint="eastAsia" w:ascii="宋体" w:hAnsi="宋体" w:eastAsia="宋体" w:cs="宋体"/>
                <w:color w:val="auto"/>
                <w:szCs w:val="21"/>
                <w:highlight w:val="none"/>
                <w:u w:val="single"/>
              </w:rPr>
            </w:pP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在投标文件开启</w:t>
            </w:r>
            <w:r>
              <w:rPr>
                <w:rFonts w:hint="eastAsia" w:ascii="宋体" w:hAnsi="宋体" w:eastAsia="宋体" w:cs="宋体"/>
                <w:color w:val="auto"/>
                <w:szCs w:val="21"/>
                <w:highlight w:val="none"/>
                <w:lang w:eastAsia="zh-CN"/>
              </w:rPr>
              <w:t>（解密）后</w:t>
            </w:r>
            <w:r>
              <w:rPr>
                <w:rFonts w:hint="eastAsia" w:ascii="宋体" w:hAnsi="宋体" w:eastAsia="宋体" w:cs="宋体"/>
                <w:color w:val="auto"/>
                <w:szCs w:val="21"/>
                <w:highlight w:val="none"/>
              </w:rPr>
              <w:t>，</w:t>
            </w:r>
            <w:r>
              <w:rPr>
                <w:rFonts w:hint="eastAsia" w:ascii="宋体" w:hAnsi="宋体" w:eastAsia="宋体" w:cs="宋体"/>
                <w:b/>
                <w:color w:val="auto"/>
                <w:sz w:val="21"/>
                <w:szCs w:val="21"/>
                <w:highlight w:val="none"/>
                <w:u w:val="single"/>
                <w:lang w:eastAsia="zh-CN"/>
              </w:rPr>
              <w:t xml:space="preserve">      </w:t>
            </w:r>
            <w:r>
              <w:rPr>
                <w:rFonts w:hint="eastAsia" w:ascii="宋体" w:hAnsi="宋体" w:eastAsia="宋体" w:cs="宋体"/>
                <w:color w:val="auto"/>
                <w:szCs w:val="21"/>
                <w:highlight w:val="none"/>
              </w:rPr>
              <w:t>从下浮区间随机抽取确定，本工程下浮区间为：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65CFB614">
            <w:pPr>
              <w:keepNext w:val="0"/>
              <w:keepLines w:val="0"/>
              <w:pageBreakBefore w:val="0"/>
              <w:shd w:val="clear" w:color="auto" w:fill="auto"/>
              <w:kinsoku/>
              <w:wordWrap/>
              <w:overflowPunct/>
              <w:topLinePunct w:val="0"/>
              <w:autoSpaceDE/>
              <w:autoSpaceDN/>
              <w:bidi w:val="0"/>
              <w:adjustRightInd w:val="0"/>
              <w:snapToGrid w:val="0"/>
              <w:spacing w:line="360" w:lineRule="auto"/>
              <w:ind w:right="0" w:firstLine="422" w:firstLineChars="200"/>
              <w:jc w:val="both"/>
              <w:textAlignment w:val="auto"/>
              <w:rPr>
                <w:rFonts w:hint="eastAsia" w:ascii="宋体" w:hAnsi="宋体" w:eastAsia="宋体" w:cs="宋体"/>
                <w:color w:val="auto"/>
                <w:szCs w:val="21"/>
                <w:highlight w:val="none"/>
                <w:u w:val="single"/>
              </w:rPr>
            </w:pP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招标人明确确定固定下浮率K值为：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34D93B3B">
            <w:pPr>
              <w:keepNext w:val="0"/>
              <w:keepLines w:val="0"/>
              <w:pageBreakBefore w:val="0"/>
              <w:widowControl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Cs w:val="21"/>
                <w:highlight w:val="none"/>
                <w:u w:val="single"/>
              </w:rPr>
            </w:pPr>
            <w:r>
              <w:rPr>
                <w:rFonts w:hint="eastAsia" w:ascii="宋体" w:hAnsi="宋体" w:eastAsia="宋体" w:cs="宋体"/>
                <w:color w:val="auto"/>
                <w:sz w:val="21"/>
                <w:szCs w:val="21"/>
                <w:highlight w:val="none"/>
              </w:rPr>
              <w:t>K值建筑工程下浮范围为</w:t>
            </w:r>
            <w:r>
              <w:rPr>
                <w:rFonts w:hint="eastAsia" w:ascii="宋体" w:hAnsi="宋体" w:eastAsia="宋体" w:cs="宋体"/>
                <w:color w:val="auto"/>
                <w:sz w:val="21"/>
                <w:szCs w:val="21"/>
                <w:highlight w:val="none"/>
                <w:u w:val="single"/>
              </w:rPr>
              <w:t xml:space="preserve"> 97%～93% </w:t>
            </w:r>
            <w:r>
              <w:rPr>
                <w:rFonts w:hint="eastAsia" w:ascii="宋体" w:hAnsi="宋体" w:eastAsia="宋体" w:cs="宋体"/>
                <w:color w:val="auto"/>
                <w:sz w:val="21"/>
                <w:szCs w:val="21"/>
                <w:highlight w:val="none"/>
              </w:rPr>
              <w:t>，装修、安装工程下浮范围为</w:t>
            </w:r>
            <w:r>
              <w:rPr>
                <w:rFonts w:hint="eastAsia" w:ascii="宋体" w:hAnsi="宋体" w:eastAsia="宋体" w:cs="宋体"/>
                <w:color w:val="auto"/>
                <w:sz w:val="21"/>
                <w:szCs w:val="21"/>
                <w:highlight w:val="none"/>
                <w:u w:val="single"/>
              </w:rPr>
              <w:t xml:space="preserve"> 95%～90% </w:t>
            </w:r>
            <w:r>
              <w:rPr>
                <w:rFonts w:hint="eastAsia" w:ascii="宋体" w:hAnsi="宋体" w:eastAsia="宋体" w:cs="宋体"/>
                <w:color w:val="auto"/>
                <w:sz w:val="21"/>
                <w:szCs w:val="21"/>
                <w:highlight w:val="none"/>
              </w:rPr>
              <w:t>，市政工程下浮范围为</w:t>
            </w:r>
            <w:r>
              <w:rPr>
                <w:rFonts w:hint="eastAsia" w:ascii="宋体" w:hAnsi="宋体" w:eastAsia="宋体" w:cs="宋体"/>
                <w:color w:val="auto"/>
                <w:sz w:val="21"/>
                <w:szCs w:val="21"/>
                <w:highlight w:val="none"/>
                <w:u w:val="single"/>
              </w:rPr>
              <w:t>93%～88%</w:t>
            </w:r>
            <w:r>
              <w:rPr>
                <w:rFonts w:hint="eastAsia" w:ascii="宋体" w:hAnsi="宋体" w:eastAsia="宋体" w:cs="宋体"/>
                <w:color w:val="auto"/>
                <w:sz w:val="21"/>
                <w:szCs w:val="21"/>
                <w:highlight w:val="none"/>
              </w:rPr>
              <w:t>，园林绿化工程下浮范围为</w:t>
            </w:r>
            <w:r>
              <w:rPr>
                <w:rFonts w:hint="eastAsia" w:ascii="宋体" w:hAnsi="宋体" w:eastAsia="宋体" w:cs="宋体"/>
                <w:color w:val="auto"/>
                <w:sz w:val="21"/>
                <w:szCs w:val="21"/>
                <w:highlight w:val="none"/>
                <w:u w:val="single"/>
              </w:rPr>
              <w:t>92%～85%</w:t>
            </w:r>
            <w:r>
              <w:rPr>
                <w:rFonts w:hint="eastAsia" w:ascii="宋体" w:hAnsi="宋体" w:eastAsia="宋体" w:cs="宋体"/>
                <w:color w:val="auto"/>
                <w:sz w:val="21"/>
                <w:szCs w:val="21"/>
                <w:highlight w:val="none"/>
              </w:rPr>
              <w:t>，其他工程下浮范围为</w:t>
            </w:r>
            <w:r>
              <w:rPr>
                <w:rFonts w:hint="eastAsia" w:ascii="宋体" w:hAnsi="宋体" w:eastAsia="宋体" w:cs="宋体"/>
                <w:color w:val="auto"/>
                <w:sz w:val="21"/>
                <w:szCs w:val="21"/>
                <w:highlight w:val="none"/>
                <w:u w:val="single"/>
              </w:rPr>
              <w:t>95%～90%</w:t>
            </w:r>
            <w:r>
              <w:rPr>
                <w:rFonts w:hint="eastAsia" w:ascii="宋体" w:hAnsi="宋体" w:eastAsia="宋体" w:cs="宋体"/>
                <w:color w:val="auto"/>
                <w:sz w:val="21"/>
                <w:szCs w:val="21"/>
                <w:highlight w:val="none"/>
                <w:lang w:eastAsia="zh-CN"/>
              </w:rPr>
              <w:t>，各地可根据情况适时对下浮范围进行调整。</w:t>
            </w:r>
          </w:p>
          <w:p w14:paraId="79D09CE3">
            <w:pPr>
              <w:keepNext w:val="0"/>
              <w:keepLines w:val="0"/>
              <w:pageBreakBefore w:val="0"/>
              <w:shd w:val="clear" w:color="auto" w:fill="auto"/>
              <w:kinsoku/>
              <w:wordWrap/>
              <w:overflowPunct/>
              <w:topLinePunct w:val="0"/>
              <w:autoSpaceDE/>
              <w:autoSpaceDN/>
              <w:bidi w:val="0"/>
              <w:adjustRightInd w:val="0"/>
              <w:snapToGrid w:val="0"/>
              <w:spacing w:line="360" w:lineRule="auto"/>
              <w:ind w:right="0" w:firstLine="422" w:firstLineChars="200"/>
              <w:jc w:val="both"/>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□方法五：</w:t>
            </w:r>
            <w:r>
              <w:rPr>
                <w:rFonts w:hint="eastAsia" w:ascii="宋体" w:hAnsi="宋体" w:eastAsia="宋体" w:cs="宋体"/>
                <w:color w:val="auto"/>
                <w:szCs w:val="21"/>
                <w:highlight w:val="none"/>
              </w:rPr>
              <w:t>ABC合成法。</w:t>
            </w:r>
          </w:p>
          <w:p w14:paraId="03D37C46">
            <w:pPr>
              <w:keepNext w:val="0"/>
              <w:keepLines w:val="0"/>
              <w:pageBreakBefore w:val="0"/>
              <w:widowControl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评标基准价=(A×50%＋B×30%＋C×20%)×K</w:t>
            </w:r>
          </w:p>
          <w:p w14:paraId="6F1C9C96">
            <w:pPr>
              <w:keepNext w:val="0"/>
              <w:keepLines w:val="0"/>
              <w:pageBreakBefore w:val="0"/>
              <w:widowControl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w:t>
            </w:r>
            <w:r>
              <w:rPr>
                <w:rFonts w:hint="eastAsia" w:ascii="宋体" w:hAnsi="宋体" w:eastAsia="宋体" w:cs="宋体"/>
                <w:color w:val="auto"/>
                <w:sz w:val="21"/>
                <w:szCs w:val="21"/>
                <w:highlight w:val="none"/>
                <w:lang w:eastAsia="zh-CN"/>
              </w:rPr>
              <w:t>最高投标限价</w:t>
            </w:r>
            <w:r>
              <w:rPr>
                <w:rFonts w:hint="eastAsia" w:ascii="宋体" w:hAnsi="宋体" w:eastAsia="宋体" w:cs="宋体"/>
                <w:color w:val="auto"/>
                <w:sz w:val="21"/>
                <w:szCs w:val="21"/>
                <w:highlight w:val="none"/>
              </w:rPr>
              <w:t>×(100%－下浮率Δ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7C5A0568">
            <w:pPr>
              <w:keepNext w:val="0"/>
              <w:keepLines w:val="0"/>
              <w:pageBreakBefore w:val="0"/>
              <w:widowControl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B=在规定范围内的评标价除C值外的任意一个评标价，随机抽取确定；抽取方式：若评标价在A值的95%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及以上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范围内，则该类评标价不纳入B值抽取范围；若在A值的95%-92%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、92%-89%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范围内，则在两个区间内各抽取一个评标价，与在A值的89%以下至规定范围内的其他评标价合并后作为B值抽取范围。若按上述办法未能抽取B值，则在规定范围内的任意一个评标价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除C值外</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中随机抽取B值</w:t>
            </w:r>
            <w:r>
              <w:rPr>
                <w:rFonts w:hint="eastAsia" w:ascii="宋体" w:hAnsi="宋体" w:eastAsia="宋体" w:cs="宋体"/>
                <w:color w:val="auto"/>
                <w:sz w:val="21"/>
                <w:szCs w:val="21"/>
                <w:highlight w:val="none"/>
                <w:lang w:eastAsia="zh-CN"/>
              </w:rPr>
              <w:t>；</w:t>
            </w:r>
          </w:p>
          <w:p w14:paraId="76A2EEC0">
            <w:pPr>
              <w:keepNext w:val="0"/>
              <w:keepLines w:val="0"/>
              <w:pageBreakBefore w:val="0"/>
              <w:widowControl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C=在规定范围内的最低评标价；</w:t>
            </w:r>
          </w:p>
          <w:p w14:paraId="16F7EB60">
            <w:pPr>
              <w:keepNext w:val="0"/>
              <w:keepLines w:val="0"/>
              <w:pageBreakBefore w:val="0"/>
              <w:widowControl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规定范围内：评标价算术平均值×70%与</w:t>
            </w:r>
            <w:r>
              <w:rPr>
                <w:rFonts w:hint="eastAsia" w:ascii="宋体" w:hAnsi="宋体" w:eastAsia="宋体" w:cs="宋体"/>
                <w:color w:val="auto"/>
                <w:sz w:val="21"/>
                <w:szCs w:val="21"/>
                <w:highlight w:val="none"/>
                <w:lang w:eastAsia="zh-CN"/>
              </w:rPr>
              <w:t>最高投标限价</w:t>
            </w:r>
            <w:r>
              <w:rPr>
                <w:rFonts w:hint="eastAsia" w:ascii="宋体" w:hAnsi="宋体" w:eastAsia="宋体" w:cs="宋体"/>
                <w:color w:val="auto"/>
                <w:sz w:val="21"/>
                <w:szCs w:val="21"/>
                <w:highlight w:val="none"/>
              </w:rPr>
              <w:t>×30%之和下浮25%以内的所有评标价；</w:t>
            </w:r>
          </w:p>
          <w:p w14:paraId="7C793AD2">
            <w:pPr>
              <w:keepNext w:val="0"/>
              <w:keepLines w:val="0"/>
              <w:pageBreakBefore w:val="0"/>
              <w:widowControl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下浮系数K、下浮率Δ在</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eastAsia="zh-CN"/>
              </w:rPr>
              <w:t>阶段</w:t>
            </w:r>
            <w:r>
              <w:rPr>
                <w:rFonts w:hint="eastAsia" w:ascii="宋体" w:hAnsi="宋体" w:eastAsia="宋体" w:cs="宋体"/>
                <w:color w:val="auto"/>
                <w:sz w:val="21"/>
                <w:szCs w:val="21"/>
                <w:highlight w:val="none"/>
              </w:rPr>
              <w:t>按下表取值范围内随机抽取</w:t>
            </w:r>
            <w:r>
              <w:rPr>
                <w:rFonts w:hint="eastAsia" w:ascii="宋体" w:hAnsi="宋体" w:eastAsia="宋体" w:cs="宋体"/>
                <w:color w:val="auto"/>
                <w:sz w:val="21"/>
                <w:szCs w:val="21"/>
                <w:highlight w:val="none"/>
                <w:lang w:val="en-US" w:eastAsia="zh-CN"/>
              </w:rPr>
              <w:t xml:space="preserve"> ，B</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eastAsia="zh-CN"/>
              </w:rPr>
              <w:t>阶段</w:t>
            </w:r>
            <w:r>
              <w:rPr>
                <w:rFonts w:hint="eastAsia" w:ascii="宋体" w:hAnsi="宋体" w:eastAsia="宋体" w:cs="宋体"/>
                <w:color w:val="auto"/>
                <w:sz w:val="21"/>
                <w:szCs w:val="21"/>
                <w:highlight w:val="none"/>
                <w:u w:val="none"/>
                <w:lang w:eastAsia="zh-CN"/>
              </w:rPr>
              <w:t>抽取</w:t>
            </w:r>
            <w:r>
              <w:rPr>
                <w:rFonts w:hint="eastAsia" w:ascii="宋体" w:hAnsi="宋体" w:eastAsia="宋体" w:cs="宋体"/>
                <w:color w:val="auto"/>
                <w:sz w:val="21"/>
                <w:szCs w:val="21"/>
                <w:highlight w:val="none"/>
                <w:lang w:eastAsia="zh-CN"/>
              </w:rPr>
              <w:t>。</w:t>
            </w:r>
          </w:p>
          <w:p w14:paraId="6198FBC6">
            <w:pPr>
              <w:keepNext w:val="0"/>
              <w:keepLines w:val="0"/>
              <w:pageBreakBefore w:val="0"/>
              <w:widowControl w:val="0"/>
              <w:shd w:val="clear" w:color="auto" w:fill="auto"/>
              <w:tabs>
                <w:tab w:val="left" w:pos="0"/>
              </w:tabs>
              <w:kinsoku/>
              <w:wordWrap/>
              <w:overflowPunct/>
              <w:topLinePunct w:val="0"/>
              <w:autoSpaceDE/>
              <w:autoSpaceDN/>
              <w:bidi w:val="0"/>
              <w:adjustRightInd w:val="0"/>
              <w:snapToGrid w:val="0"/>
              <w:spacing w:line="360" w:lineRule="auto"/>
              <w:ind w:righ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本次招标项目下浮率Δ分类为</w:t>
            </w:r>
            <w:r>
              <w:rPr>
                <w:rFonts w:hint="eastAsia" w:ascii="宋体" w:hAnsi="宋体" w:eastAsia="宋体" w:cs="宋体"/>
                <w:color w:val="auto"/>
                <w:sz w:val="21"/>
                <w:szCs w:val="21"/>
                <w:highlight w:val="none"/>
                <w:u w:val="single"/>
                <w:lang w:val="en-US" w:eastAsia="zh-CN"/>
              </w:rPr>
              <w:t xml:space="preserve">    </w:t>
            </w:r>
          </w:p>
          <w:tbl>
            <w:tblPr>
              <w:tblStyle w:val="22"/>
              <w:tblpPr w:leftFromText="180" w:rightFromText="180" w:vertAnchor="text" w:horzAnchor="page" w:tblpX="-59" w:tblpY="48"/>
              <w:tblOverlap w:val="never"/>
              <w:tblW w:w="5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5"/>
              <w:gridCol w:w="1207"/>
              <w:gridCol w:w="3466"/>
            </w:tblGrid>
            <w:tr w14:paraId="57F3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552" w:type="dxa"/>
                  <w:gridSpan w:val="2"/>
                  <w:noWrap w:val="0"/>
                  <w:vAlign w:val="center"/>
                </w:tcPr>
                <w:p w14:paraId="0CEC783A">
                  <w:pPr>
                    <w:shd w:val="clear" w:color="auto" w:fill="auto"/>
                    <w:tabs>
                      <w:tab w:val="left" w:pos="0"/>
                    </w:tabs>
                    <w:spacing w:line="300" w:lineRule="exact"/>
                    <w:ind w:right="-34"/>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分类</w:t>
                  </w:r>
                </w:p>
              </w:tc>
              <w:tc>
                <w:tcPr>
                  <w:tcW w:w="3466" w:type="dxa"/>
                  <w:noWrap w:val="0"/>
                  <w:vAlign w:val="center"/>
                </w:tcPr>
                <w:p w14:paraId="0BD7F684">
                  <w:pPr>
                    <w:shd w:val="clear" w:color="auto" w:fill="auto"/>
                    <w:tabs>
                      <w:tab w:val="left" w:pos="0"/>
                    </w:tabs>
                    <w:spacing w:line="300" w:lineRule="exact"/>
                    <w:ind w:right="-34" w:firstLine="16" w:firstLineChars="8"/>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取值范围</w:t>
                  </w:r>
                </w:p>
              </w:tc>
            </w:tr>
            <w:tr w14:paraId="7413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552" w:type="dxa"/>
                  <w:gridSpan w:val="2"/>
                  <w:noWrap w:val="0"/>
                  <w:vAlign w:val="center"/>
                </w:tcPr>
                <w:p w14:paraId="02508F07">
                  <w:pPr>
                    <w:shd w:val="clear" w:color="auto" w:fill="auto"/>
                    <w:tabs>
                      <w:tab w:val="left" w:pos="0"/>
                    </w:tabs>
                    <w:spacing w:line="300" w:lineRule="exact"/>
                    <w:ind w:right="-36"/>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下浮系数K</w:t>
                  </w:r>
                </w:p>
              </w:tc>
              <w:tc>
                <w:tcPr>
                  <w:tcW w:w="3466" w:type="dxa"/>
                  <w:noWrap w:val="0"/>
                  <w:vAlign w:val="center"/>
                </w:tcPr>
                <w:p w14:paraId="25A930FB">
                  <w:pPr>
                    <w:shd w:val="clear" w:color="auto" w:fill="auto"/>
                    <w:tabs>
                      <w:tab w:val="left" w:pos="0"/>
                    </w:tabs>
                    <w:spacing w:line="300" w:lineRule="exact"/>
                    <w:ind w:right="-36"/>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95%、95.5%、96%、96.5%、97%、97.5%、98%</w:t>
                  </w:r>
                </w:p>
              </w:tc>
            </w:tr>
            <w:tr w14:paraId="5031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345" w:type="dxa"/>
                  <w:vMerge w:val="restart"/>
                  <w:noWrap w:val="0"/>
                  <w:vAlign w:val="center"/>
                </w:tcPr>
                <w:p w14:paraId="27B2A510">
                  <w:pPr>
                    <w:shd w:val="clear" w:color="auto" w:fill="auto"/>
                    <w:tabs>
                      <w:tab w:val="left" w:pos="0"/>
                    </w:tabs>
                    <w:spacing w:line="300" w:lineRule="exact"/>
                    <w:ind w:right="-34"/>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下浮率Δ</w:t>
                  </w:r>
                </w:p>
              </w:tc>
              <w:tc>
                <w:tcPr>
                  <w:tcW w:w="1207" w:type="dxa"/>
                  <w:noWrap w:val="0"/>
                  <w:vAlign w:val="center"/>
                </w:tcPr>
                <w:p w14:paraId="35E87BE3">
                  <w:pPr>
                    <w:shd w:val="clear" w:color="auto" w:fill="auto"/>
                    <w:tabs>
                      <w:tab w:val="left" w:pos="0"/>
                    </w:tabs>
                    <w:spacing w:line="300" w:lineRule="exact"/>
                    <w:ind w:right="-34"/>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房屋建筑工程</w:t>
                  </w:r>
                </w:p>
              </w:tc>
              <w:tc>
                <w:tcPr>
                  <w:tcW w:w="3466" w:type="dxa"/>
                  <w:noWrap w:val="0"/>
                  <w:vAlign w:val="center"/>
                </w:tcPr>
                <w:p w14:paraId="3A16216D">
                  <w:pPr>
                    <w:shd w:val="clear" w:color="auto" w:fill="auto"/>
                    <w:tabs>
                      <w:tab w:val="left" w:pos="0"/>
                    </w:tabs>
                    <w:spacing w:line="300" w:lineRule="exact"/>
                    <w:ind w:right="-34" w:firstLine="16" w:firstLineChars="8"/>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6%、7%、8%、9%、10%、11%、12%</w:t>
                  </w:r>
                </w:p>
              </w:tc>
            </w:tr>
            <w:tr w14:paraId="1C78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45" w:type="dxa"/>
                  <w:vMerge w:val="continue"/>
                  <w:noWrap w:val="0"/>
                  <w:vAlign w:val="top"/>
                </w:tcPr>
                <w:p w14:paraId="35D82806">
                  <w:pPr>
                    <w:shd w:val="clear" w:color="auto" w:fill="auto"/>
                    <w:tabs>
                      <w:tab w:val="left" w:pos="0"/>
                    </w:tabs>
                    <w:spacing w:line="300" w:lineRule="exact"/>
                    <w:ind w:right="-34"/>
                    <w:jc w:val="both"/>
                    <w:rPr>
                      <w:rFonts w:hint="eastAsia" w:ascii="宋体" w:hAnsi="宋体" w:eastAsia="宋体" w:cs="宋体"/>
                      <w:color w:val="auto"/>
                      <w:szCs w:val="21"/>
                      <w:highlight w:val="none"/>
                    </w:rPr>
                  </w:pPr>
                </w:p>
              </w:tc>
              <w:tc>
                <w:tcPr>
                  <w:tcW w:w="1207" w:type="dxa"/>
                  <w:noWrap w:val="0"/>
                  <w:vAlign w:val="center"/>
                </w:tcPr>
                <w:p w14:paraId="19CDCF75">
                  <w:pPr>
                    <w:shd w:val="clear" w:color="auto" w:fill="auto"/>
                    <w:tabs>
                      <w:tab w:val="left" w:pos="0"/>
                    </w:tabs>
                    <w:spacing w:line="300" w:lineRule="exact"/>
                    <w:ind w:right="-34"/>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装饰装修、建筑幕墙、钢结构工程</w:t>
                  </w:r>
                </w:p>
              </w:tc>
              <w:tc>
                <w:tcPr>
                  <w:tcW w:w="3466" w:type="dxa"/>
                  <w:noWrap w:val="0"/>
                  <w:vAlign w:val="center"/>
                </w:tcPr>
                <w:p w14:paraId="76E29FFE">
                  <w:pPr>
                    <w:shd w:val="clear" w:color="auto" w:fill="auto"/>
                    <w:tabs>
                      <w:tab w:val="left" w:pos="0"/>
                    </w:tabs>
                    <w:spacing w:line="300" w:lineRule="exact"/>
                    <w:ind w:right="-34" w:firstLine="16" w:firstLineChars="8"/>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8%、9%、10%、11%、12%、13%、14%、15%</w:t>
                  </w:r>
                </w:p>
              </w:tc>
            </w:tr>
            <w:tr w14:paraId="2D66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45" w:type="dxa"/>
                  <w:vMerge w:val="continue"/>
                  <w:noWrap w:val="0"/>
                  <w:vAlign w:val="top"/>
                </w:tcPr>
                <w:p w14:paraId="065966F5">
                  <w:pPr>
                    <w:shd w:val="clear" w:color="auto" w:fill="auto"/>
                    <w:tabs>
                      <w:tab w:val="left" w:pos="0"/>
                    </w:tabs>
                    <w:spacing w:line="300" w:lineRule="exact"/>
                    <w:ind w:right="-34"/>
                    <w:jc w:val="both"/>
                    <w:rPr>
                      <w:rFonts w:hint="eastAsia" w:ascii="宋体" w:hAnsi="宋体" w:eastAsia="宋体" w:cs="宋体"/>
                      <w:color w:val="auto"/>
                      <w:szCs w:val="21"/>
                      <w:highlight w:val="none"/>
                    </w:rPr>
                  </w:pPr>
                </w:p>
              </w:tc>
              <w:tc>
                <w:tcPr>
                  <w:tcW w:w="1207" w:type="dxa"/>
                  <w:noWrap w:val="0"/>
                  <w:vAlign w:val="center"/>
                </w:tcPr>
                <w:p w14:paraId="40681723">
                  <w:pPr>
                    <w:shd w:val="clear" w:color="auto" w:fill="auto"/>
                    <w:tabs>
                      <w:tab w:val="left" w:pos="0"/>
                    </w:tabs>
                    <w:spacing w:line="300" w:lineRule="exact"/>
                    <w:ind w:right="-34"/>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机电安装工程</w:t>
                  </w:r>
                </w:p>
              </w:tc>
              <w:tc>
                <w:tcPr>
                  <w:tcW w:w="3466" w:type="dxa"/>
                  <w:noWrap w:val="0"/>
                  <w:vAlign w:val="center"/>
                </w:tcPr>
                <w:p w14:paraId="1CE22DFA">
                  <w:pPr>
                    <w:shd w:val="clear" w:color="auto" w:fill="auto"/>
                    <w:tabs>
                      <w:tab w:val="left" w:pos="0"/>
                    </w:tabs>
                    <w:spacing w:line="300" w:lineRule="exact"/>
                    <w:ind w:right="-34"/>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9%、10%、11%、12%、13%、14%、15%、16%</w:t>
                  </w:r>
                </w:p>
              </w:tc>
            </w:tr>
            <w:tr w14:paraId="124B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345" w:type="dxa"/>
                  <w:vMerge w:val="continue"/>
                  <w:noWrap w:val="0"/>
                  <w:vAlign w:val="top"/>
                </w:tcPr>
                <w:p w14:paraId="4FB5FD29">
                  <w:pPr>
                    <w:shd w:val="clear" w:color="auto" w:fill="auto"/>
                    <w:tabs>
                      <w:tab w:val="left" w:pos="0"/>
                    </w:tabs>
                    <w:spacing w:line="300" w:lineRule="exact"/>
                    <w:ind w:right="-34"/>
                    <w:jc w:val="both"/>
                    <w:rPr>
                      <w:rFonts w:hint="eastAsia" w:ascii="宋体" w:hAnsi="宋体" w:eastAsia="宋体" w:cs="宋体"/>
                      <w:color w:val="auto"/>
                      <w:szCs w:val="21"/>
                      <w:highlight w:val="none"/>
                    </w:rPr>
                  </w:pPr>
                </w:p>
              </w:tc>
              <w:tc>
                <w:tcPr>
                  <w:tcW w:w="1207" w:type="dxa"/>
                  <w:noWrap w:val="0"/>
                  <w:vAlign w:val="center"/>
                </w:tcPr>
                <w:p w14:paraId="05E07565">
                  <w:pPr>
                    <w:shd w:val="clear" w:color="auto" w:fill="auto"/>
                    <w:tabs>
                      <w:tab w:val="left" w:pos="0"/>
                    </w:tabs>
                    <w:spacing w:line="300" w:lineRule="exact"/>
                    <w:ind w:right="-34"/>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市政工程</w:t>
                  </w:r>
                </w:p>
              </w:tc>
              <w:tc>
                <w:tcPr>
                  <w:tcW w:w="3466" w:type="dxa"/>
                  <w:noWrap w:val="0"/>
                  <w:vAlign w:val="center"/>
                </w:tcPr>
                <w:p w14:paraId="4A119BE4">
                  <w:pPr>
                    <w:shd w:val="clear" w:color="auto" w:fill="auto"/>
                    <w:tabs>
                      <w:tab w:val="left" w:pos="0"/>
                    </w:tabs>
                    <w:spacing w:line="300" w:lineRule="exact"/>
                    <w:ind w:right="-34"/>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12%、13%、14%、15%、16%、17%、18%、19%、20%</w:t>
                  </w:r>
                </w:p>
              </w:tc>
            </w:tr>
            <w:tr w14:paraId="6F7A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345" w:type="dxa"/>
                  <w:vMerge w:val="continue"/>
                  <w:noWrap w:val="0"/>
                  <w:vAlign w:val="top"/>
                </w:tcPr>
                <w:p w14:paraId="5812069E">
                  <w:pPr>
                    <w:shd w:val="clear" w:color="auto" w:fill="auto"/>
                    <w:tabs>
                      <w:tab w:val="left" w:pos="0"/>
                    </w:tabs>
                    <w:spacing w:line="300" w:lineRule="exact"/>
                    <w:ind w:right="-34" w:firstLine="424" w:firstLineChars="202"/>
                    <w:jc w:val="both"/>
                    <w:rPr>
                      <w:rFonts w:hint="eastAsia" w:ascii="宋体" w:hAnsi="宋体" w:eastAsia="宋体" w:cs="宋体"/>
                      <w:color w:val="auto"/>
                      <w:szCs w:val="21"/>
                      <w:highlight w:val="none"/>
                    </w:rPr>
                  </w:pPr>
                </w:p>
              </w:tc>
              <w:tc>
                <w:tcPr>
                  <w:tcW w:w="1207" w:type="dxa"/>
                  <w:noWrap w:val="0"/>
                  <w:vAlign w:val="center"/>
                </w:tcPr>
                <w:p w14:paraId="0C03DC2B">
                  <w:pPr>
                    <w:shd w:val="clear" w:color="auto" w:fill="auto"/>
                    <w:tabs>
                      <w:tab w:val="left" w:pos="0"/>
                    </w:tabs>
                    <w:spacing w:line="300" w:lineRule="exact"/>
                    <w:ind w:right="-34"/>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绿化工程</w:t>
                  </w:r>
                </w:p>
              </w:tc>
              <w:tc>
                <w:tcPr>
                  <w:tcW w:w="3466" w:type="dxa"/>
                  <w:noWrap w:val="0"/>
                  <w:vAlign w:val="center"/>
                </w:tcPr>
                <w:p w14:paraId="09C32BA4">
                  <w:pPr>
                    <w:shd w:val="clear" w:color="auto" w:fill="auto"/>
                    <w:tabs>
                      <w:tab w:val="left" w:pos="0"/>
                    </w:tabs>
                    <w:spacing w:line="300" w:lineRule="exact"/>
                    <w:ind w:right="-34" w:firstLine="16" w:firstLineChars="8"/>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17%、18%、19%、20%、21%、22%、23%、24%、25%</w:t>
                  </w:r>
                </w:p>
              </w:tc>
            </w:tr>
          </w:tbl>
          <w:p w14:paraId="20DADF3A">
            <w:pPr>
              <w:shd w:val="clear" w:color="auto" w:fill="auto"/>
              <w:spacing w:line="360" w:lineRule="exact"/>
              <w:ind w:firstLine="210" w:firstLineChars="100"/>
              <w:jc w:val="both"/>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上述</w:t>
            </w:r>
            <w:r>
              <w:rPr>
                <w:rFonts w:hint="eastAsia" w:ascii="宋体" w:hAnsi="宋体" w:eastAsia="宋体" w:cs="宋体"/>
                <w:color w:val="auto"/>
                <w:szCs w:val="21"/>
                <w:highlight w:val="none"/>
                <w:lang w:eastAsia="zh-CN"/>
              </w:rPr>
              <w:t>方法五最高投标限价</w:t>
            </w:r>
            <w:r>
              <w:rPr>
                <w:rFonts w:hint="eastAsia" w:ascii="宋体" w:hAnsi="宋体" w:eastAsia="宋体" w:cs="宋体"/>
                <w:color w:val="auto"/>
                <w:szCs w:val="21"/>
                <w:highlight w:val="none"/>
              </w:rPr>
              <w:t>和评标价均应扣除专业工程暂估价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含税金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后参与计算和抽取；应扣除的专业工程暂估价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含税金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Cs w:val="21"/>
                <w:highlight w:val="none"/>
              </w:rPr>
              <w:t>，开标时不再另行计算。</w:t>
            </w:r>
          </w:p>
          <w:p w14:paraId="31EB4246">
            <w:pPr>
              <w:shd w:val="clear" w:color="auto" w:fill="auto"/>
              <w:spacing w:line="240" w:lineRule="auto"/>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二、特殊情形下，评标基准价调整方式：</w:t>
            </w:r>
          </w:p>
          <w:p w14:paraId="6D47D68D">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□评标结束后，评标基准价不因招投标当事人异议、投诉、复核或者复议以及其他任何情形而改变。</w:t>
            </w:r>
          </w:p>
          <w:p w14:paraId="02FCBB8A">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☑评标结束后，除确认存在评审或计算错误外，评标基准价不因招投标当事人异议、投诉、复核或者复议以及其他任何情形而改变。</w:t>
            </w:r>
          </w:p>
          <w:p w14:paraId="09F4EB3C">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right="0"/>
              <w:jc w:val="both"/>
              <w:textAlignment w:val="auto"/>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□评标结束后，除确认存在计算错误外，评标基准价不因招投标当事人异议、投诉、复核或者复议以及其他任何情形而改变。</w:t>
            </w:r>
          </w:p>
        </w:tc>
      </w:tr>
      <w:tr w14:paraId="0F257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2088" w:type="dxa"/>
            <w:gridSpan w:val="3"/>
            <w:tcBorders>
              <w:top w:val="single" w:color="auto" w:sz="4" w:space="0"/>
              <w:bottom w:val="single" w:color="auto" w:sz="4" w:space="0"/>
              <w:right w:val="single" w:color="auto" w:sz="4" w:space="0"/>
            </w:tcBorders>
            <w:noWrap w:val="0"/>
            <w:vAlign w:val="center"/>
          </w:tcPr>
          <w:p w14:paraId="3D2EE208">
            <w:pPr>
              <w:shd w:val="clear" w:color="auto" w:fill="auto"/>
              <w:spacing w:line="440" w:lineRule="exact"/>
              <w:jc w:val="center"/>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2.3.3</w:t>
            </w:r>
          </w:p>
        </w:tc>
        <w:tc>
          <w:tcPr>
            <w:tcW w:w="1801" w:type="dxa"/>
            <w:tcBorders>
              <w:top w:val="single" w:color="auto" w:sz="4" w:space="0"/>
              <w:left w:val="single" w:color="auto" w:sz="4" w:space="0"/>
              <w:bottom w:val="single" w:color="auto" w:sz="4" w:space="0"/>
              <w:right w:val="single" w:color="auto" w:sz="4" w:space="0"/>
            </w:tcBorders>
            <w:noWrap w:val="0"/>
            <w:vAlign w:val="center"/>
          </w:tcPr>
          <w:p w14:paraId="6EE15615">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投标报价的偏差率计算公式</w:t>
            </w:r>
          </w:p>
        </w:tc>
        <w:tc>
          <w:tcPr>
            <w:tcW w:w="5487" w:type="dxa"/>
            <w:gridSpan w:val="2"/>
            <w:tcBorders>
              <w:top w:val="single" w:color="auto" w:sz="4" w:space="0"/>
              <w:left w:val="single" w:color="auto" w:sz="4" w:space="0"/>
              <w:bottom w:val="single" w:color="auto" w:sz="4" w:space="0"/>
              <w:right w:val="single" w:color="auto" w:sz="4" w:space="0"/>
            </w:tcBorders>
            <w:noWrap w:val="0"/>
            <w:vAlign w:val="center"/>
          </w:tcPr>
          <w:p w14:paraId="5324609B">
            <w:pPr>
              <w:shd w:val="clear" w:color="auto" w:fill="auto"/>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偏差率=100%×（投标人报价－评标基准价）／评标基准价</w:t>
            </w:r>
          </w:p>
        </w:tc>
      </w:tr>
      <w:tr w14:paraId="132953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88" w:type="dxa"/>
            <w:gridSpan w:val="3"/>
            <w:tcBorders>
              <w:top w:val="nil"/>
              <w:bottom w:val="single" w:color="auto" w:sz="4" w:space="0"/>
              <w:right w:val="single" w:color="auto" w:sz="4" w:space="0"/>
            </w:tcBorders>
            <w:noWrap w:val="0"/>
            <w:vAlign w:val="center"/>
          </w:tcPr>
          <w:p w14:paraId="1D9052EB">
            <w:pPr>
              <w:shd w:val="clear" w:color="auto" w:fill="auto"/>
              <w:spacing w:line="440" w:lineRule="exact"/>
              <w:jc w:val="center"/>
              <w:textAlignment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条款号</w:t>
            </w:r>
          </w:p>
        </w:tc>
        <w:tc>
          <w:tcPr>
            <w:tcW w:w="1801" w:type="dxa"/>
            <w:tcBorders>
              <w:top w:val="single" w:color="auto" w:sz="4" w:space="0"/>
              <w:left w:val="single" w:color="auto" w:sz="4" w:space="0"/>
              <w:bottom w:val="single" w:color="auto" w:sz="4" w:space="0"/>
              <w:right w:val="single" w:color="auto" w:sz="4" w:space="0"/>
            </w:tcBorders>
            <w:noWrap w:val="0"/>
            <w:vAlign w:val="center"/>
          </w:tcPr>
          <w:p w14:paraId="048EE30D">
            <w:pPr>
              <w:shd w:val="clear" w:color="auto" w:fill="auto"/>
              <w:spacing w:line="440" w:lineRule="exact"/>
              <w:jc w:val="center"/>
              <w:textAlignment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评分因素</w:t>
            </w:r>
          </w:p>
        </w:tc>
        <w:tc>
          <w:tcPr>
            <w:tcW w:w="4480" w:type="dxa"/>
            <w:tcBorders>
              <w:top w:val="single" w:color="auto" w:sz="4" w:space="0"/>
              <w:left w:val="single" w:color="auto" w:sz="4" w:space="0"/>
              <w:bottom w:val="single" w:color="auto" w:sz="4" w:space="0"/>
              <w:right w:val="single" w:color="auto" w:sz="4" w:space="0"/>
            </w:tcBorders>
            <w:noWrap w:val="0"/>
            <w:vAlign w:val="center"/>
          </w:tcPr>
          <w:p w14:paraId="3D949A46">
            <w:pPr>
              <w:shd w:val="clear" w:color="auto" w:fill="auto"/>
              <w:spacing w:line="360" w:lineRule="exact"/>
              <w:jc w:val="center"/>
              <w:textAlignment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评分标准</w:t>
            </w:r>
          </w:p>
        </w:tc>
        <w:tc>
          <w:tcPr>
            <w:tcW w:w="1007" w:type="dxa"/>
            <w:tcBorders>
              <w:top w:val="single" w:color="auto" w:sz="4" w:space="0"/>
              <w:left w:val="single" w:color="auto" w:sz="4" w:space="0"/>
              <w:bottom w:val="single" w:color="auto" w:sz="4" w:space="0"/>
              <w:right w:val="single" w:color="auto" w:sz="4" w:space="0"/>
            </w:tcBorders>
            <w:noWrap w:val="0"/>
            <w:vAlign w:val="center"/>
          </w:tcPr>
          <w:p w14:paraId="06C1C3AC">
            <w:pPr>
              <w:shd w:val="clear" w:color="auto" w:fill="auto"/>
              <w:spacing w:line="440" w:lineRule="exact"/>
              <w:jc w:val="center"/>
              <w:textAlignment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w:t>
            </w:r>
          </w:p>
        </w:tc>
      </w:tr>
      <w:tr w14:paraId="09CA06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9" w:hRule="atLeast"/>
        </w:trPr>
        <w:tc>
          <w:tcPr>
            <w:tcW w:w="828" w:type="dxa"/>
            <w:gridSpan w:val="2"/>
            <w:tcBorders>
              <w:top w:val="nil"/>
              <w:bottom w:val="nil"/>
              <w:right w:val="single" w:color="auto" w:sz="4" w:space="0"/>
            </w:tcBorders>
            <w:noWrap w:val="0"/>
            <w:vAlign w:val="center"/>
          </w:tcPr>
          <w:p w14:paraId="7DFB7F67">
            <w:pPr>
              <w:shd w:val="clear" w:color="auto" w:fill="auto"/>
              <w:spacing w:line="44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2.3.4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p>
        </w:tc>
        <w:tc>
          <w:tcPr>
            <w:tcW w:w="1260" w:type="dxa"/>
            <w:tcBorders>
              <w:top w:val="single" w:color="auto" w:sz="4" w:space="0"/>
              <w:bottom w:val="single" w:color="auto" w:sz="4" w:space="0"/>
              <w:right w:val="single" w:color="auto" w:sz="4" w:space="0"/>
            </w:tcBorders>
            <w:noWrap w:val="0"/>
            <w:vAlign w:val="center"/>
          </w:tcPr>
          <w:p w14:paraId="457A37DD">
            <w:pPr>
              <w:shd w:val="clear" w:color="auto" w:fill="auto"/>
              <w:spacing w:line="32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投标报价评分标准</w:t>
            </w:r>
          </w:p>
        </w:tc>
        <w:tc>
          <w:tcPr>
            <w:tcW w:w="1801" w:type="dxa"/>
            <w:tcBorders>
              <w:top w:val="single" w:color="auto" w:sz="4" w:space="0"/>
              <w:left w:val="single" w:color="auto" w:sz="4" w:space="0"/>
              <w:bottom w:val="single" w:color="auto" w:sz="4" w:space="0"/>
              <w:right w:val="single" w:color="auto" w:sz="4" w:space="0"/>
            </w:tcBorders>
            <w:noWrap w:val="0"/>
            <w:vAlign w:val="center"/>
          </w:tcPr>
          <w:p w14:paraId="44D09372">
            <w:pPr>
              <w:shd w:val="clear" w:color="auto" w:fill="auto"/>
              <w:spacing w:line="44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投标报价评审</w:t>
            </w:r>
          </w:p>
        </w:tc>
        <w:tc>
          <w:tcPr>
            <w:tcW w:w="4480" w:type="dxa"/>
            <w:tcBorders>
              <w:top w:val="single" w:color="auto" w:sz="4" w:space="0"/>
              <w:left w:val="single" w:color="auto" w:sz="4" w:space="0"/>
              <w:bottom w:val="single" w:color="auto" w:sz="4" w:space="0"/>
              <w:right w:val="single" w:color="auto" w:sz="4" w:space="0"/>
            </w:tcBorders>
            <w:noWrap w:val="0"/>
            <w:vAlign w:val="center"/>
          </w:tcPr>
          <w:p w14:paraId="09E37FF1">
            <w:pPr>
              <w:shd w:val="clear" w:color="auto" w:fill="auto"/>
              <w:spacing w:line="240" w:lineRule="auto"/>
              <w:rPr>
                <w:rFonts w:hint="eastAsia" w:ascii="宋体" w:hAnsi="宋体" w:eastAsia="宋体" w:cs="宋体"/>
                <w:color w:val="auto"/>
                <w:kern w:val="0"/>
                <w:szCs w:val="21"/>
                <w:highlight w:val="none"/>
                <w:lang w:eastAsia="zh-CN"/>
              </w:rPr>
            </w:pPr>
            <w:r>
              <w:rPr>
                <w:rFonts w:hint="eastAsia" w:ascii="宋体" w:hAnsi="宋体" w:eastAsia="宋体" w:cs="宋体"/>
                <w:color w:val="auto"/>
                <w:szCs w:val="21"/>
                <w:highlight w:val="none"/>
              </w:rPr>
              <w:t>评标价等于评标基准价的得满分</w:t>
            </w:r>
            <w:r>
              <w:rPr>
                <w:rFonts w:hint="eastAsia" w:ascii="宋体" w:hAnsi="宋体" w:eastAsia="宋体" w:cs="宋体"/>
                <w:color w:val="auto"/>
                <w:sz w:val="21"/>
                <w:szCs w:val="21"/>
                <w:highlight w:val="none"/>
                <w:u w:val="single"/>
                <w:lang w:val="en-US" w:eastAsia="zh-CN"/>
              </w:rPr>
              <w:t>92</w:t>
            </w:r>
            <w:r>
              <w:rPr>
                <w:rFonts w:hint="eastAsia" w:ascii="宋体" w:hAnsi="宋体" w:eastAsia="宋体" w:cs="宋体"/>
                <w:color w:val="auto"/>
                <w:szCs w:val="21"/>
                <w:highlight w:val="none"/>
              </w:rPr>
              <w:t>分，评标价偏离评标基准价的相应扣减得分，评标价相对评标基准价每偏离1%，扣减一定的分值，</w:t>
            </w:r>
            <w:r>
              <w:rPr>
                <w:rFonts w:hint="eastAsia" w:ascii="宋体" w:hAnsi="宋体" w:eastAsia="宋体" w:cs="宋体"/>
                <w:color w:val="auto"/>
                <w:kern w:val="0"/>
                <w:szCs w:val="21"/>
                <w:highlight w:val="none"/>
              </w:rPr>
              <w:t>每偏高</w:t>
            </w:r>
            <w:r>
              <w:rPr>
                <w:rFonts w:hint="eastAsia" w:ascii="宋体" w:hAnsi="宋体" w:eastAsia="宋体" w:cs="宋体"/>
                <w:color w:val="auto"/>
                <w:szCs w:val="21"/>
                <w:highlight w:val="none"/>
              </w:rPr>
              <w:t>1%</w:t>
            </w:r>
            <w:r>
              <w:rPr>
                <w:rFonts w:hint="eastAsia" w:ascii="宋体" w:hAnsi="宋体" w:eastAsia="宋体" w:cs="宋体"/>
                <w:color w:val="auto"/>
                <w:kern w:val="0"/>
                <w:szCs w:val="21"/>
                <w:highlight w:val="none"/>
              </w:rPr>
              <w:t>扣</w:t>
            </w:r>
            <w:r>
              <w:rPr>
                <w:rFonts w:hint="eastAsia" w:ascii="宋体" w:hAnsi="宋体" w:eastAsia="宋体" w:cs="宋体"/>
                <w:color w:val="auto"/>
                <w:sz w:val="21"/>
                <w:szCs w:val="21"/>
                <w:highlight w:val="none"/>
                <w:u w:val="single"/>
                <w:lang w:val="en-US" w:eastAsia="zh-CN"/>
              </w:rPr>
              <w:t xml:space="preserve"> 0.9 </w:t>
            </w:r>
            <w:r>
              <w:rPr>
                <w:rFonts w:hint="eastAsia" w:ascii="宋体" w:hAnsi="宋体" w:eastAsia="宋体" w:cs="宋体"/>
                <w:color w:val="auto"/>
                <w:kern w:val="0"/>
                <w:szCs w:val="21"/>
                <w:highlight w:val="none"/>
              </w:rPr>
              <w:t>分，每偏低1%扣</w:t>
            </w:r>
            <w:r>
              <w:rPr>
                <w:rFonts w:hint="eastAsia" w:ascii="宋体" w:hAnsi="宋体" w:eastAsia="宋体" w:cs="宋体"/>
                <w:color w:val="auto"/>
                <w:sz w:val="21"/>
                <w:szCs w:val="21"/>
                <w:highlight w:val="none"/>
                <w:u w:val="single"/>
                <w:lang w:val="en-US" w:eastAsia="zh-CN"/>
              </w:rPr>
              <w:t xml:space="preserve"> 0.6 </w:t>
            </w:r>
            <w:r>
              <w:rPr>
                <w:rFonts w:hint="eastAsia" w:ascii="宋体" w:hAnsi="宋体" w:eastAsia="宋体" w:cs="宋体"/>
                <w:color w:val="auto"/>
                <w:kern w:val="0"/>
                <w:szCs w:val="21"/>
                <w:highlight w:val="none"/>
              </w:rPr>
              <w:t>分，偏离不足</w:t>
            </w:r>
            <w:r>
              <w:rPr>
                <w:rFonts w:hint="eastAsia" w:ascii="宋体" w:hAnsi="宋体" w:eastAsia="宋体" w:cs="宋体"/>
                <w:color w:val="auto"/>
                <w:szCs w:val="21"/>
                <w:highlight w:val="none"/>
              </w:rPr>
              <w:t>1%</w:t>
            </w:r>
            <w:r>
              <w:rPr>
                <w:rFonts w:hint="eastAsia" w:ascii="宋体" w:hAnsi="宋体" w:eastAsia="宋体" w:cs="宋体"/>
                <w:color w:val="auto"/>
                <w:kern w:val="0"/>
                <w:szCs w:val="21"/>
                <w:highlight w:val="none"/>
              </w:rPr>
              <w:t>的，按照插入法计算得分。</w:t>
            </w:r>
          </w:p>
        </w:tc>
        <w:tc>
          <w:tcPr>
            <w:tcW w:w="1007" w:type="dxa"/>
            <w:tcBorders>
              <w:top w:val="single" w:color="auto" w:sz="4" w:space="0"/>
              <w:left w:val="single" w:color="auto" w:sz="4" w:space="0"/>
              <w:bottom w:val="single" w:color="auto" w:sz="4" w:space="0"/>
              <w:right w:val="single" w:color="auto" w:sz="4" w:space="0"/>
            </w:tcBorders>
            <w:noWrap w:val="0"/>
            <w:vAlign w:val="center"/>
          </w:tcPr>
          <w:p w14:paraId="5C757FD1">
            <w:pPr>
              <w:shd w:val="clear" w:color="auto" w:fill="auto"/>
              <w:spacing w:line="440" w:lineRule="exact"/>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lang w:val="en-US" w:eastAsia="zh-CN"/>
              </w:rPr>
              <w:t>92</w:t>
            </w:r>
            <w:r>
              <w:rPr>
                <w:rFonts w:hint="eastAsia" w:ascii="宋体" w:hAnsi="宋体" w:eastAsia="宋体" w:cs="宋体"/>
                <w:color w:val="auto"/>
                <w:szCs w:val="21"/>
                <w:highlight w:val="none"/>
              </w:rPr>
              <w:t>分</w:t>
            </w:r>
          </w:p>
        </w:tc>
      </w:tr>
      <w:tr w14:paraId="60B9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2" w:hRule="atLeast"/>
        </w:trPr>
        <w:tc>
          <w:tcPr>
            <w:tcW w:w="828" w:type="dxa"/>
            <w:gridSpan w:val="2"/>
            <w:noWrap w:val="0"/>
            <w:vAlign w:val="center"/>
          </w:tcPr>
          <w:p w14:paraId="245CB61E">
            <w:pPr>
              <w:shd w:val="clear" w:color="auto" w:fill="auto"/>
              <w:spacing w:line="360" w:lineRule="auto"/>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2.3.4</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p>
        </w:tc>
        <w:tc>
          <w:tcPr>
            <w:tcW w:w="1260" w:type="dxa"/>
            <w:noWrap w:val="0"/>
            <w:vAlign w:val="center"/>
          </w:tcPr>
          <w:p w14:paraId="38BC720F">
            <w:pPr>
              <w:shd w:val="clear" w:color="auto" w:fill="auto"/>
              <w:spacing w:line="240" w:lineRule="auto"/>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投标人市场信用评价评分标准</w:t>
            </w:r>
          </w:p>
        </w:tc>
        <w:tc>
          <w:tcPr>
            <w:tcW w:w="1801" w:type="dxa"/>
            <w:noWrap w:val="0"/>
            <w:vAlign w:val="center"/>
          </w:tcPr>
          <w:p w14:paraId="5633A0C3">
            <w:pPr>
              <w:shd w:val="clear" w:color="auto" w:fill="auto"/>
              <w:spacing w:line="360" w:lineRule="auto"/>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信用评价</w:t>
            </w:r>
            <w:r>
              <w:rPr>
                <w:rFonts w:hint="eastAsia" w:ascii="宋体" w:hAnsi="宋体" w:cs="宋体"/>
                <w:color w:val="auto"/>
                <w:szCs w:val="21"/>
                <w:highlight w:val="none"/>
                <w:lang w:val="en-US" w:eastAsia="zh-CN"/>
              </w:rPr>
              <w:t>评审</w:t>
            </w:r>
          </w:p>
        </w:tc>
        <w:tc>
          <w:tcPr>
            <w:tcW w:w="4480" w:type="dxa"/>
            <w:noWrap w:val="0"/>
            <w:vAlign w:val="center"/>
          </w:tcPr>
          <w:p w14:paraId="09D07A0A">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auto"/>
              <w:rPr>
                <w:rFonts w:hint="eastAsia" w:ascii="宋体" w:hAnsi="宋体" w:eastAsia="宋体" w:cs="宋体"/>
                <w:b w:val="0"/>
                <w:bCs w:val="0"/>
                <w:color w:val="auto"/>
                <w:kern w:val="0"/>
                <w:szCs w:val="21"/>
                <w:highlight w:val="none"/>
                <w:lang w:eastAsia="zh-CN"/>
              </w:rPr>
            </w:pPr>
            <w:r>
              <w:rPr>
                <w:rFonts w:hint="eastAsia" w:ascii="宋体" w:hAnsi="宋体" w:eastAsia="宋体" w:cs="宋体"/>
                <w:b w:val="0"/>
                <w:bCs w:val="0"/>
                <w:color w:val="auto"/>
                <w:kern w:val="0"/>
                <w:szCs w:val="21"/>
                <w:highlight w:val="none"/>
                <w:lang w:eastAsia="zh-CN"/>
              </w:rPr>
              <w:t>投标人市场信用评价得分=企业</w:t>
            </w:r>
            <w:r>
              <w:rPr>
                <w:rFonts w:hint="eastAsia" w:ascii="宋体" w:hAnsi="宋体" w:eastAsia="宋体" w:cs="宋体"/>
                <w:b w:val="0"/>
                <w:bCs w:val="0"/>
                <w:color w:val="auto"/>
                <w:kern w:val="0"/>
                <w:szCs w:val="21"/>
                <w:highlight w:val="none"/>
                <w:u w:val="single"/>
                <w:lang w:eastAsia="zh-CN"/>
              </w:rPr>
              <w:t>（</w:t>
            </w:r>
            <w:r>
              <w:rPr>
                <w:rFonts w:hint="eastAsia" w:ascii="宋体" w:hAnsi="宋体" w:cs="宋体"/>
                <w:b w:val="0"/>
                <w:bCs w:val="0"/>
                <w:color w:val="auto"/>
                <w:kern w:val="0"/>
                <w:szCs w:val="21"/>
                <w:highlight w:val="none"/>
                <w:u w:val="single"/>
                <w:lang w:val="en-US" w:eastAsia="zh-CN"/>
              </w:rPr>
              <w:t>市政</w:t>
            </w:r>
            <w:r>
              <w:rPr>
                <w:rFonts w:hint="eastAsia" w:ascii="宋体" w:hAnsi="宋体" w:eastAsia="宋体" w:cs="宋体"/>
                <w:b w:val="0"/>
                <w:bCs w:val="0"/>
                <w:color w:val="auto"/>
                <w:kern w:val="0"/>
                <w:szCs w:val="21"/>
                <w:highlight w:val="none"/>
                <w:u w:val="single"/>
                <w:lang w:eastAsia="zh-CN"/>
              </w:rPr>
              <w:t>）</w:t>
            </w:r>
            <w:r>
              <w:rPr>
                <w:rFonts w:hint="eastAsia" w:ascii="宋体" w:hAnsi="宋体" w:eastAsia="宋体" w:cs="宋体"/>
                <w:b w:val="0"/>
                <w:bCs w:val="0"/>
                <w:color w:val="auto"/>
                <w:kern w:val="0"/>
                <w:szCs w:val="21"/>
                <w:highlight w:val="none"/>
                <w:lang w:eastAsia="zh-CN"/>
              </w:rPr>
              <w:t>信用得分*</w:t>
            </w:r>
            <w:r>
              <w:rPr>
                <w:rFonts w:hint="eastAsia" w:ascii="宋体" w:hAnsi="宋体" w:cs="宋体"/>
                <w:b w:val="0"/>
                <w:bCs w:val="0"/>
                <w:color w:val="auto"/>
                <w:kern w:val="0"/>
                <w:szCs w:val="21"/>
                <w:highlight w:val="none"/>
                <w:u w:val="single"/>
                <w:lang w:val="en-US" w:eastAsia="zh-CN"/>
              </w:rPr>
              <w:t xml:space="preserve"> 8 </w:t>
            </w:r>
            <w:r>
              <w:rPr>
                <w:rFonts w:hint="eastAsia" w:ascii="宋体" w:hAnsi="宋体" w:eastAsia="宋体" w:cs="宋体"/>
                <w:b w:val="0"/>
                <w:bCs w:val="0"/>
                <w:color w:val="auto"/>
                <w:kern w:val="0"/>
                <w:szCs w:val="21"/>
                <w:highlight w:val="none"/>
                <w:lang w:eastAsia="zh-CN"/>
              </w:rPr>
              <w:t>%（计算结果均保留两位小数，第三位四舍五入）。</w:t>
            </w:r>
          </w:p>
          <w:p w14:paraId="3A0891CF">
            <w:pPr>
              <w:keepNext w:val="0"/>
              <w:keepLines w:val="0"/>
              <w:pageBreakBefore w:val="0"/>
              <w:widowControl w:val="0"/>
              <w:shd w:val="clear" w:color="auto" w:fill="auto"/>
              <w:kinsoku/>
              <w:wordWrap/>
              <w:overflowPunct/>
              <w:topLinePunct w:val="0"/>
              <w:autoSpaceDE/>
              <w:autoSpaceDN/>
              <w:bidi w:val="0"/>
              <w:adjustRightInd/>
              <w:snapToGrid w:val="0"/>
              <w:spacing w:line="240" w:lineRule="auto"/>
              <w:textAlignment w:val="auto"/>
              <w:rPr>
                <w:rFonts w:hint="eastAsia" w:ascii="宋体" w:hAnsi="宋体" w:eastAsia="宋体" w:cs="宋体"/>
                <w:b w:val="0"/>
                <w:bCs w:val="0"/>
                <w:color w:val="auto"/>
                <w:kern w:val="0"/>
                <w:szCs w:val="21"/>
                <w:highlight w:val="none"/>
                <w:lang w:eastAsia="zh-CN"/>
              </w:rPr>
            </w:pPr>
            <w:r>
              <w:rPr>
                <w:rFonts w:hint="eastAsia" w:ascii="宋体" w:hAnsi="宋体" w:eastAsia="宋体" w:cs="宋体"/>
                <w:b w:val="0"/>
                <w:bCs w:val="0"/>
                <w:color w:val="auto"/>
                <w:kern w:val="0"/>
                <w:szCs w:val="21"/>
                <w:highlight w:val="none"/>
                <w:lang w:eastAsia="zh-CN"/>
              </w:rPr>
              <w:t>注：①企业信用得分以南通市建设主管部门最新评定的</w:t>
            </w:r>
            <w:r>
              <w:rPr>
                <w:rFonts w:hint="eastAsia" w:ascii="宋体" w:hAnsi="宋体" w:eastAsia="宋体" w:cs="宋体"/>
                <w:b w:val="0"/>
                <w:bCs w:val="0"/>
                <w:color w:val="auto"/>
                <w:kern w:val="0"/>
                <w:szCs w:val="21"/>
                <w:highlight w:val="none"/>
                <w:u w:val="single"/>
                <w:lang w:eastAsia="zh-CN"/>
              </w:rPr>
              <w:t>（</w:t>
            </w:r>
            <w:r>
              <w:rPr>
                <w:rFonts w:hint="eastAsia" w:ascii="宋体" w:hAnsi="宋体" w:cs="宋体"/>
                <w:b w:val="0"/>
                <w:bCs w:val="0"/>
                <w:color w:val="auto"/>
                <w:kern w:val="0"/>
                <w:szCs w:val="21"/>
                <w:highlight w:val="none"/>
                <w:u w:val="single"/>
                <w:lang w:val="en-US" w:eastAsia="zh-CN"/>
              </w:rPr>
              <w:t>市政</w:t>
            </w:r>
            <w:r>
              <w:rPr>
                <w:rFonts w:hint="eastAsia" w:ascii="宋体" w:hAnsi="宋体" w:eastAsia="宋体" w:cs="宋体"/>
                <w:b w:val="0"/>
                <w:bCs w:val="0"/>
                <w:color w:val="auto"/>
                <w:kern w:val="0"/>
                <w:szCs w:val="21"/>
                <w:highlight w:val="none"/>
                <w:u w:val="single"/>
                <w:lang w:eastAsia="zh-CN"/>
              </w:rPr>
              <w:t>）</w:t>
            </w:r>
            <w:r>
              <w:rPr>
                <w:rFonts w:hint="eastAsia" w:ascii="宋体" w:hAnsi="宋体" w:eastAsia="宋体" w:cs="宋体"/>
                <w:b w:val="0"/>
                <w:bCs w:val="0"/>
                <w:color w:val="auto"/>
                <w:kern w:val="0"/>
                <w:szCs w:val="21"/>
                <w:highlight w:val="none"/>
                <w:lang w:eastAsia="zh-CN"/>
              </w:rPr>
              <w:t>信用得分为准。</w:t>
            </w:r>
          </w:p>
          <w:p w14:paraId="4EC3533E">
            <w:pPr>
              <w:keepNext w:val="0"/>
              <w:keepLines w:val="0"/>
              <w:pageBreakBefore w:val="0"/>
              <w:widowControl w:val="0"/>
              <w:shd w:val="clear" w:color="auto" w:fill="auto"/>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val="0"/>
                <w:bCs w:val="0"/>
                <w:color w:val="auto"/>
                <w:kern w:val="0"/>
                <w:szCs w:val="21"/>
                <w:highlight w:val="none"/>
                <w:lang w:eastAsia="zh-CN"/>
              </w:rPr>
              <w:t>②未参加南通市建筑业（房建、市政）企业信用评价的企业可按照《关于申领南通市建筑企业（含监理）信用评价初始信用分的通知》申领信用分，具体要求详见该通知文件。</w:t>
            </w:r>
          </w:p>
        </w:tc>
        <w:tc>
          <w:tcPr>
            <w:tcW w:w="1007" w:type="dxa"/>
            <w:noWrap w:val="0"/>
            <w:vAlign w:val="center"/>
          </w:tcPr>
          <w:p w14:paraId="30A3EB23">
            <w:pPr>
              <w:shd w:val="clear" w:color="auto" w:fill="auto"/>
              <w:spacing w:line="360" w:lineRule="auto"/>
              <w:jc w:val="center"/>
              <w:textAlignment w:val="center"/>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szCs w:val="21"/>
                <w:highlight w:val="none"/>
                <w:u w:val="single"/>
                <w:lang w:val="en-US" w:eastAsia="zh-CN"/>
              </w:rPr>
              <w:t>8</w:t>
            </w:r>
            <w:r>
              <w:rPr>
                <w:rFonts w:hint="eastAsia" w:ascii="宋体" w:hAnsi="宋体" w:eastAsia="宋体" w:cs="宋体"/>
                <w:color w:val="auto"/>
                <w:szCs w:val="21"/>
                <w:highlight w:val="none"/>
              </w:rPr>
              <w:t>分</w:t>
            </w:r>
          </w:p>
        </w:tc>
      </w:tr>
      <w:tr w14:paraId="150B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9376" w:type="dxa"/>
            <w:gridSpan w:val="6"/>
            <w:noWrap w:val="0"/>
            <w:vAlign w:val="center"/>
          </w:tcPr>
          <w:p w14:paraId="72115DB5">
            <w:pPr>
              <w:shd w:val="clear" w:color="auto" w:fill="auto"/>
              <w:spacing w:line="240" w:lineRule="auto"/>
              <w:jc w:val="both"/>
              <w:textAlignment w:val="center"/>
              <w:rPr>
                <w:rFonts w:hint="eastAsia" w:ascii="宋体" w:hAnsi="宋体" w:eastAsia="宋体" w:cs="宋体"/>
                <w:color w:val="auto"/>
                <w:szCs w:val="21"/>
                <w:highlight w:val="none"/>
                <w:u w:val="single"/>
                <w:lang w:val="en-US" w:eastAsia="zh-CN"/>
              </w:rPr>
            </w:pPr>
            <w:r>
              <w:rPr>
                <w:rFonts w:hint="eastAsia" w:ascii="宋体" w:hAnsi="宋体"/>
                <w:b/>
                <w:szCs w:val="21"/>
                <w:highlight w:val="none"/>
              </w:rPr>
              <w:t>评标办法中所需投标人提供的证明材料</w:t>
            </w:r>
            <w:r>
              <w:rPr>
                <w:rFonts w:hint="eastAsia" w:ascii="宋体" w:hAnsi="宋体"/>
                <w:b/>
                <w:szCs w:val="21"/>
                <w:highlight w:val="none"/>
                <w:lang w:eastAsia="zh-CN"/>
              </w:rPr>
              <w:t>均须提供原件的扫描打印件或复印件，并加盖投标人公章</w:t>
            </w:r>
            <w:r>
              <w:rPr>
                <w:rFonts w:hint="eastAsia" w:ascii="宋体" w:hAnsi="宋体"/>
                <w:b/>
                <w:szCs w:val="21"/>
                <w:highlight w:val="none"/>
              </w:rPr>
              <w:t>，投标人自行承担因</w:t>
            </w:r>
            <w:r>
              <w:rPr>
                <w:rFonts w:hint="eastAsia" w:ascii="宋体" w:hAnsi="宋体"/>
                <w:b/>
                <w:szCs w:val="21"/>
                <w:highlight w:val="none"/>
                <w:lang w:eastAsia="zh-CN"/>
              </w:rPr>
              <w:t>投标文件字迹或图片</w:t>
            </w:r>
            <w:r>
              <w:rPr>
                <w:rFonts w:hint="eastAsia" w:ascii="宋体" w:hAnsi="宋体"/>
                <w:b/>
                <w:szCs w:val="21"/>
                <w:highlight w:val="none"/>
              </w:rPr>
              <w:t>模糊</w:t>
            </w:r>
            <w:r>
              <w:rPr>
                <w:rFonts w:hint="eastAsia" w:ascii="宋体" w:hAnsi="宋体"/>
                <w:b/>
                <w:szCs w:val="21"/>
                <w:highlight w:val="none"/>
                <w:lang w:eastAsia="zh-CN"/>
              </w:rPr>
              <w:t>难以辨认</w:t>
            </w:r>
            <w:r>
              <w:rPr>
                <w:rFonts w:hint="eastAsia" w:ascii="宋体" w:hAnsi="宋体"/>
                <w:b/>
                <w:szCs w:val="21"/>
                <w:highlight w:val="none"/>
              </w:rPr>
              <w:t>所产生的一切后果。</w:t>
            </w:r>
          </w:p>
        </w:tc>
      </w:tr>
    </w:tbl>
    <w:p w14:paraId="63A8B738">
      <w:pPr>
        <w:rPr>
          <w:rFonts w:hint="eastAsia" w:ascii="宋体" w:hAnsi="宋体" w:eastAsia="宋体" w:cs="宋体"/>
          <w:b/>
          <w:bCs/>
          <w:color w:val="auto"/>
          <w:sz w:val="24"/>
          <w:szCs w:val="24"/>
          <w:highlight w:val="none"/>
        </w:rPr>
      </w:pPr>
    </w:p>
    <w:p w14:paraId="0EDAE421">
      <w:pPr>
        <w:rPr>
          <w:rFonts w:hint="eastAsia" w:ascii="宋体" w:hAnsi="宋体" w:eastAsia="宋体" w:cs="宋体"/>
          <w:b/>
          <w:bCs/>
          <w:color w:val="auto"/>
          <w:sz w:val="24"/>
          <w:szCs w:val="24"/>
          <w:highlight w:val="none"/>
        </w:rPr>
      </w:pPr>
    </w:p>
    <w:p w14:paraId="2BD28E12">
      <w:pPr>
        <w:keepNext/>
        <w:keepLines/>
        <w:pageBreakBefore w:val="0"/>
        <w:widowControl w:val="0"/>
        <w:shd w:val="clear" w:color="auto" w:fill="auto"/>
        <w:kinsoku/>
        <w:wordWrap/>
        <w:overflowPunct/>
        <w:topLinePunct w:val="0"/>
        <w:bidi w:val="0"/>
        <w:snapToGrid w:val="0"/>
        <w:spacing w:line="360" w:lineRule="auto"/>
        <w:textAlignment w:val="auto"/>
        <w:outlineLvl w:val="1"/>
        <w:rPr>
          <w:rFonts w:hint="eastAsia" w:ascii="宋体" w:hAnsi="宋体" w:eastAsia="宋体" w:cs="宋体"/>
          <w:color w:val="auto"/>
          <w:sz w:val="21"/>
          <w:szCs w:val="21"/>
          <w:highlight w:val="none"/>
        </w:rPr>
      </w:pPr>
      <w:bookmarkStart w:id="866" w:name="_Toc4083"/>
      <w:bookmarkStart w:id="867" w:name="_Toc5764"/>
      <w:bookmarkStart w:id="868" w:name="_Toc11883"/>
      <w:bookmarkStart w:id="869" w:name="_Toc23245"/>
      <w:bookmarkStart w:id="870" w:name="_Toc12264"/>
      <w:bookmarkStart w:id="871" w:name="_Toc16341"/>
      <w:bookmarkStart w:id="872" w:name="_Toc16633"/>
      <w:bookmarkStart w:id="873" w:name="_Toc14487"/>
      <w:bookmarkStart w:id="874" w:name="_Toc26261"/>
      <w:bookmarkStart w:id="875" w:name="_Toc9694"/>
      <w:bookmarkStart w:id="876" w:name="_Toc1060"/>
      <w:bookmarkStart w:id="877" w:name="_Toc7810"/>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1. 评标方法</w:t>
      </w:r>
      <w:bookmarkEnd w:id="866"/>
      <w:bookmarkEnd w:id="867"/>
      <w:bookmarkEnd w:id="868"/>
      <w:bookmarkEnd w:id="869"/>
      <w:bookmarkEnd w:id="870"/>
      <w:bookmarkEnd w:id="871"/>
      <w:bookmarkEnd w:id="872"/>
      <w:bookmarkEnd w:id="873"/>
      <w:bookmarkEnd w:id="874"/>
      <w:bookmarkEnd w:id="875"/>
      <w:bookmarkEnd w:id="876"/>
      <w:bookmarkEnd w:id="877"/>
    </w:p>
    <w:p w14:paraId="6F53F518">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本次评标采用</w:t>
      </w:r>
      <w:r>
        <w:rPr>
          <w:rFonts w:hint="eastAsia" w:ascii="宋体" w:hAnsi="宋体" w:eastAsia="宋体" w:cs="宋体"/>
          <w:color w:val="auto"/>
          <w:kern w:val="0"/>
          <w:szCs w:val="21"/>
          <w:highlight w:val="none"/>
          <w:lang w:eastAsia="zh-CN"/>
        </w:rPr>
        <w:t>合理低价法</w:t>
      </w:r>
      <w:r>
        <w:rPr>
          <w:rFonts w:hint="eastAsia" w:ascii="宋体" w:hAnsi="宋体" w:eastAsia="宋体" w:cs="宋体"/>
          <w:color w:val="auto"/>
          <w:kern w:val="0"/>
          <w:szCs w:val="21"/>
          <w:highlight w:val="none"/>
        </w:rPr>
        <w:t>。评标委员会依次按</w:t>
      </w:r>
      <w:r>
        <w:rPr>
          <w:rFonts w:hint="eastAsia" w:ascii="宋体" w:hAnsi="宋体" w:eastAsia="宋体" w:cs="宋体"/>
          <w:color w:val="auto"/>
          <w:kern w:val="0"/>
          <w:szCs w:val="21"/>
          <w:highlight w:val="none"/>
        </w:rPr>
        <w:t>照</w:t>
      </w:r>
      <w:r>
        <w:rPr>
          <w:rFonts w:hint="eastAsia" w:ascii="宋体" w:hAnsi="宋体" w:eastAsia="宋体" w:cs="宋体"/>
          <w:color w:val="auto"/>
          <w:kern w:val="0"/>
          <w:szCs w:val="21"/>
          <w:highlight w:val="none"/>
          <w:lang w:eastAsia="zh-CN"/>
        </w:rPr>
        <w:t>初步评审、评标入围、</w:t>
      </w:r>
      <w:r>
        <w:rPr>
          <w:rFonts w:hint="eastAsia" w:ascii="宋体" w:hAnsi="宋体" w:eastAsia="宋体" w:cs="宋体"/>
          <w:color w:val="auto"/>
          <w:kern w:val="0"/>
          <w:szCs w:val="21"/>
          <w:highlight w:val="none"/>
        </w:rPr>
        <w:t>详细评审的顺</w:t>
      </w:r>
      <w:r>
        <w:rPr>
          <w:rFonts w:hint="eastAsia" w:ascii="宋体" w:hAnsi="宋体" w:eastAsia="宋体" w:cs="宋体"/>
          <w:color w:val="auto"/>
          <w:kern w:val="0"/>
          <w:szCs w:val="21"/>
          <w:highlight w:val="none"/>
        </w:rPr>
        <w:t>序</w:t>
      </w:r>
      <w:r>
        <w:rPr>
          <w:rFonts w:hint="eastAsia" w:ascii="宋体" w:hAnsi="宋体" w:eastAsia="宋体" w:cs="宋体"/>
          <w:color w:val="auto"/>
          <w:kern w:val="0"/>
          <w:szCs w:val="21"/>
          <w:highlight w:val="none"/>
          <w:lang w:eastAsia="zh-CN"/>
        </w:rPr>
        <w:t>进行</w:t>
      </w:r>
      <w:r>
        <w:rPr>
          <w:rFonts w:hint="eastAsia" w:ascii="宋体" w:hAnsi="宋体" w:eastAsia="宋体" w:cs="宋体"/>
          <w:color w:val="auto"/>
          <w:kern w:val="0"/>
          <w:szCs w:val="21"/>
          <w:highlight w:val="none"/>
        </w:rPr>
        <w:t>评审，对满足招标文件实质性要求的投标文件，按照本章第2.3款规定的评分标准进行打分，并按得分由高到低顺序推荐中标候选人，或根据招标人授权直接确定中标人，但投标报价低于其成本的除外。</w:t>
      </w:r>
      <w:r>
        <w:rPr>
          <w:rFonts w:hint="eastAsia" w:ascii="宋体" w:hAnsi="宋体" w:eastAsia="宋体" w:cs="宋体"/>
          <w:color w:val="auto"/>
          <w:kern w:val="0"/>
          <w:szCs w:val="21"/>
          <w:highlight w:val="none"/>
          <w:lang w:val="en-US" w:eastAsia="zh-CN"/>
        </w:rPr>
        <w:t>投标报价</w:t>
      </w:r>
      <w:r>
        <w:rPr>
          <w:rFonts w:hint="eastAsia" w:ascii="宋体" w:hAnsi="宋体" w:eastAsia="宋体" w:cs="宋体"/>
          <w:color w:val="auto"/>
          <w:kern w:val="0"/>
          <w:szCs w:val="21"/>
          <w:highlight w:val="none"/>
        </w:rPr>
        <w:t>评分相等时，以投标报价低的优先；投标报价也相等的，按照评标办法前附表的规定确定中标候选人顺序。</w:t>
      </w:r>
    </w:p>
    <w:p w14:paraId="536BE4A7">
      <w:pPr>
        <w:keepNext/>
        <w:keepLines/>
        <w:pageBreakBefore w:val="0"/>
        <w:widowControl w:val="0"/>
        <w:shd w:val="clear" w:color="auto" w:fill="auto"/>
        <w:kinsoku/>
        <w:wordWrap/>
        <w:overflowPunct/>
        <w:topLinePunct w:val="0"/>
        <w:bidi w:val="0"/>
        <w:snapToGrid w:val="0"/>
        <w:spacing w:line="360" w:lineRule="auto"/>
        <w:textAlignment w:val="auto"/>
        <w:outlineLvl w:val="1"/>
        <w:rPr>
          <w:rFonts w:hint="eastAsia" w:ascii="宋体" w:hAnsi="宋体" w:eastAsia="宋体" w:cs="宋体"/>
          <w:color w:val="auto"/>
          <w:sz w:val="21"/>
          <w:szCs w:val="21"/>
          <w:highlight w:val="none"/>
        </w:rPr>
      </w:pPr>
      <w:bookmarkStart w:id="878" w:name="_Toc12526"/>
      <w:bookmarkStart w:id="879" w:name="_Toc4924"/>
      <w:bookmarkStart w:id="880" w:name="_Toc1054"/>
      <w:bookmarkStart w:id="881" w:name="_Toc23651"/>
      <w:bookmarkStart w:id="882" w:name="_Toc2646"/>
      <w:bookmarkStart w:id="883" w:name="_Toc30225"/>
      <w:bookmarkStart w:id="884" w:name="_Toc4303"/>
      <w:bookmarkStart w:id="885" w:name="_Toc10114"/>
      <w:bookmarkStart w:id="886" w:name="_Toc6256"/>
      <w:bookmarkStart w:id="887" w:name="_Toc3630"/>
      <w:bookmarkStart w:id="888" w:name="_Toc2406"/>
      <w:bookmarkStart w:id="889" w:name="_Toc7171"/>
      <w:r>
        <w:rPr>
          <w:rFonts w:hint="eastAsia" w:ascii="宋体" w:hAnsi="宋体" w:eastAsia="宋体" w:cs="宋体"/>
          <w:color w:val="auto"/>
          <w:sz w:val="21"/>
          <w:szCs w:val="21"/>
          <w:highlight w:val="none"/>
        </w:rPr>
        <w:t>2. 评审标准</w:t>
      </w:r>
      <w:bookmarkEnd w:id="878"/>
      <w:bookmarkEnd w:id="879"/>
      <w:bookmarkEnd w:id="880"/>
      <w:bookmarkEnd w:id="881"/>
      <w:bookmarkEnd w:id="882"/>
      <w:bookmarkEnd w:id="883"/>
      <w:bookmarkEnd w:id="884"/>
      <w:bookmarkEnd w:id="885"/>
      <w:bookmarkEnd w:id="886"/>
      <w:bookmarkEnd w:id="887"/>
      <w:bookmarkEnd w:id="888"/>
      <w:bookmarkEnd w:id="889"/>
    </w:p>
    <w:p w14:paraId="67439BBC">
      <w:pPr>
        <w:keepNext/>
        <w:keepLines/>
        <w:pageBreakBefore w:val="0"/>
        <w:widowControl w:val="0"/>
        <w:shd w:val="clear" w:color="auto" w:fill="auto"/>
        <w:kinsoku/>
        <w:wordWrap/>
        <w:overflowPunct/>
        <w:topLinePunct w:val="0"/>
        <w:bidi w:val="0"/>
        <w:snapToGrid w:val="0"/>
        <w:spacing w:line="360" w:lineRule="auto"/>
        <w:textAlignment w:val="auto"/>
        <w:outlineLvl w:val="2"/>
        <w:rPr>
          <w:rFonts w:hint="eastAsia" w:ascii="宋体" w:hAnsi="宋体" w:eastAsia="宋体" w:cs="宋体"/>
          <w:color w:val="auto"/>
          <w:sz w:val="21"/>
          <w:szCs w:val="21"/>
          <w:highlight w:val="none"/>
        </w:rPr>
      </w:pPr>
      <w:bookmarkStart w:id="890" w:name="_Toc31744"/>
      <w:bookmarkStart w:id="891" w:name="_Toc15942"/>
      <w:bookmarkStart w:id="892" w:name="_Toc9249"/>
      <w:bookmarkStart w:id="893" w:name="_Toc16271"/>
      <w:bookmarkStart w:id="894" w:name="_Toc5347"/>
      <w:bookmarkStart w:id="895" w:name="_Toc1179"/>
      <w:bookmarkStart w:id="896" w:name="_Toc10625"/>
      <w:bookmarkStart w:id="897" w:name="_Toc28648"/>
      <w:bookmarkStart w:id="898" w:name="_Toc14679"/>
      <w:bookmarkStart w:id="899" w:name="_Toc8040"/>
      <w:bookmarkStart w:id="900" w:name="_Toc15263"/>
      <w:bookmarkStart w:id="901" w:name="_Toc31198"/>
      <w:bookmarkStart w:id="902" w:name="_Toc10134"/>
      <w:bookmarkStart w:id="903" w:name="_Toc18195"/>
      <w:bookmarkStart w:id="904" w:name="_Toc22038"/>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初步评审标准</w:t>
      </w:r>
      <w:bookmarkEnd w:id="890"/>
    </w:p>
    <w:p w14:paraId="759B3451">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形式性评审标准：见评标办法前附表。</w:t>
      </w:r>
    </w:p>
    <w:p w14:paraId="78C385F6">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资格评审标准：见评标办法前附表。</w:t>
      </w:r>
    </w:p>
    <w:p w14:paraId="33D244E0">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响应性评审标准：见评标办法前附表。</w:t>
      </w:r>
    </w:p>
    <w:p w14:paraId="5E753F4F">
      <w:pPr>
        <w:keepNext/>
        <w:keepLines/>
        <w:pageBreakBefore w:val="0"/>
        <w:widowControl w:val="0"/>
        <w:shd w:val="clear" w:color="auto" w:fill="auto"/>
        <w:kinsoku/>
        <w:wordWrap/>
        <w:overflowPunct/>
        <w:topLinePunct w:val="0"/>
        <w:bidi w:val="0"/>
        <w:snapToGrid w:val="0"/>
        <w:spacing w:line="360" w:lineRule="auto"/>
        <w:textAlignment w:val="auto"/>
        <w:outlineLvl w:val="2"/>
        <w:rPr>
          <w:rFonts w:hint="eastAsia" w:ascii="宋体" w:hAnsi="宋体" w:eastAsia="宋体" w:cs="宋体"/>
          <w:color w:val="auto"/>
          <w:sz w:val="21"/>
          <w:szCs w:val="21"/>
          <w:highlight w:val="none"/>
        </w:rPr>
      </w:pPr>
      <w:bookmarkStart w:id="905" w:name="_Toc4944"/>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评标入围标准</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14:paraId="2B5005AA">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评标入围条件：见评标办法前附表。</w:t>
      </w:r>
    </w:p>
    <w:p w14:paraId="724B77E9">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评标入围方法和数量：</w:t>
      </w:r>
      <w:r>
        <w:rPr>
          <w:rFonts w:hint="eastAsia" w:ascii="宋体" w:hAnsi="宋体" w:eastAsia="宋体" w:cs="宋体"/>
          <w:color w:val="auto"/>
          <w:szCs w:val="21"/>
          <w:highlight w:val="none"/>
        </w:rPr>
        <w:t>见评标办法前附表。</w:t>
      </w:r>
    </w:p>
    <w:p w14:paraId="14739E4A">
      <w:pPr>
        <w:keepNext/>
        <w:keepLines/>
        <w:pageBreakBefore w:val="0"/>
        <w:widowControl w:val="0"/>
        <w:shd w:val="clear" w:color="auto" w:fill="auto"/>
        <w:kinsoku/>
        <w:wordWrap/>
        <w:overflowPunct/>
        <w:topLinePunct w:val="0"/>
        <w:bidi w:val="0"/>
        <w:snapToGrid w:val="0"/>
        <w:spacing w:line="360" w:lineRule="auto"/>
        <w:textAlignment w:val="auto"/>
        <w:outlineLvl w:val="2"/>
        <w:rPr>
          <w:rFonts w:hint="eastAsia" w:ascii="宋体" w:hAnsi="宋体" w:eastAsia="宋体" w:cs="宋体"/>
          <w:color w:val="auto"/>
          <w:sz w:val="21"/>
          <w:szCs w:val="21"/>
          <w:highlight w:val="none"/>
        </w:rPr>
      </w:pPr>
      <w:bookmarkStart w:id="906" w:name="_Toc6459"/>
      <w:bookmarkStart w:id="907" w:name="_Toc5657"/>
      <w:bookmarkStart w:id="908" w:name="_Toc15527"/>
      <w:bookmarkStart w:id="909" w:name="_Toc19817"/>
      <w:bookmarkStart w:id="910" w:name="_Toc13577"/>
      <w:bookmarkStart w:id="911" w:name="_Toc28147"/>
      <w:bookmarkStart w:id="912" w:name="_Toc15730"/>
      <w:bookmarkStart w:id="913" w:name="_Toc7595"/>
      <w:bookmarkStart w:id="914" w:name="_Toc4443"/>
      <w:bookmarkStart w:id="915" w:name="_Toc9708"/>
      <w:bookmarkStart w:id="916" w:name="_Toc14823"/>
      <w:bookmarkStart w:id="917" w:name="_Toc23867"/>
      <w:bookmarkStart w:id="918" w:name="_Toc18218"/>
      <w:bookmarkStart w:id="919" w:name="_Toc18433"/>
      <w:r>
        <w:rPr>
          <w:rFonts w:hint="eastAsia" w:ascii="宋体" w:hAnsi="宋体" w:eastAsia="宋体" w:cs="宋体"/>
          <w:color w:val="auto"/>
          <w:sz w:val="21"/>
          <w:szCs w:val="21"/>
          <w:highlight w:val="none"/>
        </w:rPr>
        <w:t>2.3 详细评审</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14:paraId="6CE56F7F">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分值构成</w:t>
      </w:r>
    </w:p>
    <w:p w14:paraId="354FCEEA">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投标报价：见评标办法前附表；</w:t>
      </w:r>
    </w:p>
    <w:p w14:paraId="7B4A5033">
      <w:pPr>
        <w:pageBreakBefore w:val="0"/>
        <w:widowControl w:val="0"/>
        <w:shd w:val="clear" w:color="auto" w:fill="auto"/>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评标基准价计算</w:t>
      </w:r>
    </w:p>
    <w:p w14:paraId="62AFD9F5">
      <w:pPr>
        <w:pageBreakBefore w:val="0"/>
        <w:widowControl w:val="0"/>
        <w:shd w:val="clear" w:color="auto" w:fill="auto"/>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评标基准价计算方法：见评标办法前附表。</w:t>
      </w:r>
    </w:p>
    <w:p w14:paraId="3ECEE12C">
      <w:pPr>
        <w:pageBreakBefore w:val="0"/>
        <w:widowControl w:val="0"/>
        <w:shd w:val="clear" w:color="auto" w:fill="auto"/>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投标报价的偏差率计算</w:t>
      </w:r>
    </w:p>
    <w:p w14:paraId="63A2A93E">
      <w:pPr>
        <w:pageBreakBefore w:val="0"/>
        <w:widowControl w:val="0"/>
        <w:shd w:val="clear" w:color="auto" w:fill="auto"/>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投标报价的偏差率计算公式：见评标办法前附表</w:t>
      </w:r>
    </w:p>
    <w:p w14:paraId="3979885D">
      <w:pPr>
        <w:pageBreakBefore w:val="0"/>
        <w:widowControl w:val="0"/>
        <w:shd w:val="clear" w:color="auto" w:fill="auto"/>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2.3.4</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评分标准</w:t>
      </w:r>
    </w:p>
    <w:p w14:paraId="501DC36C">
      <w:pPr>
        <w:pageBreakBefore w:val="0"/>
        <w:widowControl w:val="0"/>
        <w:shd w:val="clear" w:color="auto" w:fill="auto"/>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投标报价评分标准：见评标办法前附表；</w:t>
      </w:r>
    </w:p>
    <w:p w14:paraId="0D66C2B6">
      <w:pPr>
        <w:pageBreakBefore w:val="0"/>
        <w:widowControl w:val="0"/>
        <w:shd w:val="clear" w:color="auto" w:fill="auto"/>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kern w:val="0"/>
          <w:szCs w:val="21"/>
          <w:highlight w:val="none"/>
          <w:lang w:val="en-US" w:eastAsia="zh-CN"/>
        </w:rPr>
        <w:t>投标人市场信用评价</w:t>
      </w:r>
      <w:r>
        <w:rPr>
          <w:rFonts w:hint="eastAsia" w:ascii="宋体" w:hAnsi="宋体" w:eastAsia="宋体" w:cs="宋体"/>
          <w:color w:val="auto"/>
          <w:szCs w:val="21"/>
          <w:highlight w:val="none"/>
        </w:rPr>
        <w:t>评分标准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见评标办法前附表</w:t>
      </w:r>
      <w:r>
        <w:rPr>
          <w:rFonts w:hint="eastAsia" w:ascii="宋体" w:hAnsi="宋体" w:eastAsia="宋体" w:cs="宋体"/>
          <w:color w:val="auto"/>
          <w:szCs w:val="21"/>
          <w:highlight w:val="none"/>
          <w:lang w:eastAsia="zh-CN"/>
        </w:rPr>
        <w:t>。</w:t>
      </w:r>
    </w:p>
    <w:p w14:paraId="5BF759FA">
      <w:pPr>
        <w:keepNext/>
        <w:keepLines/>
        <w:pageBreakBefore w:val="0"/>
        <w:widowControl w:val="0"/>
        <w:shd w:val="clear" w:color="auto" w:fill="auto"/>
        <w:kinsoku/>
        <w:wordWrap/>
        <w:overflowPunct/>
        <w:topLinePunct w:val="0"/>
        <w:bidi w:val="0"/>
        <w:snapToGrid w:val="0"/>
        <w:spacing w:line="360" w:lineRule="auto"/>
        <w:textAlignment w:val="auto"/>
        <w:outlineLvl w:val="1"/>
        <w:rPr>
          <w:rFonts w:hint="eastAsia" w:ascii="宋体" w:hAnsi="宋体" w:eastAsia="宋体" w:cs="宋体"/>
          <w:color w:val="auto"/>
          <w:sz w:val="21"/>
          <w:szCs w:val="21"/>
          <w:highlight w:val="none"/>
        </w:rPr>
      </w:pPr>
      <w:bookmarkStart w:id="920" w:name="_Toc27745"/>
      <w:bookmarkStart w:id="921" w:name="_Toc4143"/>
      <w:bookmarkStart w:id="922" w:name="_Toc1186"/>
      <w:bookmarkStart w:id="923" w:name="_Toc24768"/>
      <w:bookmarkStart w:id="924" w:name="_Toc31132"/>
      <w:bookmarkStart w:id="925" w:name="_Toc18022"/>
      <w:bookmarkStart w:id="926" w:name="_Toc22737"/>
      <w:bookmarkStart w:id="927" w:name="_Toc20889"/>
      <w:bookmarkStart w:id="928" w:name="_Toc32150"/>
      <w:bookmarkStart w:id="929" w:name="_Toc32587"/>
      <w:bookmarkStart w:id="930" w:name="_Toc32540"/>
      <w:bookmarkStart w:id="931" w:name="_Toc5495"/>
      <w:bookmarkStart w:id="932" w:name="_Toc13573"/>
      <w:r>
        <w:rPr>
          <w:rFonts w:hint="eastAsia" w:ascii="宋体" w:hAnsi="宋体" w:eastAsia="宋体" w:cs="宋体"/>
          <w:color w:val="auto"/>
          <w:sz w:val="21"/>
          <w:szCs w:val="21"/>
          <w:highlight w:val="none"/>
        </w:rPr>
        <w:t>3. 评标程序</w:t>
      </w:r>
      <w:bookmarkEnd w:id="920"/>
      <w:bookmarkEnd w:id="921"/>
      <w:bookmarkEnd w:id="922"/>
      <w:bookmarkEnd w:id="923"/>
      <w:bookmarkEnd w:id="924"/>
      <w:bookmarkEnd w:id="925"/>
      <w:bookmarkEnd w:id="926"/>
      <w:bookmarkEnd w:id="927"/>
      <w:bookmarkEnd w:id="928"/>
      <w:bookmarkEnd w:id="929"/>
      <w:bookmarkEnd w:id="930"/>
      <w:bookmarkEnd w:id="931"/>
      <w:bookmarkEnd w:id="932"/>
    </w:p>
    <w:p w14:paraId="1F031450">
      <w:pPr>
        <w:keepNext/>
        <w:keepLines/>
        <w:pageBreakBefore w:val="0"/>
        <w:widowControl w:val="0"/>
        <w:shd w:val="clear" w:color="auto" w:fill="auto"/>
        <w:kinsoku/>
        <w:wordWrap/>
        <w:overflowPunct/>
        <w:topLinePunct w:val="0"/>
        <w:bidi w:val="0"/>
        <w:snapToGrid w:val="0"/>
        <w:spacing w:line="360" w:lineRule="auto"/>
        <w:textAlignment w:val="auto"/>
        <w:outlineLvl w:val="2"/>
        <w:rPr>
          <w:rFonts w:hint="eastAsia" w:ascii="宋体" w:hAnsi="宋体" w:eastAsia="宋体" w:cs="宋体"/>
          <w:color w:val="auto"/>
          <w:sz w:val="21"/>
          <w:szCs w:val="21"/>
          <w:highlight w:val="none"/>
        </w:rPr>
      </w:pPr>
      <w:bookmarkStart w:id="933" w:name="_Toc11430"/>
      <w:bookmarkStart w:id="934" w:name="_Toc3254"/>
      <w:bookmarkStart w:id="935" w:name="_Toc19689"/>
      <w:bookmarkStart w:id="936" w:name="_Toc8196"/>
      <w:bookmarkStart w:id="937" w:name="_Toc6414"/>
      <w:bookmarkStart w:id="938" w:name="_Toc27524"/>
      <w:bookmarkStart w:id="939" w:name="_Toc10649"/>
      <w:bookmarkStart w:id="940" w:name="_Toc13548"/>
      <w:bookmarkStart w:id="941" w:name="_Toc10571"/>
      <w:bookmarkStart w:id="942" w:name="_Toc31388"/>
      <w:bookmarkStart w:id="943" w:name="_Toc24861"/>
      <w:bookmarkStart w:id="944" w:name="_Toc2188"/>
      <w:bookmarkStart w:id="945" w:name="_Toc21568"/>
      <w:bookmarkStart w:id="946" w:name="_Toc23411"/>
      <w:bookmarkStart w:id="947" w:name="_Toc20326"/>
      <w:r>
        <w:rPr>
          <w:rFonts w:hint="eastAsia" w:ascii="宋体" w:hAnsi="宋体" w:eastAsia="宋体" w:cs="宋体"/>
          <w:color w:val="auto"/>
          <w:sz w:val="21"/>
          <w:szCs w:val="21"/>
          <w:highlight w:val="none"/>
        </w:rPr>
        <w:t xml:space="preserve">3.1 </w:t>
      </w:r>
      <w:bookmarkEnd w:id="933"/>
      <w:bookmarkEnd w:id="934"/>
      <w:r>
        <w:rPr>
          <w:rFonts w:hint="eastAsia" w:ascii="宋体" w:hAnsi="宋体" w:eastAsia="宋体" w:cs="宋体"/>
          <w:color w:val="auto"/>
          <w:sz w:val="21"/>
          <w:szCs w:val="21"/>
          <w:highlight w:val="none"/>
        </w:rPr>
        <w:t>组建评标委员会</w:t>
      </w:r>
      <w:bookmarkEnd w:id="935"/>
      <w:bookmarkEnd w:id="936"/>
      <w:bookmarkEnd w:id="937"/>
      <w:bookmarkEnd w:id="938"/>
      <w:bookmarkEnd w:id="939"/>
      <w:bookmarkEnd w:id="940"/>
      <w:bookmarkEnd w:id="941"/>
      <w:bookmarkEnd w:id="942"/>
      <w:bookmarkEnd w:id="943"/>
      <w:bookmarkEnd w:id="944"/>
      <w:bookmarkEnd w:id="945"/>
      <w:bookmarkEnd w:id="946"/>
      <w:bookmarkEnd w:id="947"/>
    </w:p>
    <w:p w14:paraId="5524EF95">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评标委员会的组成：评标委员会由招标人代表和有关技术、经济等方面的评标专家组成，评标专家一般采取随机抽取方式确定。</w:t>
      </w:r>
    </w:p>
    <w:p w14:paraId="62ECDDCB">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kern w:val="0"/>
          <w:szCs w:val="21"/>
          <w:highlight w:val="none"/>
        </w:rPr>
        <w:t>评标委员会成员到达评标现场时应在签到表上签到（或通过门禁系统签到）以证明其出席。</w:t>
      </w:r>
    </w:p>
    <w:p w14:paraId="4157056B">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3.1.3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评标委员会成员应遵守有关法律、法规、规章，遵守评标纪律和其他评标有关规定。</w:t>
      </w:r>
      <w:r>
        <w:rPr>
          <w:rFonts w:hint="eastAsia" w:ascii="宋体" w:hAnsi="宋体" w:eastAsia="宋体" w:cs="宋体"/>
          <w:color w:val="auto"/>
          <w:kern w:val="0"/>
          <w:szCs w:val="21"/>
          <w:highlight w:val="none"/>
        </w:rPr>
        <w:t>评标委员会成员推选一名评标委员会负责人，负责评标活动的组织领导工作，评标委员会负责人与评标委员会其他成员有同等的表决权。</w:t>
      </w:r>
    </w:p>
    <w:p w14:paraId="4C98B8AD">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r>
        <w:rPr>
          <w:rFonts w:hint="eastAsia" w:ascii="宋体" w:hAnsi="宋体" w:eastAsia="宋体" w:cs="宋体"/>
          <w:color w:val="auto"/>
          <w:szCs w:val="21"/>
          <w:highlight w:val="none"/>
          <w:lang w:val="en-US" w:eastAsia="zh-CN"/>
        </w:rPr>
        <w:t xml:space="preserve">4 </w:t>
      </w:r>
      <w:r>
        <w:rPr>
          <w:rFonts w:hint="eastAsia" w:ascii="宋体" w:hAnsi="宋体" w:eastAsia="宋体" w:cs="宋体"/>
          <w:color w:val="auto"/>
          <w:kern w:val="0"/>
          <w:szCs w:val="21"/>
          <w:highlight w:val="none"/>
        </w:rPr>
        <w:t>招标人或其委托的招标代理机构应向评标委员会提供评标所需的重要信息和数据，但不得带有明示或者暗示倾向或者排斥特定投标人的信息。评标委员会负责人应组织评标委员会成员认真研究招标文件，招标文件没有规定的评标标准和方法不得作为评标的依据。</w:t>
      </w:r>
    </w:p>
    <w:p w14:paraId="341EC80C">
      <w:pPr>
        <w:keepNext/>
        <w:keepLines/>
        <w:pageBreakBefore w:val="0"/>
        <w:widowControl w:val="0"/>
        <w:shd w:val="clear" w:color="auto" w:fill="auto"/>
        <w:kinsoku/>
        <w:wordWrap/>
        <w:overflowPunct/>
        <w:topLinePunct w:val="0"/>
        <w:bidi w:val="0"/>
        <w:snapToGrid w:val="0"/>
        <w:spacing w:line="360" w:lineRule="auto"/>
        <w:textAlignment w:val="auto"/>
        <w:outlineLvl w:val="2"/>
        <w:rPr>
          <w:rFonts w:hint="eastAsia" w:ascii="宋体" w:hAnsi="宋体" w:eastAsia="宋体" w:cs="宋体"/>
          <w:color w:val="auto"/>
          <w:sz w:val="21"/>
          <w:szCs w:val="21"/>
          <w:highlight w:val="none"/>
        </w:rPr>
      </w:pPr>
      <w:bookmarkStart w:id="948" w:name="_Toc7493"/>
      <w:bookmarkStart w:id="949" w:name="_Toc6266"/>
      <w:bookmarkStart w:id="950" w:name="_Toc11368"/>
      <w:bookmarkStart w:id="951" w:name="_Toc7638"/>
      <w:bookmarkStart w:id="952" w:name="_Toc18813"/>
      <w:bookmarkStart w:id="953" w:name="_Toc18736"/>
      <w:bookmarkStart w:id="954" w:name="_Toc5887"/>
      <w:bookmarkStart w:id="955" w:name="_Toc20403"/>
      <w:bookmarkStart w:id="956" w:name="_Toc18072"/>
      <w:bookmarkStart w:id="957" w:name="_Toc24221"/>
      <w:bookmarkStart w:id="958" w:name="_Toc30930"/>
      <w:bookmarkStart w:id="959" w:name="_Toc23589"/>
      <w:bookmarkStart w:id="960" w:name="_Toc12860"/>
      <w:bookmarkStart w:id="961" w:name="_Toc30463"/>
      <w:bookmarkStart w:id="962" w:name="_Toc25519"/>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初步评审</w:t>
      </w:r>
      <w:bookmarkEnd w:id="948"/>
    </w:p>
    <w:p w14:paraId="784C0CE8">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形式性评审</w:t>
      </w:r>
    </w:p>
    <w:p w14:paraId="0136304A">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评标委员会根据本章第2.2.1款列出的评审标准，对投标文件进行形式性评审，</w:t>
      </w:r>
      <w:r>
        <w:rPr>
          <w:rFonts w:hint="eastAsia" w:ascii="宋体" w:hAnsi="宋体" w:eastAsia="宋体" w:cs="宋体"/>
          <w:color w:val="auto"/>
          <w:kern w:val="0"/>
          <w:szCs w:val="21"/>
          <w:highlight w:val="none"/>
        </w:rPr>
        <w:t>有一项不符合评审标准的，作无效标处理。</w:t>
      </w:r>
    </w:p>
    <w:p w14:paraId="3C00E972">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资格评审</w:t>
      </w:r>
    </w:p>
    <w:p w14:paraId="3210E2FA">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评标委员会根据本章第2.2.2款列出的评审标准，对投标文件进行资格评审，</w:t>
      </w:r>
      <w:r>
        <w:rPr>
          <w:rFonts w:hint="eastAsia" w:ascii="宋体" w:hAnsi="宋体" w:eastAsia="宋体" w:cs="宋体"/>
          <w:color w:val="auto"/>
          <w:kern w:val="0"/>
          <w:szCs w:val="21"/>
          <w:highlight w:val="none"/>
        </w:rPr>
        <w:t>有一项不符合评审标准的，作无效标处理。</w:t>
      </w:r>
    </w:p>
    <w:p w14:paraId="688DD81C">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响应性评审</w:t>
      </w:r>
    </w:p>
    <w:p w14:paraId="0E6A715E">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评标委员会根据本章第2.2.3款列出的评审标准，对投标文件进行响应性评审，</w:t>
      </w:r>
      <w:r>
        <w:rPr>
          <w:rFonts w:hint="eastAsia" w:ascii="宋体" w:hAnsi="宋体" w:eastAsia="宋体" w:cs="宋体"/>
          <w:color w:val="auto"/>
          <w:kern w:val="0"/>
          <w:szCs w:val="21"/>
          <w:highlight w:val="none"/>
        </w:rPr>
        <w:t>有一项不符合评审标准的，作无效标处理。</w:t>
      </w:r>
    </w:p>
    <w:p w14:paraId="568FC816">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 xml:space="preserve">4 </w:t>
      </w:r>
      <w:r>
        <w:rPr>
          <w:rFonts w:hint="eastAsia" w:ascii="宋体" w:hAnsi="宋体" w:eastAsia="宋体" w:cs="宋体"/>
          <w:color w:val="auto"/>
          <w:kern w:val="0"/>
          <w:szCs w:val="21"/>
          <w:highlight w:val="none"/>
        </w:rPr>
        <w:t>评标委员会对投标文件有异议，或者依照招标文件需要作出无效标决定的，应当</w:t>
      </w:r>
      <w:r>
        <w:rPr>
          <w:rFonts w:hint="eastAsia" w:ascii="宋体" w:hAnsi="宋体" w:eastAsia="宋体" w:cs="宋体"/>
          <w:color w:val="auto"/>
          <w:kern w:val="0"/>
          <w:szCs w:val="21"/>
          <w:highlight w:val="none"/>
          <w:lang w:val="en-US" w:eastAsia="zh-CN"/>
        </w:rPr>
        <w:t>重点</w:t>
      </w:r>
      <w:r>
        <w:rPr>
          <w:rFonts w:hint="eastAsia" w:ascii="宋体" w:hAnsi="宋体" w:eastAsia="宋体" w:cs="宋体"/>
          <w:color w:val="auto"/>
          <w:kern w:val="0"/>
          <w:szCs w:val="21"/>
          <w:highlight w:val="none"/>
        </w:rPr>
        <w:t>核实有关事项，并将核实情况记录在案</w:t>
      </w:r>
      <w:r>
        <w:rPr>
          <w:rFonts w:hint="eastAsia" w:ascii="宋体" w:hAnsi="宋体" w:eastAsia="宋体" w:cs="宋体"/>
          <w:color w:val="auto"/>
          <w:kern w:val="0"/>
          <w:szCs w:val="21"/>
          <w:highlight w:val="none"/>
          <w:lang w:eastAsia="zh-CN"/>
        </w:rPr>
        <w:t>。</w:t>
      </w:r>
    </w:p>
    <w:p w14:paraId="6098AE42">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 xml:space="preserve">5 </w:t>
      </w:r>
      <w:r>
        <w:rPr>
          <w:rFonts w:hint="eastAsia" w:ascii="宋体" w:hAnsi="宋体" w:eastAsia="宋体" w:cs="宋体"/>
          <w:color w:val="auto"/>
          <w:szCs w:val="21"/>
          <w:highlight w:val="none"/>
        </w:rPr>
        <w:t>投标报价有算术错误的，评标委员会按以下原则对投标报价进行修正，修正的价格经投标人书面确认后具有约束力。投标人不接受修正价格的，其投标作无效标处理。</w:t>
      </w:r>
    </w:p>
    <w:p w14:paraId="1ABC7B92">
      <w:pPr>
        <w:pageBreakBefore w:val="0"/>
        <w:widowControl w:val="0"/>
        <w:shd w:val="clear" w:color="auto" w:fill="auto"/>
        <w:kinsoku/>
        <w:wordWrap/>
        <w:overflowPunct/>
        <w:topLinePunct w:val="0"/>
        <w:bidi w:val="0"/>
        <w:snapToGrid w:val="0"/>
        <w:spacing w:line="360" w:lineRule="auto"/>
        <w:ind w:firstLine="315" w:firstLineChars="1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（1）投标文件中的大写金额与小写金额不一致的，以大写金额为准；</w:t>
      </w:r>
    </w:p>
    <w:p w14:paraId="3B7E4B05">
      <w:pPr>
        <w:pageBreakBefore w:val="0"/>
        <w:widowControl w:val="0"/>
        <w:shd w:val="clear" w:color="auto" w:fill="auto"/>
        <w:kinsoku/>
        <w:wordWrap/>
        <w:overflowPunct/>
        <w:topLinePunct w:val="0"/>
        <w:bidi w:val="0"/>
        <w:snapToGrid w:val="0"/>
        <w:spacing w:line="360" w:lineRule="auto"/>
        <w:ind w:firstLine="315" w:firstLineChars="1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（2）总价金额与依据单价计算出的结果不一致的，以单价金额为准修正总价，但单价金额小数点有明显错误的除外。</w:t>
      </w:r>
    </w:p>
    <w:p w14:paraId="4BAC9A28">
      <w:pPr>
        <w:pageBreakBefore w:val="0"/>
        <w:widowControl w:val="0"/>
        <w:kinsoku/>
        <w:wordWrap/>
        <w:overflowPunct/>
        <w:topLinePunct w:val="0"/>
        <w:bidi w:val="0"/>
        <w:snapToGrid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val="en-US" w:eastAsia="zh-CN"/>
        </w:rPr>
        <w:t>国家有新的规定的，从其规定。</w:t>
      </w:r>
    </w:p>
    <w:p w14:paraId="47DB19F5">
      <w:pPr>
        <w:keepNext/>
        <w:keepLines/>
        <w:pageBreakBefore w:val="0"/>
        <w:widowControl w:val="0"/>
        <w:shd w:val="clear" w:color="auto" w:fill="auto"/>
        <w:kinsoku/>
        <w:wordWrap/>
        <w:overflowPunct/>
        <w:topLinePunct w:val="0"/>
        <w:bidi w:val="0"/>
        <w:snapToGrid w:val="0"/>
        <w:spacing w:line="360" w:lineRule="auto"/>
        <w:textAlignment w:val="auto"/>
        <w:outlineLvl w:val="2"/>
        <w:rPr>
          <w:rFonts w:hint="eastAsia" w:ascii="宋体" w:hAnsi="宋体" w:eastAsia="宋体" w:cs="宋体"/>
          <w:color w:val="auto"/>
          <w:sz w:val="21"/>
          <w:szCs w:val="21"/>
          <w:highlight w:val="none"/>
        </w:rPr>
      </w:pPr>
      <w:bookmarkStart w:id="963" w:name="_Toc11235"/>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评标入围</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14:paraId="4C442F73">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评标委员会依据本章第2.1</w:t>
      </w:r>
      <w:r>
        <w:rPr>
          <w:rFonts w:hint="eastAsia" w:ascii="宋体" w:hAnsi="宋体" w:eastAsia="宋体" w:cs="宋体"/>
          <w:color w:val="auto"/>
          <w:szCs w:val="21"/>
          <w:highlight w:val="none"/>
          <w:lang w:eastAsia="zh-CN"/>
        </w:rPr>
        <w:t>款</w:t>
      </w:r>
      <w:r>
        <w:rPr>
          <w:rFonts w:hint="eastAsia" w:ascii="宋体" w:hAnsi="宋体" w:eastAsia="宋体" w:cs="宋体"/>
          <w:color w:val="auto"/>
          <w:szCs w:val="21"/>
          <w:highlight w:val="none"/>
        </w:rPr>
        <w:t>规定的标准在初步评审前确定进入初步评审的投标人名单。</w:t>
      </w:r>
    </w:p>
    <w:p w14:paraId="3DBBEF90">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当满足评标入围条件的投标文件超过</w:t>
      </w:r>
      <w:r>
        <w:rPr>
          <w:rFonts w:hint="eastAsia" w:ascii="宋体" w:hAnsi="宋体" w:eastAsia="宋体" w:cs="宋体"/>
          <w:color w:val="auto"/>
          <w:szCs w:val="21"/>
          <w:highlight w:val="none"/>
          <w:lang w:val="en-US" w:eastAsia="zh-CN"/>
        </w:rPr>
        <w:t>40</w:t>
      </w:r>
      <w:r>
        <w:rPr>
          <w:rFonts w:hint="eastAsia" w:ascii="宋体" w:hAnsi="宋体" w:eastAsia="宋体" w:cs="宋体"/>
          <w:color w:val="auto"/>
          <w:szCs w:val="21"/>
          <w:highlight w:val="none"/>
        </w:rPr>
        <w:t>家时，评标委员会根据评标办法前附表载明的评标入围方法和数量，确定进入后续评标程序入围投标人。评标委员会根据本章第2.1.1款列出的评标入围评审标准，对投标文件进行评标入围评审，有所列情况之一的，不再进行后续评标。</w:t>
      </w:r>
    </w:p>
    <w:p w14:paraId="7DF011A6">
      <w:pPr>
        <w:keepNext/>
        <w:keepLines/>
        <w:pageBreakBefore w:val="0"/>
        <w:widowControl w:val="0"/>
        <w:shd w:val="clear" w:color="auto" w:fill="auto"/>
        <w:kinsoku/>
        <w:wordWrap/>
        <w:overflowPunct/>
        <w:topLinePunct w:val="0"/>
        <w:bidi w:val="0"/>
        <w:snapToGrid w:val="0"/>
        <w:spacing w:line="360" w:lineRule="auto"/>
        <w:textAlignment w:val="auto"/>
        <w:outlineLvl w:val="2"/>
        <w:rPr>
          <w:rFonts w:hint="eastAsia" w:ascii="宋体" w:hAnsi="宋体" w:eastAsia="宋体" w:cs="宋体"/>
          <w:color w:val="auto"/>
          <w:sz w:val="21"/>
          <w:szCs w:val="21"/>
          <w:highlight w:val="none"/>
        </w:rPr>
      </w:pPr>
      <w:bookmarkStart w:id="964" w:name="_Toc4253"/>
      <w:bookmarkStart w:id="965" w:name="_Toc21595"/>
      <w:bookmarkStart w:id="966" w:name="_Toc1507"/>
      <w:bookmarkStart w:id="967" w:name="_Toc20490"/>
      <w:bookmarkStart w:id="968" w:name="_Toc11597"/>
      <w:bookmarkStart w:id="969" w:name="_Toc8399"/>
      <w:bookmarkStart w:id="970" w:name="_Toc11053"/>
      <w:bookmarkStart w:id="971" w:name="_Toc1784"/>
      <w:bookmarkStart w:id="972" w:name="_Toc30000"/>
      <w:bookmarkStart w:id="973" w:name="_Toc19384"/>
      <w:bookmarkStart w:id="974" w:name="_Toc22730"/>
      <w:bookmarkStart w:id="975" w:name="_Toc5192"/>
      <w:bookmarkStart w:id="976" w:name="_Toc31306"/>
      <w:bookmarkStart w:id="977" w:name="_Toc7368"/>
      <w:r>
        <w:rPr>
          <w:rFonts w:hint="eastAsia" w:ascii="宋体" w:hAnsi="宋体" w:eastAsia="宋体" w:cs="宋体"/>
          <w:color w:val="auto"/>
          <w:sz w:val="21"/>
          <w:szCs w:val="21"/>
          <w:highlight w:val="none"/>
        </w:rPr>
        <w:t>3.4 详细评审</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14:paraId="07FCAB91">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3.4.1</w:t>
      </w:r>
      <w:r>
        <w:rPr>
          <w:rFonts w:hint="eastAsia" w:ascii="宋体" w:hAnsi="宋体" w:eastAsia="宋体" w:cs="宋体"/>
          <w:color w:val="auto"/>
          <w:kern w:val="0"/>
          <w:szCs w:val="21"/>
          <w:highlight w:val="none"/>
        </w:rPr>
        <w:t>评标委员会按本章第2.3项规定的量化因素和分值进行打分，并计算出合计得分。</w:t>
      </w:r>
    </w:p>
    <w:p w14:paraId="0155DD3A">
      <w:pPr>
        <w:pageBreakBefore w:val="0"/>
        <w:widowControl w:val="0"/>
        <w:numPr>
          <w:ilvl w:val="0"/>
          <w:numId w:val="4"/>
        </w:numPr>
        <w:shd w:val="clear" w:color="auto" w:fill="auto"/>
        <w:kinsoku/>
        <w:wordWrap/>
        <w:overflowPunct/>
        <w:topLinePunct w:val="0"/>
        <w:bidi w:val="0"/>
        <w:snapToGrid w:val="0"/>
        <w:spacing w:line="360" w:lineRule="auto"/>
        <w:ind w:firstLine="315" w:firstLineChars="1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按本章第2.3.4（1）</w:t>
      </w:r>
      <w:r>
        <w:rPr>
          <w:rFonts w:hint="eastAsia" w:ascii="宋体" w:hAnsi="宋体" w:eastAsia="宋体" w:cs="宋体"/>
          <w:color w:val="auto"/>
          <w:szCs w:val="21"/>
          <w:highlight w:val="none"/>
          <w:lang w:eastAsia="zh-CN"/>
        </w:rPr>
        <w:t>项</w:t>
      </w:r>
      <w:r>
        <w:rPr>
          <w:rFonts w:hint="eastAsia" w:ascii="宋体" w:hAnsi="宋体" w:eastAsia="宋体" w:cs="宋体"/>
          <w:color w:val="auto"/>
          <w:szCs w:val="21"/>
          <w:highlight w:val="none"/>
        </w:rPr>
        <w:t>规定的评审因素和分值对投标报价计算出得分A；</w:t>
      </w:r>
    </w:p>
    <w:p w14:paraId="47C3876D">
      <w:pPr>
        <w:pageBreakBefore w:val="0"/>
        <w:widowControl w:val="0"/>
        <w:numPr>
          <w:ilvl w:val="0"/>
          <w:numId w:val="4"/>
        </w:numPr>
        <w:shd w:val="clear" w:color="auto" w:fill="auto"/>
        <w:kinsoku/>
        <w:wordWrap/>
        <w:overflowPunct/>
        <w:topLinePunct w:val="0"/>
        <w:bidi w:val="0"/>
        <w:snapToGrid w:val="0"/>
        <w:spacing w:line="360" w:lineRule="auto"/>
        <w:ind w:firstLine="315" w:firstLineChars="1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按本章第2.3.4（2）</w:t>
      </w:r>
      <w:r>
        <w:rPr>
          <w:rFonts w:hint="eastAsia" w:ascii="宋体" w:hAnsi="宋体" w:eastAsia="宋体" w:cs="宋体"/>
          <w:color w:val="auto"/>
          <w:szCs w:val="21"/>
          <w:highlight w:val="none"/>
        </w:rPr>
        <w:t>项规定的评审因素和分值对投标人市场信用评价计算出得分</w:t>
      </w:r>
      <w:r>
        <w:rPr>
          <w:rFonts w:hint="eastAsia" w:ascii="宋体" w:hAnsi="宋体" w:eastAsia="宋体" w:cs="宋体"/>
          <w:color w:val="auto"/>
          <w:szCs w:val="21"/>
          <w:highlight w:val="none"/>
          <w:lang w:val="en-US" w:eastAsia="zh-CN"/>
        </w:rPr>
        <w:t>B</w:t>
      </w:r>
      <w:r>
        <w:rPr>
          <w:rFonts w:hint="eastAsia" w:ascii="宋体" w:hAnsi="宋体" w:eastAsia="宋体" w:cs="宋体"/>
          <w:color w:val="auto"/>
          <w:szCs w:val="21"/>
          <w:highlight w:val="none"/>
          <w:lang w:eastAsia="zh-CN"/>
        </w:rPr>
        <w:t>。</w:t>
      </w:r>
    </w:p>
    <w:p w14:paraId="2940F355">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评标过程中，造价数据以元为单位保留两位有效小数，小数点后第三位“四舍五入”。评分分值计算保留小数点后两位，小数点后第三位“四舍五入”。偏差率计算保留小数点后四位，小数点后第五位“四舍五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招标人根据实际情况，可以在招标文件评标办法前附表中明确计算细则。</w:t>
      </w:r>
      <w:r>
        <w:rPr>
          <w:rFonts w:hint="eastAsia" w:ascii="宋体" w:hAnsi="宋体" w:eastAsia="宋体" w:cs="宋体"/>
          <w:color w:val="auto"/>
          <w:szCs w:val="21"/>
          <w:highlight w:val="none"/>
          <w:lang w:eastAsia="zh-CN"/>
        </w:rPr>
        <w:t>）</w:t>
      </w:r>
    </w:p>
    <w:p w14:paraId="125EA7EF">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3.4.3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以投标报价为评审因素</w:t>
      </w:r>
      <w:r>
        <w:rPr>
          <w:rFonts w:hint="eastAsia" w:ascii="宋体" w:hAnsi="宋体" w:eastAsia="宋体" w:cs="宋体"/>
          <w:color w:val="auto"/>
          <w:szCs w:val="21"/>
          <w:highlight w:val="none"/>
          <w:lang w:val="en-US" w:eastAsia="zh-CN"/>
        </w:rPr>
        <w:t>的，</w:t>
      </w:r>
      <w:r>
        <w:rPr>
          <w:rFonts w:hint="eastAsia" w:ascii="宋体" w:hAnsi="宋体" w:eastAsia="宋体" w:cs="宋体"/>
          <w:color w:val="auto"/>
          <w:szCs w:val="21"/>
          <w:highlight w:val="none"/>
        </w:rPr>
        <w:t>投标人得分=A</w:t>
      </w:r>
      <w:r>
        <w:rPr>
          <w:rFonts w:hint="eastAsia" w:ascii="宋体" w:hAnsi="宋体" w:eastAsia="宋体" w:cs="宋体"/>
          <w:color w:val="auto"/>
          <w:szCs w:val="21"/>
          <w:highlight w:val="none"/>
          <w:lang w:eastAsia="zh-CN"/>
        </w:rPr>
        <w:t>；</w:t>
      </w:r>
    </w:p>
    <w:p w14:paraId="3AB5340D">
      <w:pPr>
        <w:pageBreakBefore w:val="0"/>
        <w:widowControl w:val="0"/>
        <w:shd w:val="clear" w:color="auto" w:fill="auto"/>
        <w:kinsoku/>
        <w:wordWrap/>
        <w:overflowPunct/>
        <w:topLinePunct w:val="0"/>
        <w:bidi w:val="0"/>
        <w:snapToGrid w:val="0"/>
        <w:spacing w:line="360" w:lineRule="auto"/>
        <w:ind w:firstLine="1050" w:firstLineChars="5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以投标报价和信用评价为评审因素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投标人得分=A</w:t>
      </w:r>
      <w:r>
        <w:rPr>
          <w:rFonts w:hint="eastAsia" w:ascii="宋体" w:hAnsi="宋体" w:eastAsia="宋体" w:cs="宋体"/>
          <w:color w:val="auto"/>
          <w:szCs w:val="21"/>
          <w:highlight w:val="none"/>
          <w:lang w:val="en-US" w:eastAsia="zh-CN"/>
        </w:rPr>
        <w:t>+B；</w:t>
      </w:r>
    </w:p>
    <w:p w14:paraId="0570E777">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3.4.4</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b/>
          <w:color w:val="auto"/>
          <w:szCs w:val="21"/>
          <w:highlight w:val="none"/>
        </w:rPr>
        <w:t>投标报价重点评审</w:t>
      </w:r>
    </w:p>
    <w:p w14:paraId="77F99481">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在评标过程中，评标委员会发现投标人的报价明显低于其他投标报价，或者设有</w:t>
      </w:r>
      <w:r>
        <w:rPr>
          <w:rFonts w:hint="eastAsia" w:ascii="宋体" w:hAnsi="宋体" w:eastAsia="宋体" w:cs="宋体"/>
          <w:b/>
          <w:color w:val="auto"/>
          <w:szCs w:val="21"/>
          <w:highlight w:val="none"/>
          <w:lang w:eastAsia="zh-CN"/>
        </w:rPr>
        <w:t>最高投标限价</w:t>
      </w:r>
      <w:r>
        <w:rPr>
          <w:rFonts w:hint="eastAsia" w:ascii="宋体" w:hAnsi="宋体" w:eastAsia="宋体" w:cs="宋体"/>
          <w:b/>
          <w:color w:val="auto"/>
          <w:szCs w:val="21"/>
          <w:highlight w:val="none"/>
        </w:rPr>
        <w:t>时明显低于</w:t>
      </w:r>
      <w:r>
        <w:rPr>
          <w:rFonts w:hint="eastAsia" w:ascii="宋体" w:hAnsi="宋体" w:eastAsia="宋体" w:cs="宋体"/>
          <w:b/>
          <w:color w:val="auto"/>
          <w:szCs w:val="21"/>
          <w:highlight w:val="none"/>
          <w:lang w:eastAsia="zh-CN"/>
        </w:rPr>
        <w:t>最高投标限价</w:t>
      </w:r>
      <w:r>
        <w:rPr>
          <w:rFonts w:hint="eastAsia" w:ascii="宋体" w:hAnsi="宋体" w:eastAsia="宋体" w:cs="宋体"/>
          <w:b/>
          <w:color w:val="auto"/>
          <w:szCs w:val="21"/>
          <w:highlight w:val="none"/>
        </w:rPr>
        <w:t>，使得其投标报价可能低于其个别成本或者工程成本的，有可能影响质量或者不能诚信履约的，</w:t>
      </w:r>
      <w:r>
        <w:rPr>
          <w:rFonts w:hint="eastAsia" w:ascii="宋体" w:hAnsi="宋体" w:eastAsia="宋体" w:cs="宋体"/>
          <w:b/>
          <w:color w:val="auto"/>
          <w:szCs w:val="21"/>
          <w:highlight w:val="none"/>
          <w:lang w:val="en-US" w:eastAsia="zh-CN"/>
        </w:rPr>
        <w:t>评标委员会可以要求投标人进行澄清、说明，</w:t>
      </w:r>
      <w:r>
        <w:rPr>
          <w:rFonts w:hint="eastAsia" w:ascii="宋体" w:hAnsi="宋体" w:eastAsia="宋体" w:cs="宋体"/>
          <w:b/>
          <w:color w:val="auto"/>
          <w:szCs w:val="21"/>
          <w:highlight w:val="none"/>
        </w:rPr>
        <w:t>投标人</w:t>
      </w:r>
      <w:r>
        <w:rPr>
          <w:rFonts w:hint="eastAsia" w:ascii="宋体" w:hAnsi="宋体" w:eastAsia="宋体" w:cs="宋体"/>
          <w:b/>
          <w:color w:val="auto"/>
          <w:szCs w:val="21"/>
          <w:highlight w:val="none"/>
          <w:lang w:val="en-US" w:eastAsia="zh-CN"/>
        </w:rPr>
        <w:t>应当</w:t>
      </w:r>
      <w:r>
        <w:rPr>
          <w:rFonts w:hint="eastAsia" w:ascii="宋体" w:hAnsi="宋体" w:eastAsia="宋体" w:cs="宋体"/>
          <w:b/>
          <w:color w:val="auto"/>
          <w:szCs w:val="21"/>
          <w:highlight w:val="none"/>
        </w:rPr>
        <w:t>在合理的时间内做出书面说明并提供相关证明材料。投标人不能合理说明或者不能提供相关证明材料的，由评标委员会认定该投标人以低于成本报价竞标，其投标被否决。</w:t>
      </w:r>
    </w:p>
    <w:p w14:paraId="6279BB61">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招标人认为投标人的投标价有可能无法完成招标文件规定的所有工程内容的，招标人可以在评标准备报告中提请评标委员会在详细评审阶段对该投标人的投标价进行重点评审，评标委员会认为招标人的提请合理的，按照上述评审办法对投标人的投标价进行重点评审；评标委员会认为招标人的提请不合理的，可以拒绝招标人的提请并做出书面说明。</w:t>
      </w:r>
    </w:p>
    <w:p w14:paraId="3C434936">
      <w:pPr>
        <w:keepNext/>
        <w:keepLines/>
        <w:pageBreakBefore w:val="0"/>
        <w:widowControl w:val="0"/>
        <w:shd w:val="clear" w:color="auto" w:fill="auto"/>
        <w:kinsoku/>
        <w:wordWrap/>
        <w:overflowPunct/>
        <w:topLinePunct w:val="0"/>
        <w:bidi w:val="0"/>
        <w:snapToGrid w:val="0"/>
        <w:spacing w:line="360" w:lineRule="auto"/>
        <w:textAlignment w:val="auto"/>
        <w:outlineLvl w:val="2"/>
        <w:rPr>
          <w:rFonts w:hint="eastAsia" w:ascii="宋体" w:hAnsi="宋体" w:eastAsia="宋体" w:cs="宋体"/>
          <w:color w:val="auto"/>
          <w:sz w:val="21"/>
          <w:szCs w:val="21"/>
          <w:highlight w:val="none"/>
        </w:rPr>
      </w:pPr>
      <w:bookmarkStart w:id="978" w:name="_Toc27033"/>
      <w:bookmarkStart w:id="979" w:name="_Toc3913"/>
      <w:bookmarkStart w:id="980" w:name="_Toc12071"/>
      <w:bookmarkStart w:id="981" w:name="_Toc9000"/>
      <w:bookmarkStart w:id="982" w:name="_Toc12271"/>
      <w:bookmarkStart w:id="983" w:name="_Toc8865"/>
      <w:bookmarkStart w:id="984" w:name="_Toc454"/>
      <w:bookmarkStart w:id="985" w:name="_Toc30093"/>
      <w:bookmarkStart w:id="986" w:name="_Toc31153"/>
      <w:bookmarkStart w:id="987" w:name="_Toc771"/>
      <w:bookmarkStart w:id="988" w:name="_Toc15260"/>
      <w:bookmarkStart w:id="989" w:name="_Toc12385"/>
      <w:bookmarkStart w:id="990" w:name="_Toc27927"/>
      <w:r>
        <w:rPr>
          <w:rFonts w:hint="eastAsia" w:ascii="宋体" w:hAnsi="宋体" w:eastAsia="宋体" w:cs="宋体"/>
          <w:color w:val="auto"/>
          <w:sz w:val="21"/>
          <w:szCs w:val="21"/>
          <w:highlight w:val="none"/>
        </w:rPr>
        <w:t>3.5 投标文件的澄清和补正</w:t>
      </w:r>
      <w:bookmarkEnd w:id="978"/>
      <w:bookmarkEnd w:id="979"/>
      <w:bookmarkEnd w:id="980"/>
      <w:bookmarkEnd w:id="981"/>
      <w:bookmarkEnd w:id="982"/>
      <w:bookmarkEnd w:id="983"/>
      <w:bookmarkEnd w:id="984"/>
      <w:bookmarkEnd w:id="985"/>
      <w:bookmarkEnd w:id="986"/>
      <w:bookmarkEnd w:id="987"/>
      <w:bookmarkEnd w:id="988"/>
      <w:bookmarkEnd w:id="989"/>
      <w:bookmarkEnd w:id="990"/>
    </w:p>
    <w:p w14:paraId="53E729C5">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3.5.1在评标过程中，评标委员会可以书面形式要求投标人对所提交投标文件中不明确的内容进行书面澄清或说明，或者对细微偏差进行补正。评标委员会不接受投标人主动提出的澄清、说明或补正。</w:t>
      </w:r>
    </w:p>
    <w:p w14:paraId="26E8E5CF">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3.5.2澄清、说明和补正不得改变投标文件的实质性内容（算术性错误修正的除外）。投标人的书面澄清、说明和补正属于投标文件的组成部分。</w:t>
      </w:r>
    </w:p>
    <w:p w14:paraId="33C57A4C">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3.5.3评标委员会对投标人提交的澄清、说明或补正有疑问的，可以要求投标人进一步澄清、说明或补正，直至满足评标委员会的要求。</w:t>
      </w:r>
    </w:p>
    <w:p w14:paraId="4A1910FA">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3.5.4</w:t>
      </w:r>
      <w:r>
        <w:rPr>
          <w:rFonts w:hint="eastAsia" w:ascii="宋体" w:hAnsi="宋体" w:eastAsia="宋体" w:cs="宋体"/>
          <w:color w:val="auto"/>
          <w:szCs w:val="21"/>
          <w:highlight w:val="none"/>
        </w:rPr>
        <w:t>投标人拒不按照要求对投标文件进行澄清、说明或者补正的，评标委员会可以否决其投标。</w:t>
      </w:r>
    </w:p>
    <w:p w14:paraId="21736627">
      <w:pPr>
        <w:pageBreakBefore w:val="0"/>
        <w:widowControl w:val="0"/>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国家有新的规定的，从其规定。</w:t>
      </w:r>
    </w:p>
    <w:p w14:paraId="3AE89DC4">
      <w:pPr>
        <w:keepNext/>
        <w:keepLines/>
        <w:pageBreakBefore w:val="0"/>
        <w:widowControl w:val="0"/>
        <w:shd w:val="clear" w:color="auto" w:fill="auto"/>
        <w:kinsoku/>
        <w:wordWrap/>
        <w:overflowPunct/>
        <w:topLinePunct w:val="0"/>
        <w:bidi w:val="0"/>
        <w:snapToGrid w:val="0"/>
        <w:spacing w:line="360" w:lineRule="auto"/>
        <w:textAlignment w:val="auto"/>
        <w:outlineLvl w:val="2"/>
        <w:rPr>
          <w:rFonts w:hint="eastAsia" w:ascii="宋体" w:hAnsi="宋体" w:eastAsia="宋体" w:cs="宋体"/>
          <w:color w:val="auto"/>
          <w:sz w:val="21"/>
          <w:szCs w:val="21"/>
          <w:highlight w:val="none"/>
        </w:rPr>
      </w:pPr>
      <w:bookmarkStart w:id="991" w:name="_Toc10266"/>
      <w:bookmarkStart w:id="992" w:name="_Toc19111"/>
      <w:bookmarkStart w:id="993" w:name="_Toc26716"/>
      <w:bookmarkStart w:id="994" w:name="_Toc16983"/>
      <w:bookmarkStart w:id="995" w:name="_Toc21283"/>
      <w:bookmarkStart w:id="996" w:name="_Toc14605"/>
      <w:bookmarkStart w:id="997" w:name="_Toc21981"/>
      <w:bookmarkStart w:id="998" w:name="_Toc1377"/>
      <w:bookmarkStart w:id="999" w:name="_Toc24757"/>
      <w:bookmarkStart w:id="1000" w:name="_Toc9622"/>
      <w:bookmarkStart w:id="1001" w:name="_Toc9078"/>
      <w:bookmarkStart w:id="1002" w:name="_Toc20906"/>
      <w:bookmarkStart w:id="1003" w:name="_Toc20247"/>
      <w:bookmarkStart w:id="1004" w:name="_Toc29176"/>
      <w:bookmarkStart w:id="1005" w:name="_Toc25642"/>
      <w:r>
        <w:rPr>
          <w:rFonts w:hint="eastAsia" w:ascii="宋体" w:hAnsi="宋体" w:eastAsia="宋体" w:cs="宋体"/>
          <w:color w:val="auto"/>
          <w:sz w:val="21"/>
          <w:szCs w:val="21"/>
          <w:highlight w:val="none"/>
        </w:rPr>
        <w:t>3.6 推荐中标候选人或直接确定中标人</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14:paraId="528618E0">
      <w:pPr>
        <w:pageBreakBefore w:val="0"/>
        <w:widowControl w:val="0"/>
        <w:shd w:val="clear" w:color="auto" w:fill="auto"/>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3.6.1</w:t>
      </w:r>
      <w:r>
        <w:rPr>
          <w:rFonts w:hint="eastAsia" w:ascii="宋体" w:hAnsi="宋体" w:eastAsia="宋体" w:cs="宋体"/>
          <w:color w:val="auto"/>
          <w:kern w:val="0"/>
          <w:szCs w:val="21"/>
          <w:highlight w:val="none"/>
        </w:rPr>
        <w:t>除投标人须知前附表授权直接确定中标人外，评标委员会在推荐中标候选人时，应遵照以下原则</w:t>
      </w:r>
      <w:r>
        <w:rPr>
          <w:rFonts w:hint="eastAsia" w:ascii="宋体" w:hAnsi="宋体" w:eastAsia="宋体" w:cs="宋体"/>
          <w:color w:val="auto"/>
          <w:kern w:val="0"/>
          <w:szCs w:val="21"/>
          <w:highlight w:val="none"/>
          <w:lang w:eastAsia="zh-CN"/>
        </w:rPr>
        <w:t>：</w:t>
      </w:r>
    </w:p>
    <w:p w14:paraId="673E1A82">
      <w:pPr>
        <w:pageBreakBefore w:val="0"/>
        <w:widowControl w:val="0"/>
        <w:shd w:val="clear" w:color="auto" w:fill="auto"/>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（1）评标委员会按照最终得分由高至低的次序排列，并根据投标人须知前附表规定的中标候选人数量，将排序在前的投标人推荐为中标候选人。</w:t>
      </w:r>
    </w:p>
    <w:p w14:paraId="68B18544">
      <w:pPr>
        <w:pageBreakBefore w:val="0"/>
        <w:widowControl w:val="0"/>
        <w:shd w:val="clear" w:color="auto" w:fill="auto"/>
        <w:kinsoku/>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i w:val="0"/>
          <w:iCs w:val="0"/>
          <w:caps w:val="0"/>
          <w:color w:val="auto"/>
          <w:spacing w:val="0"/>
          <w:sz w:val="21"/>
          <w:szCs w:val="21"/>
          <w:highlight w:val="none"/>
          <w:shd w:val="clear" w:color="auto" w:fill="FFFFFF"/>
        </w:rPr>
        <w:t>经评标委员会评审，符合招标文件要求的投标人少于三个的，评标委员会应当对有效投标是否仍具有竞争性进行评审。评标委员会一致认为有效投标仍具有竞争性的，应当继续推荐中标候选人；评标委员会对有效投标是否仍具有竞争性无法达成一致意见的，应当否决全部投标。评标委员会应当在评标报告中记载论证过程和结果。</w:t>
      </w:r>
    </w:p>
    <w:p w14:paraId="1EA0F72F">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3.6.2投标人须知前附表授权评标委员会直接确定中标人的，评标委员会按照最终得分由高至低的次序排列，并确定排名第一的投标人为第一中标候选人。</w:t>
      </w:r>
    </w:p>
    <w:p w14:paraId="064CC561">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3.6.3评标委员会完成评标后，应当向招标人提交书面评标报告。</w:t>
      </w:r>
    </w:p>
    <w:p w14:paraId="1A2394CB">
      <w:pPr>
        <w:keepNext/>
        <w:keepLines/>
        <w:pageBreakBefore w:val="0"/>
        <w:widowControl w:val="0"/>
        <w:shd w:val="clear" w:color="auto" w:fill="auto"/>
        <w:kinsoku/>
        <w:wordWrap/>
        <w:overflowPunct/>
        <w:topLinePunct w:val="0"/>
        <w:bidi w:val="0"/>
        <w:snapToGrid w:val="0"/>
        <w:spacing w:line="360" w:lineRule="auto"/>
        <w:textAlignment w:val="auto"/>
        <w:outlineLvl w:val="2"/>
        <w:rPr>
          <w:rFonts w:hint="eastAsia" w:ascii="宋体" w:hAnsi="宋体" w:eastAsia="宋体" w:cs="宋体"/>
          <w:color w:val="auto"/>
          <w:sz w:val="21"/>
          <w:szCs w:val="21"/>
          <w:highlight w:val="none"/>
        </w:rPr>
      </w:pPr>
      <w:bookmarkStart w:id="1006" w:name="_Toc9325"/>
      <w:bookmarkStart w:id="1007" w:name="_Toc14641"/>
      <w:bookmarkStart w:id="1008" w:name="_Toc29478"/>
      <w:bookmarkStart w:id="1009" w:name="_Toc7547"/>
      <w:bookmarkStart w:id="1010" w:name="_Toc9127"/>
      <w:bookmarkStart w:id="1011" w:name="_Toc24282"/>
      <w:bookmarkStart w:id="1012" w:name="_Toc19049"/>
      <w:bookmarkStart w:id="1013" w:name="_Toc19254"/>
      <w:bookmarkStart w:id="1014" w:name="_Toc6972"/>
      <w:bookmarkStart w:id="1015" w:name="_Toc6284"/>
      <w:bookmarkStart w:id="1016" w:name="_Toc4075"/>
      <w:bookmarkStart w:id="1017" w:name="_Toc14768"/>
      <w:bookmarkStart w:id="1018" w:name="_Toc4902"/>
      <w:bookmarkStart w:id="1019" w:name="_Toc19440"/>
      <w:r>
        <w:rPr>
          <w:rFonts w:hint="eastAsia" w:ascii="宋体" w:hAnsi="宋体" w:eastAsia="宋体" w:cs="宋体"/>
          <w:color w:val="auto"/>
          <w:sz w:val="21"/>
          <w:szCs w:val="21"/>
          <w:highlight w:val="none"/>
        </w:rPr>
        <w:t>3.7 评标争议处理</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14:paraId="374CB5D4">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3.7.1评标委员会全体成员应独立评审，对所提出的评审意见承担个人责任。</w:t>
      </w:r>
    </w:p>
    <w:p w14:paraId="17879E19">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3.7.2评标委员会成员对同一事项有不同意见，按照下列程序处理：</w:t>
      </w:r>
    </w:p>
    <w:p w14:paraId="20D47A0E">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）评标委员会成员分别陈述意见；</w:t>
      </w:r>
    </w:p>
    <w:p w14:paraId="79B132ED">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）集体讨论；</w:t>
      </w:r>
    </w:p>
    <w:p w14:paraId="29B27AE7">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）评标委员会成员表决；</w:t>
      </w:r>
    </w:p>
    <w:p w14:paraId="00561773">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）按照少数服从多数原则确定结果。</w:t>
      </w:r>
    </w:p>
    <w:p w14:paraId="64207B3F">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评标委员会成员的不同意见以及最终处理结果，应当如实记入评标报告。</w:t>
      </w:r>
    </w:p>
    <w:p w14:paraId="4ED0D829">
      <w:pPr>
        <w:pageBreakBefore w:val="0"/>
        <w:widowControl w:val="0"/>
        <w:shd w:val="clear" w:color="auto" w:fill="auto"/>
        <w:kinsoku/>
        <w:wordWrap/>
        <w:overflowPunct/>
        <w:topLinePunct w:val="0"/>
        <w:bidi w:val="0"/>
        <w:snapToGrid w:val="0"/>
        <w:spacing w:line="360" w:lineRule="auto"/>
        <w:ind w:firstLine="315" w:firstLineChars="1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评标委员会成员对书面决议或评审结论持有不同意见的，应当书面阐述其不同意见和理由。评标报告应当注明该不同意见。评标委员会成员拒绝在书面决议或评标报告上签字且不书面陈述其不同意见和理由的，视为同意书面决议或评标结论。评标委员会应当对此书面说明并记录在案。</w:t>
      </w:r>
    </w:p>
    <w:p w14:paraId="7152ADC8">
      <w:pPr>
        <w:pageBreakBefore w:val="0"/>
        <w:widowControl w:val="0"/>
        <w:shd w:val="clear" w:color="auto" w:fill="auto"/>
        <w:kinsoku/>
        <w:wordWrap/>
        <w:overflowPunct/>
        <w:topLinePunct w:val="0"/>
        <w:bidi w:val="0"/>
        <w:snapToGrid w:val="0"/>
        <w:spacing w:line="360" w:lineRule="auto"/>
        <w:ind w:firstLine="315" w:firstLineChars="1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在评标过程中</w:t>
      </w:r>
      <w:r>
        <w:rPr>
          <w:rFonts w:hint="eastAsia" w:ascii="宋体" w:hAnsi="宋体" w:eastAsia="宋体" w:cs="宋体"/>
          <w:strike w:val="0"/>
          <w:dstrike w:val="0"/>
          <w:color w:val="auto"/>
          <w:szCs w:val="21"/>
          <w:highlight w:val="none"/>
          <w:lang w:eastAsia="zh-CN"/>
        </w:rPr>
        <w:t>，</w:t>
      </w:r>
      <w:r>
        <w:rPr>
          <w:rFonts w:hint="eastAsia" w:ascii="宋体" w:hAnsi="宋体" w:eastAsia="宋体" w:cs="宋体"/>
          <w:color w:val="auto"/>
          <w:kern w:val="0"/>
          <w:szCs w:val="21"/>
          <w:highlight w:val="none"/>
        </w:rPr>
        <w:t>招标文件存在歧义、重大缺陷导致评标工作无法进行的，评标委员会应当停止评标工作，与招标人沟通并作书面记录。招标人确认后，应当修改招标文件，重新招标。</w:t>
      </w:r>
    </w:p>
    <w:p w14:paraId="441F4110">
      <w:pPr>
        <w:keepNext/>
        <w:keepLines/>
        <w:pageBreakBefore w:val="0"/>
        <w:widowControl w:val="0"/>
        <w:shd w:val="clear" w:color="auto" w:fill="auto"/>
        <w:kinsoku/>
        <w:wordWrap/>
        <w:overflowPunct/>
        <w:topLinePunct w:val="0"/>
        <w:bidi w:val="0"/>
        <w:snapToGrid w:val="0"/>
        <w:spacing w:line="360" w:lineRule="auto"/>
        <w:textAlignment w:val="auto"/>
        <w:outlineLvl w:val="1"/>
        <w:rPr>
          <w:rFonts w:hint="eastAsia" w:ascii="宋体" w:hAnsi="宋体" w:eastAsia="宋体" w:cs="宋体"/>
          <w:color w:val="auto"/>
          <w:sz w:val="21"/>
          <w:szCs w:val="21"/>
          <w:highlight w:val="none"/>
          <w:lang w:val="en-US" w:eastAsia="zh-CN"/>
        </w:rPr>
      </w:pPr>
      <w:bookmarkStart w:id="1020" w:name="_Toc15590"/>
      <w:bookmarkStart w:id="1021" w:name="_Toc6383"/>
      <w:bookmarkStart w:id="1022" w:name="_Toc15714"/>
      <w:bookmarkStart w:id="1023" w:name="_Toc12774"/>
      <w:bookmarkStart w:id="1024" w:name="_Toc7270"/>
      <w:bookmarkStart w:id="1025" w:name="_Toc6360"/>
      <w:bookmarkStart w:id="1026" w:name="_Toc23036"/>
      <w:bookmarkStart w:id="1027" w:name="_Toc17365"/>
      <w:bookmarkStart w:id="1028" w:name="_Toc6779"/>
      <w:bookmarkStart w:id="1029" w:name="_Toc32449"/>
      <w:bookmarkStart w:id="1030" w:name="_Toc2010"/>
      <w:bookmarkStart w:id="1031" w:name="_Toc16546"/>
      <w:bookmarkStart w:id="1032" w:name="_Toc26480"/>
      <w:r>
        <w:rPr>
          <w:rFonts w:hint="eastAsia" w:ascii="宋体" w:hAnsi="宋体" w:eastAsia="宋体" w:cs="宋体"/>
          <w:color w:val="auto"/>
          <w:sz w:val="21"/>
          <w:szCs w:val="21"/>
          <w:highlight w:val="none"/>
          <w:lang w:val="en-US" w:eastAsia="zh-CN"/>
        </w:rPr>
        <w:t>4. 无效标条款</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14:paraId="0DE8A43D">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szCs w:val="21"/>
          <w:highlight w:val="none"/>
        </w:rPr>
        <w:t>投标人有以下情形之一的，</w:t>
      </w:r>
      <w:r>
        <w:rPr>
          <w:rFonts w:hint="eastAsia" w:ascii="宋体" w:hAnsi="宋体" w:eastAsia="宋体" w:cs="宋体"/>
          <w:b/>
          <w:bCs/>
          <w:color w:val="auto"/>
          <w:kern w:val="0"/>
          <w:szCs w:val="21"/>
          <w:highlight w:val="none"/>
        </w:rPr>
        <w:t>属于重大偏差，视为未能对招标文件作出实质性响应，</w:t>
      </w:r>
      <w:r>
        <w:rPr>
          <w:rFonts w:hint="eastAsia" w:ascii="宋体" w:hAnsi="宋体" w:eastAsia="宋体" w:cs="宋体"/>
          <w:b/>
          <w:bCs/>
          <w:color w:val="auto"/>
          <w:szCs w:val="21"/>
          <w:highlight w:val="none"/>
        </w:rPr>
        <w:t>其投标作无效标处理：</w:t>
      </w:r>
    </w:p>
    <w:p w14:paraId="3E254083">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1</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投标文件中的投标函未加盖投标人的公章；</w:t>
      </w:r>
    </w:p>
    <w:p w14:paraId="3E8B5139">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2</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投标文件中的投标函未加盖企业法定代表人（或企业法定代表人委托代理人）印章（或签字）的；</w:t>
      </w:r>
    </w:p>
    <w:p w14:paraId="5F5DED9A">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3</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投标函加盖企业法定代表人委托代理人印章（或签字），企业法定代表人委托代理人没有合法、有效的委托书（原件）的；</w:t>
      </w:r>
    </w:p>
    <w:p w14:paraId="7AFF92E6">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4</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投标人资质条件不符合国家有关规定，或者不满足招标文件规定的资格条件的；</w:t>
      </w:r>
    </w:p>
    <w:p w14:paraId="777FB31A">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5</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组成联合体投标未提供联合体各方共同投标协议的；</w:t>
      </w:r>
    </w:p>
    <w:p w14:paraId="64D245FB">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6</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在同一招标项目中，联合体成员以自己名义单独投标或者参加其他联合体投标的；</w:t>
      </w:r>
    </w:p>
    <w:p w14:paraId="71B6704B">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7</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投标报价低于工程成本或者高于招标文件设定的最高投标限价的；</w:t>
      </w:r>
    </w:p>
    <w:p w14:paraId="0CD4F885">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8</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同一投标人提交两个及以上不同的投标文件或者投标报价，但招标文件要求提交备选投标的除外；</w:t>
      </w:r>
    </w:p>
    <w:p w14:paraId="2BBD890D">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9</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投标文件中已标价工程量清单与招标文件规定的暂估价、暂列金额及甲供材料价格不一致的；</w:t>
      </w:r>
    </w:p>
    <w:p w14:paraId="30950F81">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10</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投标文件中已标价工程量清单与招标文件明确列出的不可竞争费用项目或费率或计算基础不一致的；</w:t>
      </w:r>
    </w:p>
    <w:p w14:paraId="402261C9">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11</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投标文件的已标价工程量清单与招标文件提供的工程量清单中的项目编码、项目名称、项目特征、计量单位、工程量不一致的；</w:t>
      </w:r>
    </w:p>
    <w:p w14:paraId="464F9A87">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12</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未按招标文件要求提供投标保证金的；</w:t>
      </w:r>
    </w:p>
    <w:p w14:paraId="1FAC44D4">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13</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投标文件载明的招标项目完成期限超过招标文件规定的期限的；</w:t>
      </w:r>
    </w:p>
    <w:p w14:paraId="713F4B3D">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14</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明显不符合技术规范、技术标准的要求的；</w:t>
      </w:r>
    </w:p>
    <w:p w14:paraId="6F3ED8D8">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15</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投标文件载明的货物包装方式、检验标准和方法等不符合招标文件的要求的；</w:t>
      </w:r>
    </w:p>
    <w:p w14:paraId="4B57CC7E">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16</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投标文件提出了不能满足招标文件要求或招标人不能接受的工程验收、计量、价款结算和支付办法的；</w:t>
      </w:r>
    </w:p>
    <w:p w14:paraId="4FE26130">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17</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投标文件未能解密且按照招标文件明确的投标文件解密失败的补救方案补救不成功的</w:t>
      </w:r>
      <w:r>
        <w:rPr>
          <w:rFonts w:hint="eastAsia" w:ascii="宋体" w:hAnsi="宋体" w:eastAsia="宋体" w:cs="宋体"/>
          <w:b/>
          <w:bCs/>
          <w:color w:val="auto"/>
          <w:kern w:val="0"/>
          <w:szCs w:val="21"/>
          <w:highlight w:val="none"/>
          <w:lang w:eastAsia="zh-CN"/>
        </w:rPr>
        <w:t>（不适用）</w:t>
      </w:r>
      <w:r>
        <w:rPr>
          <w:rFonts w:hint="eastAsia" w:ascii="宋体" w:hAnsi="宋体" w:eastAsia="宋体" w:cs="宋体"/>
          <w:b/>
          <w:bCs/>
          <w:color w:val="auto"/>
          <w:kern w:val="0"/>
          <w:szCs w:val="21"/>
          <w:highlight w:val="none"/>
        </w:rPr>
        <w:t>；</w:t>
      </w:r>
    </w:p>
    <w:p w14:paraId="0F4BB684">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18</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不同投标人的投标文件以及投标文件制作过程出现了评标委员会认为不应当雷同的情况的；</w:t>
      </w:r>
    </w:p>
    <w:p w14:paraId="152E7C35">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19</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以他人的名义投标、串通投标、以行贿手段谋取中标或者以其他弄虚作假方式投标的；</w:t>
      </w:r>
    </w:p>
    <w:p w14:paraId="424E41A9">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20</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施工组织设计（施工方案）存在明显技术方案错误、或者不符合招标文件有关暗标要求</w:t>
      </w:r>
      <w:r>
        <w:rPr>
          <w:rFonts w:hint="eastAsia" w:ascii="宋体" w:hAnsi="宋体" w:eastAsia="宋体" w:cs="宋体"/>
          <w:b/>
          <w:bCs/>
          <w:color w:val="auto"/>
          <w:kern w:val="0"/>
          <w:szCs w:val="21"/>
          <w:highlight w:val="none"/>
          <w:lang w:eastAsia="zh-CN"/>
        </w:rPr>
        <w:t>的；</w:t>
      </w:r>
    </w:p>
    <w:p w14:paraId="1EC2AFA2">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21</w:t>
      </w:r>
      <w:r>
        <w:rPr>
          <w:rFonts w:hint="eastAsia" w:ascii="宋体" w:hAnsi="宋体" w:eastAsia="宋体" w:cs="宋体"/>
          <w:b/>
          <w:bCs/>
          <w:color w:val="auto"/>
          <w:kern w:val="0"/>
          <w:szCs w:val="21"/>
          <w:highlight w:val="none"/>
          <w:lang w:eastAsia="zh-CN"/>
        </w:rPr>
        <w:t>）投标文件关键内容模糊、无法辨认的。</w:t>
      </w:r>
    </w:p>
    <w:p w14:paraId="2336A778">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22</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不同投标人的电子投标文件由同一台电子设备编制的；</w:t>
      </w:r>
    </w:p>
    <w:p w14:paraId="7537B837">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lang w:val="en-US" w:eastAsia="zh-CN"/>
        </w:rPr>
        <w:t>（23）不同投标人的投标文件由同一投标人的电子设备打印、复印；</w:t>
      </w:r>
    </w:p>
    <w:p w14:paraId="610AEC6D">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lang w:val="en-US" w:eastAsia="zh-CN"/>
        </w:rPr>
        <w:t>（24）不同投标人的投标报价用同一个预算编制软件密码锁制作或者出自同一投标人的电子文档；</w:t>
      </w:r>
    </w:p>
    <w:p w14:paraId="752B7486">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lang w:val="en-US" w:eastAsia="zh-CN"/>
        </w:rPr>
        <w:t>（25）不同投标人从同一个投标单位或者同一个自然人的互联网协议地址下载招标文件、上传投标文件；</w:t>
      </w:r>
    </w:p>
    <w:p w14:paraId="4946CC69">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lang w:val="en-US" w:eastAsia="zh-CN"/>
        </w:rPr>
        <w:t>（26）不同投标人的投标保证金虽然经由投标人自己的基本账户转出，但所需资金来自同一单位或者个人的账户；</w:t>
      </w:r>
    </w:p>
    <w:p w14:paraId="63C133A4">
      <w:pPr>
        <w:pageBreakBefore w:val="0"/>
        <w:widowControl w:val="0"/>
        <w:shd w:val="clear" w:color="auto" w:fill="auto"/>
        <w:kinsoku/>
        <w:wordWrap/>
        <w:overflowPunct/>
        <w:topLinePunct w:val="0"/>
        <w:bidi w:val="0"/>
        <w:snapToGrid w:val="0"/>
        <w:spacing w:line="360" w:lineRule="auto"/>
        <w:ind w:firstLine="422" w:firstLineChars="200"/>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（27）参加投标活动的人员为同一标段或者未划分标段的同一招标项目的其他投标人的在职人员。</w:t>
      </w:r>
    </w:p>
    <w:p w14:paraId="0030A0D7">
      <w:pPr>
        <w:pageBreakBefore w:val="0"/>
        <w:widowControl w:val="0"/>
        <w:shd w:val="clear" w:color="auto" w:fill="auto"/>
        <w:kinsoku/>
        <w:wordWrap/>
        <w:overflowPunct/>
        <w:topLinePunct w:val="0"/>
        <w:bidi w:val="0"/>
        <w:snapToGrid w:val="0"/>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除上述无效标条款外，招标人一般不得另行规定无效标条款。</w:t>
      </w:r>
    </w:p>
    <w:p w14:paraId="394424A5">
      <w:pPr>
        <w:shd w:val="clear" w:color="auto" w:fill="auto"/>
        <w:spacing w:line="360" w:lineRule="auto"/>
        <w:ind w:firstLine="420" w:firstLineChars="200"/>
        <w:rPr>
          <w:rFonts w:hint="eastAsia" w:ascii="宋体" w:hAnsi="宋体" w:eastAsia="宋体" w:cs="宋体"/>
          <w:color w:val="auto"/>
          <w:kern w:val="0"/>
          <w:szCs w:val="21"/>
          <w:highlight w:val="none"/>
          <w:lang w:eastAsia="zh-CN"/>
        </w:rPr>
      </w:pPr>
    </w:p>
    <w:p w14:paraId="32ADB5D5">
      <w:pPr>
        <w:shd w:val="clear" w:color="auto" w:fill="auto"/>
        <w:spacing w:line="400" w:lineRule="exact"/>
        <w:rPr>
          <w:rFonts w:hint="eastAsia" w:ascii="宋体" w:hAnsi="宋体" w:eastAsia="宋体" w:cs="宋体"/>
          <w:color w:val="auto"/>
          <w:szCs w:val="21"/>
          <w:highlight w:val="none"/>
        </w:rPr>
      </w:pPr>
    </w:p>
    <w:p w14:paraId="22DE7011">
      <w:pPr>
        <w:shd w:val="clear" w:color="auto" w:fill="auto"/>
        <w:jc w:val="center"/>
        <w:rPr>
          <w:rFonts w:hint="eastAsia" w:ascii="宋体" w:hAnsi="宋体" w:eastAsia="宋体" w:cs="宋体"/>
          <w:b/>
          <w:color w:val="auto"/>
          <w:sz w:val="21"/>
          <w:szCs w:val="21"/>
          <w:highlight w:val="none"/>
        </w:rPr>
      </w:pPr>
    </w:p>
    <w:p w14:paraId="469D79E4">
      <w:pPr>
        <w:shd w:val="clear" w:color="auto" w:fill="auto"/>
        <w:jc w:val="center"/>
        <w:rPr>
          <w:rFonts w:hint="eastAsia" w:ascii="宋体" w:hAnsi="宋体" w:eastAsia="宋体" w:cs="宋体"/>
          <w:b/>
          <w:color w:val="auto"/>
          <w:sz w:val="21"/>
          <w:szCs w:val="21"/>
          <w:highlight w:val="none"/>
        </w:rPr>
      </w:pPr>
    </w:p>
    <w:p w14:paraId="56CEFEFB">
      <w:pPr>
        <w:shd w:val="clear" w:color="auto" w:fill="auto"/>
        <w:jc w:val="center"/>
        <w:rPr>
          <w:rFonts w:hint="eastAsia" w:ascii="宋体" w:hAnsi="宋体" w:eastAsia="宋体" w:cs="宋体"/>
          <w:b/>
          <w:color w:val="auto"/>
          <w:sz w:val="21"/>
          <w:szCs w:val="21"/>
          <w:highlight w:val="none"/>
        </w:rPr>
      </w:pPr>
    </w:p>
    <w:p w14:paraId="33BB39CD">
      <w:pPr>
        <w:shd w:val="clear" w:color="auto" w:fill="auto"/>
        <w:jc w:val="center"/>
        <w:rPr>
          <w:rFonts w:hint="eastAsia" w:ascii="宋体" w:hAnsi="宋体" w:eastAsia="宋体" w:cs="宋体"/>
          <w:b/>
          <w:color w:val="auto"/>
          <w:sz w:val="21"/>
          <w:szCs w:val="21"/>
          <w:highlight w:val="none"/>
        </w:rPr>
      </w:pPr>
    </w:p>
    <w:p w14:paraId="7F8AA50A">
      <w:pPr>
        <w:shd w:val="clear" w:color="auto" w:fill="auto"/>
        <w:jc w:val="both"/>
        <w:rPr>
          <w:rFonts w:hint="eastAsia" w:ascii="宋体" w:hAnsi="宋体" w:eastAsia="宋体" w:cs="宋体"/>
          <w:b/>
          <w:color w:val="auto"/>
          <w:sz w:val="21"/>
          <w:szCs w:val="21"/>
          <w:highlight w:val="none"/>
        </w:rPr>
      </w:pPr>
    </w:p>
    <w:p w14:paraId="3371EBD8">
      <w:pPr>
        <w:shd w:val="clear" w:color="auto" w:fill="auto"/>
        <w:jc w:val="both"/>
        <w:rPr>
          <w:rFonts w:hint="eastAsia" w:ascii="宋体" w:hAnsi="宋体" w:eastAsia="宋体" w:cs="宋体"/>
          <w:b/>
          <w:color w:val="auto"/>
          <w:sz w:val="21"/>
          <w:szCs w:val="21"/>
          <w:highlight w:val="none"/>
        </w:rPr>
      </w:pPr>
    </w:p>
    <w:p w14:paraId="1E0B4992">
      <w:pPr>
        <w:shd w:val="clear" w:color="auto" w:fill="auto"/>
        <w:jc w:val="both"/>
        <w:rPr>
          <w:rFonts w:hint="eastAsia" w:ascii="宋体" w:hAnsi="宋体" w:eastAsia="宋体" w:cs="宋体"/>
          <w:b/>
          <w:color w:val="auto"/>
          <w:sz w:val="21"/>
          <w:szCs w:val="21"/>
          <w:highlight w:val="none"/>
        </w:rPr>
      </w:pPr>
    </w:p>
    <w:p w14:paraId="665AB5D0">
      <w:pPr>
        <w:shd w:val="clear" w:color="auto" w:fill="auto"/>
        <w:jc w:val="both"/>
        <w:rPr>
          <w:rFonts w:hint="eastAsia" w:ascii="宋体" w:hAnsi="宋体" w:eastAsia="宋体" w:cs="宋体"/>
          <w:b/>
          <w:color w:val="auto"/>
          <w:sz w:val="21"/>
          <w:szCs w:val="21"/>
          <w:highlight w:val="none"/>
        </w:rPr>
      </w:pPr>
    </w:p>
    <w:p w14:paraId="156F2DB8">
      <w:pPr>
        <w:pStyle w:val="2"/>
        <w:spacing w:before="120" w:after="120" w:line="400" w:lineRule="exact"/>
        <w:jc w:val="center"/>
        <w:rPr>
          <w:rFonts w:hint="eastAsia"/>
          <w:szCs w:val="36"/>
          <w:highlight w:val="none"/>
        </w:rPr>
      </w:pPr>
      <w:bookmarkStart w:id="1033" w:name="_Toc19013"/>
      <w:bookmarkStart w:id="1034" w:name="_Toc13636"/>
      <w:bookmarkStart w:id="1035" w:name="_Toc227984065"/>
      <w:bookmarkStart w:id="1036" w:name="_Toc144974834"/>
      <w:bookmarkStart w:id="1037" w:name="_Toc152045772"/>
      <w:bookmarkStart w:id="1038" w:name="_Toc17225"/>
      <w:bookmarkStart w:id="1039" w:name="_Toc16443"/>
      <w:bookmarkStart w:id="1040" w:name="_Toc13002"/>
      <w:bookmarkStart w:id="1041" w:name="_Toc4032"/>
      <w:bookmarkStart w:id="1042" w:name="_Toc21075"/>
      <w:bookmarkStart w:id="1043" w:name="_Toc152042554"/>
      <w:bookmarkStart w:id="1044" w:name="_Toc2706"/>
      <w:bookmarkStart w:id="1045" w:name="_Toc10324"/>
      <w:bookmarkStart w:id="1046" w:name="_Toc24309"/>
      <w:bookmarkStart w:id="1047" w:name="_Toc15700"/>
    </w:p>
    <w:p w14:paraId="597C139A">
      <w:pPr>
        <w:pStyle w:val="2"/>
        <w:spacing w:before="120" w:after="120" w:line="400" w:lineRule="exact"/>
        <w:jc w:val="center"/>
        <w:rPr>
          <w:rFonts w:hint="eastAsia"/>
          <w:szCs w:val="36"/>
          <w:highlight w:val="none"/>
        </w:rPr>
      </w:pPr>
      <w:r>
        <w:rPr>
          <w:rFonts w:hint="eastAsia"/>
          <w:szCs w:val="36"/>
          <w:highlight w:val="none"/>
        </w:rPr>
        <w:br w:type="page"/>
      </w:r>
    </w:p>
    <w:p w14:paraId="4C83667D">
      <w:pPr>
        <w:pStyle w:val="2"/>
        <w:spacing w:before="120" w:after="120" w:line="400" w:lineRule="exact"/>
        <w:jc w:val="center"/>
        <w:rPr>
          <w:rFonts w:hint="eastAsia"/>
          <w:szCs w:val="36"/>
          <w:highlight w:val="none"/>
        </w:rPr>
      </w:pPr>
      <w:bookmarkStart w:id="1048" w:name="_Toc18659"/>
      <w:r>
        <w:rPr>
          <w:rFonts w:hint="eastAsia"/>
          <w:szCs w:val="36"/>
          <w:highlight w:val="none"/>
        </w:rPr>
        <w:t>第四章 合同主要条款</w:t>
      </w:r>
      <w:bookmarkEnd w:id="1048"/>
    </w:p>
    <w:p w14:paraId="76C0AB01">
      <w:pPr>
        <w:pStyle w:val="51"/>
        <w:ind w:left="420" w:right="0"/>
        <w:jc w:val="center"/>
        <w:rPr>
          <w:rFonts w:hint="eastAsia" w:ascii="宋体" w:hAnsi="宋体" w:cs="宋体"/>
          <w:sz w:val="21"/>
          <w:szCs w:val="21"/>
          <w:highlight w:val="none"/>
        </w:rPr>
      </w:pPr>
    </w:p>
    <w:p w14:paraId="7143D0B2">
      <w:pPr>
        <w:pStyle w:val="51"/>
        <w:ind w:left="420" w:right="0"/>
        <w:jc w:val="center"/>
        <w:rPr>
          <w:rFonts w:hint="eastAsia" w:ascii="宋体" w:hAnsi="宋体" w:cs="宋体"/>
          <w:sz w:val="21"/>
          <w:szCs w:val="21"/>
          <w:highlight w:val="none"/>
        </w:rPr>
      </w:pPr>
    </w:p>
    <w:p w14:paraId="6C821829">
      <w:pPr>
        <w:pStyle w:val="51"/>
        <w:ind w:left="420" w:right="0"/>
        <w:jc w:val="center"/>
        <w:rPr>
          <w:rFonts w:hint="eastAsia" w:ascii="宋体" w:hAnsi="宋体" w:cs="宋体"/>
          <w:sz w:val="21"/>
          <w:szCs w:val="21"/>
          <w:highlight w:val="none"/>
        </w:rPr>
      </w:pPr>
    </w:p>
    <w:p w14:paraId="20EFF370">
      <w:pPr>
        <w:pStyle w:val="51"/>
        <w:ind w:left="420" w:right="0"/>
        <w:jc w:val="center"/>
        <w:rPr>
          <w:rFonts w:hint="eastAsia" w:ascii="宋体" w:hAnsi="宋体" w:cs="宋体"/>
          <w:sz w:val="21"/>
          <w:szCs w:val="21"/>
          <w:highlight w:val="none"/>
        </w:rPr>
      </w:pPr>
    </w:p>
    <w:p w14:paraId="7D05D565">
      <w:pPr>
        <w:pStyle w:val="51"/>
        <w:ind w:left="420" w:right="0"/>
        <w:jc w:val="center"/>
        <w:rPr>
          <w:rFonts w:hint="eastAsia" w:ascii="宋体" w:hAnsi="宋体" w:cs="宋体"/>
          <w:sz w:val="21"/>
          <w:szCs w:val="21"/>
          <w:highlight w:val="none"/>
        </w:rPr>
      </w:pPr>
    </w:p>
    <w:p w14:paraId="72828EB0">
      <w:pPr>
        <w:adjustRightInd w:val="0"/>
        <w:snapToGrid w:val="0"/>
        <w:spacing w:line="360" w:lineRule="auto"/>
        <w:jc w:val="center"/>
        <w:rPr>
          <w:rFonts w:hint="eastAsia" w:ascii="宋体" w:hAnsi="宋体" w:cs="宋体"/>
          <w:sz w:val="28"/>
          <w:szCs w:val="28"/>
          <w:highlight w:val="none"/>
        </w:rPr>
      </w:pPr>
      <w:r>
        <w:rPr>
          <w:rFonts w:hint="eastAsia" w:ascii="宋体" w:hAnsi="宋体" w:cs="宋体"/>
          <w:sz w:val="28"/>
          <w:szCs w:val="28"/>
          <w:highlight w:val="none"/>
        </w:rPr>
        <w:t>(GF—2017—0201)</w:t>
      </w:r>
    </w:p>
    <w:p w14:paraId="0E29B604">
      <w:pPr>
        <w:jc w:val="center"/>
        <w:rPr>
          <w:rFonts w:hint="eastAsia" w:ascii="宋体" w:hAnsi="宋体" w:cs="宋体"/>
          <w:b/>
          <w:szCs w:val="21"/>
          <w:highlight w:val="none"/>
        </w:rPr>
      </w:pPr>
    </w:p>
    <w:p w14:paraId="7215DD82">
      <w:pPr>
        <w:jc w:val="center"/>
        <w:rPr>
          <w:rFonts w:hint="eastAsia" w:ascii="宋体" w:hAnsi="宋体" w:cs="宋体"/>
          <w:b/>
          <w:szCs w:val="21"/>
          <w:highlight w:val="none"/>
        </w:rPr>
      </w:pPr>
    </w:p>
    <w:p w14:paraId="6E8B179F">
      <w:pPr>
        <w:jc w:val="center"/>
        <w:rPr>
          <w:rFonts w:hint="eastAsia" w:ascii="宋体" w:hAnsi="宋体" w:cs="宋体"/>
          <w:b/>
          <w:szCs w:val="21"/>
          <w:highlight w:val="none"/>
        </w:rPr>
      </w:pPr>
    </w:p>
    <w:p w14:paraId="5F788469">
      <w:pPr>
        <w:adjustRightInd w:val="0"/>
        <w:snapToGrid w:val="0"/>
        <w:spacing w:line="360" w:lineRule="auto"/>
        <w:jc w:val="center"/>
        <w:rPr>
          <w:rFonts w:hint="eastAsia" w:ascii="宋体" w:hAnsi="宋体" w:cs="宋体"/>
          <w:sz w:val="40"/>
          <w:szCs w:val="40"/>
          <w:highlight w:val="none"/>
        </w:rPr>
      </w:pPr>
    </w:p>
    <w:p w14:paraId="6268083B">
      <w:pPr>
        <w:adjustRightInd w:val="0"/>
        <w:snapToGrid w:val="0"/>
        <w:spacing w:line="360" w:lineRule="auto"/>
        <w:jc w:val="center"/>
        <w:rPr>
          <w:rFonts w:hint="eastAsia" w:ascii="宋体" w:hAnsi="宋体" w:cs="宋体"/>
          <w:b/>
          <w:bCs/>
          <w:sz w:val="36"/>
          <w:szCs w:val="36"/>
          <w:highlight w:val="none"/>
        </w:rPr>
      </w:pPr>
      <w:r>
        <w:rPr>
          <w:rFonts w:hint="eastAsia" w:ascii="宋体" w:hAnsi="宋体" w:cs="宋体"/>
          <w:b/>
          <w:bCs/>
          <w:sz w:val="36"/>
          <w:szCs w:val="36"/>
          <w:highlight w:val="none"/>
        </w:rPr>
        <w:t>建设工程施工合同</w:t>
      </w:r>
      <w:r>
        <w:rPr>
          <w:rFonts w:hint="eastAsia" w:ascii="宋体" w:hAnsi="宋体" w:cs="宋体"/>
          <w:b/>
          <w:bCs/>
          <w:sz w:val="36"/>
          <w:szCs w:val="36"/>
          <w:highlight w:val="none"/>
        </w:rPr>
        <w:br w:type="textWrapping"/>
      </w:r>
      <w:r>
        <w:rPr>
          <w:rFonts w:hint="eastAsia" w:ascii="宋体" w:hAnsi="宋体" w:cs="宋体"/>
          <w:b/>
          <w:bCs/>
          <w:sz w:val="36"/>
          <w:szCs w:val="36"/>
          <w:highlight w:val="none"/>
        </w:rPr>
        <w:t>（示范文本）</w:t>
      </w:r>
    </w:p>
    <w:p w14:paraId="02FDB07D">
      <w:pPr>
        <w:jc w:val="center"/>
        <w:rPr>
          <w:rFonts w:hint="eastAsia" w:ascii="宋体" w:hAnsi="宋体" w:cs="宋体"/>
          <w:b/>
          <w:szCs w:val="21"/>
          <w:highlight w:val="none"/>
        </w:rPr>
      </w:pPr>
    </w:p>
    <w:p w14:paraId="51269CB7">
      <w:pPr>
        <w:jc w:val="center"/>
        <w:rPr>
          <w:rFonts w:hint="eastAsia" w:ascii="宋体" w:hAnsi="宋体" w:cs="宋体"/>
          <w:b/>
          <w:szCs w:val="21"/>
          <w:highlight w:val="none"/>
        </w:rPr>
      </w:pPr>
    </w:p>
    <w:p w14:paraId="44D75649">
      <w:pPr>
        <w:jc w:val="center"/>
        <w:rPr>
          <w:rFonts w:hint="eastAsia" w:ascii="宋体" w:hAnsi="宋体" w:cs="宋体"/>
          <w:b/>
          <w:szCs w:val="21"/>
          <w:highlight w:val="none"/>
        </w:rPr>
      </w:pPr>
    </w:p>
    <w:p w14:paraId="522DCD28">
      <w:pPr>
        <w:jc w:val="center"/>
        <w:rPr>
          <w:rFonts w:hint="eastAsia" w:ascii="宋体" w:hAnsi="宋体" w:cs="宋体"/>
          <w:b/>
          <w:szCs w:val="21"/>
          <w:highlight w:val="none"/>
        </w:rPr>
      </w:pPr>
    </w:p>
    <w:p w14:paraId="4F8708D1">
      <w:pPr>
        <w:rPr>
          <w:rFonts w:hint="eastAsia" w:ascii="宋体" w:hAnsi="宋体" w:cs="宋体"/>
          <w:b/>
          <w:szCs w:val="21"/>
          <w:highlight w:val="none"/>
        </w:rPr>
      </w:pPr>
    </w:p>
    <w:p w14:paraId="23251981">
      <w:pPr>
        <w:rPr>
          <w:rFonts w:hint="eastAsia" w:ascii="宋体" w:hAnsi="宋体" w:cs="宋体"/>
          <w:b/>
          <w:szCs w:val="21"/>
          <w:highlight w:val="none"/>
        </w:rPr>
      </w:pPr>
    </w:p>
    <w:p w14:paraId="1842B9DD">
      <w:pPr>
        <w:rPr>
          <w:rFonts w:hint="eastAsia" w:ascii="宋体" w:hAnsi="宋体" w:cs="宋体"/>
          <w:b/>
          <w:szCs w:val="21"/>
          <w:highlight w:val="none"/>
        </w:rPr>
      </w:pPr>
    </w:p>
    <w:p w14:paraId="180D0CAF">
      <w:pPr>
        <w:rPr>
          <w:rFonts w:hint="eastAsia" w:ascii="宋体" w:hAnsi="宋体" w:cs="宋体"/>
          <w:b/>
          <w:szCs w:val="21"/>
          <w:highlight w:val="none"/>
        </w:rPr>
      </w:pPr>
    </w:p>
    <w:p w14:paraId="117198D5">
      <w:pPr>
        <w:rPr>
          <w:rFonts w:hint="eastAsia" w:ascii="宋体" w:hAnsi="宋体" w:cs="宋体"/>
          <w:b/>
          <w:szCs w:val="21"/>
          <w:highlight w:val="none"/>
        </w:rPr>
      </w:pPr>
    </w:p>
    <w:p w14:paraId="283DD87E">
      <w:pPr>
        <w:rPr>
          <w:rFonts w:hint="eastAsia" w:ascii="宋体" w:hAnsi="宋体" w:cs="宋体"/>
          <w:b/>
          <w:szCs w:val="21"/>
          <w:highlight w:val="none"/>
        </w:rPr>
      </w:pPr>
    </w:p>
    <w:p w14:paraId="7BEF9A69">
      <w:pPr>
        <w:rPr>
          <w:rFonts w:hint="eastAsia" w:ascii="宋体" w:hAnsi="宋体" w:cs="宋体"/>
          <w:b/>
          <w:szCs w:val="21"/>
          <w:highlight w:val="none"/>
        </w:rPr>
      </w:pPr>
    </w:p>
    <w:p w14:paraId="261C247D">
      <w:pPr>
        <w:rPr>
          <w:rFonts w:hint="eastAsia" w:ascii="宋体" w:hAnsi="宋体" w:cs="宋体"/>
          <w:b/>
          <w:szCs w:val="21"/>
          <w:highlight w:val="none"/>
        </w:rPr>
      </w:pPr>
    </w:p>
    <w:p w14:paraId="158DF498">
      <w:pPr>
        <w:rPr>
          <w:rFonts w:hint="eastAsia" w:ascii="宋体" w:hAnsi="宋体" w:cs="宋体"/>
          <w:b/>
          <w:szCs w:val="21"/>
          <w:highlight w:val="none"/>
        </w:rPr>
      </w:pPr>
    </w:p>
    <w:p w14:paraId="120DBBE8">
      <w:pPr>
        <w:rPr>
          <w:rFonts w:hint="eastAsia" w:ascii="宋体" w:hAnsi="宋体" w:cs="宋体"/>
          <w:b/>
          <w:szCs w:val="21"/>
          <w:highlight w:val="none"/>
        </w:rPr>
      </w:pPr>
    </w:p>
    <w:p w14:paraId="07983A1B">
      <w:pPr>
        <w:ind w:right="2719" w:rightChars="1295" w:firstLine="2520" w:firstLineChars="900"/>
        <w:jc w:val="left"/>
        <w:rPr>
          <w:rFonts w:hint="eastAsia" w:ascii="宋体" w:hAnsi="宋体" w:cs="宋体"/>
          <w:b/>
          <w:sz w:val="28"/>
          <w:szCs w:val="28"/>
          <w:highlight w:val="none"/>
        </w:rPr>
      </w:pPr>
      <w:r>
        <w:rPr>
          <w:rFonts w:hint="eastAsia" w:ascii="宋体" w:hAnsi="宋体" w:cs="宋体"/>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1114425" cy="457200"/>
                <wp:effectExtent l="4445" t="5080" r="5080" b="13970"/>
                <wp:wrapNone/>
                <wp:docPr id="17" name="文本框 17"/>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734F4AD0">
                            <w:pPr>
                              <w:ind w:firstLine="643" w:firstLineChars="200"/>
                              <w:rPr>
                                <w:rFonts w:hint="eastAsia"/>
                                <w:b/>
                                <w:bCs/>
                                <w:sz w:val="32"/>
                              </w:rPr>
                            </w:pPr>
                            <w:r>
                              <w:rPr>
                                <w:rFonts w:hint="eastAsia"/>
                                <w:b/>
                                <w:bCs/>
                                <w:sz w:val="32"/>
                              </w:rPr>
                              <w:t>制定</w:t>
                            </w:r>
                          </w:p>
                        </w:txbxContent>
                      </wps:txbx>
                      <wps:bodyPr vert="horz" wrap="square" anchor="t" anchorCtr="0" upright="1"/>
                    </wps:wsp>
                  </a:graphicData>
                </a:graphic>
              </wp:anchor>
            </w:drawing>
          </mc:Choice>
          <mc:Fallback>
            <w:pict>
              <v:shape id="_x0000_s1026" o:spid="_x0000_s1026" o:spt="202" type="#_x0000_t202" style="position:absolute;left:0pt;margin-left:312.6pt;margin-top:9.45pt;height:36pt;width:87.75pt;z-index:251659264;mso-width-relative:page;mso-height-relative:page;" filled="f" stroked="t" coordsize="21600,21600" o:gfxdata="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5XSmWtgAAAAJAQAADwAAAAAAAAABACAAAAAiAAAAZHJzL2Rvd25yZXYueG1sUEsBAhQAFAAA&#10;AAgAh07iQM1dd14oAgAATwQAAA4AAAAAAAAAAQAgAAAAJwEAAGRycy9lMm9Eb2MueG1sUEsFBgAA&#10;AAAGAAYAWQEAAMEFAAAAAA==&#10;">
                <v:fill on="f" focussize="0,0"/>
                <v:stroke color="#FFFFFF" joinstyle="miter"/>
                <v:imagedata o:title=""/>
                <o:lock v:ext="edit" aspectratio="f"/>
                <v:textbox>
                  <w:txbxContent>
                    <w:p w14:paraId="734F4AD0">
                      <w:pPr>
                        <w:ind w:firstLine="643" w:firstLineChars="200"/>
                        <w:rPr>
                          <w:rFonts w:hint="eastAsia"/>
                          <w:b/>
                          <w:bCs/>
                          <w:sz w:val="32"/>
                        </w:rPr>
                      </w:pPr>
                      <w:r>
                        <w:rPr>
                          <w:rFonts w:hint="eastAsia"/>
                          <w:b/>
                          <w:bCs/>
                          <w:sz w:val="32"/>
                        </w:rPr>
                        <w:t>制定</w:t>
                      </w:r>
                    </w:p>
                  </w:txbxContent>
                </v:textbox>
              </v:shape>
            </w:pict>
          </mc:Fallback>
        </mc:AlternateContent>
      </w:r>
      <w:r>
        <w:rPr>
          <w:rFonts w:hint="eastAsia" w:ascii="宋体" w:hAnsi="宋体" w:cs="宋体"/>
          <w:b/>
          <w:sz w:val="28"/>
          <w:szCs w:val="28"/>
          <w:highlight w:val="none"/>
        </w:rPr>
        <w:t>住</w:t>
      </w:r>
      <w:r>
        <w:rPr>
          <w:rFonts w:hint="eastAsia" w:ascii="宋体" w:hAnsi="宋体" w:cs="宋体"/>
          <w:b/>
          <w:sz w:val="28"/>
          <w:szCs w:val="28"/>
          <w:highlight w:val="none"/>
          <w:lang w:val="en-US" w:eastAsia="zh-CN"/>
        </w:rPr>
        <w:t xml:space="preserve">  </w:t>
      </w:r>
      <w:r>
        <w:rPr>
          <w:rFonts w:hint="eastAsia" w:ascii="宋体" w:hAnsi="宋体" w:cs="宋体"/>
          <w:b/>
          <w:sz w:val="28"/>
          <w:szCs w:val="28"/>
          <w:highlight w:val="none"/>
        </w:rPr>
        <w:t>房</w:t>
      </w:r>
      <w:r>
        <w:rPr>
          <w:rFonts w:hint="eastAsia" w:ascii="宋体" w:hAnsi="宋体" w:cs="宋体"/>
          <w:b/>
          <w:sz w:val="28"/>
          <w:szCs w:val="28"/>
          <w:highlight w:val="none"/>
          <w:lang w:val="en-US" w:eastAsia="zh-CN"/>
        </w:rPr>
        <w:t xml:space="preserve">  </w:t>
      </w:r>
      <w:r>
        <w:rPr>
          <w:rFonts w:hint="eastAsia" w:ascii="宋体" w:hAnsi="宋体" w:cs="宋体"/>
          <w:b/>
          <w:sz w:val="28"/>
          <w:szCs w:val="28"/>
          <w:highlight w:val="none"/>
        </w:rPr>
        <w:t>城</w:t>
      </w:r>
      <w:r>
        <w:rPr>
          <w:rFonts w:hint="eastAsia" w:ascii="宋体" w:hAnsi="宋体" w:cs="宋体"/>
          <w:b/>
          <w:sz w:val="28"/>
          <w:szCs w:val="28"/>
          <w:highlight w:val="none"/>
          <w:lang w:val="en-US" w:eastAsia="zh-CN"/>
        </w:rPr>
        <w:t xml:space="preserve">  </w:t>
      </w:r>
      <w:r>
        <w:rPr>
          <w:rFonts w:hint="eastAsia" w:ascii="宋体" w:hAnsi="宋体" w:cs="宋体"/>
          <w:b/>
          <w:sz w:val="28"/>
          <w:szCs w:val="28"/>
          <w:highlight w:val="none"/>
        </w:rPr>
        <w:t>乡</w:t>
      </w:r>
      <w:r>
        <w:rPr>
          <w:rFonts w:hint="eastAsia" w:ascii="宋体" w:hAnsi="宋体" w:cs="宋体"/>
          <w:b/>
          <w:sz w:val="28"/>
          <w:szCs w:val="28"/>
          <w:highlight w:val="none"/>
          <w:lang w:val="en-US" w:eastAsia="zh-CN"/>
        </w:rPr>
        <w:t xml:space="preserve">  </w:t>
      </w:r>
      <w:r>
        <w:rPr>
          <w:rFonts w:hint="eastAsia" w:ascii="宋体" w:hAnsi="宋体" w:cs="宋体"/>
          <w:b/>
          <w:sz w:val="28"/>
          <w:szCs w:val="28"/>
          <w:highlight w:val="none"/>
        </w:rPr>
        <w:t>建</w:t>
      </w:r>
      <w:r>
        <w:rPr>
          <w:rFonts w:hint="eastAsia" w:ascii="宋体" w:hAnsi="宋体" w:cs="宋体"/>
          <w:b/>
          <w:sz w:val="28"/>
          <w:szCs w:val="28"/>
          <w:highlight w:val="none"/>
          <w:lang w:val="en-US" w:eastAsia="zh-CN"/>
        </w:rPr>
        <w:t xml:space="preserve">  </w:t>
      </w:r>
      <w:r>
        <w:rPr>
          <w:rFonts w:hint="eastAsia" w:ascii="宋体" w:hAnsi="宋体" w:cs="宋体"/>
          <w:b/>
          <w:sz w:val="28"/>
          <w:szCs w:val="28"/>
          <w:highlight w:val="none"/>
        </w:rPr>
        <w:t>设</w:t>
      </w:r>
      <w:r>
        <w:rPr>
          <w:rFonts w:hint="eastAsia" w:ascii="宋体" w:hAnsi="宋体" w:cs="宋体"/>
          <w:b/>
          <w:sz w:val="28"/>
          <w:szCs w:val="28"/>
          <w:highlight w:val="none"/>
          <w:lang w:val="en-US" w:eastAsia="zh-CN"/>
        </w:rPr>
        <w:t xml:space="preserve"> </w:t>
      </w:r>
      <w:r>
        <w:rPr>
          <w:rFonts w:hint="eastAsia" w:ascii="宋体" w:hAnsi="宋体" w:cs="宋体"/>
          <w:b/>
          <w:sz w:val="28"/>
          <w:szCs w:val="28"/>
          <w:highlight w:val="none"/>
        </w:rPr>
        <w:t>部</w:t>
      </w:r>
    </w:p>
    <w:p w14:paraId="1919C85F">
      <w:pPr>
        <w:ind w:right="2719" w:rightChars="1295" w:firstLine="2406" w:firstLineChars="856"/>
        <w:jc w:val="distribute"/>
        <w:rPr>
          <w:rFonts w:hint="eastAsia" w:ascii="宋体" w:hAnsi="宋体" w:cs="宋体"/>
          <w:b/>
          <w:sz w:val="28"/>
          <w:szCs w:val="28"/>
          <w:highlight w:val="none"/>
        </w:rPr>
      </w:pPr>
      <w:r>
        <w:rPr>
          <w:rFonts w:hint="eastAsia" w:ascii="宋体" w:hAnsi="宋体" w:cs="宋体"/>
          <w:b/>
          <w:sz w:val="28"/>
          <w:szCs w:val="28"/>
          <w:highlight w:val="none"/>
        </w:rPr>
        <w:t>国家工商行政管理总局</w:t>
      </w:r>
    </w:p>
    <w:p w14:paraId="3D34F8E4">
      <w:pPr>
        <w:spacing w:line="360" w:lineRule="auto"/>
        <w:ind w:firstLine="420" w:firstLineChars="200"/>
        <w:jc w:val="center"/>
        <w:rPr>
          <w:rFonts w:hint="default" w:ascii="Times New Roman" w:hAnsi="Times New Roman" w:eastAsia="宋体" w:cs="Times New Roman"/>
          <w:b w:val="0"/>
          <w:color w:val="auto"/>
          <w:sz w:val="28"/>
          <w:szCs w:val="16"/>
          <w:highlight w:val="none"/>
          <w:lang w:val="zh-CN"/>
        </w:rPr>
      </w:pPr>
      <w:r>
        <w:rPr>
          <w:rFonts w:hint="eastAsia" w:ascii="宋体" w:hAnsi="宋体" w:cs="宋体"/>
          <w:szCs w:val="21"/>
          <w:highlight w:val="none"/>
        </w:rPr>
        <w:br w:type="page"/>
      </w:r>
      <w:bookmarkStart w:id="1049" w:name="_Toc18013"/>
      <w:bookmarkStart w:id="1050" w:name="_Toc6935"/>
      <w:r>
        <w:rPr>
          <w:rFonts w:hint="default" w:ascii="Times New Roman" w:hAnsi="Times New Roman" w:eastAsia="宋体" w:cs="Times New Roman"/>
          <w:color w:val="auto"/>
          <w:sz w:val="28"/>
          <w:szCs w:val="16"/>
          <w:highlight w:val="none"/>
          <w:lang w:val="zh-CN"/>
        </w:rPr>
        <w:t>第一部分 合同协议书</w:t>
      </w:r>
      <w:bookmarkEnd w:id="1049"/>
      <w:bookmarkEnd w:id="1050"/>
    </w:p>
    <w:p w14:paraId="28726871">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
          <w:color w:val="auto"/>
          <w:sz w:val="21"/>
          <w:szCs w:val="21"/>
          <w:highlight w:val="none"/>
        </w:rPr>
      </w:pPr>
    </w:p>
    <w:p w14:paraId="53387317">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
          <w:color w:val="auto"/>
          <w:sz w:val="21"/>
          <w:szCs w:val="21"/>
          <w:highlight w:val="none"/>
          <w:u w:val="single"/>
          <w:lang w:eastAsia="zh-CN"/>
        </w:rPr>
      </w:pPr>
      <w:r>
        <w:rPr>
          <w:rFonts w:hint="eastAsia" w:ascii="宋体" w:hAnsi="宋体" w:eastAsia="宋体" w:cs="宋体"/>
          <w:b/>
          <w:color w:val="auto"/>
          <w:sz w:val="21"/>
          <w:szCs w:val="21"/>
          <w:highlight w:val="none"/>
        </w:rPr>
        <w:t>发包人（全称）：</w:t>
      </w:r>
      <w:r>
        <w:rPr>
          <w:rFonts w:hint="eastAsia" w:ascii="宋体" w:hAnsi="宋体" w:eastAsia="宋体" w:cs="宋体"/>
          <w:b/>
          <w:color w:val="auto"/>
          <w:sz w:val="21"/>
          <w:szCs w:val="21"/>
          <w:highlight w:val="none"/>
          <w:u w:val="single"/>
          <w:lang w:eastAsia="zh-CN"/>
        </w:rPr>
        <w:t>南通轨道交通集团有限公司</w:t>
      </w:r>
    </w:p>
    <w:p w14:paraId="26A844A8">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rPr>
        <w:t>承包人（全称）：</w:t>
      </w:r>
      <w:r>
        <w:rPr>
          <w:rFonts w:hint="eastAsia" w:ascii="宋体" w:hAnsi="宋体" w:eastAsia="宋体" w:cs="宋体"/>
          <w:b/>
          <w:color w:val="auto"/>
          <w:sz w:val="21"/>
          <w:szCs w:val="21"/>
          <w:highlight w:val="none"/>
          <w:u w:val="single"/>
        </w:rPr>
        <w:t>              </w:t>
      </w:r>
    </w:p>
    <w:p w14:paraId="2E9E885C">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根据《中华人民共和国</w:t>
      </w:r>
      <w:r>
        <w:rPr>
          <w:rFonts w:hint="eastAsia" w:ascii="宋体" w:hAnsi="宋体" w:eastAsia="宋体" w:cs="宋体"/>
          <w:color w:val="auto"/>
          <w:sz w:val="21"/>
          <w:szCs w:val="21"/>
          <w:highlight w:val="none"/>
          <w:lang w:eastAsia="zh-CN"/>
        </w:rPr>
        <w:t>民法典</w:t>
      </w:r>
      <w:r>
        <w:rPr>
          <w:rFonts w:hint="eastAsia" w:ascii="宋体" w:hAnsi="宋体" w:eastAsia="宋体" w:cs="宋体"/>
          <w:color w:val="auto"/>
          <w:sz w:val="21"/>
          <w:szCs w:val="21"/>
          <w:highlight w:val="none"/>
        </w:rPr>
        <w:t>》、《中华人民共和国建筑法》及有关法律规定，遵循平等、自愿、公平和诚实信用的原则，双方就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南通轨道交通部分站点非机动车换乘停车优化改造施工项目（第1批次）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施工及有关事项协商一致，共同达成如下协议：</w:t>
      </w:r>
    </w:p>
    <w:p w14:paraId="140DCC64">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w:t>
      </w:r>
      <w:r>
        <w:rPr>
          <w:rFonts w:hint="eastAsia" w:ascii="宋体" w:hAnsi="宋体" w:eastAsia="宋体" w:cs="宋体"/>
          <w:b/>
          <w:color w:val="auto"/>
          <w:sz w:val="21"/>
          <w:szCs w:val="21"/>
          <w:highlight w:val="none"/>
        </w:rPr>
        <w:t xml:space="preserve"> 一、工程概况</w:t>
      </w:r>
    </w:p>
    <w:p w14:paraId="788429E9">
      <w:pPr>
        <w:keepNext w:val="0"/>
        <w:keepLines w:val="0"/>
        <w:pageBreakBefore w:val="0"/>
        <w:widowControl w:val="0"/>
        <w:kinsoku/>
        <w:wordWrap/>
        <w:overflowPunct/>
        <w:topLinePunct w:val="0"/>
        <w:autoSpaceDE/>
        <w:autoSpaceDN/>
        <w:bidi w:val="0"/>
        <w:snapToGrid w:val="0"/>
        <w:spacing w:line="360" w:lineRule="auto"/>
        <w:ind w:firstLine="411" w:firstLineChars="196"/>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bCs/>
          <w:color w:val="auto"/>
          <w:sz w:val="21"/>
          <w:szCs w:val="21"/>
          <w:highlight w:val="none"/>
        </w:rPr>
        <w:t>1.工程名称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南通轨道交通部分站点非机动车换乘停车优化改造施工项目（第1批次）</w:t>
      </w:r>
      <w:r>
        <w:rPr>
          <w:rFonts w:hint="eastAsia" w:ascii="宋体" w:hAnsi="宋体" w:eastAsia="宋体" w:cs="宋体"/>
          <w:color w:val="auto"/>
          <w:sz w:val="21"/>
          <w:szCs w:val="21"/>
          <w:highlight w:val="none"/>
          <w:u w:val="single"/>
        </w:rPr>
        <w:t xml:space="preserve"> </w:t>
      </w:r>
    </w:p>
    <w:p w14:paraId="7B6E939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szCs w:val="21"/>
          <w:highlight w:val="none"/>
        </w:rPr>
      </w:pPr>
      <w:r>
        <w:rPr>
          <w:rFonts w:hint="eastAsia" w:ascii="宋体" w:hAnsi="宋体" w:eastAsia="宋体" w:cs="宋体"/>
          <w:bCs/>
          <w:color w:val="auto"/>
          <w:sz w:val="21"/>
          <w:szCs w:val="21"/>
          <w:highlight w:val="none"/>
        </w:rPr>
        <w:t>2.工程地点：</w:t>
      </w:r>
      <w:r>
        <w:rPr>
          <w:rFonts w:hint="eastAsia" w:ascii="宋体" w:hAnsi="宋体" w:cs="宋体"/>
          <w:szCs w:val="21"/>
          <w:highlight w:val="none"/>
          <w:u w:val="single"/>
        </w:rPr>
        <w:t xml:space="preserve"> </w:t>
      </w:r>
      <w:r>
        <w:rPr>
          <w:rFonts w:hint="eastAsia" w:ascii="宋体" w:hAnsi="宋体" w:cs="宋体"/>
          <w:szCs w:val="21"/>
          <w:highlight w:val="none"/>
          <w:u w:val="single"/>
          <w:lang w:eastAsia="zh-CN"/>
        </w:rPr>
        <w:t>南通市轨道交通</w:t>
      </w:r>
      <w:r>
        <w:rPr>
          <w:rFonts w:hint="eastAsia" w:ascii="宋体" w:hAnsi="宋体" w:cs="宋体"/>
          <w:szCs w:val="21"/>
          <w:highlight w:val="none"/>
          <w:u w:val="single"/>
          <w:lang w:val="en-US" w:eastAsia="zh-CN"/>
        </w:rPr>
        <w:t>1</w:t>
      </w:r>
      <w:r>
        <w:rPr>
          <w:rFonts w:hint="eastAsia" w:ascii="宋体" w:hAnsi="宋体" w:cs="宋体"/>
          <w:szCs w:val="21"/>
          <w:highlight w:val="none"/>
          <w:u w:val="single"/>
        </w:rPr>
        <w:t>号</w:t>
      </w:r>
      <w:r>
        <w:rPr>
          <w:rFonts w:hint="eastAsia" w:ascii="宋体" w:hAnsi="宋体" w:cs="宋体"/>
          <w:szCs w:val="21"/>
          <w:highlight w:val="none"/>
          <w:u w:val="single"/>
          <w:lang w:eastAsia="zh-CN"/>
        </w:rPr>
        <w:t>线紫琅路站和河口站</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p>
    <w:p w14:paraId="1C32EB1F">
      <w:pPr>
        <w:keepNext w:val="0"/>
        <w:keepLines w:val="0"/>
        <w:pageBreakBefore w:val="0"/>
        <w:widowControl w:val="0"/>
        <w:kinsoku/>
        <w:wordWrap/>
        <w:overflowPunct/>
        <w:topLinePunct w:val="0"/>
        <w:autoSpaceDE/>
        <w:autoSpaceDN/>
        <w:bidi w:val="0"/>
        <w:snapToGrid w:val="0"/>
        <w:spacing w:line="360" w:lineRule="auto"/>
        <w:ind w:firstLine="411" w:firstLineChars="196"/>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3.工程立项批准文号：</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1C61168C">
      <w:pPr>
        <w:keepNext w:val="0"/>
        <w:keepLines w:val="0"/>
        <w:pageBreakBefore w:val="0"/>
        <w:widowControl w:val="0"/>
        <w:kinsoku/>
        <w:wordWrap/>
        <w:overflowPunct/>
        <w:topLinePunct w:val="0"/>
        <w:autoSpaceDE/>
        <w:autoSpaceDN/>
        <w:bidi w:val="0"/>
        <w:snapToGrid w:val="0"/>
        <w:spacing w:line="360" w:lineRule="auto"/>
        <w:ind w:firstLine="411" w:firstLineChars="196"/>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4.资金来源：</w:t>
      </w:r>
      <w:r>
        <w:rPr>
          <w:rFonts w:hint="eastAsia" w:ascii="宋体" w:hAnsi="宋体" w:eastAsia="宋体" w:cs="宋体"/>
          <w:color w:val="auto"/>
          <w:sz w:val="21"/>
          <w:szCs w:val="21"/>
          <w:highlight w:val="none"/>
          <w:u w:val="single"/>
          <w:lang w:val="en-US" w:eastAsia="zh-CN"/>
        </w:rPr>
        <w:t>自筹</w:t>
      </w:r>
      <w:r>
        <w:rPr>
          <w:rFonts w:hint="eastAsia" w:ascii="宋体" w:hAnsi="宋体" w:eastAsia="宋体" w:cs="宋体"/>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4B67820C">
      <w:pPr>
        <w:keepNext w:val="0"/>
        <w:keepLines w:val="0"/>
        <w:pageBreakBefore w:val="0"/>
        <w:widowControl w:val="0"/>
        <w:kinsoku/>
        <w:wordWrap/>
        <w:overflowPunct/>
        <w:topLinePunct w:val="0"/>
        <w:autoSpaceDE/>
        <w:autoSpaceDN/>
        <w:bidi w:val="0"/>
        <w:snapToGrid w:val="0"/>
        <w:spacing w:line="360" w:lineRule="auto"/>
        <w:ind w:firstLine="411" w:firstLineChars="196"/>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5.工程内容：</w:t>
      </w:r>
      <w:r>
        <w:rPr>
          <w:rFonts w:hint="eastAsia" w:ascii="宋体" w:hAnsi="宋体" w:eastAsia="宋体" w:cs="宋体"/>
          <w:color w:val="auto"/>
          <w:sz w:val="21"/>
          <w:szCs w:val="21"/>
          <w:highlight w:val="none"/>
          <w:u w:val="single"/>
          <w:lang w:val="en-US" w:eastAsia="zh-CN"/>
        </w:rPr>
        <w:t>包括但不限于1号线河口站2号出入口、1号线紫琅湖站1号出入口、1号线紫琅湖站2号出入口的道路（场地）、绿化景观、排水、交通设施、照明等项目</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具体详见招标文件、施工图纸及工程量清单。</w:t>
      </w:r>
    </w:p>
    <w:p w14:paraId="67D1D31D">
      <w:pPr>
        <w:keepNext w:val="0"/>
        <w:keepLines w:val="0"/>
        <w:pageBreakBefore w:val="0"/>
        <w:widowControl w:val="0"/>
        <w:kinsoku/>
        <w:wordWrap/>
        <w:overflowPunct/>
        <w:topLinePunct w:val="0"/>
        <w:autoSpaceDE/>
        <w:autoSpaceDN/>
        <w:bidi w:val="0"/>
        <w:snapToGrid w:val="0"/>
        <w:spacing w:line="360" w:lineRule="auto"/>
        <w:ind w:firstLine="411" w:firstLineChars="196"/>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群体工程应附《承包人承揽工程项目一览表》（附件1）。</w:t>
      </w:r>
    </w:p>
    <w:p w14:paraId="46C53349">
      <w:pPr>
        <w:keepNext w:val="0"/>
        <w:keepLines w:val="0"/>
        <w:pageBreakBefore w:val="0"/>
        <w:widowControl w:val="0"/>
        <w:kinsoku/>
        <w:wordWrap/>
        <w:overflowPunct/>
        <w:topLinePunct w:val="0"/>
        <w:autoSpaceDE/>
        <w:autoSpaceDN/>
        <w:bidi w:val="0"/>
        <w:snapToGrid w:val="0"/>
        <w:spacing w:line="360" w:lineRule="auto"/>
        <w:ind w:firstLine="411" w:firstLineChars="196"/>
        <w:textAlignment w:val="auto"/>
        <w:outlineLvl w:val="9"/>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6.工程承包范围：</w:t>
      </w:r>
      <w:r>
        <w:rPr>
          <w:rFonts w:hint="eastAsia" w:ascii="宋体" w:hAnsi="宋体" w:cs="宋体"/>
          <w:szCs w:val="21"/>
          <w:highlight w:val="none"/>
          <w:u w:val="single"/>
        </w:rPr>
        <w:t xml:space="preserve"> </w:t>
      </w:r>
      <w:r>
        <w:rPr>
          <w:rFonts w:hint="eastAsia" w:ascii="宋体" w:hAnsi="宋体" w:eastAsia="宋体" w:cs="宋体"/>
          <w:color w:val="auto"/>
          <w:sz w:val="21"/>
          <w:szCs w:val="21"/>
          <w:highlight w:val="none"/>
          <w:u w:val="single"/>
          <w:lang w:eastAsia="zh-CN"/>
        </w:rPr>
        <w:t>同工程内容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28D2971">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   二、合同工期</w:t>
      </w:r>
    </w:p>
    <w:p w14:paraId="3295D8CC">
      <w:pPr>
        <w:pStyle w:val="9"/>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sz w:val="21"/>
          <w:szCs w:val="21"/>
          <w:highlight w:val="none"/>
        </w:rPr>
        <w:t>工期：</w:t>
      </w:r>
      <w:r>
        <w:rPr>
          <w:rFonts w:hint="eastAsia"/>
          <w:highlight w:val="none"/>
          <w:u w:val="single"/>
          <w:lang w:val="en-US" w:eastAsia="zh-CN"/>
        </w:rPr>
        <w:t>9</w:t>
      </w:r>
      <w:r>
        <w:rPr>
          <w:rFonts w:hint="eastAsia" w:ascii="宋体" w:hAnsi="宋体" w:eastAsia="宋体" w:cs="宋体"/>
          <w:color w:val="auto"/>
          <w:kern w:val="2"/>
          <w:sz w:val="21"/>
          <w:szCs w:val="21"/>
          <w:highlight w:val="none"/>
          <w:u w:val="single"/>
          <w:lang w:val="en-US" w:eastAsia="zh-CN" w:bidi="ar-SA"/>
        </w:rPr>
        <w:t>0日历天，计划开工日期：2026年10月，计划竣工日期2027年1月，具体开工日期以发包人签发的书面开工通知为准。计划施工阶段性工期：由建设单位指令，每一工作面自绿化迁移等场地准备完成后不超过50日历天完成该工作面所有工程量。</w:t>
      </w:r>
    </w:p>
    <w:p w14:paraId="5585C4BB">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w:t>
      </w:r>
      <w:r>
        <w:rPr>
          <w:rFonts w:hint="eastAsia" w:ascii="宋体" w:hAnsi="宋体" w:eastAsia="宋体" w:cs="宋体"/>
          <w:b/>
          <w:color w:val="auto"/>
          <w:sz w:val="21"/>
          <w:szCs w:val="21"/>
          <w:highlight w:val="none"/>
        </w:rPr>
        <w:t>三、质量标准</w:t>
      </w:r>
    </w:p>
    <w:p w14:paraId="7210312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工程质量符合</w:t>
      </w:r>
      <w:r>
        <w:rPr>
          <w:rFonts w:hint="eastAsia" w:ascii="宋体" w:hAnsi="宋体" w:cs="宋体"/>
          <w:szCs w:val="21"/>
          <w:highlight w:val="none"/>
          <w:u w:val="single"/>
          <w:lang w:val="en-US" w:eastAsia="zh-CN"/>
        </w:rPr>
        <w:t>合格，</w:t>
      </w:r>
      <w:r>
        <w:rPr>
          <w:rFonts w:hint="eastAsia" w:ascii="宋体" w:hAnsi="宋体" w:eastAsia="宋体" w:cs="宋体"/>
          <w:szCs w:val="21"/>
          <w:highlight w:val="none"/>
          <w:u w:val="single"/>
          <w:lang w:val="en-US" w:eastAsia="zh-CN"/>
        </w:rPr>
        <w:t>其中：苗木成活率符合《园林绿化工程施工及验收规范》（CJJ/T82-2012）的要求，并且长势良好；园林绿化养护质量符合《园林绿化养护标准》（CJJ/T287），并按南通市城市绿化管理部门颁布的相关办法进行考核。若相关标准、规范在施工周期内发生更新、修订，应优先执行最新现行有效版本。</w:t>
      </w:r>
    </w:p>
    <w:p w14:paraId="3BD8D28C">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w:t>
      </w:r>
      <w:r>
        <w:rPr>
          <w:rFonts w:hint="eastAsia" w:ascii="宋体" w:hAnsi="宋体" w:eastAsia="宋体" w:cs="宋体"/>
          <w:b/>
          <w:color w:val="auto"/>
          <w:sz w:val="21"/>
          <w:szCs w:val="21"/>
          <w:highlight w:val="none"/>
        </w:rPr>
        <w:t xml:space="preserve"> 四、签约合同价与合同价格形式</w:t>
      </w:r>
      <w:r>
        <w:rPr>
          <w:rFonts w:hint="eastAsia" w:ascii="宋体" w:hAnsi="宋体" w:eastAsia="宋体" w:cs="宋体"/>
          <w:b/>
          <w:color w:val="auto"/>
          <w:sz w:val="21"/>
          <w:szCs w:val="21"/>
          <w:highlight w:val="none"/>
        </w:rPr>
        <w:tab/>
      </w:r>
    </w:p>
    <w:p w14:paraId="0670532E">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1.签约合同价为：</w:t>
      </w:r>
    </w:p>
    <w:p w14:paraId="127666DD">
      <w:pPr>
        <w:keepNext w:val="0"/>
        <w:keepLines w:val="0"/>
        <w:pageBreakBefore w:val="0"/>
        <w:widowControl w:val="0"/>
        <w:kinsoku/>
        <w:wordWrap/>
        <w:overflowPunct/>
        <w:topLinePunct w:val="0"/>
        <w:autoSpaceDE/>
        <w:autoSpaceDN/>
        <w:bidi w:val="0"/>
        <w:snapToGrid w:val="0"/>
        <w:spacing w:line="360" w:lineRule="auto"/>
        <w:ind w:firstLine="525" w:firstLineChars="25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12913BFC">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w:t>
      </w:r>
    </w:p>
    <w:p w14:paraId="6946B888">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（1）安全文明施工费：</w:t>
      </w:r>
    </w:p>
    <w:p w14:paraId="54240315">
      <w:pPr>
        <w:keepNext w:val="0"/>
        <w:keepLines w:val="0"/>
        <w:pageBreakBefore w:val="0"/>
        <w:widowControl w:val="0"/>
        <w:kinsoku/>
        <w:wordWrap/>
        <w:overflowPunct/>
        <w:topLinePunct w:val="0"/>
        <w:autoSpaceDE/>
        <w:autoSpaceDN/>
        <w:bidi w:val="0"/>
        <w:snapToGrid w:val="0"/>
        <w:spacing w:line="360" w:lineRule="auto"/>
        <w:ind w:firstLine="945" w:firstLineChars="45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49244ED4">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（2）材料和工程设备暂估价金额：</w:t>
      </w:r>
    </w:p>
    <w:p w14:paraId="65CBADAC">
      <w:pPr>
        <w:keepNext w:val="0"/>
        <w:keepLines w:val="0"/>
        <w:pageBreakBefore w:val="0"/>
        <w:widowControl w:val="0"/>
        <w:kinsoku/>
        <w:wordWrap/>
        <w:overflowPunct/>
        <w:topLinePunct w:val="0"/>
        <w:autoSpaceDE/>
        <w:autoSpaceDN/>
        <w:bidi w:val="0"/>
        <w:snapToGrid w:val="0"/>
        <w:spacing w:line="360" w:lineRule="auto"/>
        <w:ind w:firstLine="945" w:firstLineChars="45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486EBFB6">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（3）专业工程暂估价金额：</w:t>
      </w:r>
    </w:p>
    <w:p w14:paraId="71F25D18">
      <w:pPr>
        <w:keepNext w:val="0"/>
        <w:keepLines w:val="0"/>
        <w:pageBreakBefore w:val="0"/>
        <w:widowControl w:val="0"/>
        <w:kinsoku/>
        <w:wordWrap/>
        <w:overflowPunct/>
        <w:topLinePunct w:val="0"/>
        <w:autoSpaceDE/>
        <w:autoSpaceDN/>
        <w:bidi w:val="0"/>
        <w:snapToGrid w:val="0"/>
        <w:spacing w:line="360" w:lineRule="auto"/>
        <w:ind w:firstLine="945" w:firstLineChars="45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2EFB8FA4">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（4）暂列金额：</w:t>
      </w:r>
    </w:p>
    <w:p w14:paraId="0035C1FE">
      <w:pPr>
        <w:keepNext w:val="0"/>
        <w:keepLines w:val="0"/>
        <w:pageBreakBefore w:val="0"/>
        <w:widowControl w:val="0"/>
        <w:kinsoku/>
        <w:wordWrap/>
        <w:overflowPunct/>
        <w:topLinePunct w:val="0"/>
        <w:autoSpaceDE/>
        <w:autoSpaceDN/>
        <w:bidi w:val="0"/>
        <w:snapToGrid w:val="0"/>
        <w:spacing w:line="360" w:lineRule="auto"/>
        <w:ind w:firstLine="945" w:firstLineChars="45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lang w:eastAsia="zh-CN"/>
        </w:rPr>
        <w:t>壹拾万元整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lang w:val="en-US" w:eastAsia="zh-CN"/>
        </w:rPr>
        <w:t>100000.00</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13CE7519">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2.合同价格形式：</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317460A3">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 xml:space="preserve">   </w:t>
      </w:r>
      <w:r>
        <w:rPr>
          <w:rFonts w:hint="eastAsia" w:ascii="宋体" w:hAnsi="宋体" w:eastAsia="宋体" w:cs="宋体"/>
          <w:b/>
          <w:color w:val="auto"/>
          <w:sz w:val="21"/>
          <w:szCs w:val="21"/>
          <w:highlight w:val="none"/>
        </w:rPr>
        <w:t xml:space="preserve"> 五、项目经理</w:t>
      </w:r>
    </w:p>
    <w:p w14:paraId="36BA2A55">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承包人项目经理：</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349F5211">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w:t>
      </w:r>
      <w:r>
        <w:rPr>
          <w:rFonts w:hint="eastAsia" w:ascii="宋体" w:hAnsi="宋体" w:eastAsia="宋体" w:cs="宋体"/>
          <w:b/>
          <w:color w:val="auto"/>
          <w:sz w:val="21"/>
          <w:szCs w:val="21"/>
          <w:highlight w:val="none"/>
        </w:rPr>
        <w:t xml:space="preserve"> 六、合同文件构成</w:t>
      </w:r>
    </w:p>
    <w:p w14:paraId="28A15E3E">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本协议书与下列文件一起构成合同文件：</w:t>
      </w:r>
    </w:p>
    <w:p w14:paraId="759FF3D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（1）中标通知书（如果有）；</w:t>
      </w:r>
    </w:p>
    <w:p w14:paraId="3B3A7B1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（2）投标函及其附录（如果有）； </w:t>
      </w:r>
    </w:p>
    <w:p w14:paraId="5863543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（3）专用合同条款及其附件；</w:t>
      </w:r>
    </w:p>
    <w:p w14:paraId="5307AD0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（4）通用合同条款；</w:t>
      </w:r>
    </w:p>
    <w:p w14:paraId="7CAEB4E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（5）技术标准和要求；</w:t>
      </w:r>
    </w:p>
    <w:p w14:paraId="789CB4C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（6）图纸；</w:t>
      </w:r>
    </w:p>
    <w:p w14:paraId="7D1AEF6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（7）已标价工程量清单或预算书；</w:t>
      </w:r>
    </w:p>
    <w:p w14:paraId="0854533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（8）其他合同文件。</w:t>
      </w:r>
    </w:p>
    <w:p w14:paraId="7CF095E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在合同订立及履行过程中形成的与合同有关的文件均构成合同文件组成部分。</w:t>
      </w:r>
    </w:p>
    <w:p w14:paraId="533AB6C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上述各项合同文件包括合同当事人就该项合同文件所作出的补充和修改，属于同一类内容的文件，应以最新签署的为准。专用合同条款及其附件须经合同当事人签字或盖章。</w:t>
      </w:r>
    </w:p>
    <w:p w14:paraId="2F8CAB19">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   </w:t>
      </w:r>
      <w:r>
        <w:rPr>
          <w:rFonts w:hint="eastAsia" w:ascii="宋体" w:hAnsi="宋体" w:eastAsia="宋体" w:cs="宋体"/>
          <w:b/>
          <w:color w:val="auto"/>
          <w:sz w:val="21"/>
          <w:szCs w:val="21"/>
          <w:highlight w:val="none"/>
        </w:rPr>
        <w:t xml:space="preserve"> 七、承诺</w:t>
      </w:r>
    </w:p>
    <w:p w14:paraId="3903A551">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1.发包人承诺按照法律规定履行项目审批手续、筹集工程建设资金并按照合同约定的期限和方式支付合同价款。</w:t>
      </w:r>
    </w:p>
    <w:p w14:paraId="783A0986">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2.承包人承诺按照法律规定及合同约定组织完成工程施工，确保工程质量和安全，不进行转包及违法分包，并在缺陷责任期及保修期内承担相应的工程维修责任。</w:t>
      </w:r>
    </w:p>
    <w:p w14:paraId="4AE0F054">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3.发包人和承包人通过招投标形式签订合同的，双方理解并承诺不再就同一工程另行签订与合同实质性内容相背离的协议。</w:t>
      </w:r>
    </w:p>
    <w:p w14:paraId="0304B498">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 xml:space="preserve">    八、词语含义</w:t>
      </w:r>
    </w:p>
    <w:p w14:paraId="7C213A28">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本协议书中词语含义与第二部分通用合同条款中赋予的含义相同。</w:t>
      </w:r>
    </w:p>
    <w:p w14:paraId="5A4B9A76">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w:t>
      </w:r>
      <w:r>
        <w:rPr>
          <w:rFonts w:hint="eastAsia" w:ascii="宋体" w:hAnsi="宋体" w:eastAsia="宋体" w:cs="宋体"/>
          <w:b/>
          <w:color w:val="auto"/>
          <w:sz w:val="21"/>
          <w:szCs w:val="21"/>
          <w:highlight w:val="none"/>
        </w:rPr>
        <w:t xml:space="preserve">  九、签订时间</w:t>
      </w:r>
    </w:p>
    <w:p w14:paraId="58480308">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本合同于</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年</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月</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日签订。</w:t>
      </w:r>
    </w:p>
    <w:p w14:paraId="7520A3CB">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w:t>
      </w:r>
      <w:r>
        <w:rPr>
          <w:rFonts w:hint="eastAsia" w:ascii="宋体" w:hAnsi="宋体" w:eastAsia="宋体" w:cs="宋体"/>
          <w:b/>
          <w:color w:val="auto"/>
          <w:sz w:val="21"/>
          <w:szCs w:val="21"/>
          <w:highlight w:val="none"/>
        </w:rPr>
        <w:t>十、签订地点</w:t>
      </w:r>
    </w:p>
    <w:p w14:paraId="7DDE4EEC">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本合同在</w:t>
      </w:r>
      <w:r>
        <w:rPr>
          <w:rFonts w:hint="eastAsia" w:ascii="宋体" w:hAnsi="宋体" w:eastAsia="宋体" w:cs="宋体"/>
          <w:bCs/>
          <w:color w:val="auto"/>
          <w:sz w:val="21"/>
          <w:szCs w:val="21"/>
          <w:highlight w:val="none"/>
          <w:u w:val="single"/>
        </w:rPr>
        <w:t xml:space="preserve">  江苏省南通市 </w:t>
      </w:r>
      <w:r>
        <w:rPr>
          <w:rFonts w:hint="eastAsia" w:ascii="宋体" w:hAnsi="宋体" w:eastAsia="宋体" w:cs="宋体"/>
          <w:bCs/>
          <w:color w:val="auto"/>
          <w:sz w:val="21"/>
          <w:szCs w:val="21"/>
          <w:highlight w:val="none"/>
        </w:rPr>
        <w:t>签订。</w:t>
      </w:r>
    </w:p>
    <w:p w14:paraId="06580EE6">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w:t>
      </w:r>
      <w:r>
        <w:rPr>
          <w:rFonts w:hint="eastAsia" w:ascii="宋体" w:hAnsi="宋体" w:eastAsia="宋体" w:cs="宋体"/>
          <w:b/>
          <w:color w:val="auto"/>
          <w:sz w:val="21"/>
          <w:szCs w:val="21"/>
          <w:highlight w:val="none"/>
        </w:rPr>
        <w:t>十一、补充协议</w:t>
      </w:r>
    </w:p>
    <w:p w14:paraId="44AF4124">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Cs/>
          <w:color w:val="auto"/>
          <w:sz w:val="21"/>
          <w:szCs w:val="21"/>
          <w:highlight w:val="none"/>
        </w:rPr>
        <w:t>合同未尽事宜，合同当事人另行签订补充协议，补充协议是合同的组成部分。</w:t>
      </w:r>
    </w:p>
    <w:p w14:paraId="42195AAD">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w:t>
      </w:r>
      <w:r>
        <w:rPr>
          <w:rFonts w:hint="eastAsia" w:ascii="宋体" w:hAnsi="宋体" w:eastAsia="宋体" w:cs="宋体"/>
          <w:b/>
          <w:color w:val="auto"/>
          <w:sz w:val="21"/>
          <w:szCs w:val="21"/>
          <w:highlight w:val="none"/>
        </w:rPr>
        <w:t>十二、合同生效</w:t>
      </w:r>
    </w:p>
    <w:p w14:paraId="64AB8D15">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本合同自</w:t>
      </w:r>
      <w:r>
        <w:rPr>
          <w:rFonts w:hint="eastAsia" w:ascii="宋体" w:hAnsi="宋体" w:eastAsia="宋体" w:cs="宋体"/>
          <w:bCs/>
          <w:color w:val="auto"/>
          <w:sz w:val="21"/>
          <w:szCs w:val="21"/>
          <w:highlight w:val="none"/>
          <w:u w:val="single"/>
        </w:rPr>
        <w:t xml:space="preserve"> 合同签署后 </w:t>
      </w:r>
      <w:r>
        <w:rPr>
          <w:rFonts w:hint="eastAsia" w:ascii="宋体" w:hAnsi="宋体" w:eastAsia="宋体" w:cs="宋体"/>
          <w:bCs/>
          <w:color w:val="auto"/>
          <w:sz w:val="21"/>
          <w:szCs w:val="21"/>
          <w:highlight w:val="none"/>
        </w:rPr>
        <w:t>生效。</w:t>
      </w:r>
    </w:p>
    <w:p w14:paraId="4D450F45">
      <w:pPr>
        <w:keepNext w:val="0"/>
        <w:keepLines w:val="0"/>
        <w:pageBreakBefore w:val="0"/>
        <w:widowControl w:val="0"/>
        <w:kinsoku/>
        <w:wordWrap/>
        <w:overflowPunct/>
        <w:topLinePunct w:val="0"/>
        <w:autoSpaceDE/>
        <w:autoSpaceDN/>
        <w:bidi w:val="0"/>
        <w:snapToGrid w:val="0"/>
        <w:spacing w:line="360" w:lineRule="auto"/>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w:t>
      </w:r>
      <w:r>
        <w:rPr>
          <w:rFonts w:hint="eastAsia" w:ascii="宋体" w:hAnsi="宋体" w:eastAsia="宋体" w:cs="宋体"/>
          <w:b/>
          <w:color w:val="auto"/>
          <w:sz w:val="21"/>
          <w:szCs w:val="21"/>
          <w:highlight w:val="none"/>
        </w:rPr>
        <w:t>十三、合同份数</w:t>
      </w:r>
    </w:p>
    <w:p w14:paraId="1EEEA3D6">
      <w:pPr>
        <w:keepNext w:val="0"/>
        <w:keepLines w:val="0"/>
        <w:pageBreakBefore w:val="0"/>
        <w:widowControl w:val="0"/>
        <w:kinsoku/>
        <w:wordWrap/>
        <w:overflowPunct/>
        <w:topLinePunct w:val="0"/>
        <w:autoSpaceDE/>
        <w:autoSpaceDN/>
        <w:bidi w:val="0"/>
        <w:adjustRightInd/>
        <w:snapToGrid w:val="0"/>
        <w:spacing w:line="360" w:lineRule="auto"/>
        <w:ind w:right="-420" w:rightChars="-200" w:firstLine="420" w:firstLineChars="200"/>
        <w:textAlignment w:val="auto"/>
        <w:rPr>
          <w:rFonts w:ascii="宋体" w:hAnsi="宋体" w:cs="宋体"/>
          <w:bCs/>
          <w:color w:val="000000"/>
          <w:highlight w:val="none"/>
        </w:rPr>
      </w:pPr>
      <w:r>
        <w:rPr>
          <w:rFonts w:hint="eastAsia" w:ascii="宋体" w:hAnsi="宋体" w:cs="宋体"/>
          <w:bCs/>
          <w:color w:val="000000"/>
          <w:highlight w:val="none"/>
        </w:rPr>
        <w:t>本合同一式</w:t>
      </w:r>
      <w:r>
        <w:rPr>
          <w:rFonts w:hint="eastAsia" w:ascii="宋体" w:hAnsi="宋体" w:cs="宋体"/>
          <w:bCs/>
          <w:color w:val="000000"/>
          <w:highlight w:val="none"/>
          <w:u w:val="single"/>
        </w:rPr>
        <w:t>12</w:t>
      </w:r>
      <w:r>
        <w:rPr>
          <w:rFonts w:hint="eastAsia" w:ascii="宋体" w:hAnsi="宋体" w:cs="宋体"/>
          <w:bCs/>
          <w:color w:val="000000"/>
          <w:highlight w:val="none"/>
        </w:rPr>
        <w:t>份，均具有同等法律效力，发包人执</w:t>
      </w:r>
      <w:r>
        <w:rPr>
          <w:rFonts w:hint="eastAsia" w:ascii="宋体" w:hAnsi="宋体" w:cs="宋体"/>
          <w:bCs/>
          <w:color w:val="000000"/>
          <w:highlight w:val="none"/>
          <w:u w:val="single"/>
        </w:rPr>
        <w:t>8</w:t>
      </w:r>
      <w:r>
        <w:rPr>
          <w:rFonts w:hint="eastAsia" w:ascii="宋体" w:hAnsi="宋体" w:cs="宋体"/>
          <w:bCs/>
          <w:color w:val="000000"/>
          <w:highlight w:val="none"/>
        </w:rPr>
        <w:t>份，承包人执</w:t>
      </w:r>
      <w:r>
        <w:rPr>
          <w:rFonts w:hint="eastAsia" w:ascii="宋体" w:hAnsi="宋体" w:cs="宋体"/>
          <w:bCs/>
          <w:color w:val="000000"/>
          <w:highlight w:val="none"/>
          <w:u w:val="single"/>
        </w:rPr>
        <w:t>4</w:t>
      </w:r>
      <w:r>
        <w:rPr>
          <w:rFonts w:hint="eastAsia" w:ascii="宋体" w:hAnsi="宋体" w:cs="宋体"/>
          <w:bCs/>
          <w:color w:val="000000"/>
          <w:highlight w:val="none"/>
        </w:rPr>
        <w:t>份。</w:t>
      </w:r>
    </w:p>
    <w:p w14:paraId="121510E2">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cs="宋体"/>
          <w:bCs/>
          <w:color w:val="000000"/>
          <w:highlight w:val="none"/>
        </w:rPr>
      </w:pPr>
      <w:r>
        <w:rPr>
          <w:rFonts w:hint="eastAsia" w:ascii="宋体" w:hAnsi="宋体" w:cs="宋体"/>
          <w:bCs/>
          <w:color w:val="000000"/>
          <w:highlight w:val="none"/>
        </w:rPr>
        <w:t>本合同正本</w:t>
      </w:r>
      <w:r>
        <w:rPr>
          <w:rFonts w:hint="eastAsia" w:ascii="宋体" w:hAnsi="宋体" w:cs="宋体"/>
          <w:bCs/>
          <w:color w:val="000000"/>
          <w:highlight w:val="none"/>
          <w:u w:val="single"/>
        </w:rPr>
        <w:t>2</w:t>
      </w:r>
      <w:r>
        <w:rPr>
          <w:rFonts w:hint="eastAsia" w:ascii="宋体" w:hAnsi="宋体" w:cs="宋体"/>
          <w:bCs/>
          <w:color w:val="000000"/>
          <w:highlight w:val="none"/>
        </w:rPr>
        <w:t>份，具有同等效力，由发包人，承包人方分别保存</w:t>
      </w:r>
      <w:r>
        <w:rPr>
          <w:rFonts w:hint="eastAsia" w:ascii="宋体" w:hAnsi="宋体" w:cs="宋体"/>
          <w:bCs/>
          <w:color w:val="000000"/>
          <w:highlight w:val="none"/>
          <w:u w:val="single"/>
        </w:rPr>
        <w:t>1</w:t>
      </w:r>
      <w:r>
        <w:rPr>
          <w:rFonts w:hint="eastAsia" w:ascii="宋体" w:hAnsi="宋体" w:cs="宋体"/>
          <w:bCs/>
          <w:color w:val="000000"/>
          <w:highlight w:val="none"/>
        </w:rPr>
        <w:t>份。若需要公证处公证的，另增加1份正本，公证费由发包人和承包人根据有关收费标准分别缴纳。</w:t>
      </w:r>
    </w:p>
    <w:p w14:paraId="7CB7C708">
      <w:pPr>
        <w:keepNext w:val="0"/>
        <w:keepLines w:val="0"/>
        <w:pageBreakBefore w:val="0"/>
        <w:widowControl w:val="0"/>
        <w:kinsoku/>
        <w:wordWrap/>
        <w:overflowPunct/>
        <w:topLinePunct w:val="0"/>
        <w:autoSpaceDE/>
        <w:autoSpaceDN/>
        <w:bidi w:val="0"/>
        <w:adjustRightInd/>
        <w:snapToGrid w:val="0"/>
        <w:spacing w:line="360" w:lineRule="auto"/>
        <w:ind w:right="-420" w:rightChars="-200" w:firstLine="420" w:firstLineChars="200"/>
        <w:textAlignment w:val="auto"/>
        <w:rPr>
          <w:rFonts w:ascii="宋体" w:hAnsi="宋体" w:cs="宋体"/>
          <w:bCs/>
          <w:color w:val="000000"/>
          <w:highlight w:val="none"/>
        </w:rPr>
      </w:pPr>
      <w:r>
        <w:rPr>
          <w:rFonts w:hint="eastAsia" w:ascii="宋体" w:hAnsi="宋体" w:cs="宋体"/>
          <w:bCs/>
          <w:color w:val="000000"/>
          <w:highlight w:val="none"/>
        </w:rPr>
        <w:t>合同副本份数：</w:t>
      </w:r>
      <w:r>
        <w:rPr>
          <w:rFonts w:hint="eastAsia" w:ascii="宋体" w:hAnsi="宋体" w:cs="宋体"/>
          <w:bCs/>
          <w:color w:val="000000"/>
          <w:highlight w:val="none"/>
          <w:u w:val="single"/>
        </w:rPr>
        <w:t>10</w:t>
      </w:r>
      <w:r>
        <w:rPr>
          <w:rFonts w:hint="eastAsia" w:ascii="宋体" w:hAnsi="宋体" w:cs="宋体"/>
          <w:bCs/>
          <w:color w:val="000000"/>
          <w:highlight w:val="none"/>
        </w:rPr>
        <w:t>份，发包人</w:t>
      </w:r>
      <w:r>
        <w:rPr>
          <w:rFonts w:hint="eastAsia" w:ascii="宋体" w:hAnsi="宋体" w:cs="宋体"/>
          <w:bCs/>
          <w:color w:val="000000"/>
          <w:highlight w:val="none"/>
          <w:u w:val="single"/>
        </w:rPr>
        <w:t>7</w:t>
      </w:r>
      <w:r>
        <w:rPr>
          <w:rFonts w:hint="eastAsia" w:ascii="宋体" w:hAnsi="宋体" w:cs="宋体"/>
          <w:bCs/>
          <w:color w:val="000000"/>
          <w:highlight w:val="none"/>
        </w:rPr>
        <w:t>份，承包人执</w:t>
      </w:r>
      <w:r>
        <w:rPr>
          <w:rFonts w:hint="eastAsia" w:ascii="宋体" w:hAnsi="宋体" w:cs="宋体"/>
          <w:bCs/>
          <w:color w:val="000000"/>
          <w:highlight w:val="none"/>
          <w:u w:val="single"/>
        </w:rPr>
        <w:t>3</w:t>
      </w:r>
      <w:r>
        <w:rPr>
          <w:rFonts w:hint="eastAsia" w:ascii="宋体" w:hAnsi="宋体" w:cs="宋体"/>
          <w:bCs/>
          <w:color w:val="000000"/>
          <w:highlight w:val="none"/>
        </w:rPr>
        <w:t>份 。</w:t>
      </w:r>
    </w:p>
    <w:p w14:paraId="13CFFED7">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p>
    <w:p w14:paraId="0049AEFE">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p>
    <w:p w14:paraId="52C6DC5B">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发包人：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公章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承包人：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公章</w:t>
      </w:r>
      <w:r>
        <w:rPr>
          <w:rFonts w:hint="eastAsia" w:ascii="宋体" w:hAnsi="宋体" w:eastAsia="宋体" w:cs="宋体"/>
          <w:color w:val="auto"/>
          <w:sz w:val="21"/>
          <w:szCs w:val="21"/>
          <w:highlight w:val="none"/>
          <w:lang w:eastAsia="zh-CN"/>
        </w:rPr>
        <w:t>）</w:t>
      </w:r>
    </w:p>
    <w:p w14:paraId="0DD5CA43">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法定代表人或其委托代理人：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法定代表人或其委托代理人：</w:t>
      </w:r>
    </w:p>
    <w:p w14:paraId="5EF88A9F">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（签字）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（签字）</w:t>
      </w:r>
    </w:p>
    <w:p w14:paraId="6F46754E">
      <w:pPr>
        <w:pageBreakBefore w:val="0"/>
        <w:widowControl w:val="0"/>
        <w:tabs>
          <w:tab w:val="left" w:pos="4410"/>
        </w:tabs>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组织机构代码：</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组织机构代码：</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w:t>
      </w:r>
    </w:p>
    <w:p w14:paraId="07C4D905">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地  址：</w:t>
      </w:r>
      <w:r>
        <w:rPr>
          <w:rFonts w:hint="eastAsia" w:ascii="宋体" w:hAnsi="宋体" w:eastAsia="宋体" w:cs="宋体"/>
          <w:color w:val="auto"/>
          <w:sz w:val="21"/>
          <w:szCs w:val="21"/>
          <w:highlight w:val="none"/>
          <w:u w:val="single"/>
        </w:rPr>
        <w:t xml:space="preserve">        </w:t>
      </w:r>
    </w:p>
    <w:p w14:paraId="6162B44A">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邮政编码：</w:t>
      </w:r>
      <w:r>
        <w:rPr>
          <w:rFonts w:hint="eastAsia" w:ascii="宋体" w:hAnsi="宋体" w:eastAsia="宋体" w:cs="宋体"/>
          <w:color w:val="auto"/>
          <w:sz w:val="21"/>
          <w:szCs w:val="21"/>
          <w:highlight w:val="none"/>
          <w:u w:val="single"/>
        </w:rPr>
        <w:t xml:space="preserve">   </w:t>
      </w:r>
    </w:p>
    <w:p w14:paraId="71217725">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法定代表人：</w:t>
      </w:r>
      <w:r>
        <w:rPr>
          <w:rFonts w:hint="eastAsia" w:ascii="宋体" w:hAnsi="宋体" w:eastAsia="宋体" w:cs="宋体"/>
          <w:color w:val="auto"/>
          <w:sz w:val="21"/>
          <w:szCs w:val="21"/>
          <w:highlight w:val="none"/>
          <w:u w:val="single"/>
        </w:rPr>
        <w:t xml:space="preserve">             </w:t>
      </w:r>
    </w:p>
    <w:p w14:paraId="3AAE76CD">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委托代理人：</w:t>
      </w:r>
      <w:r>
        <w:rPr>
          <w:rFonts w:hint="eastAsia" w:ascii="宋体" w:hAnsi="宋体" w:eastAsia="宋体" w:cs="宋体"/>
          <w:color w:val="auto"/>
          <w:sz w:val="21"/>
          <w:szCs w:val="21"/>
          <w:highlight w:val="none"/>
          <w:u w:val="single"/>
        </w:rPr>
        <w:t xml:space="preserve">             </w:t>
      </w:r>
    </w:p>
    <w:p w14:paraId="3E828367">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电  话：</w:t>
      </w:r>
      <w:r>
        <w:rPr>
          <w:rFonts w:hint="eastAsia" w:ascii="宋体" w:hAnsi="宋体" w:eastAsia="宋体" w:cs="宋体"/>
          <w:color w:val="auto"/>
          <w:sz w:val="21"/>
          <w:szCs w:val="21"/>
          <w:highlight w:val="none"/>
          <w:u w:val="single"/>
        </w:rPr>
        <w:t xml:space="preserve">     </w:t>
      </w:r>
    </w:p>
    <w:p w14:paraId="01686140">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传  真：</w:t>
      </w:r>
      <w:r>
        <w:rPr>
          <w:rFonts w:hint="eastAsia" w:ascii="宋体" w:hAnsi="宋体" w:eastAsia="宋体" w:cs="宋体"/>
          <w:color w:val="auto"/>
          <w:sz w:val="21"/>
          <w:szCs w:val="21"/>
          <w:highlight w:val="none"/>
          <w:u w:val="single"/>
        </w:rPr>
        <w:t xml:space="preserve">     </w:t>
      </w:r>
    </w:p>
    <w:p w14:paraId="33534E10">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电子信箱：</w:t>
      </w:r>
      <w:r>
        <w:rPr>
          <w:rFonts w:hint="eastAsia" w:ascii="宋体" w:hAnsi="宋体" w:eastAsia="宋体" w:cs="宋体"/>
          <w:color w:val="auto"/>
          <w:sz w:val="21"/>
          <w:szCs w:val="21"/>
          <w:highlight w:val="none"/>
          <w:u w:val="single"/>
        </w:rPr>
        <w:t xml:space="preserve">   </w:t>
      </w:r>
    </w:p>
    <w:p w14:paraId="3F2447FD">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开户银行：</w:t>
      </w:r>
      <w:r>
        <w:rPr>
          <w:rFonts w:hint="eastAsia" w:ascii="宋体" w:hAnsi="宋体" w:eastAsia="宋体" w:cs="宋体"/>
          <w:color w:val="auto"/>
          <w:sz w:val="21"/>
          <w:szCs w:val="21"/>
          <w:highlight w:val="none"/>
          <w:u w:val="single"/>
        </w:rPr>
        <w:t xml:space="preserve">   </w:t>
      </w:r>
    </w:p>
    <w:p w14:paraId="418ECFD9">
      <w:pPr>
        <w:pageBreakBefore w:val="0"/>
        <w:widowControl w:val="0"/>
        <w:kinsoku/>
        <w:wordWrap/>
        <w:overflowPunct/>
        <w:topLinePunct w:val="0"/>
        <w:autoSpaceDE/>
        <w:autoSpaceDN/>
        <w:bidi w:val="0"/>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账  号：</w:t>
      </w:r>
      <w:r>
        <w:rPr>
          <w:rFonts w:hint="eastAsia" w:ascii="宋体" w:hAnsi="宋体" w:eastAsia="宋体" w:cs="宋体"/>
          <w:color w:val="auto"/>
          <w:sz w:val="21"/>
          <w:szCs w:val="21"/>
          <w:highlight w:val="none"/>
          <w:u w:val="single"/>
        </w:rPr>
        <w:t xml:space="preserve">     </w:t>
      </w:r>
    </w:p>
    <w:p w14:paraId="4684F299">
      <w:pPr>
        <w:pStyle w:val="3"/>
        <w:jc w:val="center"/>
        <w:rPr>
          <w:rFonts w:hint="eastAsia"/>
          <w:highlight w:val="none"/>
          <w:lang w:val="en-US" w:eastAsia="zh-CN"/>
        </w:rPr>
      </w:pPr>
      <w:r>
        <w:rPr>
          <w:rFonts w:hint="eastAsia" w:ascii="宋体" w:hAnsi="宋体" w:eastAsia="宋体" w:cs="宋体"/>
          <w:color w:val="auto"/>
          <w:sz w:val="21"/>
          <w:szCs w:val="21"/>
          <w:highlight w:val="none"/>
        </w:rPr>
        <w:br w:type="page"/>
      </w:r>
      <w:bookmarkStart w:id="1051" w:name="_Toc25871"/>
      <w:bookmarkStart w:id="1052" w:name="_Toc2053"/>
      <w:bookmarkStart w:id="1053" w:name="_Toc23520"/>
      <w:r>
        <w:rPr>
          <w:rFonts w:hint="eastAsia"/>
          <w:highlight w:val="none"/>
          <w:lang w:val="en-US" w:eastAsia="zh-CN"/>
        </w:rPr>
        <w:t>中标通知书</w:t>
      </w:r>
      <w:bookmarkEnd w:id="1051"/>
    </w:p>
    <w:p w14:paraId="0DFC4230">
      <w:pPr>
        <w:pStyle w:val="3"/>
        <w:pageBreakBefore w:val="0"/>
        <w:widowControl w:val="0"/>
        <w:kinsoku/>
        <w:wordWrap/>
        <w:topLinePunct w:val="0"/>
        <w:autoSpaceDE/>
        <w:autoSpaceDN/>
        <w:bidi w:val="0"/>
        <w:spacing w:before="0" w:after="0" w:line="360" w:lineRule="auto"/>
        <w:ind w:firstLine="2951" w:firstLineChars="14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03FB3EA2">
      <w:pPr>
        <w:pStyle w:val="3"/>
        <w:pageBreakBefore w:val="0"/>
        <w:widowControl w:val="0"/>
        <w:kinsoku/>
        <w:wordWrap/>
        <w:topLinePunct w:val="0"/>
        <w:autoSpaceDE/>
        <w:autoSpaceDN/>
        <w:bidi w:val="0"/>
        <w:spacing w:before="0" w:after="0" w:line="360" w:lineRule="auto"/>
        <w:jc w:val="center"/>
        <w:textAlignment w:val="auto"/>
        <w:rPr>
          <w:rFonts w:hint="default" w:ascii="Times New Roman" w:hAnsi="Times New Roman" w:eastAsia="宋体" w:cs="Times New Roman"/>
          <w:color w:val="auto"/>
          <w:sz w:val="28"/>
          <w:szCs w:val="16"/>
          <w:highlight w:val="none"/>
          <w:lang w:val="zh-CN"/>
        </w:rPr>
      </w:pPr>
      <w:r>
        <w:rPr>
          <w:rFonts w:hint="default" w:ascii="Times New Roman" w:hAnsi="Times New Roman" w:eastAsia="宋体" w:cs="Times New Roman"/>
          <w:color w:val="auto"/>
          <w:sz w:val="28"/>
          <w:szCs w:val="16"/>
          <w:highlight w:val="none"/>
          <w:lang w:val="zh-CN"/>
        </w:rPr>
        <w:t>第二部分 通用合同条款</w:t>
      </w:r>
      <w:bookmarkEnd w:id="1052"/>
      <w:bookmarkEnd w:id="1053"/>
    </w:p>
    <w:p w14:paraId="579493DC">
      <w:pPr>
        <w:pageBreakBefore w:val="0"/>
        <w:widowControl w:val="0"/>
        <w:kinsoku/>
        <w:wordWrap/>
        <w:overflowPunct/>
        <w:topLinePunct w:val="0"/>
        <w:autoSpaceDE/>
        <w:autoSpaceDN/>
        <w:bidi w:val="0"/>
        <w:snapToGrid/>
        <w:spacing w:line="360" w:lineRule="auto"/>
        <w:jc w:val="center"/>
        <w:textAlignment w:val="auto"/>
        <w:outlineLvl w:val="9"/>
        <w:rPr>
          <w:rFonts w:hint="eastAsia" w:ascii="宋体" w:hAnsi="宋体" w:eastAsia="宋体" w:cs="宋体"/>
          <w:b/>
          <w:bCs/>
          <w:color w:val="auto"/>
          <w:sz w:val="21"/>
          <w:szCs w:val="21"/>
          <w:highlight w:val="none"/>
          <w:lang w:eastAsia="zh-CN"/>
        </w:rPr>
      </w:pPr>
    </w:p>
    <w:p w14:paraId="3D602580">
      <w:pPr>
        <w:pageBreakBefore w:val="0"/>
        <w:widowControl w:val="0"/>
        <w:kinsoku/>
        <w:wordWrap/>
        <w:overflowPunct/>
        <w:topLinePunct w:val="0"/>
        <w:autoSpaceDE/>
        <w:autoSpaceDN/>
        <w:bidi w:val="0"/>
        <w:snapToGrid/>
        <w:spacing w:line="360" w:lineRule="auto"/>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详见</w:t>
      </w:r>
      <w:r>
        <w:rPr>
          <w:rFonts w:hint="eastAsia" w:ascii="宋体" w:hAnsi="宋体" w:eastAsia="宋体" w:cs="宋体"/>
          <w:b/>
          <w:bCs/>
          <w:color w:val="auto"/>
          <w:sz w:val="21"/>
          <w:szCs w:val="21"/>
          <w:highlight w:val="none"/>
        </w:rPr>
        <w:t>《建设工程施工合同（示范文本）》（GF-2017-0201）</w:t>
      </w:r>
      <w:r>
        <w:rPr>
          <w:rFonts w:hint="eastAsia" w:ascii="宋体" w:hAnsi="宋体" w:eastAsia="宋体" w:cs="宋体"/>
          <w:b/>
          <w:bCs/>
          <w:color w:val="auto"/>
          <w:sz w:val="21"/>
          <w:szCs w:val="21"/>
          <w:highlight w:val="none"/>
          <w:lang w:eastAsia="zh-CN"/>
        </w:rPr>
        <w:t>通用合同条款</w:t>
      </w:r>
    </w:p>
    <w:p w14:paraId="7C5BC7B2">
      <w:pPr>
        <w:pStyle w:val="3"/>
        <w:pageBreakBefore w:val="0"/>
        <w:widowControl w:val="0"/>
        <w:kinsoku/>
        <w:wordWrap/>
        <w:topLinePunct w:val="0"/>
        <w:autoSpaceDE/>
        <w:autoSpaceDN/>
        <w:bidi w:val="0"/>
        <w:spacing w:before="0" w:after="0" w:line="360" w:lineRule="auto"/>
        <w:ind w:firstLine="2951" w:firstLineChars="1400"/>
        <w:textAlignment w:val="auto"/>
        <w:rPr>
          <w:rFonts w:hint="default" w:ascii="Times New Roman" w:hAnsi="Times New Roman" w:eastAsia="宋体" w:cs="Times New Roman"/>
          <w:color w:val="auto"/>
          <w:sz w:val="28"/>
          <w:szCs w:val="16"/>
          <w:highlight w:val="none"/>
          <w:lang w:val="zh-CN"/>
        </w:rPr>
      </w:pPr>
      <w:r>
        <w:rPr>
          <w:rFonts w:hint="eastAsia" w:ascii="宋体" w:hAnsi="宋体" w:eastAsia="宋体" w:cs="宋体"/>
          <w:color w:val="auto"/>
          <w:sz w:val="21"/>
          <w:szCs w:val="21"/>
          <w:highlight w:val="none"/>
        </w:rPr>
        <w:br w:type="page"/>
      </w:r>
      <w:bookmarkStart w:id="1054" w:name="_Toc4018"/>
      <w:bookmarkStart w:id="1055" w:name="_Toc16265"/>
      <w:r>
        <w:rPr>
          <w:rFonts w:hint="default" w:ascii="Times New Roman" w:hAnsi="Times New Roman" w:eastAsia="宋体" w:cs="Times New Roman"/>
          <w:color w:val="auto"/>
          <w:sz w:val="28"/>
          <w:szCs w:val="16"/>
          <w:highlight w:val="none"/>
          <w:lang w:val="zh-CN"/>
        </w:rPr>
        <w:t>第三部分 专用合同条款</w:t>
      </w:r>
      <w:bookmarkEnd w:id="1054"/>
      <w:bookmarkEnd w:id="1055"/>
    </w:p>
    <w:p w14:paraId="4FEA8AC3">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056" w:name="_Toc69909965"/>
      <w:bookmarkStart w:id="1057" w:name="_Toc15749"/>
      <w:bookmarkStart w:id="1058" w:name="_Toc10313"/>
      <w:bookmarkStart w:id="1059" w:name="_Toc351203633"/>
      <w:bookmarkStart w:id="1060" w:name="_Toc32394"/>
      <w:bookmarkStart w:id="1061" w:name="_Toc1574"/>
      <w:bookmarkStart w:id="1062" w:name="_Toc31899"/>
      <w:r>
        <w:rPr>
          <w:rFonts w:hint="eastAsia" w:ascii="宋体" w:hAnsi="宋体" w:cs="宋体"/>
          <w:bCs w:val="0"/>
          <w:color w:val="000000"/>
          <w:sz w:val="24"/>
          <w:szCs w:val="24"/>
          <w:highlight w:val="none"/>
        </w:rPr>
        <w:t>1</w:t>
      </w:r>
      <w:bookmarkStart w:id="1063" w:name="_Toc296891196"/>
      <w:bookmarkStart w:id="1064" w:name="_Toc297048342"/>
      <w:bookmarkStart w:id="1065" w:name="_Toc297120456"/>
      <w:bookmarkStart w:id="1066" w:name="_Toc296944495"/>
      <w:bookmarkStart w:id="1067" w:name="_Toc296346657"/>
      <w:bookmarkStart w:id="1068" w:name="_Toc292559361"/>
      <w:bookmarkStart w:id="1069" w:name="_Toc296890984"/>
      <w:bookmarkStart w:id="1070" w:name="_Toc292559866"/>
      <w:bookmarkStart w:id="1071" w:name="_Toc296503156"/>
      <w:bookmarkStart w:id="1072" w:name="_Toc296347155"/>
      <w:r>
        <w:rPr>
          <w:rFonts w:hint="eastAsia" w:ascii="宋体" w:hAnsi="宋体" w:cs="宋体"/>
          <w:bCs w:val="0"/>
          <w:color w:val="000000"/>
          <w:sz w:val="24"/>
          <w:szCs w:val="24"/>
          <w:highlight w:val="none"/>
        </w:rPr>
        <w:t>. 一般约定</w:t>
      </w:r>
      <w:bookmarkEnd w:id="1056"/>
      <w:bookmarkEnd w:id="1057"/>
      <w:bookmarkEnd w:id="1058"/>
      <w:bookmarkEnd w:id="1059"/>
      <w:bookmarkEnd w:id="1060"/>
      <w:bookmarkEnd w:id="1061"/>
    </w:p>
    <w:bookmarkEnd w:id="1063"/>
    <w:bookmarkEnd w:id="1064"/>
    <w:bookmarkEnd w:id="1065"/>
    <w:bookmarkEnd w:id="1066"/>
    <w:bookmarkEnd w:id="1067"/>
    <w:bookmarkEnd w:id="1068"/>
    <w:bookmarkEnd w:id="1069"/>
    <w:bookmarkEnd w:id="1070"/>
    <w:bookmarkEnd w:id="1071"/>
    <w:bookmarkEnd w:id="1072"/>
    <w:p w14:paraId="1310837B">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bookmarkStart w:id="1073" w:name="_Toc27881"/>
      <w:r>
        <w:rPr>
          <w:rFonts w:hint="eastAsia" w:ascii="宋体" w:hAnsi="宋体" w:cs="宋体"/>
          <w:b w:val="0"/>
          <w:bCs w:val="0"/>
          <w:color w:val="000000"/>
          <w:sz w:val="21"/>
          <w:szCs w:val="21"/>
          <w:highlight w:val="none"/>
        </w:rPr>
        <w:t>1.1词语定义</w:t>
      </w:r>
      <w:bookmarkEnd w:id="1073"/>
    </w:p>
    <w:p w14:paraId="1E80BCAC">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1.1.1合同</w:t>
      </w:r>
    </w:p>
    <w:p w14:paraId="0DB2C92A">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1.1.1.10其他合同文件包括：</w:t>
      </w:r>
      <w:r>
        <w:rPr>
          <w:rFonts w:hint="eastAsia" w:ascii="宋体" w:hAnsi="宋体" w:eastAsia="宋体" w:cs="宋体"/>
          <w:color w:val="000000"/>
          <w:kern w:val="0"/>
          <w:highlight w:val="none"/>
          <w:u w:val="single"/>
        </w:rPr>
        <w:t>（1）发包人与承包人协商备忘、合同补充文件；（2）招标文件及其附件（含答疑）；（3）发包人认可的设计变更；（4）经发包人确认有效的工程变更单（发包人签字盖章后方可生效）；（5）承诺书。</w:t>
      </w:r>
    </w:p>
    <w:p w14:paraId="72AC56D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1.1.2 合同当事人及其他相关方</w:t>
      </w:r>
    </w:p>
    <w:p w14:paraId="73F4358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u w:val="none"/>
        </w:rPr>
        <w:t>1.1.2.4监理人：</w:t>
      </w:r>
    </w:p>
    <w:p w14:paraId="3D7756A4">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名    称：</w:t>
      </w:r>
      <w:r>
        <w:rPr>
          <w:rFonts w:hint="eastAsia" w:ascii="宋体" w:hAnsi="宋体" w:cs="宋体"/>
          <w:color w:val="000000"/>
          <w:highlight w:val="none"/>
          <w:u w:val="single"/>
          <w:lang w:val="en-US" w:eastAsia="zh-CN"/>
        </w:rPr>
        <w:t xml:space="preserve">                    </w:t>
      </w:r>
      <w:r>
        <w:rPr>
          <w:rFonts w:hint="eastAsia" w:ascii="宋体" w:hAnsi="宋体" w:cs="宋体"/>
          <w:color w:val="000000"/>
          <w:highlight w:val="none"/>
        </w:rPr>
        <w:t>；</w:t>
      </w:r>
    </w:p>
    <w:p w14:paraId="5FAA745B">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none"/>
        </w:rPr>
      </w:pPr>
      <w:r>
        <w:rPr>
          <w:rFonts w:hint="eastAsia" w:ascii="宋体" w:hAnsi="宋体" w:cs="宋体"/>
          <w:color w:val="000000"/>
          <w:highlight w:val="none"/>
          <w:u w:val="none"/>
        </w:rPr>
        <w:t>1.1.2.5设计人：</w:t>
      </w:r>
    </w:p>
    <w:p w14:paraId="69453996">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名    称：</w:t>
      </w:r>
      <w:r>
        <w:rPr>
          <w:rFonts w:hint="eastAsia" w:ascii="宋体" w:hAnsi="宋体" w:cs="宋体"/>
          <w:color w:val="000000"/>
          <w:highlight w:val="none"/>
          <w:u w:val="single"/>
          <w:lang w:val="en-US" w:eastAsia="zh-CN"/>
        </w:rPr>
        <w:t xml:space="preserve">                    </w:t>
      </w:r>
      <w:r>
        <w:rPr>
          <w:rFonts w:hint="eastAsia" w:ascii="宋体" w:hAnsi="宋体" w:cs="宋体"/>
          <w:color w:val="000000"/>
          <w:highlight w:val="none"/>
        </w:rPr>
        <w:t>；</w:t>
      </w:r>
    </w:p>
    <w:p w14:paraId="291B0A54">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1.1.3 工程和设备</w:t>
      </w:r>
    </w:p>
    <w:p w14:paraId="1D5CEAA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1.1.3.7 作为施工现场组成部分的其他场所包括：</w:t>
      </w:r>
      <w:r>
        <w:rPr>
          <w:rFonts w:hint="eastAsia" w:ascii="宋体" w:hAnsi="宋体" w:cs="宋体"/>
          <w:color w:val="000000"/>
          <w:highlight w:val="none"/>
          <w:u w:val="single"/>
        </w:rPr>
        <w:t xml:space="preserve">    /     </w:t>
      </w:r>
      <w:r>
        <w:rPr>
          <w:rFonts w:hint="eastAsia" w:ascii="宋体" w:hAnsi="宋体" w:cs="宋体"/>
          <w:color w:val="000000"/>
          <w:highlight w:val="none"/>
        </w:rPr>
        <w:t>。</w:t>
      </w:r>
    </w:p>
    <w:p w14:paraId="3052CA0F">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bookmarkStart w:id="1074" w:name="_Toc7939"/>
      <w:r>
        <w:rPr>
          <w:rFonts w:hint="eastAsia" w:ascii="宋体" w:hAnsi="宋体" w:cs="宋体"/>
          <w:b w:val="0"/>
          <w:bCs w:val="0"/>
          <w:color w:val="000000"/>
          <w:sz w:val="21"/>
          <w:szCs w:val="21"/>
          <w:highlight w:val="none"/>
        </w:rPr>
        <w:t>1.3法律</w:t>
      </w:r>
      <w:bookmarkEnd w:id="1074"/>
      <w:r>
        <w:rPr>
          <w:rFonts w:hint="eastAsia" w:ascii="宋体" w:hAnsi="宋体" w:cs="宋体"/>
          <w:b w:val="0"/>
          <w:bCs w:val="0"/>
          <w:color w:val="000000"/>
          <w:sz w:val="21"/>
          <w:szCs w:val="21"/>
          <w:highlight w:val="none"/>
        </w:rPr>
        <w:t xml:space="preserve"> </w:t>
      </w:r>
    </w:p>
    <w:p w14:paraId="0703DEE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适用于合同的其他规范性文件：</w:t>
      </w:r>
      <w:r>
        <w:rPr>
          <w:rFonts w:hint="eastAsia" w:ascii="宋体" w:hAnsi="宋体" w:cs="宋体"/>
          <w:color w:val="000000"/>
          <w:kern w:val="0"/>
          <w:highlight w:val="none"/>
          <w:u w:val="single"/>
        </w:rPr>
        <w:t>江苏省以及南通市现行的法规、制度、办法等文件</w:t>
      </w:r>
      <w:r>
        <w:rPr>
          <w:rFonts w:hint="eastAsia" w:ascii="宋体" w:hAnsi="宋体" w:cs="宋体"/>
          <w:color w:val="000000"/>
          <w:kern w:val="0"/>
          <w:highlight w:val="none"/>
        </w:rPr>
        <w:t>。</w:t>
      </w:r>
    </w:p>
    <w:p w14:paraId="2A65C7E7">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bookmarkStart w:id="1075" w:name="_Toc14852"/>
      <w:r>
        <w:rPr>
          <w:rFonts w:hint="eastAsia" w:ascii="宋体" w:hAnsi="宋体" w:cs="宋体"/>
          <w:b w:val="0"/>
          <w:bCs w:val="0"/>
          <w:color w:val="000000"/>
          <w:sz w:val="21"/>
          <w:szCs w:val="21"/>
          <w:highlight w:val="none"/>
        </w:rPr>
        <w:t>1.4标准和规范</w:t>
      </w:r>
      <w:bookmarkEnd w:id="1075"/>
    </w:p>
    <w:p w14:paraId="3A6B52EE">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rPr>
        <w:t>1.4.1适用于工程的标准规范包括：</w:t>
      </w:r>
      <w:r>
        <w:rPr>
          <w:rFonts w:hint="eastAsia" w:ascii="宋体" w:hAnsi="宋体" w:cs="宋体"/>
          <w:color w:val="000000"/>
          <w:kern w:val="0"/>
          <w:highlight w:val="none"/>
          <w:u w:val="single"/>
        </w:rPr>
        <w:t>中华人民共和国建设部颁发的有关标准、规范及江苏省、南通市有关规定。本工程按照规范与标准执行，当对同一问题各种规定、标准或与合同文件要求不一致时，原则上以最新最严格的为准（特殊情况另行商定）。</w:t>
      </w:r>
    </w:p>
    <w:p w14:paraId="125D4CE8">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1.4.2 发包人提供国外标准、规范的名称：</w:t>
      </w:r>
      <w:r>
        <w:rPr>
          <w:rFonts w:hint="eastAsia" w:ascii="宋体" w:hAnsi="宋体" w:cs="宋体"/>
          <w:color w:val="000000"/>
          <w:kern w:val="0"/>
          <w:highlight w:val="none"/>
          <w:u w:val="single"/>
        </w:rPr>
        <w:t xml:space="preserve">        /       </w:t>
      </w:r>
      <w:r>
        <w:rPr>
          <w:rFonts w:hint="eastAsia" w:ascii="宋体" w:hAnsi="宋体" w:cs="宋体"/>
          <w:color w:val="000000"/>
          <w:kern w:val="0"/>
          <w:highlight w:val="none"/>
        </w:rPr>
        <w:t>；</w:t>
      </w:r>
    </w:p>
    <w:p w14:paraId="5500397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1.4.3发包人对工程的技术标准和功能要求的特殊要求：</w:t>
      </w:r>
      <w:r>
        <w:rPr>
          <w:rFonts w:hint="eastAsia" w:ascii="宋体" w:hAnsi="宋体" w:cs="宋体"/>
          <w:color w:val="000000"/>
          <w:kern w:val="0"/>
          <w:highlight w:val="none"/>
          <w:u w:val="single"/>
        </w:rPr>
        <w:t>按设计要求执行</w:t>
      </w:r>
      <w:r>
        <w:rPr>
          <w:rFonts w:hint="eastAsia" w:ascii="宋体" w:hAnsi="宋体" w:cs="宋体"/>
          <w:color w:val="000000"/>
          <w:kern w:val="0"/>
          <w:highlight w:val="none"/>
        </w:rPr>
        <w:t>。</w:t>
      </w:r>
    </w:p>
    <w:p w14:paraId="60B8905E">
      <w:pPr>
        <w:pStyle w:val="6"/>
        <w:pageBreakBefore w:val="0"/>
        <w:widowControl w:val="0"/>
        <w:kinsoku/>
        <w:wordWrap/>
        <w:overflowPunct/>
        <w:topLinePunct w:val="0"/>
        <w:bidi w:val="0"/>
        <w:adjustRightInd/>
        <w:snapToGrid w:val="0"/>
        <w:spacing w:before="0" w:after="0" w:line="360" w:lineRule="auto"/>
        <w:ind w:right="-420" w:rightChars="-200" w:firstLine="422" w:firstLineChars="200"/>
        <w:textAlignment w:val="auto"/>
        <w:rPr>
          <w:rFonts w:ascii="宋体" w:hAnsi="宋体" w:cs="宋体"/>
          <w:color w:val="000000"/>
          <w:sz w:val="21"/>
          <w:szCs w:val="21"/>
          <w:highlight w:val="none"/>
        </w:rPr>
      </w:pPr>
      <w:bookmarkStart w:id="1076" w:name="_Toc6722"/>
      <w:r>
        <w:rPr>
          <w:rFonts w:hint="eastAsia" w:ascii="宋体" w:hAnsi="宋体" w:cs="宋体"/>
          <w:color w:val="000000"/>
          <w:sz w:val="21"/>
          <w:szCs w:val="21"/>
          <w:highlight w:val="none"/>
        </w:rPr>
        <w:t>1.5合同文件的优先顺序</w:t>
      </w:r>
      <w:bookmarkEnd w:id="1076"/>
    </w:p>
    <w:p w14:paraId="061451A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合同文件组成及优先顺序为：</w:t>
      </w:r>
    </w:p>
    <w:p w14:paraId="7DA58C0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（1）合同协议书；</w:t>
      </w:r>
    </w:p>
    <w:p w14:paraId="1EEDAF26">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（2）</w:t>
      </w:r>
      <w:r>
        <w:rPr>
          <w:rFonts w:hint="eastAsia" w:ascii="宋体" w:hAnsi="宋体" w:cs="宋体"/>
          <w:color w:val="000000"/>
          <w:highlight w:val="none"/>
          <w:u w:val="single"/>
          <w:lang w:eastAsia="zh-CN"/>
        </w:rPr>
        <w:t>中标</w:t>
      </w:r>
      <w:r>
        <w:rPr>
          <w:rFonts w:hint="eastAsia" w:ascii="宋体" w:hAnsi="宋体" w:cs="宋体"/>
          <w:color w:val="000000"/>
          <w:highlight w:val="none"/>
          <w:u w:val="single"/>
        </w:rPr>
        <w:t>通知书；</w:t>
      </w:r>
    </w:p>
    <w:p w14:paraId="1876630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（3）</w:t>
      </w:r>
      <w:r>
        <w:rPr>
          <w:rFonts w:hint="eastAsia" w:ascii="宋体" w:hAnsi="宋体" w:cs="宋体"/>
          <w:color w:val="000000"/>
          <w:highlight w:val="none"/>
          <w:u w:val="single"/>
          <w:lang w:eastAsia="zh-CN"/>
        </w:rPr>
        <w:t>招标</w:t>
      </w:r>
      <w:r>
        <w:rPr>
          <w:rFonts w:hint="eastAsia" w:ascii="宋体" w:hAnsi="宋体" w:cs="宋体"/>
          <w:color w:val="000000"/>
          <w:highlight w:val="none"/>
          <w:u w:val="single"/>
        </w:rPr>
        <w:t>文件及其补充文件；</w:t>
      </w:r>
    </w:p>
    <w:p w14:paraId="7AB4E682">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（4）</w:t>
      </w:r>
      <w:r>
        <w:rPr>
          <w:rFonts w:hint="eastAsia" w:ascii="宋体" w:hAnsi="宋体" w:cs="宋体"/>
          <w:color w:val="000000"/>
          <w:highlight w:val="none"/>
          <w:u w:val="single"/>
          <w:lang w:eastAsia="zh-CN"/>
        </w:rPr>
        <w:t>投标</w:t>
      </w:r>
      <w:r>
        <w:rPr>
          <w:rFonts w:hint="eastAsia" w:ascii="宋体" w:hAnsi="宋体" w:cs="宋体"/>
          <w:color w:val="000000"/>
          <w:highlight w:val="none"/>
          <w:u w:val="single"/>
        </w:rPr>
        <w:t>文件及其补充文件；</w:t>
      </w:r>
    </w:p>
    <w:p w14:paraId="7FC81E98">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（5）专用合同条款</w:t>
      </w:r>
      <w:r>
        <w:rPr>
          <w:rFonts w:hint="eastAsia" w:ascii="宋体" w:hAnsi="宋体" w:cs="宋体"/>
          <w:color w:val="000000"/>
          <w:highlight w:val="none"/>
          <w:u w:val="single"/>
        </w:rPr>
        <w:t>及其附件</w:t>
      </w:r>
      <w:r>
        <w:rPr>
          <w:rFonts w:hint="eastAsia" w:ascii="宋体" w:hAnsi="宋体" w:cs="宋体"/>
          <w:color w:val="000000"/>
          <w:kern w:val="0"/>
          <w:highlight w:val="none"/>
          <w:u w:val="single"/>
        </w:rPr>
        <w:t>；</w:t>
      </w:r>
    </w:p>
    <w:p w14:paraId="0269FA00">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（6）通用合同条款；</w:t>
      </w:r>
    </w:p>
    <w:p w14:paraId="067F9DE3">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（7）技术标准和要求；</w:t>
      </w:r>
    </w:p>
    <w:p w14:paraId="3EEE9BC3">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（8）图纸；</w:t>
      </w:r>
    </w:p>
    <w:p w14:paraId="7F4008D0">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（9）已标价工程量清单或预算书；</w:t>
      </w:r>
    </w:p>
    <w:p w14:paraId="631AF7DC">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（10）其他合同文件；</w:t>
      </w:r>
    </w:p>
    <w:p w14:paraId="25E15EA6">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（11）合同附件。</w:t>
      </w:r>
    </w:p>
    <w:p w14:paraId="708405CF">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bookmarkStart w:id="1077" w:name="_Toc22069"/>
      <w:r>
        <w:rPr>
          <w:rFonts w:hint="eastAsia" w:ascii="宋体" w:hAnsi="宋体" w:cs="宋体"/>
          <w:b w:val="0"/>
          <w:bCs w:val="0"/>
          <w:color w:val="000000"/>
          <w:sz w:val="21"/>
          <w:szCs w:val="21"/>
          <w:highlight w:val="none"/>
        </w:rPr>
        <w:t>1.6图纸和承包人文件</w:t>
      </w:r>
      <w:bookmarkEnd w:id="1077"/>
      <w:r>
        <w:rPr>
          <w:rFonts w:hint="eastAsia" w:ascii="宋体" w:hAnsi="宋体" w:cs="宋体"/>
          <w:b w:val="0"/>
          <w:bCs w:val="0"/>
          <w:color w:val="000000"/>
          <w:sz w:val="21"/>
          <w:szCs w:val="21"/>
          <w:highlight w:val="none"/>
        </w:rPr>
        <w:tab/>
      </w:r>
    </w:p>
    <w:p w14:paraId="3D303F6C">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1.6.1 图纸的提供</w:t>
      </w:r>
    </w:p>
    <w:p w14:paraId="76CCA7FF">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发包人向承包人提供图纸的期限：</w:t>
      </w:r>
      <w:r>
        <w:rPr>
          <w:rFonts w:hint="eastAsia" w:ascii="宋体" w:hAnsi="宋体" w:cs="宋体"/>
          <w:color w:val="000000"/>
          <w:highlight w:val="none"/>
          <w:u w:val="single"/>
        </w:rPr>
        <w:t>开工前7天</w:t>
      </w:r>
      <w:r>
        <w:rPr>
          <w:rFonts w:hint="eastAsia" w:ascii="宋体" w:hAnsi="宋体" w:cs="宋体"/>
          <w:color w:val="000000"/>
          <w:highlight w:val="none"/>
        </w:rPr>
        <w:t>；</w:t>
      </w:r>
    </w:p>
    <w:p w14:paraId="71341E94">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rPr>
        <w:t>发包人向承包人提供图纸的数量：</w:t>
      </w:r>
      <w:r>
        <w:rPr>
          <w:rFonts w:hint="eastAsia" w:ascii="宋体" w:hAnsi="宋体" w:eastAsia="宋体" w:cs="宋体"/>
          <w:color w:val="000000"/>
          <w:szCs w:val="21"/>
          <w:highlight w:val="none"/>
          <w:u w:val="single"/>
        </w:rPr>
        <w:t>一式三份</w:t>
      </w:r>
      <w:r>
        <w:rPr>
          <w:rFonts w:hint="eastAsia" w:ascii="宋体" w:hAnsi="宋体" w:cs="宋体"/>
          <w:color w:val="000000"/>
          <w:highlight w:val="none"/>
          <w:u w:val="single"/>
        </w:rPr>
        <w:t>。</w:t>
      </w:r>
    </w:p>
    <w:p w14:paraId="2B5103B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发包人向承包人提供图纸的内容：</w:t>
      </w:r>
      <w:r>
        <w:rPr>
          <w:rFonts w:hint="eastAsia" w:ascii="宋体" w:hAnsi="宋体" w:cs="宋体"/>
          <w:color w:val="000000"/>
          <w:highlight w:val="none"/>
          <w:u w:val="single"/>
        </w:rPr>
        <w:t>经审查的施工设计图</w:t>
      </w:r>
      <w:r>
        <w:rPr>
          <w:rFonts w:hint="eastAsia" w:ascii="宋体" w:hAnsi="宋体" w:cs="宋体"/>
          <w:color w:val="000000"/>
          <w:highlight w:val="none"/>
          <w:u w:val="single"/>
          <w:lang w:val="en-US" w:eastAsia="zh-CN"/>
        </w:rPr>
        <w:t>及电子版</w:t>
      </w:r>
      <w:r>
        <w:rPr>
          <w:rFonts w:hint="eastAsia" w:ascii="宋体" w:hAnsi="宋体" w:cs="宋体"/>
          <w:color w:val="000000"/>
          <w:highlight w:val="none"/>
        </w:rPr>
        <w:t>。</w:t>
      </w:r>
    </w:p>
    <w:p w14:paraId="45BA2308">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1.6.4 承包人文件</w:t>
      </w:r>
    </w:p>
    <w:p w14:paraId="1529EE8D">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需要由承包人提供的文件，包括：</w:t>
      </w:r>
      <w:r>
        <w:rPr>
          <w:rFonts w:hint="eastAsia" w:ascii="宋体" w:hAnsi="宋体" w:eastAsia="宋体" w:cs="宋体"/>
          <w:color w:val="000000"/>
          <w:szCs w:val="21"/>
          <w:highlight w:val="none"/>
          <w:u w:val="single"/>
        </w:rPr>
        <w:t>完善细化投标的施工组织设计，提供实施性的施工组织设计，材料、工程总进度计划等</w:t>
      </w:r>
      <w:r>
        <w:rPr>
          <w:rFonts w:hint="eastAsia" w:ascii="宋体" w:hAnsi="宋体" w:eastAsia="宋体" w:cs="宋体"/>
          <w:color w:val="000000"/>
          <w:szCs w:val="21"/>
          <w:highlight w:val="none"/>
        </w:rPr>
        <w:t>；</w:t>
      </w:r>
    </w:p>
    <w:p w14:paraId="011EE5C6">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承包人提供的文件的形式为：</w:t>
      </w:r>
      <w:r>
        <w:rPr>
          <w:rFonts w:hint="eastAsia" w:ascii="宋体" w:hAnsi="宋体" w:cs="宋体"/>
          <w:color w:val="000000"/>
          <w:highlight w:val="none"/>
          <w:u w:val="single"/>
        </w:rPr>
        <w:t>书面以及电子版</w:t>
      </w:r>
      <w:r>
        <w:rPr>
          <w:rFonts w:hint="eastAsia" w:ascii="宋体" w:hAnsi="宋体" w:cs="宋体"/>
          <w:color w:val="000000"/>
          <w:highlight w:val="none"/>
        </w:rPr>
        <w:t>；</w:t>
      </w:r>
    </w:p>
    <w:p w14:paraId="244C5AD8">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发包人审批承包人文件的期限：</w:t>
      </w:r>
      <w:r>
        <w:rPr>
          <w:rFonts w:hint="eastAsia" w:ascii="宋体" w:hAnsi="宋体" w:cs="宋体"/>
          <w:color w:val="000000"/>
          <w:highlight w:val="none"/>
          <w:u w:val="single"/>
        </w:rPr>
        <w:t>收到文件后7天内</w:t>
      </w:r>
      <w:r>
        <w:rPr>
          <w:rFonts w:hint="eastAsia" w:ascii="宋体" w:hAnsi="宋体" w:cs="宋体"/>
          <w:color w:val="000000"/>
          <w:highlight w:val="none"/>
        </w:rPr>
        <w:t>。</w:t>
      </w:r>
    </w:p>
    <w:p w14:paraId="2217F6FC">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bookmarkStart w:id="1078" w:name="_Toc31495"/>
      <w:r>
        <w:rPr>
          <w:rFonts w:hint="eastAsia" w:ascii="宋体" w:hAnsi="宋体" w:cs="宋体"/>
          <w:b w:val="0"/>
          <w:bCs w:val="0"/>
          <w:color w:val="000000"/>
          <w:sz w:val="21"/>
          <w:szCs w:val="21"/>
          <w:highlight w:val="none"/>
        </w:rPr>
        <w:t>1.7联络</w:t>
      </w:r>
      <w:bookmarkEnd w:id="1078"/>
    </w:p>
    <w:p w14:paraId="7ACD3BF1">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1.7.1发包人和承包人应当在</w:t>
      </w:r>
      <w:r>
        <w:rPr>
          <w:rFonts w:hint="eastAsia" w:ascii="宋体" w:hAnsi="宋体" w:cs="宋体"/>
          <w:color w:val="000000"/>
          <w:highlight w:val="none"/>
          <w:u w:val="single"/>
        </w:rPr>
        <w:t>3</w:t>
      </w:r>
      <w:r>
        <w:rPr>
          <w:rFonts w:hint="eastAsia" w:ascii="宋体" w:hAnsi="宋体" w:cs="宋体"/>
          <w:color w:val="000000"/>
          <w:kern w:val="0"/>
          <w:highlight w:val="none"/>
        </w:rPr>
        <w:t>天内将与合同有关的通知、批准、证明、证书、指示、指令、要求、请求、同意、意见、确定和决定等书面函件送达对方当事人。</w:t>
      </w:r>
    </w:p>
    <w:p w14:paraId="473E54C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1.7.2 发包人接收文件的地点：</w:t>
      </w:r>
      <w:r>
        <w:rPr>
          <w:rFonts w:hint="eastAsia" w:ascii="宋体" w:hAnsi="宋体" w:cs="宋体"/>
          <w:color w:val="000000"/>
          <w:highlight w:val="none"/>
          <w:u w:val="single"/>
        </w:rPr>
        <w:t>发包人现场办公室</w:t>
      </w:r>
      <w:r>
        <w:rPr>
          <w:rFonts w:hint="eastAsia" w:ascii="宋体" w:hAnsi="宋体" w:cs="宋体"/>
          <w:color w:val="000000"/>
          <w:kern w:val="0"/>
          <w:highlight w:val="none"/>
        </w:rPr>
        <w:t>；</w:t>
      </w:r>
    </w:p>
    <w:p w14:paraId="15D100B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发包人指定的接收人为：</w:t>
      </w:r>
      <w:r>
        <w:rPr>
          <w:rFonts w:hint="eastAsia" w:ascii="宋体" w:hAnsi="宋体" w:cs="宋体"/>
          <w:color w:val="000000"/>
          <w:highlight w:val="none"/>
          <w:u w:val="single"/>
        </w:rPr>
        <w:t>发包人代表</w:t>
      </w:r>
      <w:r>
        <w:rPr>
          <w:rFonts w:hint="eastAsia" w:ascii="宋体" w:hAnsi="宋体" w:cs="宋体"/>
          <w:color w:val="000000"/>
          <w:kern w:val="0"/>
          <w:highlight w:val="none"/>
        </w:rPr>
        <w:t>。</w:t>
      </w:r>
    </w:p>
    <w:p w14:paraId="54AD1DF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承包人接收文件的地点：</w:t>
      </w:r>
      <w:r>
        <w:rPr>
          <w:rFonts w:hint="eastAsia" w:ascii="宋体" w:hAnsi="宋体" w:cs="宋体"/>
          <w:color w:val="000000"/>
          <w:kern w:val="0"/>
          <w:highlight w:val="none"/>
          <w:u w:val="single"/>
        </w:rPr>
        <w:t>工地项目部项目经理办公室</w:t>
      </w:r>
      <w:r>
        <w:rPr>
          <w:rFonts w:hint="eastAsia" w:ascii="宋体" w:hAnsi="宋体" w:cs="宋体"/>
          <w:color w:val="000000"/>
          <w:kern w:val="0"/>
          <w:highlight w:val="none"/>
        </w:rPr>
        <w:t>；</w:t>
      </w:r>
    </w:p>
    <w:p w14:paraId="10715383">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承包人指定的接收人为：</w:t>
      </w:r>
      <w:r>
        <w:rPr>
          <w:rFonts w:hint="eastAsia" w:ascii="宋体" w:hAnsi="宋体" w:cs="宋体"/>
          <w:color w:val="000000"/>
          <w:highlight w:val="none"/>
          <w:u w:val="single"/>
        </w:rPr>
        <w:t>项目经理</w:t>
      </w:r>
      <w:r>
        <w:rPr>
          <w:rFonts w:hint="eastAsia" w:ascii="宋体" w:hAnsi="宋体" w:cs="宋体"/>
          <w:color w:val="000000"/>
          <w:kern w:val="0"/>
          <w:highlight w:val="none"/>
        </w:rPr>
        <w:t>。</w:t>
      </w:r>
    </w:p>
    <w:p w14:paraId="308F316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监理人接收文件的地点：</w:t>
      </w:r>
      <w:r>
        <w:rPr>
          <w:rFonts w:hint="eastAsia" w:ascii="宋体" w:hAnsi="宋体" w:cs="宋体"/>
          <w:color w:val="000000"/>
          <w:kern w:val="0"/>
          <w:highlight w:val="none"/>
          <w:u w:val="single"/>
          <w:lang w:val="en-US" w:eastAsia="zh-CN"/>
        </w:rPr>
        <w:t>/</w:t>
      </w:r>
      <w:r>
        <w:rPr>
          <w:rFonts w:hint="eastAsia" w:ascii="宋体" w:hAnsi="宋体" w:cs="宋体"/>
          <w:color w:val="000000"/>
          <w:kern w:val="0"/>
          <w:highlight w:val="none"/>
        </w:rPr>
        <w:t>；</w:t>
      </w:r>
    </w:p>
    <w:p w14:paraId="032F85E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u w:val="single"/>
        </w:rPr>
      </w:pPr>
      <w:r>
        <w:rPr>
          <w:rFonts w:hint="eastAsia" w:ascii="宋体" w:hAnsi="宋体" w:cs="宋体"/>
          <w:color w:val="000000"/>
          <w:kern w:val="0"/>
          <w:highlight w:val="none"/>
        </w:rPr>
        <w:t>监理人指定的接收人为：</w:t>
      </w:r>
      <w:r>
        <w:rPr>
          <w:rFonts w:hint="eastAsia" w:ascii="宋体" w:hAnsi="宋体" w:cs="宋体"/>
          <w:color w:val="000000"/>
          <w:highlight w:val="none"/>
          <w:u w:val="single"/>
          <w:lang w:val="en-US" w:eastAsia="zh-CN"/>
        </w:rPr>
        <w:t>/</w:t>
      </w:r>
      <w:r>
        <w:rPr>
          <w:rFonts w:hint="eastAsia" w:ascii="宋体" w:hAnsi="宋体" w:cs="宋体"/>
          <w:color w:val="000000"/>
          <w:kern w:val="0"/>
          <w:highlight w:val="none"/>
        </w:rPr>
        <w:t>。</w:t>
      </w:r>
    </w:p>
    <w:p w14:paraId="47C75B0E">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bookmarkStart w:id="1079" w:name="_Toc10891"/>
      <w:r>
        <w:rPr>
          <w:rFonts w:hint="eastAsia" w:ascii="宋体" w:hAnsi="宋体" w:cs="宋体"/>
          <w:b w:val="0"/>
          <w:bCs w:val="0"/>
          <w:color w:val="000000"/>
          <w:sz w:val="21"/>
          <w:szCs w:val="21"/>
          <w:highlight w:val="none"/>
        </w:rPr>
        <w:t>1.10交通运输</w:t>
      </w:r>
      <w:bookmarkEnd w:id="1079"/>
    </w:p>
    <w:p w14:paraId="44D667B9">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w:t>
      </w:r>
      <w:bookmarkStart w:id="1080" w:name="_Toc318581155"/>
      <w:bookmarkStart w:id="1081" w:name="_Toc303539100"/>
      <w:bookmarkStart w:id="1082" w:name="_Toc312677986"/>
      <w:bookmarkStart w:id="1083" w:name="_Toc300934943"/>
      <w:bookmarkStart w:id="1084" w:name="_Toc304295521"/>
      <w:r>
        <w:rPr>
          <w:rFonts w:hint="eastAsia" w:ascii="宋体" w:hAnsi="宋体" w:cs="宋体"/>
          <w:color w:val="000000"/>
          <w:kern w:val="0"/>
          <w:highlight w:val="none"/>
        </w:rPr>
        <w:t>.10.1 出入现场的权利</w:t>
      </w:r>
    </w:p>
    <w:p w14:paraId="59CAFB36">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u w:val="single"/>
        </w:rPr>
      </w:pPr>
      <w:r>
        <w:rPr>
          <w:rFonts w:hint="eastAsia" w:ascii="宋体" w:hAnsi="宋体" w:cs="宋体"/>
          <w:highlight w:val="none"/>
        </w:rPr>
        <w:t>关于出入现场的权利的约定：</w:t>
      </w:r>
      <w:r>
        <w:rPr>
          <w:rFonts w:hint="eastAsia" w:ascii="宋体" w:hAnsi="宋体" w:cs="宋体"/>
          <w:highlight w:val="none"/>
          <w:u w:val="single"/>
          <w:lang w:val="en-US" w:eastAsia="zh-CN"/>
        </w:rPr>
        <w:t>/</w:t>
      </w:r>
      <w:r>
        <w:rPr>
          <w:rFonts w:hint="eastAsia" w:ascii="宋体" w:hAnsi="宋体" w:cs="宋体"/>
          <w:highlight w:val="none"/>
        </w:rPr>
        <w:t>。</w:t>
      </w:r>
    </w:p>
    <w:bookmarkEnd w:id="1080"/>
    <w:bookmarkEnd w:id="1081"/>
    <w:bookmarkEnd w:id="1082"/>
    <w:bookmarkEnd w:id="1083"/>
    <w:bookmarkEnd w:id="1084"/>
    <w:p w14:paraId="243C102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w:t>
      </w:r>
      <w:bookmarkStart w:id="1085" w:name="_Toc304295522"/>
      <w:bookmarkStart w:id="1086" w:name="_Toc303539101"/>
      <w:bookmarkStart w:id="1087" w:name="_Toc312677987"/>
      <w:bookmarkStart w:id="1088" w:name="_Toc300934944"/>
      <w:bookmarkStart w:id="1089" w:name="_Toc318581156"/>
      <w:r>
        <w:rPr>
          <w:rFonts w:hint="eastAsia" w:ascii="宋体" w:hAnsi="宋体" w:cs="宋体"/>
          <w:color w:val="000000"/>
          <w:kern w:val="0"/>
          <w:highlight w:val="none"/>
        </w:rPr>
        <w:t>.10.3 场内交通</w:t>
      </w:r>
    </w:p>
    <w:p w14:paraId="56A3B1A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关于场外交通和场内交通的边界的约定：</w:t>
      </w:r>
      <w:r>
        <w:rPr>
          <w:rFonts w:hint="eastAsia" w:ascii="宋体" w:hAnsi="宋体" w:cs="宋体"/>
          <w:color w:val="000000"/>
          <w:kern w:val="0"/>
          <w:highlight w:val="none"/>
          <w:u w:val="single"/>
        </w:rPr>
        <w:t>规划施工红线</w:t>
      </w:r>
      <w:r>
        <w:rPr>
          <w:rFonts w:hint="eastAsia" w:ascii="宋体" w:hAnsi="宋体" w:cs="宋体"/>
          <w:highlight w:val="none"/>
        </w:rPr>
        <w:t>。</w:t>
      </w:r>
    </w:p>
    <w:p w14:paraId="569566B1">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关于发包人向承包人免费提供满足工程施工需要的场内道路和交通设施的约定：</w:t>
      </w:r>
      <w:r>
        <w:rPr>
          <w:rFonts w:hint="eastAsia" w:ascii="宋体" w:hAnsi="宋体" w:cs="宋体"/>
          <w:highlight w:val="none"/>
          <w:u w:val="single"/>
        </w:rPr>
        <w:t>由承包人自行解决，相关费用均已包含在合同总价中</w:t>
      </w:r>
      <w:r>
        <w:rPr>
          <w:rFonts w:hint="eastAsia" w:ascii="宋体" w:hAnsi="宋体" w:cs="宋体"/>
          <w:highlight w:val="none"/>
        </w:rPr>
        <w:t>。</w:t>
      </w:r>
      <w:bookmarkEnd w:id="1085"/>
      <w:bookmarkEnd w:id="1086"/>
      <w:bookmarkEnd w:id="1087"/>
      <w:bookmarkEnd w:id="1088"/>
      <w:bookmarkEnd w:id="1089"/>
      <w:r>
        <w:rPr>
          <w:rFonts w:hint="eastAsia" w:ascii="宋体" w:hAnsi="宋体" w:cs="宋体"/>
          <w:highlight w:val="none"/>
        </w:rPr>
        <w:t xml:space="preserve">  </w:t>
      </w:r>
      <w:bookmarkStart w:id="1090" w:name="_Toc318581157"/>
    </w:p>
    <w:p w14:paraId="30FD5C82">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1.10.4超大件和超重件的运输</w:t>
      </w:r>
    </w:p>
    <w:p w14:paraId="142B8465">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运输超大件或超重件所需的道路和桥梁临时加固改造费用和其他有关费用由</w:t>
      </w:r>
      <w:r>
        <w:rPr>
          <w:rFonts w:hint="eastAsia" w:ascii="宋体" w:hAnsi="宋体" w:cs="宋体"/>
          <w:highlight w:val="none"/>
          <w:u w:val="single"/>
        </w:rPr>
        <w:t>承包人</w:t>
      </w:r>
      <w:r>
        <w:rPr>
          <w:rFonts w:hint="eastAsia" w:ascii="宋体" w:hAnsi="宋体" w:cs="宋体"/>
          <w:highlight w:val="none"/>
        </w:rPr>
        <w:t>承担。</w:t>
      </w:r>
    </w:p>
    <w:bookmarkEnd w:id="1090"/>
    <w:p w14:paraId="2E188964">
      <w:pPr>
        <w:pStyle w:val="6"/>
        <w:pageBreakBefore w:val="0"/>
        <w:widowControl w:val="0"/>
        <w:kinsoku/>
        <w:wordWrap/>
        <w:overflowPunct/>
        <w:topLinePunct w:val="0"/>
        <w:bidi w:val="0"/>
        <w:adjustRightInd/>
        <w:snapToGrid w:val="0"/>
        <w:spacing w:before="0" w:after="0" w:line="360" w:lineRule="auto"/>
        <w:ind w:right="0" w:rightChars="0" w:firstLine="420" w:firstLineChars="200"/>
        <w:textAlignment w:val="auto"/>
        <w:rPr>
          <w:rFonts w:ascii="宋体" w:hAnsi="宋体" w:cs="宋体"/>
          <w:b w:val="0"/>
          <w:bCs w:val="0"/>
          <w:color w:val="000000"/>
          <w:sz w:val="21"/>
          <w:szCs w:val="21"/>
          <w:highlight w:val="none"/>
        </w:rPr>
      </w:pPr>
      <w:bookmarkStart w:id="1091" w:name="_Toc11909"/>
      <w:r>
        <w:rPr>
          <w:rFonts w:hint="eastAsia" w:ascii="宋体" w:hAnsi="宋体" w:cs="宋体"/>
          <w:b w:val="0"/>
          <w:bCs w:val="0"/>
          <w:color w:val="000000"/>
          <w:sz w:val="21"/>
          <w:szCs w:val="21"/>
          <w:highlight w:val="none"/>
        </w:rPr>
        <w:t>1.11知识产权</w:t>
      </w:r>
      <w:bookmarkEnd w:id="1091"/>
    </w:p>
    <w:p w14:paraId="7821DC75">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highlight w:val="none"/>
          <w:u w:val="single"/>
        </w:rPr>
        <w:t>归发包人所有，承包人未经发包人同意不得将本工程图纸转给第三人，不得进行复制，不得向承包人以外的人泄露有关图纸内容</w:t>
      </w:r>
      <w:r>
        <w:rPr>
          <w:rFonts w:hint="eastAsia" w:ascii="宋体" w:hAnsi="宋体" w:cs="宋体"/>
          <w:highlight w:val="none"/>
        </w:rPr>
        <w:t>。</w:t>
      </w:r>
    </w:p>
    <w:p w14:paraId="7CEFA7F3">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关于发包人提供的上述文件的使用限制的要求：</w:t>
      </w:r>
      <w:r>
        <w:rPr>
          <w:rFonts w:hint="eastAsia" w:ascii="宋体" w:hAnsi="宋体" w:cs="宋体"/>
          <w:highlight w:val="none"/>
          <w:u w:val="single"/>
        </w:rPr>
        <w:t>按通用条款执行</w:t>
      </w:r>
      <w:r>
        <w:rPr>
          <w:rFonts w:hint="eastAsia" w:ascii="宋体" w:hAnsi="宋体" w:cs="宋体"/>
          <w:highlight w:val="none"/>
        </w:rPr>
        <w:t>。</w:t>
      </w:r>
    </w:p>
    <w:p w14:paraId="27630EE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1.11.2 关于承包人为实施工程所编制文件的著作权的归属：</w:t>
      </w:r>
      <w:r>
        <w:rPr>
          <w:rFonts w:hint="eastAsia" w:ascii="宋体" w:hAnsi="宋体" w:cs="宋体"/>
          <w:highlight w:val="none"/>
          <w:u w:val="single"/>
        </w:rPr>
        <w:t>按通用条款执行</w:t>
      </w:r>
      <w:r>
        <w:rPr>
          <w:rFonts w:hint="eastAsia" w:ascii="宋体" w:hAnsi="宋体" w:cs="宋体"/>
          <w:highlight w:val="none"/>
        </w:rPr>
        <w:t>。</w:t>
      </w:r>
    </w:p>
    <w:p w14:paraId="12E05A08">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关于承包人提供的上述文件的使用限制的要求：</w:t>
      </w:r>
      <w:r>
        <w:rPr>
          <w:rFonts w:hint="eastAsia" w:ascii="宋体" w:hAnsi="宋体" w:cs="宋体"/>
          <w:highlight w:val="none"/>
          <w:u w:val="single"/>
        </w:rPr>
        <w:t>按通用条款执行</w:t>
      </w:r>
      <w:r>
        <w:rPr>
          <w:rFonts w:hint="eastAsia" w:ascii="宋体" w:hAnsi="宋体" w:cs="宋体"/>
          <w:highlight w:val="none"/>
        </w:rPr>
        <w:t>。</w:t>
      </w:r>
    </w:p>
    <w:p w14:paraId="53F40932">
      <w:pPr>
        <w:pageBreakBefore w:val="0"/>
        <w:widowControl w:val="0"/>
        <w:kinsoku/>
        <w:wordWrap/>
        <w:overflowPunct/>
        <w:topLinePunct w:val="0"/>
        <w:bidi w:val="0"/>
        <w:adjustRightInd/>
        <w:snapToGrid w:val="0"/>
        <w:spacing w:line="360" w:lineRule="auto"/>
        <w:ind w:right="0" w:rightChars="0" w:firstLine="420" w:firstLineChars="200"/>
        <w:textAlignment w:val="auto"/>
        <w:rPr>
          <w:rFonts w:hint="eastAsia" w:ascii="宋体" w:hAnsi="宋体" w:cs="宋体"/>
          <w:highlight w:val="none"/>
        </w:rPr>
      </w:pPr>
      <w:r>
        <w:rPr>
          <w:rFonts w:hint="eastAsia" w:ascii="宋体" w:hAnsi="宋体" w:cs="宋体"/>
          <w:highlight w:val="none"/>
        </w:rPr>
        <w:t>1.11.4 承包人在施工过程中所采用的专利、专有技术、技术秘密的使用费的承担方式：</w:t>
      </w:r>
      <w:r>
        <w:rPr>
          <w:rFonts w:hint="eastAsia" w:ascii="宋体" w:hAnsi="宋体" w:cs="宋体"/>
          <w:highlight w:val="none"/>
          <w:u w:val="single"/>
        </w:rPr>
        <w:t>由承包人承担，费用已包含在合同总价中</w:t>
      </w:r>
      <w:r>
        <w:rPr>
          <w:rFonts w:hint="eastAsia" w:ascii="宋体" w:hAnsi="宋体" w:cs="宋体"/>
          <w:highlight w:val="none"/>
        </w:rPr>
        <w:t>。</w:t>
      </w:r>
      <w:bookmarkStart w:id="1092" w:name="_Toc18390"/>
    </w:p>
    <w:bookmarkEnd w:id="1092"/>
    <w:p w14:paraId="00F50658">
      <w:pPr>
        <w:pStyle w:val="6"/>
        <w:pageBreakBefore w:val="0"/>
        <w:widowControl w:val="0"/>
        <w:kinsoku/>
        <w:wordWrap/>
        <w:overflowPunct/>
        <w:topLinePunct w:val="0"/>
        <w:bidi w:val="0"/>
        <w:adjustRightInd/>
        <w:snapToGrid w:val="0"/>
        <w:spacing w:before="0" w:after="0" w:line="360" w:lineRule="auto"/>
        <w:ind w:right="0" w:rightChars="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1.13工程量清单错误的修正</w:t>
      </w:r>
    </w:p>
    <w:p w14:paraId="745B3A34">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出现工程量清单错误时，是否调整合同价格：</w:t>
      </w:r>
      <w:r>
        <w:rPr>
          <w:rFonts w:hint="eastAsia" w:ascii="宋体" w:hAnsi="宋体" w:cs="宋体"/>
          <w:color w:val="000000"/>
          <w:highlight w:val="none"/>
          <w:u w:val="single"/>
        </w:rPr>
        <w:t>是</w:t>
      </w:r>
      <w:r>
        <w:rPr>
          <w:rFonts w:hint="eastAsia" w:ascii="宋体" w:hAnsi="宋体" w:cs="宋体"/>
          <w:color w:val="000000"/>
          <w:kern w:val="0"/>
          <w:highlight w:val="none"/>
        </w:rPr>
        <w:t>。</w:t>
      </w:r>
    </w:p>
    <w:p w14:paraId="0B24575E">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允许调整合同价格的工程量偏差范围：</w:t>
      </w:r>
      <w:r>
        <w:rPr>
          <w:rFonts w:hint="eastAsia" w:ascii="宋体" w:hAnsi="宋体" w:cs="宋体"/>
          <w:color w:val="000000"/>
          <w:highlight w:val="none"/>
          <w:u w:val="single"/>
        </w:rPr>
        <w:t>超过±15%</w:t>
      </w:r>
      <w:r>
        <w:rPr>
          <w:rFonts w:hint="eastAsia" w:ascii="宋体" w:hAnsi="宋体" w:cs="宋体"/>
          <w:color w:val="000000"/>
          <w:highlight w:val="none"/>
        </w:rPr>
        <w:t>。</w:t>
      </w:r>
    </w:p>
    <w:p w14:paraId="33BDA285">
      <w:pPr>
        <w:pStyle w:val="5"/>
        <w:keepNext w:val="0"/>
        <w:keepLines w:val="0"/>
        <w:pageBreakBefore w:val="0"/>
        <w:widowControl w:val="0"/>
        <w:kinsoku/>
        <w:wordWrap/>
        <w:overflowPunct/>
        <w:topLinePunct w:val="0"/>
        <w:autoSpaceDE/>
        <w:autoSpaceDN/>
        <w:bidi w:val="0"/>
        <w:adjustRightInd/>
        <w:snapToGrid w:val="0"/>
        <w:spacing w:line="360" w:lineRule="auto"/>
        <w:ind w:right="0" w:rightChars="0"/>
        <w:textAlignment w:val="auto"/>
        <w:rPr>
          <w:rFonts w:ascii="宋体" w:hAnsi="宋体" w:cs="宋体"/>
          <w:bCs w:val="0"/>
          <w:color w:val="000000"/>
          <w:sz w:val="24"/>
          <w:szCs w:val="24"/>
          <w:highlight w:val="none"/>
        </w:rPr>
      </w:pPr>
      <w:bookmarkStart w:id="1093" w:name="_Toc21339"/>
      <w:bookmarkStart w:id="1094" w:name="_Toc24199"/>
      <w:bookmarkStart w:id="1095" w:name="_Toc22254"/>
      <w:bookmarkStart w:id="1096" w:name="_Toc12949"/>
      <w:bookmarkStart w:id="1097" w:name="_Toc69909966"/>
      <w:bookmarkStart w:id="1098" w:name="_Toc351203634"/>
      <w:r>
        <w:rPr>
          <w:rFonts w:hint="eastAsia" w:ascii="宋体" w:hAnsi="宋体" w:cs="宋体"/>
          <w:bCs w:val="0"/>
          <w:color w:val="000000"/>
          <w:sz w:val="24"/>
          <w:szCs w:val="24"/>
          <w:highlight w:val="none"/>
        </w:rPr>
        <w:t>2</w:t>
      </w:r>
      <w:bookmarkStart w:id="1099" w:name="_Toc292559867"/>
      <w:bookmarkStart w:id="1100" w:name="_Toc296347156"/>
      <w:bookmarkStart w:id="1101" w:name="_Toc296944496"/>
      <w:bookmarkStart w:id="1102" w:name="_Toc296503157"/>
      <w:bookmarkStart w:id="1103" w:name="_Toc296891197"/>
      <w:bookmarkStart w:id="1104" w:name="_Toc296346658"/>
      <w:bookmarkStart w:id="1105" w:name="_Toc292559362"/>
      <w:bookmarkStart w:id="1106" w:name="_Toc297120457"/>
      <w:bookmarkStart w:id="1107" w:name="_Toc296890985"/>
      <w:bookmarkStart w:id="1108" w:name="_Toc297048343"/>
      <w:r>
        <w:rPr>
          <w:rFonts w:hint="eastAsia" w:ascii="宋体" w:hAnsi="宋体" w:cs="宋体"/>
          <w:bCs w:val="0"/>
          <w:color w:val="000000"/>
          <w:sz w:val="24"/>
          <w:szCs w:val="24"/>
          <w:highlight w:val="none"/>
        </w:rPr>
        <w:t>. 发包人</w:t>
      </w:r>
      <w:bookmarkEnd w:id="1093"/>
      <w:bookmarkEnd w:id="1094"/>
      <w:bookmarkEnd w:id="1095"/>
      <w:bookmarkEnd w:id="1096"/>
      <w:bookmarkEnd w:id="1097"/>
      <w:bookmarkEnd w:id="1098"/>
    </w:p>
    <w:bookmarkEnd w:id="1099"/>
    <w:bookmarkEnd w:id="1100"/>
    <w:bookmarkEnd w:id="1101"/>
    <w:bookmarkEnd w:id="1102"/>
    <w:bookmarkEnd w:id="1103"/>
    <w:bookmarkEnd w:id="1104"/>
    <w:bookmarkEnd w:id="1105"/>
    <w:bookmarkEnd w:id="1106"/>
    <w:bookmarkEnd w:id="1107"/>
    <w:bookmarkEnd w:id="1108"/>
    <w:p w14:paraId="20251F94">
      <w:pPr>
        <w:pStyle w:val="6"/>
        <w:keepNext w:val="0"/>
        <w:keepLines w:val="0"/>
        <w:pageBreakBefore w:val="0"/>
        <w:widowControl w:val="0"/>
        <w:kinsoku/>
        <w:wordWrap/>
        <w:overflowPunct/>
        <w:topLinePunct w:val="0"/>
        <w:autoSpaceDE/>
        <w:autoSpaceDN/>
        <w:bidi w:val="0"/>
        <w:adjustRightInd/>
        <w:snapToGrid w:val="0"/>
        <w:spacing w:before="0" w:after="0" w:line="360" w:lineRule="auto"/>
        <w:ind w:right="0" w:rightChars="0" w:firstLine="420" w:firstLineChars="200"/>
        <w:textAlignment w:val="auto"/>
        <w:rPr>
          <w:rFonts w:ascii="宋体" w:hAnsi="宋体" w:cs="宋体"/>
          <w:b w:val="0"/>
          <w:bCs w:val="0"/>
          <w:color w:val="000000"/>
          <w:sz w:val="21"/>
          <w:szCs w:val="21"/>
          <w:highlight w:val="none"/>
        </w:rPr>
      </w:pPr>
      <w:bookmarkStart w:id="1109" w:name="_Toc18704"/>
      <w:r>
        <w:rPr>
          <w:rFonts w:hint="eastAsia" w:ascii="宋体" w:hAnsi="宋体" w:cs="宋体"/>
          <w:b w:val="0"/>
          <w:bCs w:val="0"/>
          <w:color w:val="000000"/>
          <w:sz w:val="21"/>
          <w:szCs w:val="21"/>
          <w:highlight w:val="none"/>
        </w:rPr>
        <w:t>2.2发包人代表</w:t>
      </w:r>
      <w:bookmarkEnd w:id="1109"/>
    </w:p>
    <w:p w14:paraId="38258EAA">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发包人代表：</w:t>
      </w:r>
    </w:p>
    <w:p w14:paraId="3ED5AB0D">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姓    名：</w:t>
      </w:r>
      <w:r>
        <w:rPr>
          <w:rFonts w:hint="eastAsia" w:ascii="宋体" w:hAnsi="宋体" w:cs="宋体"/>
          <w:color w:val="000000"/>
          <w:highlight w:val="none"/>
          <w:u w:val="single"/>
        </w:rPr>
        <w:t xml:space="preserve"> </w:t>
      </w:r>
      <w:r>
        <w:rPr>
          <w:rFonts w:hint="eastAsia" w:ascii="宋体" w:hAnsi="宋体" w:cs="宋体"/>
          <w:color w:val="000000"/>
          <w:highlight w:val="none"/>
          <w:u w:val="single"/>
          <w:lang w:val="en-US" w:eastAsia="zh-CN"/>
        </w:rPr>
        <w:t xml:space="preserve">      </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634DD615">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b/>
          <w:color w:val="000000"/>
          <w:highlight w:val="none"/>
        </w:rPr>
      </w:pPr>
      <w:r>
        <w:rPr>
          <w:rFonts w:hint="eastAsia" w:ascii="宋体" w:hAnsi="宋体" w:cs="宋体"/>
          <w:color w:val="000000"/>
          <w:highlight w:val="none"/>
        </w:rPr>
        <w:t>发包人对发包人代表的授权范围如下：</w:t>
      </w:r>
      <w:r>
        <w:rPr>
          <w:rFonts w:hint="eastAsia" w:ascii="宋体" w:hAnsi="宋体" w:eastAsia="宋体" w:cs="宋体"/>
          <w:color w:val="000000"/>
          <w:szCs w:val="24"/>
          <w:highlight w:val="none"/>
          <w:u w:val="single"/>
        </w:rPr>
        <w:t>主要承担该项目的现场实施、竣工验收、工程结（决）算、资料归档、工程移交等各阶段建设单位应负责的相关事务，并配合完成项目前期的相关工作</w:t>
      </w:r>
      <w:r>
        <w:rPr>
          <w:rFonts w:hint="eastAsia" w:ascii="宋体" w:hAnsi="宋体" w:cs="宋体"/>
          <w:color w:val="000000"/>
          <w:highlight w:val="none"/>
        </w:rPr>
        <w:t>。</w:t>
      </w:r>
    </w:p>
    <w:p w14:paraId="39DD3A55">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2.4施工现场、施工条件和基础资料的提供</w:t>
      </w:r>
    </w:p>
    <w:p w14:paraId="25475572">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2.4.1 提供施工现场</w:t>
      </w:r>
    </w:p>
    <w:p w14:paraId="3F0D7321">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关于发包人移交施工现场的期限要求：</w:t>
      </w:r>
      <w:r>
        <w:rPr>
          <w:highlight w:val="none"/>
        </w:rPr>
        <w:t>发包人负责完成开工前必要的现场准备工作，使承包人得以进场施工。发包人在保证不影响施工进度的前提下，向承包人陆续移交现场，承包人有义务协助发包人提供施工现场。如承包人认为施工现场有影响工程施工的事项，应在开工前向发包人书面提出，经监理人确认后，发包人协助解决，但不能免除承包人的相关合同责任；如承包人在开工前未向发包人书面提出的，视为施工现场已具备施工条件。</w:t>
      </w:r>
    </w:p>
    <w:p w14:paraId="1DC425CD">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2.4.2 提供施工条件</w:t>
      </w:r>
    </w:p>
    <w:p w14:paraId="1F5AE4EB">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关于发包人应负责提供施工所需要的条件，包括：</w:t>
      </w:r>
    </w:p>
    <w:p w14:paraId="63D3A045">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（1）施工水源、电力、通讯线路均由承包人自行解决，费用已包含在合同总价中。</w:t>
      </w:r>
    </w:p>
    <w:p w14:paraId="3C1334C1">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（2）场外有公用道路可用，场内道路以及因施工需要必须切断的公共道路的改道均由承包人自行解决，费用已包含在合同总价中。</w:t>
      </w:r>
    </w:p>
    <w:p w14:paraId="28C21946">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（3）二次搬运、临时用水用电等由承包人自行解决，费用已包含在合同总价中；施工过程中与其他施工单位间的施工交叉配合协调等费用已包含在合同总价中。</w:t>
      </w:r>
    </w:p>
    <w:p w14:paraId="4A226BDE">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（4）提供施工</w:t>
      </w:r>
      <w:r>
        <w:rPr>
          <w:rFonts w:hint="eastAsia" w:ascii="宋体" w:hAnsi="宋体" w:eastAsia="宋体" w:cs="宋体"/>
          <w:color w:val="000000"/>
          <w:szCs w:val="21"/>
          <w:highlight w:val="none"/>
          <w:u w:val="single"/>
          <w:lang w:eastAsia="zh-CN"/>
        </w:rPr>
        <w:t>相</w:t>
      </w:r>
      <w:r>
        <w:rPr>
          <w:rFonts w:hint="eastAsia" w:ascii="宋体" w:hAnsi="宋体" w:eastAsia="宋体" w:cs="宋体"/>
          <w:color w:val="000000"/>
          <w:szCs w:val="21"/>
          <w:highlight w:val="none"/>
          <w:u w:val="single"/>
        </w:rPr>
        <w:t>关文件资料。</w:t>
      </w:r>
    </w:p>
    <w:p w14:paraId="52853FF7">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2.5资金来源证明及支付担保</w:t>
      </w:r>
    </w:p>
    <w:p w14:paraId="630799DF">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发包人提供资金来源证明的期限要求：</w:t>
      </w:r>
      <w:r>
        <w:rPr>
          <w:rFonts w:hint="eastAsia" w:ascii="宋体" w:hAnsi="宋体" w:cs="宋体"/>
          <w:color w:val="000000"/>
          <w:highlight w:val="none"/>
          <w:u w:val="single"/>
        </w:rPr>
        <w:t>不提供</w:t>
      </w:r>
      <w:r>
        <w:rPr>
          <w:rFonts w:hint="eastAsia" w:ascii="宋体" w:hAnsi="宋体" w:cs="宋体"/>
          <w:color w:val="000000"/>
          <w:highlight w:val="none"/>
        </w:rPr>
        <w:t>。</w:t>
      </w:r>
    </w:p>
    <w:p w14:paraId="20893869">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发包人是否提供支付担保：</w:t>
      </w:r>
      <w:r>
        <w:rPr>
          <w:rFonts w:hint="eastAsia" w:ascii="宋体" w:hAnsi="宋体" w:eastAsia="宋体" w:cs="宋体"/>
          <w:color w:val="000000"/>
          <w:szCs w:val="24"/>
          <w:highlight w:val="none"/>
          <w:u w:val="single"/>
        </w:rPr>
        <w:t>发包人向承包人提供工程款支付担保</w:t>
      </w:r>
      <w:r>
        <w:rPr>
          <w:rFonts w:hint="eastAsia" w:ascii="宋体" w:hAnsi="宋体" w:eastAsia="宋体" w:cs="宋体"/>
          <w:color w:val="000000"/>
          <w:szCs w:val="21"/>
          <w:highlight w:val="none"/>
        </w:rPr>
        <w:t>。</w:t>
      </w:r>
    </w:p>
    <w:p w14:paraId="5E6325FF">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rPr>
        <w:t>发包人提供支付担保的形式：</w:t>
      </w:r>
      <w:r>
        <w:rPr>
          <w:rFonts w:hint="eastAsia" w:ascii="宋体" w:hAnsi="宋体" w:eastAsia="宋体" w:cs="宋体"/>
          <w:color w:val="000000"/>
          <w:szCs w:val="24"/>
          <w:highlight w:val="none"/>
          <w:u w:val="single"/>
        </w:rPr>
        <w:t>按相关规定</w:t>
      </w:r>
      <w:r>
        <w:rPr>
          <w:rFonts w:hint="eastAsia" w:ascii="宋体" w:hAnsi="宋体" w:eastAsia="宋体" w:cs="宋体"/>
          <w:color w:val="000000"/>
          <w:szCs w:val="21"/>
          <w:highlight w:val="none"/>
        </w:rPr>
        <w:t>。</w:t>
      </w:r>
    </w:p>
    <w:p w14:paraId="7FDEA0F9">
      <w:pPr>
        <w:pStyle w:val="5"/>
        <w:keepNext w:val="0"/>
        <w:keepLines w:val="0"/>
        <w:pageBreakBefore w:val="0"/>
        <w:widowControl w:val="0"/>
        <w:kinsoku/>
        <w:wordWrap/>
        <w:overflowPunct/>
        <w:topLinePunct w:val="0"/>
        <w:autoSpaceDE/>
        <w:autoSpaceDN/>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110" w:name="_Toc6871"/>
      <w:bookmarkStart w:id="1111" w:name="_Toc22900"/>
      <w:bookmarkStart w:id="1112" w:name="_Toc69909967"/>
      <w:bookmarkStart w:id="1113" w:name="_Toc351203635"/>
      <w:bookmarkStart w:id="1114" w:name="_Toc28250"/>
      <w:r>
        <w:rPr>
          <w:rFonts w:hint="eastAsia" w:ascii="宋体" w:hAnsi="宋体" w:cs="宋体"/>
          <w:bCs w:val="0"/>
          <w:color w:val="000000"/>
          <w:sz w:val="24"/>
          <w:szCs w:val="24"/>
          <w:highlight w:val="none"/>
        </w:rPr>
        <w:t>3</w:t>
      </w:r>
      <w:bookmarkStart w:id="1115" w:name="_Toc292559363"/>
      <w:bookmarkStart w:id="1116" w:name="_Toc296944497"/>
      <w:bookmarkStart w:id="1117" w:name="_Toc296890986"/>
      <w:bookmarkStart w:id="1118" w:name="_Toc296503158"/>
      <w:bookmarkStart w:id="1119" w:name="_Toc296891198"/>
      <w:bookmarkStart w:id="1120" w:name="_Toc296347157"/>
      <w:bookmarkStart w:id="1121" w:name="_Toc296346659"/>
      <w:bookmarkStart w:id="1122" w:name="_Toc297048344"/>
      <w:bookmarkStart w:id="1123" w:name="_Toc297120458"/>
      <w:bookmarkStart w:id="1124" w:name="_Toc292559868"/>
      <w:r>
        <w:rPr>
          <w:rFonts w:hint="eastAsia" w:ascii="宋体" w:hAnsi="宋体" w:cs="宋体"/>
          <w:bCs w:val="0"/>
          <w:color w:val="000000"/>
          <w:sz w:val="24"/>
          <w:szCs w:val="24"/>
          <w:highlight w:val="none"/>
        </w:rPr>
        <w:t>. 承包人</w:t>
      </w:r>
      <w:bookmarkEnd w:id="1110"/>
      <w:bookmarkEnd w:id="1111"/>
      <w:bookmarkEnd w:id="1112"/>
      <w:bookmarkEnd w:id="1113"/>
      <w:bookmarkEnd w:id="1114"/>
    </w:p>
    <w:bookmarkEnd w:id="1115"/>
    <w:bookmarkEnd w:id="1116"/>
    <w:bookmarkEnd w:id="1117"/>
    <w:bookmarkEnd w:id="1118"/>
    <w:bookmarkEnd w:id="1119"/>
    <w:bookmarkEnd w:id="1120"/>
    <w:bookmarkEnd w:id="1121"/>
    <w:bookmarkEnd w:id="1122"/>
    <w:bookmarkEnd w:id="1123"/>
    <w:bookmarkEnd w:id="1124"/>
    <w:p w14:paraId="31F94C2D">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bookmarkStart w:id="1125" w:name="_Toc25954"/>
      <w:r>
        <w:rPr>
          <w:rFonts w:hint="eastAsia" w:ascii="宋体" w:hAnsi="宋体" w:cs="宋体"/>
          <w:b w:val="0"/>
          <w:bCs w:val="0"/>
          <w:color w:val="000000"/>
          <w:sz w:val="21"/>
          <w:szCs w:val="21"/>
          <w:highlight w:val="none"/>
        </w:rPr>
        <w:t>3.1承包人的一般义务</w:t>
      </w:r>
      <w:bookmarkEnd w:id="1125"/>
    </w:p>
    <w:p w14:paraId="513157FC">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hint="eastAsia" w:ascii="宋体" w:hAnsi="宋体" w:cs="宋体"/>
          <w:color w:val="000000"/>
          <w:kern w:val="0"/>
          <w:highlight w:val="none"/>
        </w:rPr>
      </w:pPr>
      <w:r>
        <w:rPr>
          <w:rFonts w:hint="eastAsia" w:ascii="宋体" w:hAnsi="宋体" w:cs="宋体"/>
          <w:color w:val="000000"/>
          <w:kern w:val="0"/>
          <w:highlight w:val="none"/>
        </w:rPr>
        <w:t>3.1.1在合同通用条款基础上增加以下要求：</w:t>
      </w:r>
    </w:p>
    <w:p w14:paraId="14E7F4DD">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kern w:val="0"/>
          <w:highlight w:val="none"/>
        </w:rPr>
        <w:t>（9）</w:t>
      </w:r>
      <w:r>
        <w:rPr>
          <w:rFonts w:hint="eastAsia" w:ascii="宋体" w:hAnsi="宋体" w:cs="宋体"/>
          <w:color w:val="000000"/>
          <w:highlight w:val="none"/>
        </w:rPr>
        <w:t>承包人提交的竣工资料的内容：</w:t>
      </w:r>
      <w:r>
        <w:rPr>
          <w:rFonts w:hint="eastAsia" w:ascii="宋体" w:hAnsi="宋体" w:eastAsia="宋体" w:cs="宋体"/>
          <w:color w:val="000000"/>
          <w:szCs w:val="21"/>
          <w:highlight w:val="none"/>
          <w:u w:val="single"/>
        </w:rPr>
        <w:t>提供符合南通市建设工程档案归档规范要求及南通市城建档案馆要求的竣工图纸及资料，并向发包人提供竣工图电子版</w:t>
      </w:r>
      <w:r>
        <w:rPr>
          <w:rFonts w:hint="eastAsia" w:ascii="宋体" w:hAnsi="宋体" w:cs="宋体"/>
          <w:color w:val="000000"/>
          <w:highlight w:val="none"/>
        </w:rPr>
        <w:t>。</w:t>
      </w:r>
    </w:p>
    <w:p w14:paraId="32005A4B">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承包人需要提交的竣工资料套数：</w:t>
      </w:r>
      <w:r>
        <w:rPr>
          <w:rFonts w:hint="eastAsia" w:ascii="宋体" w:hAnsi="宋体" w:cs="宋体"/>
          <w:color w:val="000000"/>
          <w:highlight w:val="none"/>
          <w:u w:val="single"/>
        </w:rPr>
        <w:t>书面和电子（刻录于可擦写光盘）各 3套</w:t>
      </w:r>
      <w:r>
        <w:rPr>
          <w:rFonts w:hint="eastAsia" w:ascii="宋体" w:hAnsi="宋体" w:cs="宋体"/>
          <w:color w:val="000000"/>
          <w:highlight w:val="none"/>
        </w:rPr>
        <w:t>。</w:t>
      </w:r>
    </w:p>
    <w:p w14:paraId="7E55698D">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kern w:val="0"/>
          <w:szCs w:val="21"/>
          <w:highlight w:val="none"/>
          <w:u w:val="single"/>
        </w:rPr>
      </w:pPr>
      <w:r>
        <w:rPr>
          <w:rFonts w:hint="eastAsia" w:ascii="宋体" w:hAnsi="宋体" w:cs="宋体"/>
          <w:color w:val="000000"/>
          <w:highlight w:val="none"/>
        </w:rPr>
        <w:t>承</w:t>
      </w:r>
      <w:bookmarkStart w:id="1126" w:name="_Toc32196"/>
      <w:r>
        <w:rPr>
          <w:rFonts w:hint="eastAsia" w:ascii="宋体" w:hAnsi="宋体" w:eastAsia="宋体" w:cs="宋体"/>
          <w:color w:val="000000"/>
          <w:kern w:val="0"/>
          <w:szCs w:val="21"/>
          <w:highlight w:val="none"/>
          <w:u w:val="single"/>
        </w:rPr>
        <w:t>性标准的规定以及发包人根据地方政府的规定、要求所制定的规定。</w:t>
      </w:r>
    </w:p>
    <w:p w14:paraId="4C4020C3">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u w:val="single"/>
        </w:rPr>
        <w:t>8）承包人在施工、竣工工程中应对已完成的工程、设备进行保护，如有损坏或缺失应立即自费进行修复。如承包人移交给发包人的工程或设备等因承包人保护不善而遭到损坏或缺失，承包人不愿或不能进行修复，发包人可以委托其他承包人完成此项工作并支付费用，其费用由发包人从承包人的合同价格中扣除。</w:t>
      </w:r>
    </w:p>
    <w:p w14:paraId="483DBECB">
      <w:pPr>
        <w:pageBreakBefore w:val="0"/>
        <w:widowControl w:val="0"/>
        <w:kinsoku/>
        <w:wordWrap/>
        <w:overflowPunct/>
        <w:topLinePunct w:val="0"/>
        <w:bidi w:val="0"/>
        <w:adjustRightInd/>
        <w:snapToGrid w:val="0"/>
        <w:spacing w:line="360" w:lineRule="auto"/>
        <w:ind w:left="636" w:leftChars="200" w:right="0" w:rightChars="0" w:hanging="216" w:hangingChars="103"/>
        <w:textAlignment w:val="auto"/>
        <w:rPr>
          <w:rFonts w:ascii="宋体" w:hAnsi="宋体" w:cs="宋体"/>
          <w:color w:val="000000"/>
          <w:highlight w:val="none"/>
        </w:rPr>
      </w:pPr>
      <w:r>
        <w:rPr>
          <w:rFonts w:hint="eastAsia" w:ascii="宋体" w:hAnsi="宋体" w:eastAsia="宋体" w:cs="宋体"/>
          <w:color w:val="000000"/>
          <w:kern w:val="0"/>
          <w:szCs w:val="21"/>
          <w:highlight w:val="none"/>
          <w:u w:val="single"/>
        </w:rPr>
        <w:t>9）施工安全、环保、消防、防汛和劳动保护等，应符合</w:t>
      </w:r>
      <w:r>
        <w:rPr>
          <w:rFonts w:hint="eastAsia" w:ascii="宋体" w:hAnsi="宋体" w:cs="宋体"/>
          <w:color w:val="000000"/>
          <w:highlight w:val="none"/>
        </w:rPr>
        <w:t>包人提交的竣工资料的费用承担：</w:t>
      </w:r>
      <w:r>
        <w:rPr>
          <w:rFonts w:hint="eastAsia" w:ascii="宋体" w:hAnsi="宋体" w:cs="宋体"/>
          <w:color w:val="000000"/>
          <w:highlight w:val="none"/>
          <w:u w:val="single"/>
        </w:rPr>
        <w:t>承包人承担</w:t>
      </w:r>
      <w:r>
        <w:rPr>
          <w:rFonts w:hint="eastAsia" w:ascii="宋体" w:hAnsi="宋体" w:cs="宋体"/>
          <w:color w:val="000000"/>
          <w:highlight w:val="none"/>
        </w:rPr>
        <w:t>。</w:t>
      </w:r>
    </w:p>
    <w:p w14:paraId="6FAFE96A">
      <w:pPr>
        <w:pageBreakBefore w:val="0"/>
        <w:widowControl w:val="0"/>
        <w:kinsoku/>
        <w:wordWrap/>
        <w:overflowPunct/>
        <w:topLinePunct w:val="0"/>
        <w:bidi w:val="0"/>
        <w:adjustRightInd/>
        <w:snapToGrid w:val="0"/>
        <w:spacing w:line="360" w:lineRule="auto"/>
        <w:ind w:left="15" w:leftChars="7" w:right="-420" w:rightChars="-200" w:firstLine="403" w:firstLineChars="192"/>
        <w:textAlignment w:val="auto"/>
        <w:rPr>
          <w:rFonts w:ascii="宋体" w:hAnsi="宋体" w:cs="宋体"/>
          <w:color w:val="000000"/>
          <w:highlight w:val="none"/>
        </w:rPr>
      </w:pPr>
      <w:r>
        <w:rPr>
          <w:rFonts w:hint="eastAsia" w:ascii="宋体" w:hAnsi="宋体" w:cs="宋体"/>
          <w:color w:val="000000"/>
          <w:highlight w:val="none"/>
        </w:rPr>
        <w:t>承包人提交的竣工资料移交时间：</w:t>
      </w:r>
      <w:r>
        <w:rPr>
          <w:rFonts w:hint="eastAsia" w:ascii="宋体" w:hAnsi="宋体" w:cs="宋体"/>
          <w:color w:val="000000"/>
          <w:highlight w:val="none"/>
          <w:u w:val="single"/>
        </w:rPr>
        <w:t>竣工验收合格后</w:t>
      </w:r>
      <w:r>
        <w:rPr>
          <w:rFonts w:hint="eastAsia" w:ascii="宋体" w:hAnsi="宋体" w:cs="宋体"/>
          <w:color w:val="000000"/>
          <w:highlight w:val="none"/>
          <w:u w:val="single"/>
          <w:lang w:val="en-US" w:eastAsia="zh-CN"/>
        </w:rPr>
        <w:t>30</w:t>
      </w:r>
      <w:r>
        <w:rPr>
          <w:rFonts w:hint="eastAsia" w:ascii="宋体" w:hAnsi="宋体" w:cs="宋体"/>
          <w:color w:val="000000"/>
          <w:highlight w:val="none"/>
          <w:u w:val="single"/>
        </w:rPr>
        <w:t>天内</w:t>
      </w:r>
      <w:r>
        <w:rPr>
          <w:rFonts w:hint="eastAsia" w:ascii="宋体" w:hAnsi="宋体" w:cs="宋体"/>
          <w:color w:val="000000"/>
          <w:highlight w:val="none"/>
        </w:rPr>
        <w:t>。</w:t>
      </w:r>
    </w:p>
    <w:p w14:paraId="3ACE2B9A">
      <w:pPr>
        <w:pageBreakBefore w:val="0"/>
        <w:widowControl w:val="0"/>
        <w:numPr>
          <w:ilvl w:val="0"/>
          <w:numId w:val="5"/>
        </w:numPr>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承包人应履行的其他义务：</w:t>
      </w:r>
    </w:p>
    <w:p w14:paraId="6EEC5BF2">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u w:val="single"/>
        </w:rPr>
        <w:t>1）承包人在施工中，必须与设计单位密切配合，并根据其变化情况及时调整工序，制定相应的措施、工艺，确保安全、优质、快速施工。</w:t>
      </w:r>
    </w:p>
    <w:p w14:paraId="11437ED5">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u w:val="single"/>
        </w:rPr>
        <w:t>2）承包人有责任和义务对周围环境进行保护，由于施工造成周围环境的破坏和影响，承包人应负全责。</w:t>
      </w:r>
    </w:p>
    <w:p w14:paraId="4D17D253">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u w:val="single"/>
        </w:rPr>
        <w:t>3）为保证本工程的施工质量，承包人在施工中应严格执行本技术条件。凡本技术条件未作规定的均应按国家及地方现行的有关强制性标准执行。</w:t>
      </w:r>
    </w:p>
    <w:p w14:paraId="276969AD">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u w:val="single"/>
        </w:rPr>
        <w:t>4）文明施工，遵守城市管理的各项法规，严格控制施工噪声，少占用施工场地，保持现场及周围环境清洁，减少对地面交通干扰和环境污染。工程施工期间，噪声、振动、废水、废气和固体废弃物的影响必须满足国家和南通市有关法规要求。</w:t>
      </w:r>
    </w:p>
    <w:p w14:paraId="2952A88D">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u w:val="single"/>
        </w:rPr>
        <w:t>5）采用的原材料、预制品等应符合国家现行技术标准规定，并应有合格证和出厂说明书及检验、试验报告。</w:t>
      </w:r>
    </w:p>
    <w:p w14:paraId="22F02E16">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u w:val="single"/>
        </w:rPr>
        <w:t>6）采用和推广经鉴定并批准的新技术、新工艺、新设备、新材料时，应制定相应的标准，并经监理和发包人管理者代表的批准。</w:t>
      </w:r>
    </w:p>
    <w:p w14:paraId="2C818C4E">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u w:val="single"/>
        </w:rPr>
        <w:t>7）施工安全、环保、消防、防汛和劳动保护等，应符合国家现行的有关强制</w:t>
      </w:r>
      <w:r>
        <w:rPr>
          <w:rFonts w:hint="eastAsia" w:ascii="宋体" w:hAnsi="宋体" w:eastAsia="宋体" w:cs="宋体"/>
          <w:color w:val="000000"/>
          <w:kern w:val="0"/>
          <w:szCs w:val="21"/>
          <w:highlight w:val="none"/>
          <w:u w:val="single"/>
        </w:rPr>
        <w:t>国家现行的有关强制性标准的规定以及地铁管理部门根据地方政府的规定、要求所制定的规定。</w:t>
      </w:r>
    </w:p>
    <w:p w14:paraId="173ABD3A">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u w:val="single"/>
        </w:rPr>
        <w:t>10）工程竣工后，承包人应及时编制竣工文件，并在工程验收前提前交给发包人。</w:t>
      </w:r>
    </w:p>
    <w:p w14:paraId="4221B652">
      <w:pPr>
        <w:pageBreakBefore w:val="0"/>
        <w:widowControl w:val="0"/>
        <w:numPr>
          <w:ilvl w:val="0"/>
          <w:numId w:val="0"/>
        </w:numPr>
        <w:kinsoku/>
        <w:wordWrap/>
        <w:overflowPunct/>
        <w:topLinePunct w:val="0"/>
        <w:bidi w:val="0"/>
        <w:adjustRightInd/>
        <w:snapToGrid w:val="0"/>
        <w:spacing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lang w:val="en-US" w:eastAsia="zh-CN"/>
        </w:rPr>
        <w:t xml:space="preserve">3.2 </w:t>
      </w:r>
      <w:r>
        <w:rPr>
          <w:rFonts w:hint="eastAsia" w:ascii="宋体" w:hAnsi="宋体" w:cs="宋体"/>
          <w:b w:val="0"/>
          <w:bCs w:val="0"/>
          <w:color w:val="000000"/>
          <w:sz w:val="21"/>
          <w:szCs w:val="21"/>
          <w:highlight w:val="none"/>
        </w:rPr>
        <w:t>项目经理</w:t>
      </w:r>
      <w:bookmarkEnd w:id="1126"/>
    </w:p>
    <w:p w14:paraId="00B07535">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kern w:val="0"/>
          <w:highlight w:val="none"/>
        </w:rPr>
        <w:t xml:space="preserve">3.2.1 </w:t>
      </w:r>
      <w:r>
        <w:rPr>
          <w:rFonts w:hint="eastAsia" w:ascii="宋体" w:hAnsi="宋体" w:cs="宋体"/>
          <w:color w:val="000000"/>
          <w:highlight w:val="none"/>
        </w:rPr>
        <w:t>项目经理：</w:t>
      </w:r>
    </w:p>
    <w:p w14:paraId="6486CAED">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hint="default" w:ascii="宋体" w:hAnsi="宋体" w:eastAsia="宋体" w:cs="宋体"/>
          <w:color w:val="000000"/>
          <w:highlight w:val="none"/>
          <w:lang w:val="en-US" w:eastAsia="zh-CN"/>
        </w:rPr>
      </w:pPr>
      <w:r>
        <w:rPr>
          <w:rFonts w:hint="eastAsia" w:ascii="宋体" w:hAnsi="宋体" w:cs="宋体"/>
          <w:color w:val="000000"/>
          <w:highlight w:val="none"/>
        </w:rPr>
        <w:t>姓    名：</w:t>
      </w:r>
      <w:r>
        <w:rPr>
          <w:rFonts w:hint="eastAsia" w:ascii="宋体" w:hAnsi="宋体" w:cs="宋体"/>
          <w:color w:val="000000"/>
          <w:highlight w:val="none"/>
          <w:u w:val="single"/>
          <w:lang w:val="en-US" w:eastAsia="zh-CN"/>
        </w:rPr>
        <w:t xml:space="preserve">           </w:t>
      </w:r>
    </w:p>
    <w:p w14:paraId="7FCF7DB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hint="eastAsia" w:ascii="宋体" w:hAnsi="宋体" w:cs="宋体"/>
          <w:color w:val="000000"/>
          <w:highlight w:val="none"/>
          <w:u w:val="single"/>
          <w:lang w:val="en-US" w:eastAsia="zh-CN"/>
        </w:rPr>
      </w:pPr>
      <w:r>
        <w:rPr>
          <w:rFonts w:hint="eastAsia" w:ascii="宋体" w:hAnsi="宋体" w:cs="宋体"/>
          <w:color w:val="000000"/>
          <w:highlight w:val="none"/>
        </w:rPr>
        <w:t>建造师注册证书号：</w:t>
      </w:r>
      <w:r>
        <w:rPr>
          <w:rFonts w:hint="eastAsia" w:ascii="宋体" w:hAnsi="宋体" w:cs="宋体"/>
          <w:color w:val="000000"/>
          <w:highlight w:val="none"/>
          <w:u w:val="single"/>
          <w:lang w:val="en-US" w:eastAsia="zh-CN"/>
        </w:rPr>
        <w:t xml:space="preserve">                    </w:t>
      </w:r>
    </w:p>
    <w:p w14:paraId="5DF9F760">
      <w:pPr>
        <w:pStyle w:val="7"/>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宋体"/>
          <w:color w:val="000000"/>
          <w:highlight w:val="none"/>
          <w:u w:val="single"/>
          <w:lang w:val="en-US" w:eastAsia="zh-CN"/>
        </w:rPr>
      </w:pPr>
      <w:r>
        <w:rPr>
          <w:rFonts w:hint="eastAsia" w:ascii="宋体" w:hAnsi="宋体" w:cs="宋体"/>
          <w:color w:val="000000"/>
          <w:highlight w:val="none"/>
          <w:u w:val="none"/>
          <w:lang w:val="en-US" w:eastAsia="zh-CN"/>
        </w:rPr>
        <w:t>电话：</w:t>
      </w:r>
      <w:r>
        <w:rPr>
          <w:rFonts w:hint="eastAsia" w:ascii="宋体" w:hAnsi="宋体" w:cs="宋体"/>
          <w:color w:val="000000"/>
          <w:highlight w:val="none"/>
          <w:u w:val="single"/>
          <w:lang w:val="en-US" w:eastAsia="zh-CN"/>
        </w:rPr>
        <w:t xml:space="preserve">                      </w:t>
      </w:r>
    </w:p>
    <w:p w14:paraId="2DFBDE64">
      <w:pPr>
        <w:pStyle w:val="7"/>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宋体" w:hAnsi="宋体" w:cs="宋体"/>
          <w:color w:val="000000"/>
          <w:highlight w:val="none"/>
          <w:u w:val="single"/>
          <w:lang w:val="en-US" w:eastAsia="zh-CN"/>
        </w:rPr>
      </w:pPr>
      <w:r>
        <w:rPr>
          <w:rFonts w:hint="eastAsia" w:ascii="宋体" w:hAnsi="宋体" w:cs="宋体"/>
          <w:color w:val="000000"/>
          <w:highlight w:val="none"/>
          <w:u w:val="none"/>
          <w:lang w:val="en-US" w:eastAsia="zh-CN"/>
        </w:rPr>
        <w:t>邮箱：</w:t>
      </w:r>
      <w:r>
        <w:rPr>
          <w:rFonts w:hint="eastAsia" w:ascii="宋体" w:hAnsi="宋体" w:cs="宋体"/>
          <w:color w:val="000000"/>
          <w:highlight w:val="none"/>
          <w:u w:val="single"/>
          <w:lang w:val="en-US" w:eastAsia="zh-CN"/>
        </w:rPr>
        <w:t xml:space="preserve">                      </w:t>
      </w:r>
    </w:p>
    <w:p w14:paraId="137F5E35">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承包人对项目经理的授权范围如下：</w:t>
      </w:r>
      <w:r>
        <w:rPr>
          <w:rFonts w:hint="eastAsia" w:ascii="宋体" w:hAnsi="宋体" w:eastAsia="宋体" w:cs="宋体"/>
          <w:color w:val="000000"/>
          <w:szCs w:val="21"/>
          <w:highlight w:val="none"/>
          <w:u w:val="single"/>
          <w:lang w:eastAsia="zh-CN"/>
        </w:rPr>
        <w:t>全权</w:t>
      </w:r>
      <w:r>
        <w:rPr>
          <w:rFonts w:hint="eastAsia" w:ascii="宋体" w:hAnsi="宋体" w:eastAsia="宋体" w:cs="宋体"/>
          <w:color w:val="000000"/>
          <w:szCs w:val="21"/>
          <w:highlight w:val="none"/>
          <w:u w:val="single"/>
        </w:rPr>
        <w:t>代表承包人，并与发包人建立联系，全面主持工程的实施。接受发包人的各项指令和要求，负责协调和处理各种问题。按照本项目合同项下的相关规定和要求，协调和处理项目工程实施过程中的全面工作</w:t>
      </w:r>
      <w:r>
        <w:rPr>
          <w:rFonts w:hint="eastAsia" w:ascii="宋体" w:hAnsi="宋体" w:cs="宋体"/>
          <w:color w:val="000000"/>
          <w:highlight w:val="none"/>
        </w:rPr>
        <w:t>。</w:t>
      </w:r>
    </w:p>
    <w:p w14:paraId="0F510585">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关于项目经理每月在施工现场的时间要求：</w:t>
      </w:r>
      <w:r>
        <w:rPr>
          <w:rFonts w:hint="eastAsia" w:ascii="宋体" w:hAnsi="宋体" w:eastAsia="宋体" w:cs="宋体"/>
          <w:color w:val="000000"/>
          <w:szCs w:val="24"/>
          <w:highlight w:val="none"/>
          <w:u w:val="single"/>
        </w:rPr>
        <w:t>项目经理每月驻工地不得少于22天</w:t>
      </w:r>
      <w:r>
        <w:rPr>
          <w:rFonts w:hint="eastAsia" w:ascii="宋体" w:hAnsi="宋体" w:cs="宋体"/>
          <w:color w:val="000000"/>
          <w:highlight w:val="none"/>
          <w:u w:val="single"/>
        </w:rPr>
        <w:t>。</w:t>
      </w:r>
    </w:p>
    <w:p w14:paraId="23767C5F">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承包人未提交劳动合同，以及没有为项目经理缴纳社会保险证明的违约责任：</w:t>
      </w:r>
      <w:r>
        <w:rPr>
          <w:rFonts w:hint="eastAsia" w:ascii="宋体" w:hAnsi="宋体" w:cs="宋体"/>
          <w:color w:val="000000"/>
          <w:kern w:val="0"/>
          <w:highlight w:val="none"/>
          <w:u w:val="single"/>
        </w:rPr>
        <w:t>处以</w:t>
      </w:r>
      <w:r>
        <w:rPr>
          <w:rFonts w:hint="eastAsia" w:ascii="宋体" w:hAnsi="宋体" w:cs="宋体"/>
          <w:color w:val="000000"/>
          <w:kern w:val="0"/>
          <w:highlight w:val="none"/>
          <w:u w:val="single"/>
          <w:lang w:val="en-US" w:eastAsia="zh-CN"/>
        </w:rPr>
        <w:t>0.5</w:t>
      </w:r>
      <w:r>
        <w:rPr>
          <w:rFonts w:hint="eastAsia" w:ascii="宋体" w:hAnsi="宋体" w:cs="宋体"/>
          <w:color w:val="000000"/>
          <w:kern w:val="0"/>
          <w:highlight w:val="none"/>
          <w:u w:val="single"/>
        </w:rPr>
        <w:t>万元罚款，责令限期提交劳动合同并补缴社会保险</w:t>
      </w:r>
      <w:r>
        <w:rPr>
          <w:rFonts w:hint="eastAsia" w:ascii="宋体" w:hAnsi="宋体" w:cs="宋体"/>
          <w:color w:val="000000"/>
          <w:highlight w:val="none"/>
        </w:rPr>
        <w:t>。</w:t>
      </w:r>
    </w:p>
    <w:p w14:paraId="6EF39371">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u w:val="single"/>
        </w:rPr>
      </w:pPr>
      <w:r>
        <w:rPr>
          <w:rFonts w:hint="eastAsia" w:ascii="宋体" w:hAnsi="宋体" w:cs="宋体"/>
          <w:color w:val="000000"/>
          <w:kern w:val="0"/>
          <w:highlight w:val="none"/>
        </w:rPr>
        <w:t>项目经理未经批准，擅自离开施工现场的违约责任：</w:t>
      </w:r>
      <w:r>
        <w:rPr>
          <w:rFonts w:hint="eastAsia" w:ascii="宋体" w:hAnsi="宋体" w:eastAsia="宋体" w:cs="宋体"/>
          <w:color w:val="000000"/>
          <w:szCs w:val="24"/>
          <w:highlight w:val="none"/>
          <w:u w:val="single"/>
        </w:rPr>
        <w:t>项目经理未履行请假程序或请假要求未经发包人批准擅自离开南通以及请假逾期罚款人民币每天</w:t>
      </w:r>
      <w:r>
        <w:rPr>
          <w:rFonts w:hint="eastAsia" w:ascii="宋体" w:hAnsi="宋体" w:eastAsia="宋体" w:cs="宋体"/>
          <w:color w:val="000000"/>
          <w:szCs w:val="24"/>
          <w:highlight w:val="none"/>
          <w:u w:val="single"/>
          <w:lang w:val="en-US" w:eastAsia="zh-CN"/>
        </w:rPr>
        <w:t>1</w:t>
      </w:r>
      <w:r>
        <w:rPr>
          <w:rFonts w:hint="eastAsia" w:ascii="宋体" w:hAnsi="宋体" w:eastAsia="宋体" w:cs="宋体"/>
          <w:color w:val="000000"/>
          <w:szCs w:val="24"/>
          <w:highlight w:val="none"/>
          <w:u w:val="single"/>
        </w:rPr>
        <w:t>000元</w:t>
      </w:r>
      <w:r>
        <w:rPr>
          <w:rFonts w:hint="eastAsia" w:ascii="宋体" w:hAnsi="宋体" w:cs="宋体"/>
          <w:color w:val="000000"/>
          <w:highlight w:val="none"/>
        </w:rPr>
        <w:t>。</w:t>
      </w:r>
    </w:p>
    <w:p w14:paraId="5EF916A7">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3.2.3 承包人擅自更换项目经理的违约责任：</w:t>
      </w:r>
      <w:r>
        <w:rPr>
          <w:rFonts w:hint="eastAsia" w:ascii="宋体" w:hAnsi="宋体" w:eastAsia="宋体" w:cs="宋体"/>
          <w:color w:val="000000"/>
          <w:szCs w:val="24"/>
          <w:highlight w:val="none"/>
          <w:u w:val="single"/>
        </w:rPr>
        <w:t>现场项目部的项目经理、不能随意更换。承包人提出更换项目经理，在征得发包人同意批准后，需相应扣除违约金项目经理：1万元人民币/人次；上述费用从当期开始的进度款中扣除</w:t>
      </w:r>
      <w:r>
        <w:rPr>
          <w:rFonts w:hint="eastAsia" w:ascii="宋体" w:hAnsi="宋体" w:cs="宋体"/>
          <w:color w:val="000000"/>
          <w:highlight w:val="none"/>
          <w:u w:val="single"/>
        </w:rPr>
        <w:t>。</w:t>
      </w:r>
    </w:p>
    <w:p w14:paraId="30F41079">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3.2.4 承包人无正当理由拒绝更换项目经理的违约责任：</w:t>
      </w:r>
      <w:r>
        <w:rPr>
          <w:rFonts w:hint="eastAsia" w:ascii="宋体" w:hAnsi="宋体" w:cs="宋体"/>
          <w:color w:val="000000"/>
          <w:highlight w:val="none"/>
          <w:u w:val="single"/>
        </w:rPr>
        <w:t>除责令更换外，另每次扣罚合同价的5%</w:t>
      </w:r>
      <w:r>
        <w:rPr>
          <w:rFonts w:hint="eastAsia" w:ascii="宋体" w:hAnsi="宋体" w:cs="宋体"/>
          <w:color w:val="000000"/>
          <w:highlight w:val="none"/>
        </w:rPr>
        <w:t>。</w:t>
      </w:r>
    </w:p>
    <w:p w14:paraId="64A1ADE1">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bookmarkStart w:id="1127" w:name="_Toc26012"/>
      <w:r>
        <w:rPr>
          <w:rFonts w:hint="eastAsia" w:ascii="宋体" w:hAnsi="宋体" w:cs="宋体"/>
          <w:b w:val="0"/>
          <w:bCs w:val="0"/>
          <w:color w:val="000000"/>
          <w:sz w:val="21"/>
          <w:szCs w:val="21"/>
          <w:highlight w:val="none"/>
        </w:rPr>
        <w:t>3.3承包人人员</w:t>
      </w:r>
      <w:bookmarkEnd w:id="1127"/>
    </w:p>
    <w:p w14:paraId="26437F2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3.3.1 承包人提交项目管理机构及施工现场管理人员安排报告的期限：</w:t>
      </w:r>
      <w:r>
        <w:rPr>
          <w:rFonts w:hint="eastAsia" w:ascii="宋体" w:hAnsi="宋体" w:cs="宋体"/>
          <w:color w:val="000000"/>
          <w:highlight w:val="none"/>
          <w:u w:val="single"/>
          <w:lang w:val="en-US" w:eastAsia="zh-CN"/>
        </w:rPr>
        <w:t>开工前3天</w:t>
      </w:r>
      <w:r>
        <w:rPr>
          <w:rFonts w:hint="eastAsia" w:ascii="宋体" w:hAnsi="宋体" w:cs="宋体"/>
          <w:color w:val="000000"/>
          <w:highlight w:val="none"/>
        </w:rPr>
        <w:t>。</w:t>
      </w:r>
    </w:p>
    <w:p w14:paraId="27831B3B">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3.3.3 承包人无正当理由拒绝撤换主要施工管理人员的违约责任：</w:t>
      </w:r>
      <w:r>
        <w:rPr>
          <w:rFonts w:hint="eastAsia" w:ascii="宋体" w:hAnsi="宋体" w:cs="宋体"/>
          <w:color w:val="000000"/>
          <w:highlight w:val="none"/>
          <w:u w:val="single"/>
        </w:rPr>
        <w:t>除责令撤换外，另每人每次扣罚合同价的1%</w:t>
      </w:r>
      <w:r>
        <w:rPr>
          <w:rFonts w:hint="eastAsia" w:ascii="宋体" w:hAnsi="宋体" w:cs="宋体"/>
          <w:color w:val="000000"/>
          <w:highlight w:val="none"/>
        </w:rPr>
        <w:t>。</w:t>
      </w:r>
    </w:p>
    <w:p w14:paraId="1589A015">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3.3.4 承包人主要施工管理人员离开施工现场的批准要求：</w:t>
      </w:r>
      <w:r>
        <w:rPr>
          <w:rFonts w:hint="eastAsia" w:ascii="宋体" w:hAnsi="宋体" w:cs="宋体"/>
          <w:color w:val="000000"/>
          <w:highlight w:val="none"/>
          <w:u w:val="single"/>
          <w:lang w:val="en-US" w:eastAsia="zh-CN"/>
        </w:rPr>
        <w:t>发包人批准</w:t>
      </w:r>
      <w:r>
        <w:rPr>
          <w:rFonts w:hint="eastAsia" w:ascii="宋体" w:hAnsi="宋体" w:cs="宋体"/>
          <w:color w:val="000000"/>
          <w:highlight w:val="none"/>
        </w:rPr>
        <w:t>。</w:t>
      </w:r>
    </w:p>
    <w:p w14:paraId="6651DF0D">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u w:val="single"/>
        </w:rPr>
      </w:pPr>
      <w:r>
        <w:rPr>
          <w:rFonts w:hint="eastAsia" w:ascii="宋体" w:hAnsi="宋体" w:cs="宋体"/>
          <w:color w:val="000000"/>
          <w:highlight w:val="none"/>
        </w:rPr>
        <w:t>3.3.5 承包人擅自更换主要施工管理人员的违约责任：</w:t>
      </w:r>
      <w:r>
        <w:rPr>
          <w:rFonts w:hint="eastAsia" w:ascii="宋体" w:hAnsi="宋体" w:eastAsia="宋体" w:cs="宋体"/>
          <w:color w:val="000000"/>
          <w:szCs w:val="21"/>
          <w:highlight w:val="none"/>
        </w:rPr>
        <w:t>现</w:t>
      </w:r>
      <w:r>
        <w:rPr>
          <w:rFonts w:hint="eastAsia" w:ascii="宋体" w:hAnsi="宋体" w:eastAsia="宋体" w:cs="宋体"/>
          <w:color w:val="000000"/>
          <w:szCs w:val="24"/>
          <w:highlight w:val="none"/>
          <w:u w:val="single"/>
        </w:rPr>
        <w:t>场项目部主要负责人不能随意更换。承包人提出主要负责人，在征得发包人同意批准后，需相应扣除违约金500元人民币/人次</w:t>
      </w:r>
      <w:r>
        <w:rPr>
          <w:rFonts w:hint="eastAsia" w:ascii="宋体" w:hAnsi="宋体" w:cs="宋体"/>
          <w:color w:val="000000"/>
          <w:highlight w:val="none"/>
          <w:u w:val="single"/>
        </w:rPr>
        <w:t>。</w:t>
      </w:r>
    </w:p>
    <w:p w14:paraId="1A5AD982">
      <w:pPr>
        <w:pStyle w:val="6"/>
        <w:pageBreakBefore w:val="0"/>
        <w:widowControl w:val="0"/>
        <w:kinsoku/>
        <w:wordWrap/>
        <w:overflowPunct/>
        <w:topLinePunct w:val="0"/>
        <w:bidi w:val="0"/>
        <w:adjustRightInd/>
        <w:snapToGrid w:val="0"/>
        <w:spacing w:before="0" w:after="0" w:line="360" w:lineRule="auto"/>
        <w:ind w:right="0" w:rightChars="0" w:firstLine="420" w:firstLineChars="200"/>
        <w:textAlignment w:val="auto"/>
        <w:rPr>
          <w:rFonts w:ascii="宋体" w:hAnsi="宋体" w:cs="宋体"/>
          <w:b w:val="0"/>
          <w:bCs w:val="0"/>
          <w:color w:val="000000"/>
          <w:sz w:val="21"/>
          <w:szCs w:val="21"/>
          <w:highlight w:val="none"/>
        </w:rPr>
      </w:pPr>
      <w:bookmarkStart w:id="1128" w:name="_Toc22014"/>
      <w:r>
        <w:rPr>
          <w:rFonts w:hint="eastAsia" w:ascii="宋体" w:hAnsi="宋体" w:cs="宋体"/>
          <w:b w:val="0"/>
          <w:bCs w:val="0"/>
          <w:color w:val="000000"/>
          <w:sz w:val="21"/>
          <w:szCs w:val="21"/>
          <w:highlight w:val="none"/>
        </w:rPr>
        <w:t>3</w:t>
      </w:r>
      <w:bookmarkStart w:id="1129" w:name="_Toc296891199"/>
      <w:bookmarkStart w:id="1130" w:name="_Toc312677988"/>
      <w:bookmarkStart w:id="1131" w:name="_Toc296503159"/>
      <w:bookmarkStart w:id="1132" w:name="_Toc296890987"/>
      <w:bookmarkStart w:id="1133" w:name="_Toc297120459"/>
      <w:bookmarkStart w:id="1134" w:name="_Toc303539102"/>
      <w:bookmarkStart w:id="1135" w:name="_Toc296944498"/>
      <w:bookmarkStart w:id="1136" w:name="_Toc300934945"/>
      <w:bookmarkStart w:id="1137" w:name="_Toc297216151"/>
      <w:bookmarkStart w:id="1138" w:name="_Toc297123492"/>
      <w:bookmarkStart w:id="1139" w:name="_Toc292559364"/>
      <w:bookmarkStart w:id="1140" w:name="_Toc297048345"/>
      <w:bookmarkStart w:id="1141" w:name="_Toc292559869"/>
      <w:bookmarkStart w:id="1142" w:name="_Toc304295523"/>
      <w:bookmarkStart w:id="1143" w:name="_Toc296346660"/>
      <w:bookmarkStart w:id="1144" w:name="_Toc296347158"/>
      <w:r>
        <w:rPr>
          <w:rFonts w:hint="eastAsia" w:ascii="宋体" w:hAnsi="宋体" w:cs="宋体"/>
          <w:b w:val="0"/>
          <w:bCs w:val="0"/>
          <w:color w:val="000000"/>
          <w:sz w:val="21"/>
          <w:szCs w:val="21"/>
          <w:highlight w:val="none"/>
        </w:rPr>
        <w:t>.5分包</w:t>
      </w:r>
      <w:bookmarkEnd w:id="1128"/>
    </w:p>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14:paraId="59E45F16">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3</w:t>
      </w:r>
      <w:bookmarkStart w:id="1145" w:name="_Toc296890988"/>
      <w:bookmarkStart w:id="1146" w:name="_Toc296503160"/>
      <w:bookmarkStart w:id="1147" w:name="_Toc303539103"/>
      <w:bookmarkStart w:id="1148" w:name="_Toc296944499"/>
      <w:bookmarkStart w:id="1149" w:name="_Toc292559870"/>
      <w:bookmarkStart w:id="1150" w:name="_Toc297048346"/>
      <w:bookmarkStart w:id="1151" w:name="_Toc304295524"/>
      <w:bookmarkStart w:id="1152" w:name="_Toc297216152"/>
      <w:bookmarkStart w:id="1153" w:name="_Toc296346661"/>
      <w:bookmarkStart w:id="1154" w:name="_Toc297123493"/>
      <w:bookmarkStart w:id="1155" w:name="_Toc296891200"/>
      <w:bookmarkStart w:id="1156" w:name="_Toc300934946"/>
      <w:bookmarkStart w:id="1157" w:name="_Toc296347159"/>
      <w:bookmarkStart w:id="1158" w:name="_Toc297120460"/>
      <w:bookmarkStart w:id="1159" w:name="_Toc292559365"/>
      <w:bookmarkStart w:id="1160" w:name="_Toc318581158"/>
      <w:bookmarkStart w:id="1161" w:name="_Toc312677989"/>
      <w:r>
        <w:rPr>
          <w:rFonts w:hint="eastAsia" w:ascii="宋体" w:hAnsi="宋体" w:cs="宋体"/>
          <w:highlight w:val="none"/>
        </w:rPr>
        <w:t>.5.1 分包的一般约定</w:t>
      </w:r>
    </w:p>
    <w:p w14:paraId="3A4E0084">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禁止分包的工程包括：</w:t>
      </w:r>
      <w:r>
        <w:rPr>
          <w:rFonts w:hint="eastAsia" w:ascii="宋体" w:hAnsi="宋体" w:cs="宋体"/>
          <w:highlight w:val="none"/>
          <w:u w:val="single"/>
        </w:rPr>
        <w:t>主体结构、关键性工作及主体结构、关键性工作及其它法律、法规规定的禁止分包的工程</w:t>
      </w:r>
      <w:r>
        <w:rPr>
          <w:rFonts w:hint="eastAsia" w:ascii="宋体" w:hAnsi="宋体" w:cs="宋体"/>
          <w:color w:val="000000"/>
          <w:highlight w:val="none"/>
        </w:rPr>
        <w:t>。</w:t>
      </w:r>
    </w:p>
    <w:p w14:paraId="0E20AA17">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u w:val="single"/>
        </w:rPr>
      </w:pPr>
      <w:r>
        <w:rPr>
          <w:rFonts w:hint="eastAsia" w:ascii="宋体" w:hAnsi="宋体" w:cs="宋体"/>
          <w:highlight w:val="none"/>
        </w:rPr>
        <w:t>主体结构、关键性工作的范围：</w:t>
      </w:r>
      <w:r>
        <w:rPr>
          <w:rFonts w:hint="eastAsia" w:ascii="宋体" w:hAnsi="宋体" w:eastAsia="宋体" w:cs="宋体"/>
          <w:color w:val="000000"/>
          <w:szCs w:val="21"/>
          <w:highlight w:val="none"/>
          <w:u w:val="single"/>
        </w:rPr>
        <w:t>主体结构工程及其它法律、法规规定的禁止分包的工程</w:t>
      </w:r>
      <w:r>
        <w:rPr>
          <w:rFonts w:hint="eastAsia" w:ascii="宋体" w:hAnsi="宋体" w:cs="宋体"/>
          <w:color w:val="000000"/>
          <w:highlight w:val="none"/>
        </w:rPr>
        <w:t>。</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Start w:id="1162" w:name="_Toc303539104"/>
      <w:bookmarkStart w:id="1163" w:name="_Toc296890989"/>
      <w:bookmarkStart w:id="1164" w:name="_Toc297048347"/>
      <w:bookmarkStart w:id="1165" w:name="_Toc300934947"/>
      <w:bookmarkStart w:id="1166" w:name="_Toc296503161"/>
      <w:bookmarkStart w:id="1167" w:name="_Toc297120461"/>
      <w:bookmarkStart w:id="1168" w:name="_Toc304295525"/>
      <w:bookmarkStart w:id="1169" w:name="_Toc296347160"/>
      <w:bookmarkStart w:id="1170" w:name="_Toc297123494"/>
      <w:bookmarkStart w:id="1171" w:name="_Toc296891201"/>
      <w:bookmarkStart w:id="1172" w:name="_Toc296944500"/>
      <w:bookmarkStart w:id="1173" w:name="_Toc296346662"/>
      <w:bookmarkStart w:id="1174" w:name="_Toc297216153"/>
    </w:p>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14:paraId="1B07BC40">
      <w:pPr>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highlight w:val="none"/>
        </w:rPr>
      </w:pPr>
      <w:r>
        <w:rPr>
          <w:rFonts w:hint="eastAsia" w:ascii="宋体" w:hAnsi="宋体" w:cs="宋体"/>
          <w:highlight w:val="none"/>
        </w:rPr>
        <w:t xml:space="preserve">    3</w:t>
      </w:r>
      <w:bookmarkStart w:id="1175" w:name="_Toc318581159"/>
      <w:bookmarkStart w:id="1176" w:name="_Toc312677990"/>
      <w:r>
        <w:rPr>
          <w:rFonts w:hint="eastAsia" w:ascii="宋体" w:hAnsi="宋体" w:cs="宋体"/>
          <w:highlight w:val="none"/>
        </w:rPr>
        <w:t>.5.2分包的确定</w:t>
      </w:r>
    </w:p>
    <w:p w14:paraId="0FA1CC8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highlight w:val="none"/>
        </w:rPr>
        <w:t>允许分包的专业工程包括：</w:t>
      </w:r>
      <w:r>
        <w:rPr>
          <w:rFonts w:hint="eastAsia" w:ascii="宋体" w:hAnsi="宋体" w:cs="宋体"/>
          <w:highlight w:val="none"/>
          <w:u w:val="single"/>
        </w:rPr>
        <w:t>不允许分包</w:t>
      </w:r>
      <w:r>
        <w:rPr>
          <w:rFonts w:hint="eastAsia" w:ascii="宋体" w:hAnsi="宋体" w:cs="宋体"/>
          <w:color w:val="000000"/>
          <w:highlight w:val="none"/>
        </w:rPr>
        <w:t>。</w:t>
      </w:r>
    </w:p>
    <w:p w14:paraId="39A2B21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其他关于分包的约定：</w:t>
      </w:r>
    </w:p>
    <w:p w14:paraId="7B13BCF2">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发包人如果发现承包人分包工程，则按承包人违约处理，发包人有权责令其停工并责令退场，中止合同所造成的损失由承包人承担。</w:t>
      </w:r>
    </w:p>
    <w:p w14:paraId="69B85C13">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3.5.4 分包合同价款</w:t>
      </w:r>
    </w:p>
    <w:p w14:paraId="46223356">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highlight w:val="none"/>
        </w:rPr>
        <w:t>关于分包合同价款支付的约定：</w:t>
      </w:r>
      <w:r>
        <w:rPr>
          <w:rFonts w:hint="eastAsia" w:ascii="宋体" w:hAnsi="宋体" w:cs="宋体"/>
          <w:highlight w:val="none"/>
          <w:u w:val="single"/>
          <w:lang w:val="en-US" w:eastAsia="zh-CN"/>
        </w:rPr>
        <w:t>/</w:t>
      </w:r>
      <w:r>
        <w:rPr>
          <w:rFonts w:hint="eastAsia" w:ascii="宋体" w:hAnsi="宋体" w:cs="宋体"/>
          <w:color w:val="000000"/>
          <w:highlight w:val="none"/>
        </w:rPr>
        <w:t>。</w:t>
      </w:r>
    </w:p>
    <w:bookmarkEnd w:id="1175"/>
    <w:bookmarkEnd w:id="1176"/>
    <w:p w14:paraId="2BCB8669">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bookmarkStart w:id="1177" w:name="_Toc10569"/>
      <w:r>
        <w:rPr>
          <w:rFonts w:hint="eastAsia" w:ascii="宋体" w:hAnsi="宋体" w:cs="宋体"/>
          <w:b w:val="0"/>
          <w:bCs w:val="0"/>
          <w:color w:val="000000"/>
          <w:sz w:val="21"/>
          <w:szCs w:val="21"/>
          <w:highlight w:val="none"/>
        </w:rPr>
        <w:t>3.6工程照管与成品、半成品保护</w:t>
      </w:r>
    </w:p>
    <w:p w14:paraId="641C9FC9">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承包人负责照管工程及工程相关的材料、工程设备的起始时间：</w:t>
      </w:r>
      <w:r>
        <w:rPr>
          <w:rFonts w:hint="eastAsia" w:ascii="宋体" w:hAnsi="宋体" w:eastAsia="宋体" w:cs="宋体"/>
          <w:color w:val="000000"/>
          <w:kern w:val="0"/>
          <w:szCs w:val="21"/>
          <w:highlight w:val="none"/>
          <w:u w:val="single"/>
        </w:rPr>
        <w:t>施工场地移交之日</w:t>
      </w:r>
      <w:r>
        <w:rPr>
          <w:rFonts w:hint="eastAsia" w:ascii="宋体" w:hAnsi="宋体" w:cs="宋体"/>
          <w:color w:val="000000"/>
          <w:highlight w:val="none"/>
        </w:rPr>
        <w:t>。</w:t>
      </w:r>
    </w:p>
    <w:p w14:paraId="33F8FDCF">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3.7履约担保</w:t>
      </w:r>
      <w:bookmarkEnd w:id="1177"/>
    </w:p>
    <w:p w14:paraId="3F1EDC27">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sz w:val="21"/>
          <w:szCs w:val="21"/>
          <w:highlight w:val="none"/>
        </w:rPr>
      </w:pPr>
      <w:bookmarkStart w:id="1178" w:name="_Toc24403"/>
      <w:bookmarkStart w:id="1179" w:name="_Toc69909968"/>
      <w:bookmarkStart w:id="1180" w:name="_Toc351203636"/>
      <w:r>
        <w:rPr>
          <w:rFonts w:hint="eastAsia" w:ascii="宋体" w:hAnsi="宋体" w:eastAsia="宋体" w:cs="宋体"/>
          <w:color w:val="000000"/>
          <w:sz w:val="21"/>
          <w:szCs w:val="21"/>
          <w:highlight w:val="none"/>
        </w:rPr>
        <w:t>承包人是否提供履约担保：</w:t>
      </w:r>
      <w:r>
        <w:rPr>
          <w:rFonts w:hint="eastAsia" w:ascii="宋体" w:hAnsi="宋体" w:eastAsia="宋体" w:cs="宋体"/>
          <w:color w:val="000000"/>
          <w:sz w:val="21"/>
          <w:szCs w:val="21"/>
          <w:highlight w:val="none"/>
          <w:u w:val="single"/>
          <w:lang w:val="en-US" w:eastAsia="zh-CN"/>
        </w:rPr>
        <w:t>否</w:t>
      </w:r>
      <w:r>
        <w:rPr>
          <w:rFonts w:hint="eastAsia" w:ascii="宋体" w:hAnsi="宋体" w:eastAsia="宋体" w:cs="宋体"/>
          <w:color w:val="000000"/>
          <w:sz w:val="21"/>
          <w:szCs w:val="21"/>
          <w:highlight w:val="none"/>
        </w:rPr>
        <w:t>。</w:t>
      </w:r>
    </w:p>
    <w:p w14:paraId="27FBABF8">
      <w:pPr>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承包人提供履约担保的形式、金额及期限的</w:t>
      </w: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u w:val="single"/>
        </w:rPr>
        <w:t>/</w:t>
      </w:r>
      <w:r>
        <w:rPr>
          <w:rFonts w:hint="eastAsia" w:ascii="宋体" w:hAnsi="宋体" w:eastAsia="宋体" w:cs="宋体"/>
          <w:color w:val="000000"/>
          <w:szCs w:val="21"/>
          <w:highlight w:val="none"/>
        </w:rPr>
        <w:t>。</w:t>
      </w:r>
    </w:p>
    <w:p w14:paraId="2D6C1514">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r>
        <w:rPr>
          <w:rFonts w:hint="eastAsia" w:ascii="宋体" w:hAnsi="宋体" w:cs="宋体"/>
          <w:bCs w:val="0"/>
          <w:color w:val="000000"/>
          <w:sz w:val="24"/>
          <w:szCs w:val="24"/>
          <w:highlight w:val="none"/>
        </w:rPr>
        <w:t>4</w:t>
      </w:r>
      <w:bookmarkStart w:id="1181" w:name="_Toc296890990"/>
      <w:bookmarkStart w:id="1182" w:name="_Toc297120462"/>
      <w:bookmarkStart w:id="1183" w:name="_Toc296346663"/>
      <w:bookmarkStart w:id="1184" w:name="_Toc292559366"/>
      <w:bookmarkStart w:id="1185" w:name="_Toc296503162"/>
      <w:bookmarkStart w:id="1186" w:name="_Toc296944501"/>
      <w:bookmarkStart w:id="1187" w:name="_Toc297048348"/>
      <w:bookmarkStart w:id="1188" w:name="_Toc292559871"/>
      <w:bookmarkStart w:id="1189" w:name="_Toc267251413"/>
      <w:bookmarkStart w:id="1190" w:name="_Toc296891202"/>
      <w:bookmarkStart w:id="1191" w:name="_Toc296347161"/>
      <w:r>
        <w:rPr>
          <w:rFonts w:hint="eastAsia" w:ascii="宋体" w:hAnsi="宋体" w:cs="宋体"/>
          <w:bCs w:val="0"/>
          <w:color w:val="000000"/>
          <w:sz w:val="24"/>
          <w:szCs w:val="24"/>
          <w:highlight w:val="none"/>
        </w:rPr>
        <w:t>. 监</w:t>
      </w:r>
      <w:bookmarkEnd w:id="1181"/>
      <w:bookmarkEnd w:id="1182"/>
      <w:bookmarkEnd w:id="1183"/>
      <w:bookmarkEnd w:id="1184"/>
      <w:bookmarkEnd w:id="1185"/>
      <w:bookmarkEnd w:id="1186"/>
      <w:bookmarkEnd w:id="1187"/>
      <w:bookmarkEnd w:id="1188"/>
      <w:bookmarkEnd w:id="1189"/>
      <w:bookmarkEnd w:id="1190"/>
      <w:bookmarkEnd w:id="1191"/>
      <w:r>
        <w:rPr>
          <w:rFonts w:hint="eastAsia" w:ascii="宋体" w:hAnsi="宋体" w:cs="宋体"/>
          <w:bCs w:val="0"/>
          <w:color w:val="000000"/>
          <w:sz w:val="24"/>
          <w:szCs w:val="24"/>
          <w:highlight w:val="none"/>
        </w:rPr>
        <w:t>理人</w:t>
      </w:r>
      <w:bookmarkEnd w:id="1178"/>
      <w:bookmarkEnd w:id="1179"/>
      <w:bookmarkEnd w:id="1180"/>
    </w:p>
    <w:p w14:paraId="5371597A">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4.1监理人的一般规定</w:t>
      </w:r>
    </w:p>
    <w:p w14:paraId="713FA2B9">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关于监理人的监理内容：</w:t>
      </w:r>
      <w:r>
        <w:rPr>
          <w:rFonts w:hint="eastAsia" w:ascii="宋体" w:hAnsi="宋体" w:cs="宋体"/>
          <w:color w:val="000000"/>
          <w:highlight w:val="none"/>
          <w:u w:val="single"/>
        </w:rPr>
        <w:t>详见《委托监理合同》</w:t>
      </w:r>
      <w:r>
        <w:rPr>
          <w:rFonts w:hint="eastAsia" w:ascii="宋体" w:hAnsi="宋体" w:cs="宋体"/>
          <w:color w:val="000000"/>
          <w:highlight w:val="none"/>
        </w:rPr>
        <w:t>。</w:t>
      </w:r>
    </w:p>
    <w:p w14:paraId="28CE1137">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b/>
          <w:bCs/>
          <w:color w:val="000000"/>
          <w:highlight w:val="none"/>
          <w:u w:val="single"/>
        </w:rPr>
      </w:pPr>
      <w:r>
        <w:rPr>
          <w:rFonts w:hint="eastAsia" w:ascii="宋体" w:hAnsi="宋体" w:cs="宋体"/>
          <w:color w:val="000000"/>
          <w:highlight w:val="none"/>
        </w:rPr>
        <w:t>关于监理人的监理权限：</w:t>
      </w:r>
      <w:r>
        <w:rPr>
          <w:rFonts w:hint="eastAsia" w:ascii="宋体" w:hAnsi="宋体" w:cs="宋体"/>
          <w:b/>
          <w:bCs/>
          <w:color w:val="000000"/>
          <w:highlight w:val="none"/>
          <w:u w:val="single"/>
        </w:rPr>
        <w:t>监理人在审批工程开（复）工报告前，应将人工费与工程款分账管理、欠薪清偿责任落实情况等保障农民工工资支付管理要求列入核查范围，未满足上述保障农民工工资支付管理要求不得签发工程开（复）工报告。</w:t>
      </w:r>
    </w:p>
    <w:p w14:paraId="6FDA3B1B">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4.2监理人员</w:t>
      </w:r>
    </w:p>
    <w:p w14:paraId="44CC9DDF">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总监理工程师：</w:t>
      </w:r>
    </w:p>
    <w:p w14:paraId="047901B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姓    名：</w:t>
      </w:r>
      <w:r>
        <w:rPr>
          <w:rFonts w:hint="eastAsia"/>
          <w:kern w:val="0"/>
          <w:highlight w:val="none"/>
          <w:u w:val="single"/>
        </w:rPr>
        <w:t xml:space="preserve"> </w:t>
      </w:r>
      <w:r>
        <w:rPr>
          <w:rFonts w:hint="eastAsia"/>
          <w:kern w:val="0"/>
          <w:highlight w:val="none"/>
          <w:u w:val="single"/>
          <w:lang w:val="en-US" w:eastAsia="zh-CN"/>
        </w:rPr>
        <w:t xml:space="preserve">      </w:t>
      </w:r>
      <w:r>
        <w:rPr>
          <w:rFonts w:hint="eastAsia"/>
          <w:kern w:val="0"/>
          <w:highlight w:val="none"/>
          <w:u w:val="single"/>
        </w:rPr>
        <w:t xml:space="preserve">   </w:t>
      </w:r>
      <w:r>
        <w:rPr>
          <w:rFonts w:hint="eastAsia" w:ascii="宋体" w:hAnsi="宋体" w:cs="宋体"/>
          <w:color w:val="000000"/>
          <w:highlight w:val="none"/>
        </w:rPr>
        <w:t>；</w:t>
      </w:r>
    </w:p>
    <w:p w14:paraId="2B103F6D">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监理工程师执业资格证书号：</w:t>
      </w:r>
      <w:r>
        <w:rPr>
          <w:rFonts w:hint="eastAsia" w:ascii="宋体" w:hAnsi="宋体" w:cs="宋体"/>
          <w:kern w:val="0"/>
          <w:highlight w:val="none"/>
          <w:u w:val="single"/>
        </w:rPr>
        <w:t xml:space="preserve">     </w:t>
      </w:r>
      <w:r>
        <w:rPr>
          <w:rFonts w:hint="eastAsia" w:ascii="宋体" w:hAnsi="宋体" w:cs="宋体"/>
          <w:kern w:val="0"/>
          <w:highlight w:val="none"/>
          <w:u w:val="single"/>
          <w:lang w:val="en-US" w:eastAsia="zh-CN"/>
        </w:rPr>
        <w:t>/</w:t>
      </w:r>
      <w:r>
        <w:rPr>
          <w:rFonts w:hint="eastAsia" w:ascii="宋体" w:hAnsi="宋体" w:cs="宋体"/>
          <w:kern w:val="0"/>
          <w:highlight w:val="none"/>
          <w:u w:val="single"/>
        </w:rPr>
        <w:t xml:space="preserve">      </w:t>
      </w:r>
      <w:r>
        <w:rPr>
          <w:rFonts w:hint="eastAsia" w:ascii="宋体" w:hAnsi="宋体" w:cs="宋体"/>
          <w:color w:val="000000"/>
          <w:highlight w:val="none"/>
        </w:rPr>
        <w:t>；</w:t>
      </w:r>
    </w:p>
    <w:p w14:paraId="7565A748">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关于监理人的其他约定：</w:t>
      </w:r>
      <w:r>
        <w:rPr>
          <w:rFonts w:hint="eastAsia" w:ascii="宋体" w:hAnsi="宋体" w:cs="宋体"/>
          <w:color w:val="000000"/>
          <w:highlight w:val="none"/>
          <w:u w:val="single"/>
        </w:rPr>
        <w:t>/ </w:t>
      </w:r>
      <w:r>
        <w:rPr>
          <w:rFonts w:hint="eastAsia" w:ascii="宋体" w:hAnsi="宋体" w:cs="宋体"/>
          <w:color w:val="000000"/>
          <w:highlight w:val="none"/>
        </w:rPr>
        <w:t>。</w:t>
      </w:r>
    </w:p>
    <w:p w14:paraId="5F1C252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在合同通用条款基础上增加以下要求：</w:t>
      </w:r>
    </w:p>
    <w:p w14:paraId="182E9D1D">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4.4商定或确定</w:t>
      </w:r>
    </w:p>
    <w:p w14:paraId="6A2BE2A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bookmarkStart w:id="1192" w:name="_Toc267251418"/>
      <w:r>
        <w:rPr>
          <w:rFonts w:hint="eastAsia" w:ascii="宋体" w:hAnsi="宋体" w:cs="宋体"/>
          <w:color w:val="000000"/>
          <w:highlight w:val="none"/>
        </w:rPr>
        <w:t>在发包人和承包人不能通过协商达成一致意见时，发包人授权监理人对以下事项进行确定：</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6A129450">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193" w:name="_Toc69909969"/>
      <w:bookmarkStart w:id="1194" w:name="_Toc351203637"/>
      <w:bookmarkStart w:id="1195" w:name="_Toc8714"/>
      <w:bookmarkStart w:id="1196" w:name="_Toc7675"/>
      <w:r>
        <w:rPr>
          <w:rFonts w:hint="eastAsia" w:ascii="宋体" w:hAnsi="宋体" w:cs="宋体"/>
          <w:bCs w:val="0"/>
          <w:color w:val="000000"/>
          <w:sz w:val="24"/>
          <w:szCs w:val="24"/>
          <w:highlight w:val="none"/>
        </w:rPr>
        <w:t>5</w:t>
      </w:r>
      <w:bookmarkEnd w:id="1192"/>
      <w:bookmarkStart w:id="1197" w:name="_Toc296347162"/>
      <w:bookmarkStart w:id="1198" w:name="_Toc297120463"/>
      <w:bookmarkStart w:id="1199" w:name="_Toc296503163"/>
      <w:bookmarkStart w:id="1200" w:name="_Toc296346664"/>
      <w:bookmarkStart w:id="1201" w:name="_Toc297048349"/>
      <w:bookmarkStart w:id="1202" w:name="_Toc292559872"/>
      <w:bookmarkStart w:id="1203" w:name="_Toc296891203"/>
      <w:bookmarkStart w:id="1204" w:name="_Toc296944502"/>
      <w:bookmarkStart w:id="1205" w:name="_Toc296890991"/>
      <w:bookmarkStart w:id="1206" w:name="_Toc292559367"/>
      <w:r>
        <w:rPr>
          <w:rFonts w:hint="eastAsia" w:ascii="宋体" w:hAnsi="宋体" w:cs="宋体"/>
          <w:bCs w:val="0"/>
          <w:color w:val="000000"/>
          <w:sz w:val="24"/>
          <w:szCs w:val="24"/>
          <w:highlight w:val="none"/>
        </w:rPr>
        <w:t>. 工程质量</w:t>
      </w:r>
      <w:bookmarkEnd w:id="1193"/>
      <w:bookmarkEnd w:id="1194"/>
      <w:bookmarkEnd w:id="1195"/>
      <w:bookmarkEnd w:id="1196"/>
    </w:p>
    <w:p w14:paraId="27CAD22A">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5.1质量要求</w:t>
      </w:r>
    </w:p>
    <w:p w14:paraId="1A5EBBB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5</w:t>
      </w:r>
      <w:bookmarkStart w:id="1207" w:name="_Toc312677997"/>
      <w:bookmarkStart w:id="1208" w:name="_Toc297123496"/>
      <w:bookmarkStart w:id="1209" w:name="_Toc303539106"/>
      <w:bookmarkStart w:id="1210" w:name="_Toc297216155"/>
      <w:bookmarkStart w:id="1211" w:name="_Toc300934949"/>
      <w:bookmarkStart w:id="1212" w:name="_Toc304295527"/>
      <w:bookmarkStart w:id="1213" w:name="_Toc318581164"/>
      <w:r>
        <w:rPr>
          <w:rFonts w:hint="eastAsia" w:ascii="宋体" w:hAnsi="宋体" w:cs="宋体"/>
          <w:highlight w:val="none"/>
        </w:rPr>
        <w:t>.1.1 特殊质量标准和要求：</w:t>
      </w:r>
      <w:r>
        <w:rPr>
          <w:rFonts w:hint="eastAsia" w:ascii="宋体" w:hAnsi="宋体" w:cs="宋体"/>
          <w:highlight w:val="none"/>
          <w:u w:val="single"/>
          <w:lang w:val="en-US" w:eastAsia="zh-CN"/>
        </w:rPr>
        <w:t>合格</w:t>
      </w:r>
      <w:r>
        <w:rPr>
          <w:rFonts w:hint="eastAsia" w:ascii="宋体" w:hAnsi="宋体" w:cs="宋体"/>
          <w:highlight w:val="none"/>
        </w:rPr>
        <w:t>。</w:t>
      </w:r>
    </w:p>
    <w:p w14:paraId="718BA5BA">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hint="default" w:ascii="宋体" w:hAnsi="宋体" w:cs="宋体"/>
          <w:highlight w:val="none"/>
          <w:lang w:val="en-US" w:eastAsia="zh-CN"/>
        </w:rPr>
      </w:pPr>
      <w:r>
        <w:rPr>
          <w:rFonts w:hint="eastAsia" w:ascii="宋体" w:hAnsi="宋体" w:cs="宋体"/>
          <w:highlight w:val="none"/>
        </w:rPr>
        <w:t>关于工程奖项的约定：</w:t>
      </w:r>
      <w:r>
        <w:rPr>
          <w:rFonts w:hint="eastAsia" w:ascii="宋体" w:hAnsi="宋体" w:cs="宋体"/>
          <w:highlight w:val="none"/>
          <w:lang w:val="en-US" w:eastAsia="zh-CN"/>
        </w:rPr>
        <w:t>/。</w:t>
      </w:r>
    </w:p>
    <w:p w14:paraId="10BD305D">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5.3隐蔽工程检查</w:t>
      </w:r>
    </w:p>
    <w:p w14:paraId="104B94FB">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5.3.2承包人提前通知监理人隐蔽工程检查的期限的约定：</w:t>
      </w:r>
      <w:r>
        <w:rPr>
          <w:rFonts w:hint="eastAsia" w:ascii="宋体" w:hAnsi="宋体" w:cs="宋体"/>
          <w:highlight w:val="none"/>
          <w:u w:val="single"/>
        </w:rPr>
        <w:t>未经监理批准，工程的任何部位都不能覆盖，在得到监理的书面认可后方可覆盖</w:t>
      </w:r>
      <w:r>
        <w:rPr>
          <w:rFonts w:hint="eastAsia" w:ascii="宋体" w:hAnsi="宋体" w:cs="宋体"/>
          <w:highlight w:val="none"/>
        </w:rPr>
        <w:t>。</w:t>
      </w:r>
    </w:p>
    <w:p w14:paraId="02FAC4F8">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监理人不能按时进行检查时，应提前</w:t>
      </w:r>
      <w:r>
        <w:rPr>
          <w:rFonts w:hint="eastAsia" w:ascii="宋体" w:hAnsi="宋体" w:cs="宋体"/>
          <w:highlight w:val="none"/>
          <w:u w:val="single"/>
        </w:rPr>
        <w:t xml:space="preserve"> 24 </w:t>
      </w:r>
      <w:r>
        <w:rPr>
          <w:rFonts w:hint="eastAsia" w:ascii="宋体" w:hAnsi="宋体" w:cs="宋体"/>
          <w:highlight w:val="none"/>
        </w:rPr>
        <w:t>小时提交书面延期要求。</w:t>
      </w:r>
    </w:p>
    <w:p w14:paraId="1776699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关于延期最长不得超过：</w:t>
      </w:r>
      <w:r>
        <w:rPr>
          <w:rFonts w:hint="eastAsia" w:ascii="宋体" w:hAnsi="宋体" w:cs="宋体"/>
          <w:highlight w:val="none"/>
          <w:u w:val="single"/>
        </w:rPr>
        <w:t xml:space="preserve"> 48 </w:t>
      </w:r>
      <w:r>
        <w:rPr>
          <w:rFonts w:hint="eastAsia" w:ascii="宋体" w:hAnsi="宋体" w:cs="宋体"/>
          <w:highlight w:val="none"/>
        </w:rPr>
        <w:t>小时。</w:t>
      </w:r>
    </w:p>
    <w:p w14:paraId="2DE1986D">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214" w:name="_Toc351203638"/>
      <w:bookmarkStart w:id="1215" w:name="_Toc69909970"/>
      <w:bookmarkStart w:id="1216" w:name="_Toc20882"/>
      <w:bookmarkStart w:id="1217" w:name="_Toc30183"/>
      <w:r>
        <w:rPr>
          <w:rFonts w:hint="eastAsia" w:ascii="宋体" w:hAnsi="宋体" w:cs="宋体"/>
          <w:bCs w:val="0"/>
          <w:color w:val="000000"/>
          <w:sz w:val="24"/>
          <w:szCs w:val="24"/>
          <w:highlight w:val="none"/>
        </w:rPr>
        <w:t>6. 安全文明施工与环境保护</w:t>
      </w:r>
      <w:bookmarkEnd w:id="1214"/>
      <w:bookmarkEnd w:id="1215"/>
      <w:bookmarkEnd w:id="1216"/>
      <w:bookmarkEnd w:id="1217"/>
    </w:p>
    <w:p w14:paraId="61F44DEC">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6.1安全文明施工</w:t>
      </w:r>
    </w:p>
    <w:p w14:paraId="71A903A4">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highlight w:val="none"/>
        </w:rPr>
        <w:t>6.1.1</w:t>
      </w:r>
      <w:r>
        <w:rPr>
          <w:rFonts w:hint="eastAsia" w:ascii="宋体" w:hAnsi="宋体" w:cs="宋体"/>
          <w:color w:val="000000"/>
          <w:highlight w:val="none"/>
        </w:rPr>
        <w:t xml:space="preserve"> 项目安全生产的达标目标及相应事项的约定：</w:t>
      </w:r>
      <w:r>
        <w:rPr>
          <w:rFonts w:hint="eastAsia" w:ascii="宋体" w:hAnsi="宋体" w:cs="宋体"/>
          <w:color w:val="000000"/>
          <w:highlight w:val="none"/>
          <w:lang w:val="en-US" w:eastAsia="zh-CN"/>
        </w:rPr>
        <w:t>承</w:t>
      </w:r>
      <w:r>
        <w:rPr>
          <w:rFonts w:hint="eastAsia" w:ascii="宋体" w:hAnsi="宋体" w:eastAsia="宋体" w:cs="宋体"/>
          <w:szCs w:val="21"/>
          <w:highlight w:val="none"/>
          <w:u w:val="single"/>
        </w:rPr>
        <w:t>包人应严格按《建设工程安全生产管理条例》等法律法规采取安全措施组织施工，并对施工现场的安全生产负总责。如发生事故，责任概由承包人承担。满足江苏省、南通市等安监部门安全文明生产的要求，做好安全技术教育及交底，落实所有安全技术措施和人身防护用品；建立安全制度、安全检查制度、安全教育制度、工地班前活动制度、文明施工检查制度。</w:t>
      </w:r>
      <w:r>
        <w:rPr>
          <w:rFonts w:hint="eastAsia" w:ascii="宋体" w:hAnsi="宋体" w:eastAsia="宋体" w:cs="宋体"/>
          <w:color w:val="000000"/>
          <w:szCs w:val="21"/>
          <w:highlight w:val="none"/>
          <w:u w:val="single"/>
        </w:rPr>
        <w:t>由承包人负责承担施工范围内的一切安全责任</w:t>
      </w:r>
      <w:r>
        <w:rPr>
          <w:rFonts w:hint="eastAsia" w:ascii="宋体" w:hAnsi="宋体" w:eastAsia="宋体" w:cs="宋体"/>
          <w:szCs w:val="21"/>
          <w:highlight w:val="none"/>
        </w:rPr>
        <w:t>。</w:t>
      </w:r>
    </w:p>
    <w:p w14:paraId="0C70BA5B">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6.1.4 关于治安保卫的特别约定：</w:t>
      </w:r>
      <w:r>
        <w:rPr>
          <w:rFonts w:hint="eastAsia" w:ascii="宋体" w:hAnsi="宋体" w:cs="宋体"/>
          <w:highlight w:val="none"/>
          <w:u w:val="single"/>
        </w:rPr>
        <w:t>由承包人负责建立施工现场的治安联防组，落实并实施施工场地的治安保卫工作，并对此负全责。发包人可不定期对其治安保卫工作进行监督检查</w:t>
      </w:r>
      <w:r>
        <w:rPr>
          <w:rFonts w:hint="eastAsia" w:ascii="宋体" w:hAnsi="宋体" w:cs="宋体"/>
          <w:highlight w:val="none"/>
        </w:rPr>
        <w:t>。</w:t>
      </w:r>
    </w:p>
    <w:p w14:paraId="3807B42D">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关于编制施工场地治安管理计划的约定：</w:t>
      </w:r>
      <w:r>
        <w:rPr>
          <w:rFonts w:hint="eastAsia" w:ascii="宋体" w:hAnsi="宋体" w:cs="宋体"/>
          <w:highlight w:val="none"/>
          <w:u w:val="single"/>
        </w:rPr>
        <w:t>由承包人具体负责编制施工场地治安管理计划，制定应对突发治安事件的紧急预案，在开工前7天提供，并应得到发包人和监理方的认可</w:t>
      </w:r>
      <w:r>
        <w:rPr>
          <w:rFonts w:hint="eastAsia" w:ascii="宋体" w:hAnsi="宋体" w:cs="宋体"/>
          <w:highlight w:val="none"/>
        </w:rPr>
        <w:t>。</w:t>
      </w:r>
    </w:p>
    <w:p w14:paraId="4E555D6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6.1.5 文明施工</w:t>
      </w:r>
    </w:p>
    <w:p w14:paraId="704BE67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合同当事人对文明施工的要求：</w:t>
      </w:r>
      <w:r>
        <w:rPr>
          <w:rFonts w:hint="eastAsia" w:ascii="宋体" w:hAnsi="宋体" w:cs="宋体"/>
          <w:highlight w:val="none"/>
          <w:u w:val="single"/>
        </w:rPr>
        <w:t>满足《工程管理要求及技术说明》</w:t>
      </w:r>
      <w:r>
        <w:rPr>
          <w:rFonts w:hint="eastAsia" w:ascii="宋体" w:hAnsi="宋体" w:cs="宋体"/>
          <w:highlight w:val="none"/>
        </w:rPr>
        <w:t>。</w:t>
      </w:r>
    </w:p>
    <w:p w14:paraId="717264E6">
      <w:pPr>
        <w:pageBreakBefore w:val="0"/>
        <w:widowControl w:val="0"/>
        <w:kinsoku/>
        <w:wordWrap/>
        <w:overflowPunct/>
        <w:topLinePunct w:val="0"/>
        <w:autoSpaceDE/>
        <w:autoSpaceDN/>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6.1.6 关于安全文明施工费支付比例和支付期限的约定：</w:t>
      </w:r>
      <w:r>
        <w:rPr>
          <w:rFonts w:hint="eastAsia" w:ascii="宋体" w:hAnsi="宋体" w:cs="宋体"/>
          <w:highlight w:val="none"/>
          <w:u w:val="single"/>
        </w:rPr>
        <w:t>/</w:t>
      </w:r>
      <w:r>
        <w:rPr>
          <w:rFonts w:hint="eastAsia" w:ascii="宋体" w:hAnsi="宋体" w:cs="宋体"/>
          <w:highlight w:val="none"/>
        </w:rPr>
        <w:t>。</w:t>
      </w:r>
    </w:p>
    <w:p w14:paraId="197E16C2">
      <w:pPr>
        <w:pageBreakBefore w:val="0"/>
        <w:widowControl w:val="0"/>
        <w:kinsoku/>
        <w:wordWrap/>
        <w:overflowPunct/>
        <w:topLinePunct w:val="0"/>
        <w:autoSpaceDE/>
        <w:autoSpaceDN/>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在合同通用条款基础上增加以下要求：</w:t>
      </w:r>
    </w:p>
    <w:p w14:paraId="7A014942">
      <w:pPr>
        <w:pStyle w:val="6"/>
        <w:pageBreakBefore w:val="0"/>
        <w:widowControl w:val="0"/>
        <w:kinsoku/>
        <w:wordWrap/>
        <w:overflowPunct/>
        <w:topLinePunct w:val="0"/>
        <w:autoSpaceDE/>
        <w:autoSpaceDN/>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6.3环境保护</w:t>
      </w:r>
    </w:p>
    <w:p w14:paraId="20F4C220">
      <w:pPr>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6.3.2工程施工过程中，承包人应合理地保持施工现场中不出现不必要的障碍，处置好设备及多余材料，保持现场整洁和道路畅通。</w:t>
      </w:r>
    </w:p>
    <w:p w14:paraId="69E96BB8">
      <w:pPr>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cs="宋体"/>
          <w:color w:val="000000"/>
          <w:kern w:val="0"/>
          <w:highlight w:val="none"/>
          <w:u w:val="single"/>
        </w:rPr>
      </w:pPr>
      <w:r>
        <w:rPr>
          <w:rFonts w:hint="default" w:ascii="宋体" w:hAnsi="宋体" w:eastAsia="宋体" w:cs="宋体"/>
          <w:szCs w:val="21"/>
          <w:highlight w:val="none"/>
          <w:lang w:val="en-US" w:eastAsia="zh-CN"/>
        </w:rPr>
        <w:t>在颁发任何移交证书之前，承包人应从该移交证书所涉及的区域范围，清除并运出承包人的全部施工设备、多余材料、垃圾和各种临时工程，并保持该部分现场和工程清洁整齐，达到使监理人和发包人满意的使用状态。承包人现场垃圾清运不及时</w:t>
      </w:r>
      <w:r>
        <w:rPr>
          <w:rFonts w:hint="eastAsia" w:ascii="宋体" w:hAnsi="宋体" w:eastAsia="宋体" w:cs="宋体"/>
          <w:szCs w:val="21"/>
          <w:highlight w:val="none"/>
          <w:lang w:val="en-US" w:eastAsia="zh-CN"/>
        </w:rPr>
        <w:t>的，处以人民币5000元的违约经济处理。</w:t>
      </w:r>
    </w:p>
    <w:bookmarkEnd w:id="1207"/>
    <w:bookmarkEnd w:id="1208"/>
    <w:bookmarkEnd w:id="1209"/>
    <w:bookmarkEnd w:id="1210"/>
    <w:bookmarkEnd w:id="1211"/>
    <w:bookmarkEnd w:id="1212"/>
    <w:bookmarkEnd w:id="1213"/>
    <w:p w14:paraId="514CAB04">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218" w:name="_Toc69909971"/>
      <w:bookmarkStart w:id="1219" w:name="_Toc351203639"/>
      <w:bookmarkStart w:id="1220" w:name="_Toc8296"/>
      <w:bookmarkStart w:id="1221" w:name="_Toc9064"/>
      <w:r>
        <w:rPr>
          <w:rFonts w:hint="eastAsia" w:ascii="宋体" w:hAnsi="宋体" w:cs="宋体"/>
          <w:bCs w:val="0"/>
          <w:color w:val="000000"/>
          <w:sz w:val="24"/>
          <w:szCs w:val="24"/>
          <w:highlight w:val="none"/>
        </w:rPr>
        <w:t>7. 工期和进度</w:t>
      </w:r>
      <w:bookmarkEnd w:id="1218"/>
      <w:bookmarkEnd w:id="1219"/>
      <w:bookmarkEnd w:id="1220"/>
      <w:bookmarkEnd w:id="1221"/>
    </w:p>
    <w:p w14:paraId="31A1DA08">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7.1施工组织设计</w:t>
      </w:r>
    </w:p>
    <w:p w14:paraId="30036588">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highlight w:val="none"/>
        </w:rPr>
        <w:t xml:space="preserve">7.1.1 </w:t>
      </w:r>
      <w:r>
        <w:rPr>
          <w:rFonts w:hint="eastAsia" w:ascii="宋体" w:hAnsi="宋体" w:cs="宋体"/>
          <w:color w:val="000000"/>
          <w:highlight w:val="none"/>
        </w:rPr>
        <w:t>合</w:t>
      </w:r>
      <w:r>
        <w:rPr>
          <w:rFonts w:hint="eastAsia" w:ascii="宋体" w:hAnsi="宋体" w:cs="宋体"/>
          <w:color w:val="000000"/>
          <w:kern w:val="0"/>
          <w:highlight w:val="none"/>
        </w:rPr>
        <w:t>同当事人约定的施工组织设计应包括的其他内容：</w:t>
      </w:r>
      <w:r>
        <w:rPr>
          <w:rFonts w:hint="eastAsia" w:ascii="宋体" w:hAnsi="宋体" w:cs="宋体"/>
          <w:color w:val="000000"/>
          <w:kern w:val="0"/>
          <w:highlight w:val="none"/>
          <w:u w:val="single"/>
          <w:lang w:val="en-US" w:eastAsia="zh-CN"/>
        </w:rPr>
        <w:t>/</w:t>
      </w:r>
      <w:r>
        <w:rPr>
          <w:rFonts w:hint="eastAsia" w:ascii="宋体" w:hAnsi="宋体" w:cs="宋体"/>
          <w:highlight w:val="none"/>
        </w:rPr>
        <w:t>。</w:t>
      </w:r>
    </w:p>
    <w:p w14:paraId="5881E07F">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highlight w:val="none"/>
        </w:rPr>
        <w:t>7.1.2</w:t>
      </w:r>
      <w:r>
        <w:rPr>
          <w:rFonts w:hint="eastAsia" w:ascii="宋体" w:hAnsi="宋体" w:cs="宋体"/>
          <w:color w:val="000000"/>
          <w:highlight w:val="none"/>
        </w:rPr>
        <w:t xml:space="preserve"> </w:t>
      </w:r>
      <w:r>
        <w:rPr>
          <w:rFonts w:hint="eastAsia" w:ascii="宋体" w:hAnsi="宋体" w:cs="宋体"/>
          <w:color w:val="000000"/>
          <w:kern w:val="0"/>
          <w:highlight w:val="none"/>
        </w:rPr>
        <w:t>施工组织设计的提交和修改</w:t>
      </w:r>
    </w:p>
    <w:p w14:paraId="79786303">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color w:val="000000"/>
          <w:kern w:val="0"/>
          <w:highlight w:val="none"/>
        </w:rPr>
        <w:t>承包人提交详细施工组织设计的期限的约定：</w:t>
      </w:r>
      <w:r>
        <w:rPr>
          <w:rFonts w:hint="eastAsia" w:ascii="宋体" w:hAnsi="宋体" w:cs="宋体"/>
          <w:color w:val="000000"/>
          <w:kern w:val="0"/>
          <w:highlight w:val="none"/>
          <w:u w:val="single"/>
          <w:lang w:val="en-US" w:eastAsia="zh-CN"/>
        </w:rPr>
        <w:t>开工前3天</w:t>
      </w:r>
      <w:r>
        <w:rPr>
          <w:rFonts w:hint="eastAsia" w:ascii="宋体" w:hAnsi="宋体" w:cs="宋体"/>
          <w:highlight w:val="none"/>
        </w:rPr>
        <w:t>。</w:t>
      </w:r>
    </w:p>
    <w:p w14:paraId="10BA0656">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color w:val="000000"/>
          <w:highlight w:val="none"/>
        </w:rPr>
        <w:t>发包人和监理人在收到详细的施工组织设计后确认或提出修改意见的期限：</w:t>
      </w:r>
      <w:r>
        <w:rPr>
          <w:rFonts w:hint="eastAsia" w:ascii="宋体" w:hAnsi="宋体" w:cs="宋体"/>
          <w:color w:val="000000"/>
          <w:highlight w:val="none"/>
          <w:u w:val="single"/>
        </w:rPr>
        <w:t>监理人和发包人应在承包人提交实施性的施工组织设计(施工方案)和进度计划后</w:t>
      </w:r>
      <w:r>
        <w:rPr>
          <w:rFonts w:hint="eastAsia" w:ascii="宋体" w:hAnsi="宋体" w:cs="宋体"/>
          <w:color w:val="000000"/>
          <w:highlight w:val="none"/>
          <w:u w:val="single"/>
          <w:lang w:val="en-US" w:eastAsia="zh-CN"/>
        </w:rPr>
        <w:t>10</w:t>
      </w:r>
      <w:r>
        <w:rPr>
          <w:rFonts w:hint="eastAsia" w:ascii="宋体" w:hAnsi="宋体" w:cs="宋体"/>
          <w:color w:val="000000"/>
          <w:highlight w:val="none"/>
          <w:u w:val="single"/>
        </w:rPr>
        <w:t>天内确认或提出修改意见。施工过程中,承包人应按照批准的施工组织设计进行施工,若要对施工组织设计进行修改，应取得监理人和发包人的批准</w:t>
      </w:r>
      <w:r>
        <w:rPr>
          <w:rFonts w:hint="eastAsia" w:ascii="宋体" w:hAnsi="宋体" w:cs="宋体"/>
          <w:highlight w:val="none"/>
        </w:rPr>
        <w:t>。</w:t>
      </w:r>
    </w:p>
    <w:p w14:paraId="5A35105C">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w:t>
      </w:r>
      <w:bookmarkStart w:id="1222" w:name="_Toc303539123"/>
      <w:bookmarkStart w:id="1223" w:name="_Toc300934966"/>
      <w:bookmarkStart w:id="1224" w:name="_Toc297216173"/>
      <w:bookmarkStart w:id="1225" w:name="_Toc312678005"/>
      <w:bookmarkStart w:id="1226" w:name="_Toc304295541"/>
      <w:bookmarkStart w:id="1227" w:name="_Toc297123514"/>
      <w:bookmarkStart w:id="1228" w:name="_Toc312677479"/>
      <w:r>
        <w:rPr>
          <w:rFonts w:hint="eastAsia" w:ascii="宋体" w:hAnsi="宋体" w:cs="宋体"/>
          <w:b w:val="0"/>
          <w:bCs w:val="0"/>
          <w:color w:val="000000"/>
          <w:sz w:val="21"/>
          <w:szCs w:val="21"/>
          <w:highlight w:val="none"/>
        </w:rPr>
        <w:t>.2施工进度计划</w:t>
      </w:r>
    </w:p>
    <w:p w14:paraId="03779A3C">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7.2.2 施工进度计划的修订</w:t>
      </w:r>
    </w:p>
    <w:p w14:paraId="77887D0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发包人和监理人在收到修订的施工进度计划后确认或提出修改意见的期限：</w:t>
      </w:r>
      <w:r>
        <w:rPr>
          <w:rFonts w:hint="eastAsia" w:ascii="宋体" w:hAnsi="宋体" w:cs="宋体"/>
          <w:color w:val="000000"/>
          <w:highlight w:val="none"/>
          <w:u w:val="single"/>
        </w:rPr>
        <w:t>7天内</w:t>
      </w:r>
      <w:r>
        <w:rPr>
          <w:rFonts w:hint="eastAsia" w:ascii="宋体" w:hAnsi="宋体" w:cs="宋体"/>
          <w:color w:val="000000"/>
          <w:highlight w:val="none"/>
        </w:rPr>
        <w:t>。</w:t>
      </w:r>
    </w:p>
    <w:p w14:paraId="5B9AB2D5">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7.3开工</w:t>
      </w:r>
    </w:p>
    <w:p w14:paraId="49A0386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7.3.1 开工准备</w:t>
      </w:r>
    </w:p>
    <w:p w14:paraId="38B9146B">
      <w:pPr>
        <w:pageBreakBefore w:val="0"/>
        <w:widowControl w:val="0"/>
        <w:kinsoku/>
        <w:wordWrap/>
        <w:overflowPunct/>
        <w:topLinePunct w:val="0"/>
        <w:bidi w:val="0"/>
        <w:adjustRightInd/>
        <w:snapToGrid w:val="0"/>
        <w:spacing w:line="360" w:lineRule="auto"/>
        <w:ind w:right="-420" w:rightChars="-200" w:firstLine="420"/>
        <w:textAlignment w:val="auto"/>
        <w:rPr>
          <w:rFonts w:ascii="宋体" w:hAnsi="宋体" w:cs="宋体"/>
          <w:highlight w:val="none"/>
          <w:u w:val="single"/>
        </w:rPr>
      </w:pPr>
      <w:r>
        <w:rPr>
          <w:rFonts w:hint="eastAsia" w:ascii="宋体" w:hAnsi="宋体" w:cs="宋体"/>
          <w:color w:val="000000"/>
          <w:highlight w:val="none"/>
        </w:rPr>
        <w:t>关于承包人提交</w:t>
      </w:r>
      <w:r>
        <w:rPr>
          <w:rFonts w:hint="eastAsia" w:ascii="宋体" w:hAnsi="宋体" w:cs="宋体"/>
          <w:color w:val="000000"/>
          <w:kern w:val="0"/>
          <w:highlight w:val="none"/>
        </w:rPr>
        <w:t>工程开工报审表的期限：</w:t>
      </w:r>
      <w:r>
        <w:rPr>
          <w:rFonts w:hint="eastAsia" w:ascii="宋体" w:hAnsi="宋体" w:cs="宋体"/>
          <w:color w:val="000000"/>
          <w:kern w:val="0"/>
          <w:highlight w:val="none"/>
          <w:u w:val="single"/>
        </w:rPr>
        <w:t>开工前7天内提交</w:t>
      </w:r>
      <w:r>
        <w:rPr>
          <w:rFonts w:hint="eastAsia" w:ascii="宋体" w:hAnsi="宋体" w:cs="宋体"/>
          <w:highlight w:val="none"/>
        </w:rPr>
        <w:t>。</w:t>
      </w:r>
    </w:p>
    <w:p w14:paraId="27C7FBD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关于发包人应完成的其他开工准备工作及期限：</w:t>
      </w:r>
      <w:r>
        <w:rPr>
          <w:rFonts w:hint="eastAsia" w:ascii="宋体" w:hAnsi="宋体" w:cs="宋体"/>
          <w:color w:val="000000"/>
          <w:highlight w:val="none"/>
          <w:u w:val="single"/>
        </w:rPr>
        <w:t>组织图纸会审和交底</w:t>
      </w:r>
      <w:r>
        <w:rPr>
          <w:rFonts w:hint="eastAsia" w:ascii="宋体" w:hAnsi="宋体" w:cs="宋体"/>
          <w:highlight w:val="none"/>
        </w:rPr>
        <w:t>。</w:t>
      </w:r>
    </w:p>
    <w:p w14:paraId="136B099B">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color w:val="000000"/>
          <w:highlight w:val="none"/>
        </w:rPr>
        <w:t>关于承包人应完成的其他开工准备工作及期限：</w:t>
      </w:r>
      <w:r>
        <w:rPr>
          <w:rFonts w:hint="eastAsia" w:ascii="宋体" w:hAnsi="宋体" w:cs="宋体"/>
          <w:color w:val="000000"/>
          <w:highlight w:val="none"/>
          <w:u w:val="single"/>
        </w:rPr>
        <w:t>遵守政府有关主管部门对施工场地交通、施工噪音、环境保护和安全生产（包含但不限于）等的管理规定，按规定办理有关手续，并以书面形式通知发包人</w:t>
      </w:r>
      <w:r>
        <w:rPr>
          <w:rFonts w:hint="eastAsia" w:ascii="宋体" w:hAnsi="宋体" w:cs="宋体"/>
          <w:highlight w:val="none"/>
        </w:rPr>
        <w:t>。</w:t>
      </w:r>
    </w:p>
    <w:p w14:paraId="5C84F16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7.3.2开工通知</w:t>
      </w:r>
    </w:p>
    <w:p w14:paraId="248CF924">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因发包人原因造成监理人未能在计划开工日期之日起</w:t>
      </w:r>
      <w:r>
        <w:rPr>
          <w:rFonts w:hint="eastAsia" w:ascii="宋体" w:hAnsi="宋体" w:cs="宋体"/>
          <w:highlight w:val="none"/>
          <w:u w:val="single"/>
        </w:rPr>
        <w:t xml:space="preserve"> </w:t>
      </w:r>
      <w:r>
        <w:rPr>
          <w:rFonts w:hint="eastAsia" w:ascii="宋体" w:hAnsi="宋体" w:cs="宋体"/>
          <w:highlight w:val="none"/>
          <w:u w:val="single"/>
          <w:lang w:val="en-US" w:eastAsia="zh-CN"/>
        </w:rPr>
        <w:t>90</w:t>
      </w:r>
      <w:r>
        <w:rPr>
          <w:rFonts w:hint="eastAsia" w:ascii="宋体" w:hAnsi="宋体" w:cs="宋体"/>
          <w:highlight w:val="none"/>
          <w:u w:val="single"/>
        </w:rPr>
        <w:t xml:space="preserve"> </w:t>
      </w:r>
      <w:r>
        <w:rPr>
          <w:rFonts w:hint="eastAsia" w:ascii="宋体" w:hAnsi="宋体" w:cs="宋体"/>
          <w:color w:val="000000"/>
          <w:highlight w:val="none"/>
        </w:rPr>
        <w:t>天内发出开工通知的，承包人有权提出价格调整要求，或者解除合同。</w:t>
      </w:r>
    </w:p>
    <w:bookmarkEnd w:id="1222"/>
    <w:bookmarkEnd w:id="1223"/>
    <w:bookmarkEnd w:id="1224"/>
    <w:bookmarkEnd w:id="1225"/>
    <w:bookmarkEnd w:id="1226"/>
    <w:bookmarkEnd w:id="1227"/>
    <w:bookmarkEnd w:id="1228"/>
    <w:p w14:paraId="7F2A84E1">
      <w:pPr>
        <w:pStyle w:val="6"/>
        <w:pageBreakBefore w:val="0"/>
        <w:widowControl w:val="0"/>
        <w:kinsoku/>
        <w:wordWrap/>
        <w:overflowPunct/>
        <w:topLinePunct w:val="0"/>
        <w:bidi w:val="0"/>
        <w:adjustRightInd/>
        <w:snapToGrid w:val="0"/>
        <w:spacing w:before="0" w:after="0" w:line="360" w:lineRule="auto"/>
        <w:ind w:right="0" w:rightChars="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7.4测量放线</w:t>
      </w:r>
    </w:p>
    <w:p w14:paraId="5830F258">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u w:val="single"/>
        </w:rPr>
      </w:pPr>
      <w:r>
        <w:rPr>
          <w:rFonts w:hint="eastAsia" w:ascii="宋体" w:hAnsi="宋体" w:cs="宋体"/>
          <w:highlight w:val="none"/>
        </w:rPr>
        <w:t>7.4.1发包人通过监理人向承包人提供测量基准点、基准线和水准点及其书面资料的期限：</w:t>
      </w:r>
      <w:r>
        <w:rPr>
          <w:rFonts w:hint="eastAsia" w:ascii="宋体" w:hAnsi="宋体" w:cs="宋体"/>
          <w:highlight w:val="none"/>
          <w:u w:val="single"/>
        </w:rPr>
        <w:t>开工通知载明的开工日期前七天，以书面形式交给承包人，并于开工前进行现场交验</w:t>
      </w:r>
      <w:r>
        <w:rPr>
          <w:rFonts w:hint="eastAsia" w:ascii="宋体" w:hAnsi="宋体" w:cs="宋体"/>
          <w:highlight w:val="none"/>
        </w:rPr>
        <w:t>。</w:t>
      </w:r>
    </w:p>
    <w:p w14:paraId="33653218">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w:t>
      </w:r>
      <w:bookmarkStart w:id="1229" w:name="_Toc300934968"/>
      <w:bookmarkStart w:id="1230" w:name="_Toc312678010"/>
      <w:bookmarkStart w:id="1231" w:name="_Toc312677484"/>
      <w:bookmarkStart w:id="1232" w:name="_Toc303539125"/>
      <w:bookmarkStart w:id="1233" w:name="_Toc304295546"/>
      <w:bookmarkStart w:id="1234" w:name="_Toc297123516"/>
      <w:bookmarkStart w:id="1235" w:name="_Toc297216175"/>
      <w:r>
        <w:rPr>
          <w:rFonts w:hint="eastAsia" w:ascii="宋体" w:hAnsi="宋体" w:cs="宋体"/>
          <w:b w:val="0"/>
          <w:bCs w:val="0"/>
          <w:color w:val="000000"/>
          <w:sz w:val="21"/>
          <w:szCs w:val="21"/>
          <w:highlight w:val="none"/>
        </w:rPr>
        <w:t>.5工期延误</w:t>
      </w:r>
    </w:p>
    <w:bookmarkEnd w:id="1229"/>
    <w:bookmarkEnd w:id="1230"/>
    <w:bookmarkEnd w:id="1231"/>
    <w:bookmarkEnd w:id="1232"/>
    <w:bookmarkEnd w:id="1233"/>
    <w:bookmarkEnd w:id="1234"/>
    <w:bookmarkEnd w:id="1235"/>
    <w:p w14:paraId="7D3D8DE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7.5.1 因发包人原因导致工期延误</w:t>
      </w:r>
    </w:p>
    <w:p w14:paraId="3822C00B">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u w:val="single"/>
        </w:rPr>
      </w:pPr>
      <w:r>
        <w:rPr>
          <w:rFonts w:hint="eastAsia" w:ascii="宋体" w:hAnsi="宋体" w:cs="宋体"/>
          <w:highlight w:val="none"/>
        </w:rPr>
        <w:t>（7）因发包人原因导致工期延误的其他情形：</w:t>
      </w:r>
      <w:r>
        <w:rPr>
          <w:rFonts w:hint="eastAsia" w:ascii="宋体" w:hAnsi="宋体" w:cs="宋体"/>
          <w:highlight w:val="none"/>
          <w:u w:val="single"/>
        </w:rPr>
        <w:t xml:space="preserve">   /    </w:t>
      </w:r>
      <w:r>
        <w:rPr>
          <w:rFonts w:hint="eastAsia" w:ascii="宋体" w:hAnsi="宋体" w:cs="宋体"/>
          <w:highlight w:val="none"/>
        </w:rPr>
        <w:t>。</w:t>
      </w:r>
    </w:p>
    <w:p w14:paraId="1ED1C1AD">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7</w:t>
      </w:r>
      <w:bookmarkStart w:id="1236" w:name="_Toc312678012"/>
      <w:bookmarkStart w:id="1237" w:name="_Toc312677486"/>
      <w:bookmarkStart w:id="1238" w:name="_Toc318581169"/>
      <w:bookmarkStart w:id="1239" w:name="_Toc303539127"/>
      <w:bookmarkStart w:id="1240" w:name="_Toc297123518"/>
      <w:bookmarkStart w:id="1241" w:name="_Toc304295548"/>
      <w:bookmarkStart w:id="1242" w:name="_Toc297216177"/>
      <w:bookmarkStart w:id="1243" w:name="_Toc300934970"/>
      <w:r>
        <w:rPr>
          <w:rFonts w:hint="eastAsia" w:ascii="宋体" w:hAnsi="宋体" w:cs="宋体"/>
          <w:highlight w:val="none"/>
        </w:rPr>
        <w:t>.5.2 因承包人原因导致工期延误</w:t>
      </w:r>
    </w:p>
    <w:bookmarkEnd w:id="1236"/>
    <w:bookmarkEnd w:id="1237"/>
    <w:bookmarkEnd w:id="1238"/>
    <w:p w14:paraId="6C170269">
      <w:pPr>
        <w:pageBreakBefore w:val="0"/>
        <w:widowControl w:val="0"/>
        <w:kinsoku/>
        <w:wordWrap/>
        <w:overflowPunct/>
        <w:topLinePunct w:val="0"/>
        <w:bidi w:val="0"/>
        <w:adjustRightInd/>
        <w:snapToGrid w:val="0"/>
        <w:spacing w:line="360" w:lineRule="auto"/>
        <w:ind w:right="0" w:rightChars="0" w:firstLine="420" w:firstLineChars="200"/>
        <w:textAlignment w:val="auto"/>
        <w:rPr>
          <w:rFonts w:hint="eastAsia" w:ascii="宋体" w:hAnsi="宋体" w:cs="宋体"/>
          <w:highlight w:val="none"/>
        </w:rPr>
      </w:pPr>
      <w:r>
        <w:rPr>
          <w:rFonts w:hint="eastAsia" w:ascii="宋体" w:hAnsi="宋体" w:cs="宋体"/>
          <w:highlight w:val="none"/>
        </w:rPr>
        <w:t>因</w:t>
      </w:r>
      <w:bookmarkStart w:id="1244" w:name="_Toc312678013"/>
      <w:bookmarkStart w:id="1245" w:name="_Toc312677487"/>
      <w:bookmarkStart w:id="1246" w:name="_Toc318581170"/>
      <w:r>
        <w:rPr>
          <w:rFonts w:hint="eastAsia" w:ascii="宋体" w:hAnsi="宋体" w:cs="宋体"/>
          <w:highlight w:val="none"/>
        </w:rPr>
        <w:t>承包人原因造成工期延误，逾期竣工违约金的计算方法为：</w:t>
      </w:r>
      <w:r>
        <w:rPr>
          <w:rFonts w:hint="eastAsia" w:ascii="宋体" w:hAnsi="宋体" w:eastAsia="宋体" w:cs="宋体"/>
          <w:color w:val="000000"/>
          <w:szCs w:val="21"/>
          <w:highlight w:val="none"/>
          <w:u w:val="single"/>
        </w:rPr>
        <w:t>除不可抗力因素外，若承包人不能在承诺工期内完成承包范围内的工程，</w:t>
      </w:r>
      <w:r>
        <w:rPr>
          <w:rFonts w:hint="eastAsia" w:ascii="宋体" w:hAnsi="宋体" w:eastAsia="宋体" w:cs="宋体"/>
          <w:szCs w:val="24"/>
          <w:highlight w:val="none"/>
          <w:u w:val="single"/>
        </w:rPr>
        <w:t>每延误一日，发包人有权对承包人处以人民币500元／日罚款。</w:t>
      </w:r>
      <w:r>
        <w:rPr>
          <w:rFonts w:hint="eastAsia" w:ascii="宋体" w:hAnsi="宋体" w:eastAsia="宋体" w:cs="宋体"/>
          <w:color w:val="000000"/>
          <w:szCs w:val="21"/>
          <w:highlight w:val="none"/>
          <w:u w:val="single"/>
        </w:rPr>
        <w:t>因发包人原因造成的误工，发包人不承担违约，工期顺延</w:t>
      </w:r>
      <w:r>
        <w:rPr>
          <w:rFonts w:hint="eastAsia" w:ascii="宋体" w:hAnsi="宋体" w:cs="宋体"/>
          <w:highlight w:val="none"/>
        </w:rPr>
        <w:t>。</w:t>
      </w:r>
      <w:bookmarkEnd w:id="1239"/>
      <w:bookmarkEnd w:id="1240"/>
      <w:bookmarkEnd w:id="1241"/>
      <w:bookmarkEnd w:id="1242"/>
      <w:bookmarkEnd w:id="1243"/>
      <w:bookmarkEnd w:id="1244"/>
      <w:bookmarkEnd w:id="1245"/>
    </w:p>
    <w:p w14:paraId="5EB696B1">
      <w:pPr>
        <w:keepNext w:val="0"/>
        <w:keepLines w:val="0"/>
        <w:pageBreakBefore w:val="0"/>
        <w:widowControl w:val="0"/>
        <w:kinsoku/>
        <w:wordWrap/>
        <w:overflowPunct/>
        <w:topLinePunct w:val="0"/>
        <w:autoSpaceDE/>
        <w:autoSpaceDN/>
        <w:bidi w:val="0"/>
        <w:adjustRightInd/>
        <w:snapToGrid w:val="0"/>
        <w:spacing w:line="360" w:lineRule="auto"/>
        <w:ind w:right="-420" w:rightChars="-200" w:firstLine="420" w:firstLineChars="200"/>
        <w:textAlignment w:val="auto"/>
        <w:rPr>
          <w:rFonts w:hint="eastAsia" w:ascii="宋体" w:hAnsi="宋体" w:cs="Times New Roman"/>
          <w:color w:val="auto"/>
          <w:highlight w:val="none"/>
        </w:rPr>
      </w:pPr>
      <w:r>
        <w:rPr>
          <w:rFonts w:ascii="宋体" w:hAnsi="宋体"/>
          <w:highlight w:val="none"/>
        </w:rPr>
        <w:t>因承包人原因造成工期延误，逾</w:t>
      </w:r>
      <w:bookmarkStart w:id="1247" w:name="_Toc318581171"/>
      <w:bookmarkStart w:id="1248" w:name="_Toc312678014"/>
      <w:r>
        <w:rPr>
          <w:rFonts w:ascii="宋体" w:hAnsi="宋体"/>
          <w:highlight w:val="none"/>
        </w:rPr>
        <w:t>期竣工违约金的上限：</w:t>
      </w:r>
      <w:r>
        <w:rPr>
          <w:rFonts w:hint="eastAsia" w:ascii="宋体" w:hAnsi="宋体"/>
          <w:highlight w:val="none"/>
          <w:lang w:val="en-US" w:eastAsia="zh-CN"/>
        </w:rPr>
        <w:t>/</w:t>
      </w:r>
      <w:r>
        <w:rPr>
          <w:rFonts w:ascii="宋体" w:hAnsi="宋体"/>
          <w:highlight w:val="none"/>
        </w:rPr>
        <w:t>。</w:t>
      </w:r>
      <w:bookmarkEnd w:id="1247"/>
      <w:bookmarkEnd w:id="1248"/>
    </w:p>
    <w:bookmarkEnd w:id="1246"/>
    <w:p w14:paraId="6B34BDF1">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w:t>
      </w:r>
      <w:bookmarkStart w:id="1249" w:name="_Toc297216178"/>
      <w:bookmarkStart w:id="1250" w:name="_Toc297123519"/>
      <w:bookmarkStart w:id="1251" w:name="_Toc300934971"/>
      <w:bookmarkStart w:id="1252" w:name="_Toc304295549"/>
      <w:bookmarkStart w:id="1253" w:name="_Toc303539128"/>
      <w:bookmarkStart w:id="1254" w:name="_Toc312678015"/>
      <w:r>
        <w:rPr>
          <w:rFonts w:hint="eastAsia" w:ascii="宋体" w:hAnsi="宋体" w:cs="宋体"/>
          <w:b w:val="0"/>
          <w:bCs w:val="0"/>
          <w:color w:val="000000"/>
          <w:sz w:val="21"/>
          <w:szCs w:val="21"/>
          <w:highlight w:val="none"/>
        </w:rPr>
        <w:t>.6不</w:t>
      </w:r>
      <w:bookmarkEnd w:id="1249"/>
      <w:bookmarkEnd w:id="1250"/>
      <w:bookmarkEnd w:id="1251"/>
      <w:bookmarkEnd w:id="1252"/>
      <w:bookmarkEnd w:id="1253"/>
      <w:bookmarkEnd w:id="1254"/>
      <w:r>
        <w:rPr>
          <w:rFonts w:hint="eastAsia" w:ascii="宋体" w:hAnsi="宋体" w:cs="宋体"/>
          <w:b w:val="0"/>
          <w:bCs w:val="0"/>
          <w:color w:val="000000"/>
          <w:sz w:val="21"/>
          <w:szCs w:val="21"/>
          <w:highlight w:val="none"/>
        </w:rPr>
        <w:t>利物质条件</w:t>
      </w:r>
    </w:p>
    <w:p w14:paraId="61507CB4">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bookmarkStart w:id="1255" w:name="_Toc304295550"/>
      <w:bookmarkStart w:id="1256" w:name="_Toc297123520"/>
      <w:bookmarkStart w:id="1257" w:name="_Toc312678016"/>
      <w:bookmarkStart w:id="1258" w:name="_Toc303539129"/>
      <w:bookmarkStart w:id="1259" w:name="_Toc318581172"/>
      <w:bookmarkStart w:id="1260" w:name="_Toc297216179"/>
      <w:bookmarkStart w:id="1261" w:name="_Toc300934972"/>
      <w:r>
        <w:rPr>
          <w:rFonts w:hint="eastAsia" w:ascii="宋体" w:hAnsi="宋体" w:cs="宋体"/>
          <w:highlight w:val="none"/>
        </w:rPr>
        <w:t>不利物质条件的其他情形和有关约定：</w:t>
      </w:r>
      <w:r>
        <w:rPr>
          <w:rFonts w:hint="eastAsia" w:ascii="宋体" w:hAnsi="宋体" w:cs="宋体"/>
          <w:highlight w:val="none"/>
          <w:u w:val="single"/>
          <w:lang w:val="en-US" w:eastAsia="zh-CN"/>
        </w:rPr>
        <w:t>/</w:t>
      </w:r>
      <w:r>
        <w:rPr>
          <w:rFonts w:hint="eastAsia" w:ascii="宋体" w:hAnsi="宋体" w:cs="宋体"/>
          <w:highlight w:val="none"/>
        </w:rPr>
        <w:t>。</w:t>
      </w:r>
    </w:p>
    <w:bookmarkEnd w:id="1255"/>
    <w:bookmarkEnd w:id="1256"/>
    <w:bookmarkEnd w:id="1257"/>
    <w:bookmarkEnd w:id="1258"/>
    <w:bookmarkEnd w:id="1259"/>
    <w:bookmarkEnd w:id="1260"/>
    <w:bookmarkEnd w:id="1261"/>
    <w:p w14:paraId="1FFAC3C4">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w:t>
      </w:r>
      <w:bookmarkStart w:id="1262" w:name="_Toc304295551"/>
      <w:bookmarkStart w:id="1263" w:name="_Toc297216180"/>
      <w:bookmarkStart w:id="1264" w:name="_Toc297123521"/>
      <w:bookmarkStart w:id="1265" w:name="_Toc300934973"/>
      <w:bookmarkStart w:id="1266" w:name="_Toc303539130"/>
      <w:bookmarkStart w:id="1267" w:name="_Toc312678017"/>
      <w:r>
        <w:rPr>
          <w:rFonts w:hint="eastAsia" w:ascii="宋体" w:hAnsi="宋体" w:cs="宋体"/>
          <w:b w:val="0"/>
          <w:bCs w:val="0"/>
          <w:color w:val="000000"/>
          <w:sz w:val="21"/>
          <w:szCs w:val="21"/>
          <w:highlight w:val="none"/>
        </w:rPr>
        <w:t>.7异常恶劣的气候条件</w:t>
      </w:r>
    </w:p>
    <w:bookmarkEnd w:id="1262"/>
    <w:bookmarkEnd w:id="1263"/>
    <w:bookmarkEnd w:id="1264"/>
    <w:bookmarkEnd w:id="1265"/>
    <w:bookmarkEnd w:id="1266"/>
    <w:bookmarkEnd w:id="1267"/>
    <w:p w14:paraId="4D8755CB">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发包人和承包人同意以下情形视为异常恶劣的气候条件：</w:t>
      </w:r>
      <w:r>
        <w:rPr>
          <w:rFonts w:hint="eastAsia" w:ascii="宋体" w:hAnsi="宋体" w:cs="宋体"/>
          <w:highlight w:val="none"/>
          <w:u w:val="single"/>
          <w:lang w:val="en-US" w:eastAsia="zh-CN"/>
        </w:rPr>
        <w:t>/</w:t>
      </w:r>
      <w:r>
        <w:rPr>
          <w:rFonts w:hint="eastAsia" w:ascii="宋体" w:hAnsi="宋体" w:cs="宋体"/>
          <w:highlight w:val="none"/>
        </w:rPr>
        <w:t>。</w:t>
      </w:r>
    </w:p>
    <w:p w14:paraId="704DCE0A">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7.9提前竣工的奖励</w:t>
      </w:r>
    </w:p>
    <w:p w14:paraId="466AD206">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hint="default" w:ascii="宋体" w:hAnsi="宋体" w:eastAsia="宋体" w:cs="宋体"/>
          <w:highlight w:val="none"/>
          <w:lang w:val="en-US" w:eastAsia="zh-CN"/>
        </w:rPr>
      </w:pPr>
      <w:r>
        <w:rPr>
          <w:rFonts w:hint="eastAsia" w:ascii="宋体" w:hAnsi="宋体" w:cs="宋体"/>
          <w:highlight w:val="none"/>
        </w:rPr>
        <w:t>7.9.2提前竣工的奖励：</w:t>
      </w:r>
      <w:r>
        <w:rPr>
          <w:rFonts w:hint="eastAsia" w:ascii="宋体" w:hAnsi="宋体" w:cs="宋体"/>
          <w:highlight w:val="none"/>
          <w:lang w:val="en-US" w:eastAsia="zh-CN"/>
        </w:rPr>
        <w:t>/。</w:t>
      </w:r>
    </w:p>
    <w:p w14:paraId="672ED32C">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268" w:name="_Toc351203640"/>
      <w:bookmarkStart w:id="1269" w:name="_Toc10695"/>
      <w:bookmarkStart w:id="1270" w:name="_Toc69909972"/>
      <w:bookmarkStart w:id="1271" w:name="_Toc30281"/>
      <w:r>
        <w:rPr>
          <w:rFonts w:hint="eastAsia" w:ascii="宋体" w:hAnsi="宋体" w:cs="宋体"/>
          <w:bCs w:val="0"/>
          <w:color w:val="000000"/>
          <w:sz w:val="24"/>
          <w:szCs w:val="24"/>
          <w:highlight w:val="none"/>
        </w:rPr>
        <w:t>8. 材料与设备</w:t>
      </w:r>
      <w:bookmarkEnd w:id="1268"/>
      <w:bookmarkEnd w:id="1269"/>
      <w:bookmarkEnd w:id="1270"/>
      <w:bookmarkEnd w:id="1271"/>
    </w:p>
    <w:bookmarkEnd w:id="1197"/>
    <w:bookmarkEnd w:id="1198"/>
    <w:bookmarkEnd w:id="1199"/>
    <w:bookmarkEnd w:id="1200"/>
    <w:bookmarkEnd w:id="1201"/>
    <w:bookmarkEnd w:id="1202"/>
    <w:bookmarkEnd w:id="1203"/>
    <w:bookmarkEnd w:id="1204"/>
    <w:bookmarkEnd w:id="1205"/>
    <w:bookmarkEnd w:id="1206"/>
    <w:p w14:paraId="3D3105E4">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8</w:t>
      </w:r>
      <w:bookmarkStart w:id="1272" w:name="_Toc297123527"/>
      <w:bookmarkStart w:id="1273" w:name="_Toc312677493"/>
      <w:bookmarkStart w:id="1274" w:name="_Toc297120467"/>
      <w:bookmarkStart w:id="1275" w:name="_Toc296944506"/>
      <w:bookmarkStart w:id="1276" w:name="_Toc304295556"/>
      <w:bookmarkStart w:id="1277" w:name="_Toc280868654"/>
      <w:bookmarkStart w:id="1278" w:name="_Toc303539136"/>
      <w:bookmarkStart w:id="1279" w:name="_Toc296347166"/>
      <w:bookmarkStart w:id="1280" w:name="_Toc297216186"/>
      <w:bookmarkStart w:id="1281" w:name="_Toc300934979"/>
      <w:bookmarkStart w:id="1282" w:name="_Toc296891207"/>
      <w:bookmarkStart w:id="1283" w:name="_Toc312678019"/>
      <w:bookmarkStart w:id="1284" w:name="_Toc296503167"/>
      <w:bookmarkStart w:id="1285" w:name="_Toc296890995"/>
      <w:bookmarkStart w:id="1286" w:name="_Toc297048353"/>
      <w:bookmarkStart w:id="1287" w:name="_Toc292559372"/>
      <w:bookmarkStart w:id="1288" w:name="_Toc292559877"/>
      <w:bookmarkStart w:id="1289" w:name="_Toc296346668"/>
      <w:bookmarkStart w:id="1290" w:name="_Toc267251424"/>
      <w:bookmarkStart w:id="1291" w:name="_Toc280868655"/>
      <w:bookmarkStart w:id="1292" w:name="_Toc280868656"/>
      <w:r>
        <w:rPr>
          <w:rFonts w:hint="eastAsia" w:ascii="宋体" w:hAnsi="宋体" w:cs="宋体"/>
          <w:b w:val="0"/>
          <w:bCs w:val="0"/>
          <w:color w:val="000000"/>
          <w:sz w:val="21"/>
          <w:szCs w:val="21"/>
          <w:highlight w:val="none"/>
        </w:rPr>
        <w:t>.4材料与工程设备的保管与使用</w:t>
      </w:r>
    </w:p>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14:paraId="349DAB6B">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8</w:t>
      </w:r>
      <w:bookmarkStart w:id="1293" w:name="_Toc292559373"/>
      <w:bookmarkStart w:id="1294" w:name="_Toc292559878"/>
      <w:bookmarkStart w:id="1295" w:name="_Toc296347167"/>
      <w:bookmarkStart w:id="1296" w:name="_Toc297216187"/>
      <w:bookmarkStart w:id="1297" w:name="_Toc303539137"/>
      <w:bookmarkStart w:id="1298" w:name="_Toc297120468"/>
      <w:bookmarkStart w:id="1299" w:name="_Toc296503168"/>
      <w:bookmarkStart w:id="1300" w:name="_Toc297048354"/>
      <w:bookmarkStart w:id="1301" w:name="_Toc312678020"/>
      <w:bookmarkStart w:id="1302" w:name="_Toc296346669"/>
      <w:bookmarkStart w:id="1303" w:name="_Toc318581173"/>
      <w:bookmarkStart w:id="1304" w:name="_Toc304295557"/>
      <w:bookmarkStart w:id="1305" w:name="_Toc312677494"/>
      <w:bookmarkStart w:id="1306" w:name="_Toc297123528"/>
      <w:bookmarkStart w:id="1307" w:name="_Toc296890996"/>
      <w:bookmarkStart w:id="1308" w:name="_Toc296944507"/>
      <w:bookmarkStart w:id="1309" w:name="_Toc300934980"/>
      <w:bookmarkStart w:id="1310" w:name="_Toc296891208"/>
      <w:r>
        <w:rPr>
          <w:rFonts w:hint="eastAsia" w:ascii="宋体" w:hAnsi="宋体" w:cs="宋体"/>
          <w:highlight w:val="none"/>
        </w:rPr>
        <w:t>.4.1发包人供应的材料设备的保管费用的承担：</w:t>
      </w:r>
      <w:r>
        <w:rPr>
          <w:rFonts w:hint="eastAsia" w:ascii="宋体" w:hAnsi="宋体" w:eastAsia="宋体" w:cs="宋体"/>
          <w:color w:val="000000"/>
          <w:szCs w:val="21"/>
          <w:highlight w:val="none"/>
          <w:u w:val="single"/>
        </w:rPr>
        <w:t>已包含在合同价款中，由承包人自行承担，发包人不再另行支付</w:t>
      </w:r>
      <w:r>
        <w:rPr>
          <w:rFonts w:hint="eastAsia" w:ascii="宋体" w:hAnsi="宋体" w:cs="宋体"/>
          <w:highlight w:val="none"/>
        </w:rPr>
        <w:t>。</w:t>
      </w:r>
      <w:bookmarkEnd w:id="1293"/>
      <w:bookmarkEnd w:id="1294"/>
    </w:p>
    <w:p w14:paraId="792312DE">
      <w:pPr>
        <w:pStyle w:val="6"/>
        <w:pageBreakBefore w:val="0"/>
        <w:widowControl w:val="0"/>
        <w:kinsoku/>
        <w:wordWrap/>
        <w:overflowPunct/>
        <w:topLinePunct w:val="0"/>
        <w:bidi w:val="0"/>
        <w:adjustRightInd/>
        <w:snapToGrid w:val="0"/>
        <w:spacing w:before="0" w:after="0" w:line="360" w:lineRule="auto"/>
        <w:ind w:right="0" w:rightChars="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8.6样品</w:t>
      </w:r>
    </w:p>
    <w:p w14:paraId="3F25CC6B">
      <w:pPr>
        <w:pageBreakBefore w:val="0"/>
        <w:widowControl w:val="0"/>
        <w:kinsoku/>
        <w:wordWrap/>
        <w:overflowPunct/>
        <w:topLinePunct w:val="0"/>
        <w:autoSpaceDE w:val="0"/>
        <w:autoSpaceDN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8.6.1样品的报送与封存</w:t>
      </w:r>
    </w:p>
    <w:p w14:paraId="1273DF9A">
      <w:pPr>
        <w:pageBreakBefore w:val="0"/>
        <w:widowControl w:val="0"/>
        <w:kinsoku/>
        <w:wordWrap/>
        <w:overflowPunct/>
        <w:topLinePunct w:val="0"/>
        <w:autoSpaceDE w:val="0"/>
        <w:autoSpaceDN w:val="0"/>
        <w:bidi w:val="0"/>
        <w:adjustRightInd/>
        <w:snapToGrid w:val="0"/>
        <w:spacing w:line="360" w:lineRule="auto"/>
        <w:ind w:right="0" w:rightChars="0" w:firstLine="420" w:firstLineChars="200"/>
        <w:textAlignment w:val="auto"/>
        <w:rPr>
          <w:rFonts w:ascii="宋体" w:hAnsi="宋体" w:cs="宋体"/>
          <w:highlight w:val="none"/>
          <w:u w:val="single"/>
        </w:rPr>
      </w:pPr>
      <w:r>
        <w:rPr>
          <w:rFonts w:hint="eastAsia" w:ascii="宋体" w:hAnsi="宋体" w:cs="宋体"/>
          <w:highlight w:val="none"/>
          <w:u w:val="single"/>
        </w:rPr>
        <w:t>需要承包人报送样品的材料或工程设备，样品的种类、名称、规格、数量要求：</w:t>
      </w:r>
      <w:r>
        <w:rPr>
          <w:rFonts w:hint="eastAsia" w:ascii="宋体" w:hAnsi="宋体" w:eastAsia="宋体" w:cs="宋体"/>
          <w:color w:val="000000"/>
          <w:kern w:val="0"/>
          <w:szCs w:val="21"/>
          <w:highlight w:val="none"/>
        </w:rPr>
        <w:t>承</w:t>
      </w:r>
      <w:r>
        <w:rPr>
          <w:rFonts w:hint="eastAsia" w:ascii="宋体" w:hAnsi="宋体" w:eastAsia="宋体" w:cs="宋体"/>
          <w:color w:val="000000"/>
          <w:kern w:val="0"/>
          <w:szCs w:val="21"/>
          <w:highlight w:val="none"/>
          <w:u w:val="single"/>
        </w:rPr>
        <w:t>包人应对所有进场材料按有关规定进行严格把关，如因材料出现的质量和安全事故由承包人负全责，并赔偿相应损失。发包人和工程监理有权对承包人提供的材料和设备进行抽检，对不符合设计要求及验收规范的材料和设备，有权终止使用，发生的一切损失和费用由承包人承担</w:t>
      </w:r>
      <w:r>
        <w:rPr>
          <w:rFonts w:hint="eastAsia" w:ascii="宋体" w:hAnsi="宋体" w:cs="宋体"/>
          <w:highlight w:val="none"/>
          <w:u w:val="single"/>
        </w:rPr>
        <w:t>。</w:t>
      </w:r>
    </w:p>
    <w:p w14:paraId="273B40B4">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8.8施工设备和临时设施</w:t>
      </w:r>
    </w:p>
    <w:p w14:paraId="2626EF37">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8.8.1 承包人提供的施工设备和临时设施</w:t>
      </w:r>
    </w:p>
    <w:p w14:paraId="00E11A67">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关于修建临时设施费用承担的约定：</w:t>
      </w:r>
      <w:r>
        <w:rPr>
          <w:rFonts w:hint="eastAsia" w:ascii="宋体" w:hAnsi="宋体" w:cs="宋体"/>
          <w:highlight w:val="none"/>
          <w:u w:val="single"/>
        </w:rPr>
        <w:t>由承包人</w:t>
      </w:r>
      <w:r>
        <w:rPr>
          <w:rFonts w:hint="eastAsia" w:ascii="宋体" w:hAnsi="宋体" w:cs="宋体"/>
          <w:highlight w:val="none"/>
          <w:u w:val="single"/>
          <w:lang w:val="en-US" w:eastAsia="zh-CN"/>
        </w:rPr>
        <w:t>承担</w:t>
      </w:r>
      <w:r>
        <w:rPr>
          <w:rFonts w:hint="eastAsia" w:ascii="宋体" w:hAnsi="宋体" w:cs="宋体"/>
          <w:highlight w:val="none"/>
          <w:u w:val="single"/>
        </w:rPr>
        <w:t>。</w:t>
      </w:r>
    </w:p>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14:paraId="1D616540">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311" w:name="_Toc21488"/>
      <w:bookmarkStart w:id="1312" w:name="_Toc351203641"/>
      <w:bookmarkStart w:id="1313" w:name="_Toc69909973"/>
      <w:bookmarkStart w:id="1314" w:name="_Toc10091"/>
      <w:r>
        <w:rPr>
          <w:rFonts w:hint="eastAsia" w:ascii="宋体" w:hAnsi="宋体" w:cs="宋体"/>
          <w:bCs w:val="0"/>
          <w:color w:val="000000"/>
          <w:sz w:val="24"/>
          <w:szCs w:val="24"/>
          <w:highlight w:val="none"/>
        </w:rPr>
        <w:t>9</w:t>
      </w:r>
      <w:bookmarkEnd w:id="1290"/>
      <w:bookmarkEnd w:id="1291"/>
      <w:bookmarkEnd w:id="1292"/>
      <w:bookmarkStart w:id="1315" w:name="_Toc297123533"/>
      <w:bookmarkStart w:id="1316" w:name="_Toc300934982"/>
      <w:bookmarkStart w:id="1317" w:name="_Toc297216192"/>
      <w:bookmarkStart w:id="1318" w:name="_Toc303539139"/>
      <w:bookmarkStart w:id="1319" w:name="_Toc312677495"/>
      <w:bookmarkStart w:id="1320" w:name="_Toc304295559"/>
      <w:bookmarkStart w:id="1321" w:name="_Toc312678021"/>
      <w:bookmarkStart w:id="1322" w:name="_Toc296891213"/>
      <w:bookmarkStart w:id="1323" w:name="_Toc297120473"/>
      <w:bookmarkStart w:id="1324" w:name="_Toc292559378"/>
      <w:bookmarkStart w:id="1325" w:name="_Toc267251427"/>
      <w:bookmarkStart w:id="1326" w:name="_Toc296346674"/>
      <w:bookmarkStart w:id="1327" w:name="_Toc297048359"/>
      <w:bookmarkStart w:id="1328" w:name="_Toc292559883"/>
      <w:bookmarkStart w:id="1329" w:name="_Toc296944512"/>
      <w:bookmarkStart w:id="1330" w:name="_Toc267251428"/>
      <w:bookmarkStart w:id="1331" w:name="_Toc296503173"/>
      <w:bookmarkStart w:id="1332" w:name="_Toc296347172"/>
      <w:bookmarkStart w:id="1333" w:name="_Toc296891001"/>
      <w:r>
        <w:rPr>
          <w:rFonts w:hint="eastAsia" w:ascii="宋体" w:hAnsi="宋体" w:cs="宋体"/>
          <w:bCs w:val="0"/>
          <w:color w:val="000000"/>
          <w:sz w:val="24"/>
          <w:szCs w:val="24"/>
          <w:highlight w:val="none"/>
        </w:rPr>
        <w:t>. 试验与检验</w:t>
      </w:r>
      <w:bookmarkEnd w:id="1311"/>
      <w:bookmarkEnd w:id="1312"/>
      <w:bookmarkEnd w:id="1313"/>
      <w:bookmarkEnd w:id="1314"/>
    </w:p>
    <w:bookmarkEnd w:id="1315"/>
    <w:bookmarkEnd w:id="1316"/>
    <w:bookmarkEnd w:id="1317"/>
    <w:bookmarkEnd w:id="1318"/>
    <w:bookmarkEnd w:id="1319"/>
    <w:bookmarkEnd w:id="1320"/>
    <w:bookmarkEnd w:id="1321"/>
    <w:p w14:paraId="3DE69DF2">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9</w:t>
      </w:r>
      <w:bookmarkStart w:id="1334" w:name="_Toc303539140"/>
      <w:bookmarkStart w:id="1335" w:name="_Toc300934983"/>
      <w:bookmarkStart w:id="1336" w:name="_Toc297123534"/>
      <w:bookmarkStart w:id="1337" w:name="_Toc304295560"/>
      <w:bookmarkStart w:id="1338" w:name="_Toc312678022"/>
      <w:bookmarkStart w:id="1339" w:name="_Toc312677496"/>
      <w:bookmarkStart w:id="1340" w:name="_Toc297216193"/>
      <w:r>
        <w:rPr>
          <w:rFonts w:hint="eastAsia" w:ascii="宋体" w:hAnsi="宋体" w:cs="宋体"/>
          <w:b w:val="0"/>
          <w:bCs w:val="0"/>
          <w:color w:val="000000"/>
          <w:sz w:val="21"/>
          <w:szCs w:val="21"/>
          <w:highlight w:val="none"/>
        </w:rPr>
        <w:t>.1试验设备与试验人员</w:t>
      </w:r>
    </w:p>
    <w:bookmarkEnd w:id="1334"/>
    <w:bookmarkEnd w:id="1335"/>
    <w:bookmarkEnd w:id="1336"/>
    <w:bookmarkEnd w:id="1337"/>
    <w:bookmarkEnd w:id="1338"/>
    <w:bookmarkEnd w:id="1339"/>
    <w:bookmarkEnd w:id="1340"/>
    <w:p w14:paraId="41AA1C6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9</w:t>
      </w:r>
      <w:bookmarkStart w:id="1341" w:name="_Toc303539141"/>
      <w:bookmarkStart w:id="1342" w:name="_Toc304295561"/>
      <w:bookmarkStart w:id="1343" w:name="_Toc312677497"/>
      <w:bookmarkStart w:id="1344" w:name="_Toc312678023"/>
      <w:bookmarkStart w:id="1345" w:name="_Toc297216194"/>
      <w:bookmarkStart w:id="1346" w:name="_Toc297123535"/>
      <w:bookmarkStart w:id="1347" w:name="_Toc300934984"/>
      <w:bookmarkStart w:id="1348" w:name="_Toc318581174"/>
      <w:r>
        <w:rPr>
          <w:rFonts w:hint="eastAsia" w:ascii="宋体" w:hAnsi="宋体" w:cs="宋体"/>
          <w:highlight w:val="none"/>
        </w:rPr>
        <w:t>.1.2 试验设备</w:t>
      </w:r>
    </w:p>
    <w:p w14:paraId="6ACBCF82">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施工现场需要配置的试验场所：</w:t>
      </w:r>
      <w:bookmarkEnd w:id="1341"/>
      <w:bookmarkEnd w:id="1342"/>
      <w:bookmarkEnd w:id="1343"/>
      <w:bookmarkEnd w:id="1344"/>
      <w:bookmarkEnd w:id="1345"/>
      <w:bookmarkEnd w:id="1346"/>
      <w:bookmarkEnd w:id="1347"/>
      <w:bookmarkStart w:id="1349" w:name="_Toc300934985"/>
      <w:bookmarkStart w:id="1350" w:name="_Toc303539142"/>
      <w:bookmarkStart w:id="1351" w:name="_Toc297123536"/>
      <w:bookmarkStart w:id="1352" w:name="_Toc312678024"/>
      <w:bookmarkStart w:id="1353" w:name="_Toc304295562"/>
      <w:bookmarkStart w:id="1354" w:name="_Toc297216195"/>
      <w:bookmarkStart w:id="1355" w:name="_Toc312677498"/>
      <w:r>
        <w:rPr>
          <w:rFonts w:hint="eastAsia" w:ascii="宋体" w:hAnsi="宋体" w:eastAsia="宋体" w:cs="宋体"/>
          <w:szCs w:val="21"/>
          <w:highlight w:val="none"/>
          <w:u w:val="single"/>
        </w:rPr>
        <w:t>/</w:t>
      </w:r>
      <w:r>
        <w:rPr>
          <w:rFonts w:hint="eastAsia" w:ascii="宋体" w:hAnsi="宋体" w:eastAsia="宋体" w:cs="宋体"/>
          <w:szCs w:val="21"/>
          <w:highlight w:val="none"/>
        </w:rPr>
        <w:t xml:space="preserve">。 </w:t>
      </w:r>
      <w:r>
        <w:rPr>
          <w:rFonts w:hint="eastAsia" w:ascii="宋体" w:hAnsi="宋体" w:cs="宋体"/>
          <w:highlight w:val="none"/>
        </w:rPr>
        <w:t xml:space="preserve"> </w:t>
      </w:r>
    </w:p>
    <w:p w14:paraId="22345C14">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施工现场需要配备的试验设备：</w:t>
      </w:r>
      <w:r>
        <w:rPr>
          <w:rFonts w:hint="eastAsia" w:ascii="宋体" w:hAnsi="宋体" w:eastAsia="宋体" w:cs="宋体"/>
          <w:szCs w:val="21"/>
          <w:highlight w:val="none"/>
          <w:u w:val="single"/>
        </w:rPr>
        <w:t>/</w:t>
      </w:r>
      <w:r>
        <w:rPr>
          <w:rFonts w:hint="eastAsia" w:ascii="宋体" w:hAnsi="宋体" w:eastAsia="宋体" w:cs="宋体"/>
          <w:szCs w:val="21"/>
          <w:highlight w:val="none"/>
        </w:rPr>
        <w:t xml:space="preserve">。 </w:t>
      </w:r>
    </w:p>
    <w:p w14:paraId="71A3745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施工现场需要具备的其他试验条件：</w:t>
      </w:r>
      <w:r>
        <w:rPr>
          <w:rFonts w:hint="eastAsia" w:ascii="宋体" w:hAnsi="宋体" w:eastAsia="宋体" w:cs="宋体"/>
          <w:szCs w:val="21"/>
          <w:highlight w:val="none"/>
          <w:u w:val="single"/>
        </w:rPr>
        <w:t>/</w:t>
      </w:r>
      <w:r>
        <w:rPr>
          <w:rFonts w:hint="eastAsia" w:ascii="宋体" w:hAnsi="宋体" w:eastAsia="宋体" w:cs="宋体"/>
          <w:szCs w:val="21"/>
          <w:highlight w:val="none"/>
        </w:rPr>
        <w:t xml:space="preserve">。 </w:t>
      </w:r>
    </w:p>
    <w:p w14:paraId="71F01C35">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在合同通用条款基础上增加以下要求：</w:t>
      </w:r>
    </w:p>
    <w:p w14:paraId="6850FFD3">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材料、设备检验</w:t>
      </w:r>
    </w:p>
    <w:p w14:paraId="7ED41571">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 xml:space="preserve">9.4现场工艺试验 </w:t>
      </w:r>
    </w:p>
    <w:p w14:paraId="58B1E988">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现场工艺试验的有关约定：</w:t>
      </w:r>
      <w:r>
        <w:rPr>
          <w:rFonts w:hint="eastAsia" w:ascii="宋体" w:hAnsi="宋体" w:cs="宋体"/>
          <w:highlight w:val="none"/>
          <w:u w:val="single"/>
        </w:rPr>
        <w:t>按有关规定执行</w:t>
      </w:r>
      <w:r>
        <w:rPr>
          <w:rFonts w:hint="eastAsia" w:ascii="宋体" w:hAnsi="宋体" w:cs="宋体"/>
          <w:highlight w:val="none"/>
        </w:rPr>
        <w:t>。</w:t>
      </w:r>
    </w:p>
    <w:bookmarkEnd w:id="1348"/>
    <w:bookmarkEnd w:id="1349"/>
    <w:bookmarkEnd w:id="1350"/>
    <w:bookmarkEnd w:id="1351"/>
    <w:bookmarkEnd w:id="1352"/>
    <w:bookmarkEnd w:id="1353"/>
    <w:bookmarkEnd w:id="1354"/>
    <w:bookmarkEnd w:id="1355"/>
    <w:p w14:paraId="5EFF55D1">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356" w:name="_Toc351203642"/>
      <w:bookmarkStart w:id="1357" w:name="_Toc69909974"/>
      <w:bookmarkStart w:id="1358" w:name="_Toc19944"/>
      <w:bookmarkStart w:id="1359" w:name="_Toc8149"/>
      <w:r>
        <w:rPr>
          <w:rFonts w:hint="eastAsia" w:ascii="宋体" w:hAnsi="宋体" w:cs="宋体"/>
          <w:bCs w:val="0"/>
          <w:color w:val="000000"/>
          <w:sz w:val="24"/>
          <w:szCs w:val="24"/>
          <w:highlight w:val="none"/>
        </w:rPr>
        <w:t>1</w:t>
      </w:r>
      <w:bookmarkEnd w:id="1322"/>
      <w:bookmarkEnd w:id="1323"/>
      <w:bookmarkEnd w:id="1324"/>
      <w:bookmarkEnd w:id="1325"/>
      <w:bookmarkEnd w:id="1326"/>
      <w:bookmarkEnd w:id="1327"/>
      <w:bookmarkEnd w:id="1328"/>
      <w:bookmarkEnd w:id="1329"/>
      <w:bookmarkEnd w:id="1330"/>
      <w:bookmarkEnd w:id="1331"/>
      <w:bookmarkEnd w:id="1332"/>
      <w:bookmarkEnd w:id="1333"/>
      <w:bookmarkStart w:id="1360" w:name="_Toc304295566"/>
      <w:bookmarkStart w:id="1361" w:name="_Toc296891021"/>
      <w:bookmarkStart w:id="1362" w:name="_Toc297216199"/>
      <w:bookmarkStart w:id="1363" w:name="_Toc300934989"/>
      <w:bookmarkStart w:id="1364" w:name="_Toc296944532"/>
      <w:bookmarkStart w:id="1365" w:name="_Toc297120493"/>
      <w:bookmarkStart w:id="1366" w:name="_Toc292559398"/>
      <w:bookmarkStart w:id="1367" w:name="_Toc303539146"/>
      <w:bookmarkStart w:id="1368" w:name="_Toc296346694"/>
      <w:bookmarkStart w:id="1369" w:name="_Toc296503193"/>
      <w:bookmarkStart w:id="1370" w:name="_Toc297123540"/>
      <w:bookmarkStart w:id="1371" w:name="_Toc296891233"/>
      <w:bookmarkStart w:id="1372" w:name="_Toc292559903"/>
      <w:bookmarkStart w:id="1373" w:name="_Toc296347192"/>
      <w:bookmarkStart w:id="1374" w:name="_Toc297048379"/>
      <w:bookmarkStart w:id="1375" w:name="_Toc312678025"/>
      <w:bookmarkStart w:id="1376" w:name="_Toc312677499"/>
      <w:bookmarkStart w:id="1377" w:name="_Toc267251440"/>
      <w:bookmarkStart w:id="1378" w:name="_Toc267251437"/>
      <w:bookmarkStart w:id="1379" w:name="_Toc267251441"/>
      <w:bookmarkStart w:id="1380" w:name="_Toc267251439"/>
      <w:bookmarkStart w:id="1381" w:name="_Toc267251435"/>
      <w:bookmarkStart w:id="1382" w:name="_Toc267251433"/>
      <w:bookmarkStart w:id="1383" w:name="_Toc267251442"/>
      <w:r>
        <w:rPr>
          <w:rFonts w:hint="eastAsia" w:ascii="宋体" w:hAnsi="宋体" w:cs="宋体"/>
          <w:bCs w:val="0"/>
          <w:color w:val="000000"/>
          <w:sz w:val="24"/>
          <w:szCs w:val="24"/>
          <w:highlight w:val="none"/>
        </w:rPr>
        <w:t>0. 变更</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bookmarkEnd w:id="1375"/>
    <w:bookmarkEnd w:id="1376"/>
    <w:p w14:paraId="6339C84B">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w:t>
      </w:r>
      <w:bookmarkStart w:id="1384" w:name="_Toc297123541"/>
      <w:bookmarkStart w:id="1385" w:name="_Toc304295567"/>
      <w:bookmarkStart w:id="1386" w:name="_Toc312678026"/>
      <w:bookmarkStart w:id="1387" w:name="_Toc300934990"/>
      <w:bookmarkStart w:id="1388" w:name="_Toc297120494"/>
      <w:bookmarkStart w:id="1389" w:name="_Toc292559399"/>
      <w:bookmarkStart w:id="1390" w:name="_Toc292559904"/>
      <w:bookmarkStart w:id="1391" w:name="_Toc296891022"/>
      <w:bookmarkStart w:id="1392" w:name="_Toc296944533"/>
      <w:bookmarkStart w:id="1393" w:name="_Toc296503194"/>
      <w:bookmarkStart w:id="1394" w:name="_Toc312677500"/>
      <w:bookmarkStart w:id="1395" w:name="_Toc296346695"/>
      <w:bookmarkStart w:id="1396" w:name="_Toc296347193"/>
      <w:bookmarkStart w:id="1397" w:name="_Toc297048380"/>
      <w:bookmarkStart w:id="1398" w:name="_Toc296891234"/>
      <w:bookmarkStart w:id="1399" w:name="_Toc303539147"/>
      <w:bookmarkStart w:id="1400" w:name="_Toc297216200"/>
      <w:r>
        <w:rPr>
          <w:rFonts w:hint="eastAsia" w:ascii="宋体" w:hAnsi="宋体" w:cs="宋体"/>
          <w:b w:val="0"/>
          <w:bCs w:val="0"/>
          <w:color w:val="000000"/>
          <w:sz w:val="21"/>
          <w:szCs w:val="21"/>
          <w:highlight w:val="none"/>
        </w:rPr>
        <w:t>0.1变更的范围</w:t>
      </w:r>
    </w:p>
    <w:p w14:paraId="5BA17AF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关于变更的范围的约定：</w:t>
      </w:r>
    </w:p>
    <w:p w14:paraId="30A1CD38">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 xml:space="preserve">（1）实际完成的工程量偏差； </w:t>
      </w:r>
    </w:p>
    <w:p w14:paraId="5AC6083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（2）设计变更引起的工程量变化或直接造成的费用增加；</w:t>
      </w:r>
    </w:p>
    <w:p w14:paraId="398E6EDC">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（3）发包人要求的承包范围以外的附加工程量；</w:t>
      </w:r>
    </w:p>
    <w:p w14:paraId="69FBFCB8">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（4）暂列金额及暂估价；</w:t>
      </w:r>
    </w:p>
    <w:p w14:paraId="659A67E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（5）不可抗力；</w:t>
      </w:r>
    </w:p>
    <w:p w14:paraId="3622A5AB">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（6）工程量清单缺项或项目特征不符；</w:t>
      </w:r>
    </w:p>
    <w:p w14:paraId="0098CD0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（7）发包人确认的其它费用。</w:t>
      </w:r>
    </w:p>
    <w:p w14:paraId="3E9881C2">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sz w:val="21"/>
          <w:szCs w:val="21"/>
          <w:highlight w:val="none"/>
        </w:rPr>
      </w:pPr>
      <w:r>
        <w:rPr>
          <w:rFonts w:hint="eastAsia" w:ascii="宋体" w:hAnsi="宋体" w:cs="宋体"/>
          <w:b w:val="0"/>
          <w:bCs w:val="0"/>
          <w:sz w:val="21"/>
          <w:szCs w:val="21"/>
          <w:highlight w:val="none"/>
        </w:rPr>
        <w:t>10.4变更估价</w:t>
      </w:r>
    </w:p>
    <w:p w14:paraId="348121F7">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10.4.1 变更估价原则</w:t>
      </w:r>
    </w:p>
    <w:p w14:paraId="4B6E5694">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工程价款调整以《南通建设工程造价信息》2026年第</w:t>
      </w:r>
      <w:r>
        <w:rPr>
          <w:rFonts w:hint="eastAsia" w:ascii="宋体" w:hAnsi="宋体"/>
          <w:b/>
          <w:kern w:val="0"/>
          <w:szCs w:val="21"/>
          <w:highlight w:val="none"/>
          <w:u w:val="single"/>
          <w:lang w:val="en-US" w:eastAsia="zh-CN"/>
        </w:rPr>
        <w:t>8</w:t>
      </w:r>
      <w:r>
        <w:rPr>
          <w:rFonts w:hint="eastAsia" w:ascii="宋体" w:hAnsi="宋体"/>
          <w:b/>
          <w:kern w:val="0"/>
          <w:szCs w:val="21"/>
          <w:highlight w:val="none"/>
          <w:u w:val="single"/>
        </w:rPr>
        <w:t>期中的除税指导价执行，基准日人工工资执行《省住房和城乡建设厅关于发布2026年上半年建设工程人工价格指数的通知》（苏建函价〔2026〕27号为基准值，其后国家的法律、法规、规章和政策发生变化影响工程造价，按照省级或行业建设主管部门或其授权的工程造价管理机构发布的规定调整合同价格。</w:t>
      </w:r>
    </w:p>
    <w:p w14:paraId="055E6648">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关于变更估价的约定:</w:t>
      </w:r>
    </w:p>
    <w:p w14:paraId="79A014CE">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1）因非承包人原因引起分部分项工程量发生变化或因工程变更引起已标价工程量清单项目发生变化，且已标价工程量清单中有相同清单项目的，按下列规定调整价款。</w:t>
      </w:r>
    </w:p>
    <w:p w14:paraId="585AB6AC">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 xml:space="preserve">Ⅰ、定义 </w:t>
      </w:r>
    </w:p>
    <w:p w14:paraId="1C6839AE">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S—调整后的某一分部分项工程费结算价；</w:t>
      </w:r>
    </w:p>
    <w:p w14:paraId="04240DF2">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Q1—最终完成的工程量；</w:t>
      </w:r>
    </w:p>
    <w:p w14:paraId="2413A23E">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Q0—招标工程量清单中列出的工程量；</w:t>
      </w:r>
    </w:p>
    <w:p w14:paraId="4E23829F">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P0—承包人在工程量清单中填报的综合单价；</w:t>
      </w:r>
    </w:p>
    <w:p w14:paraId="0D2B215C">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P1—按照最终完成工程量重新调整后的综合单价。</w:t>
      </w:r>
    </w:p>
    <w:p w14:paraId="5F341390">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（1）当Q1&gt;1.15Q0时（工程量增加超过15%）：</w:t>
      </w:r>
    </w:p>
    <w:p w14:paraId="0F7B2EFF">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S=1.15Q0×P0+(Q1−1.15Q0)×P1</w:t>
      </w:r>
    </w:p>
    <w:p w14:paraId="069575B6">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即：15%以内的工程量按原投标单价结算，超过15%的部分按调整后的单价结算。</w:t>
      </w:r>
    </w:p>
    <w:p w14:paraId="22FCF0E9">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（2）当Q1&lt;0.85Q0时（工程量减少超过15%）：</w:t>
      </w:r>
    </w:p>
    <w:p w14:paraId="6976A320">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S=Q1×P1</w:t>
      </w:r>
    </w:p>
    <w:p w14:paraId="376EDFCC">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即：减少后剩余的全部工程量按调整后的单价结算。</w:t>
      </w:r>
    </w:p>
    <w:p w14:paraId="51B2FC93">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 xml:space="preserve"> P1（调整后综合单价）的确定方法</w:t>
      </w:r>
    </w:p>
    <w:p w14:paraId="1C666345">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P1的确定，发承包双方可协商确定，也可参照以下原则与最高投标限价相联系：</w:t>
      </w:r>
    </w:p>
    <w:p w14:paraId="31379DC2">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①当P0处于合理区间时，不调整综合单价：</w:t>
      </w:r>
    </w:p>
    <w:p w14:paraId="09E45DD0">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P2×(1−L)×(1−15%)≤P0≤P2×(1+15%)</w:t>
      </w:r>
    </w:p>
    <w:p w14:paraId="46E23003">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此时，无论工程量增减多少，均按原投标单价P0执行。</w:t>
      </w:r>
    </w:p>
    <w:p w14:paraId="3D35DE97">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②当P0偏高时（P0&gt;P2×1.15）：</w:t>
      </w:r>
    </w:p>
    <w:p w14:paraId="6E660D53">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工程量增加超过15%时，增加部分的综合单价按P1=P2×1.15执行；</w:t>
      </w:r>
    </w:p>
    <w:p w14:paraId="152D459F">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工程量减少超过15%时，仍按原投标单价P0执行。</w:t>
      </w:r>
    </w:p>
    <w:p w14:paraId="6982FEB8">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③当P0偏低时（P0&lt;P2×(1−L)×(1−15%)）：</w:t>
      </w:r>
    </w:p>
    <w:p w14:paraId="0914B00E">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工程量增加超过15%时，增加部分的综合单价按P1=P2×(1−L)×(1−15%)执行；</w:t>
      </w:r>
    </w:p>
    <w:p w14:paraId="380C7396">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工程量减少超过15%时，仍按原投标单价P0执行。</w:t>
      </w:r>
    </w:p>
    <w:p w14:paraId="3613A4A8">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式中：</w:t>
      </w:r>
    </w:p>
    <w:p w14:paraId="68AC2A55">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P2——发包人最高投标限价（或标段修正预算）相应项目的综合单价；</w:t>
      </w:r>
    </w:p>
    <w:p w14:paraId="58BDF36E">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 xml:space="preserve">L——承包人报价浮动率，计算公式为：L=(1−中标价÷最高投标限价)×100%（计算时应扣除暂列金额、暂估价及相应税金费用） </w:t>
      </w:r>
    </w:p>
    <w:p w14:paraId="52570C60">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2）因工程变更引起新的工程量清单项目发生变化时，已标价工程量清单中没有适用但有类似于变更工程项目的，可参照类似清单项目的综合单价进行调整（承包人在工程量清单中填报的综合单价出现不一致的，取最低值）。</w:t>
      </w:r>
    </w:p>
    <w:p w14:paraId="24F0DFCB">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3）招标人提供的工程量清单漏项或清单项目特征描述与施工图（含设计变更）不符或设计变更引起新的工程量清单项目时，已标价工程量清单中没有适用也没有类似于清单项目的，其相应新增综合单价由承包人按最高投标限价编制的原则提出，并原则上依据中标价（扣除暂列金额、暂估价、甲供材料费</w:t>
      </w:r>
      <w:r>
        <w:rPr>
          <w:rFonts w:hint="eastAsia" w:ascii="宋体" w:hAnsi="宋体"/>
          <w:b/>
          <w:kern w:val="0"/>
          <w:szCs w:val="21"/>
          <w:highlight w:val="none"/>
          <w:u w:val="single"/>
          <w:lang w:val="en-US" w:eastAsia="zh-CN"/>
        </w:rPr>
        <w:t>及其</w:t>
      </w:r>
      <w:r>
        <w:rPr>
          <w:rFonts w:hint="eastAsia" w:ascii="宋体" w:hAnsi="宋体"/>
          <w:b/>
          <w:kern w:val="0"/>
          <w:szCs w:val="21"/>
          <w:highlight w:val="none"/>
          <w:u w:val="single"/>
        </w:rPr>
        <w:t>相应的税金）相对最高投标限价（扣除暂列金额、暂估价、甲供材料费</w:t>
      </w:r>
      <w:r>
        <w:rPr>
          <w:rFonts w:hint="eastAsia" w:ascii="宋体" w:hAnsi="宋体"/>
          <w:b/>
          <w:kern w:val="0"/>
          <w:szCs w:val="21"/>
          <w:highlight w:val="none"/>
          <w:u w:val="single"/>
          <w:lang w:val="en-US" w:eastAsia="zh-CN"/>
        </w:rPr>
        <w:t>及其</w:t>
      </w:r>
      <w:r>
        <w:rPr>
          <w:rFonts w:hint="eastAsia" w:ascii="宋体" w:hAnsi="宋体"/>
          <w:b/>
          <w:kern w:val="0"/>
          <w:szCs w:val="21"/>
          <w:highlight w:val="none"/>
          <w:u w:val="single"/>
        </w:rPr>
        <w:t xml:space="preserve">相应的税金）的浮动率浮动，经监理工程师审核报发包人认可后作为结算的依据。 </w:t>
      </w:r>
    </w:p>
    <w:p w14:paraId="0F153B81">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计算新增综合单价时，《南通建设工程造价信息》中无指导价的材料，在施工前，由承包人向监理、发包人提交需确认价格的材料品种、规格、数量表，由发包人根据相关管理办法进行价格确认，所有价格确认过程资料及时存档，在报送结算时一并报审计单位。若施工单位擅自先行施工，结算时该材料按零单价处理。</w:t>
      </w:r>
    </w:p>
    <w:p w14:paraId="08A07CF1">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 xml:space="preserve">4）由于承包人遗漏招标文件指定的工程量，实施时，如果该工程量减少，按新增综合单价原则进行调减；如果该工程量增加，则按零单价结算。 </w:t>
      </w:r>
    </w:p>
    <w:p w14:paraId="693D5EF5">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 xml:space="preserve">5）因非承包人原因的工程变更，造成施工组织设计或施工方案变更，引起措施项目发生变化时，措施项目费应按下列原则调整： </w:t>
      </w:r>
    </w:p>
    <w:p w14:paraId="56D7CDE6">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 xml:space="preserve">措施项目的措施费仍按投标人投标时的费率进行调整；措施项目中以费用报价的，按投标时口径折算成费率调整； </w:t>
      </w:r>
    </w:p>
    <w:p w14:paraId="3A82F5AF">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 xml:space="preserve">工程变更引起施工方案改变并使措施项目发生变化时，承包人提出调整措施项目费的，应事先将拟实施的方案提交发包人确认，并应详细说明与原方案措施项目相比的变化情况。拟实施的方案经发承包双方确认后执行。 </w:t>
      </w:r>
    </w:p>
    <w:p w14:paraId="219862D6">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 xml:space="preserve">如果承包人未事先将拟实施的方案提交给发包人确认，则应视为工程变更不引起措施项目费的调整或承包人放弃调整措施项目费的权利。 </w:t>
      </w:r>
    </w:p>
    <w:p w14:paraId="17EFBF63">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 xml:space="preserve">结算时，除上述原因引起施工方案改变外，承包人不得以招标工程措施项目清单缺项为由要求新增措施项目。 </w:t>
      </w:r>
    </w:p>
    <w:p w14:paraId="3A70941E">
      <w:pPr>
        <w:pageBreakBefore w:val="0"/>
        <w:kinsoku/>
        <w:wordWrap/>
        <w:overflowPunct/>
        <w:topLinePunct w:val="0"/>
        <w:bidi w:val="0"/>
        <w:snapToGrid w:val="0"/>
        <w:spacing w:line="360" w:lineRule="auto"/>
        <w:ind w:firstLine="422" w:firstLineChars="200"/>
        <w:textAlignment w:val="auto"/>
        <w:rPr>
          <w:rFonts w:hint="eastAsia" w:ascii="宋体" w:hAnsi="宋体"/>
          <w:b/>
          <w:kern w:val="0"/>
          <w:szCs w:val="21"/>
          <w:highlight w:val="none"/>
          <w:u w:val="single"/>
        </w:rPr>
      </w:pPr>
      <w:r>
        <w:rPr>
          <w:rFonts w:hint="eastAsia" w:ascii="宋体" w:hAnsi="宋体"/>
          <w:b/>
          <w:kern w:val="0"/>
          <w:szCs w:val="21"/>
          <w:highlight w:val="none"/>
          <w:u w:val="single"/>
        </w:rPr>
        <w:t>6）工程结算总价为经监理机构审核通过报发包人认可的工程总价，最终结果以审计审定数为准。</w:t>
      </w:r>
    </w:p>
    <w:p w14:paraId="0C8E1DA4">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Start w:id="1401" w:name="_Toc300934993"/>
      <w:bookmarkStart w:id="1402" w:name="_Toc296347196"/>
      <w:bookmarkStart w:id="1403" w:name="_Toc296503197"/>
      <w:bookmarkStart w:id="1404" w:name="_Toc303539150"/>
      <w:bookmarkStart w:id="1405" w:name="_Toc297123544"/>
      <w:bookmarkStart w:id="1406" w:name="_Toc296891237"/>
      <w:bookmarkStart w:id="1407" w:name="_Toc297216203"/>
      <w:bookmarkStart w:id="1408" w:name="_Toc296944536"/>
      <w:bookmarkStart w:id="1409" w:name="_Toc296346698"/>
      <w:bookmarkStart w:id="1410" w:name="_Toc297120497"/>
      <w:bookmarkStart w:id="1411" w:name="_Toc296891025"/>
      <w:bookmarkStart w:id="1412" w:name="_Toc292559907"/>
      <w:bookmarkStart w:id="1413" w:name="_Toc292559402"/>
      <w:bookmarkStart w:id="1414" w:name="_Toc297048383"/>
      <w:bookmarkStart w:id="1415" w:name="_Toc312678029"/>
      <w:bookmarkStart w:id="1416" w:name="_Toc304295570"/>
      <w:bookmarkStart w:id="1417" w:name="_Toc312677503"/>
      <w:r>
        <w:rPr>
          <w:rFonts w:hint="eastAsia" w:ascii="宋体" w:hAnsi="宋体" w:cs="宋体"/>
          <w:b w:val="0"/>
          <w:bCs w:val="0"/>
          <w:color w:val="000000"/>
          <w:sz w:val="21"/>
          <w:szCs w:val="21"/>
          <w:highlight w:val="none"/>
        </w:rPr>
        <w:t>0.5承</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Start w:id="1418" w:name="_Toc296347202"/>
      <w:bookmarkStart w:id="1419" w:name="_Toc296944542"/>
      <w:bookmarkStart w:id="1420" w:name="_Toc303539151"/>
      <w:bookmarkStart w:id="1421" w:name="_Toc296891243"/>
      <w:bookmarkStart w:id="1422" w:name="_Toc300934994"/>
      <w:bookmarkStart w:id="1423" w:name="_Toc296346704"/>
      <w:bookmarkStart w:id="1424" w:name="_Toc297120503"/>
      <w:bookmarkStart w:id="1425" w:name="_Toc297048389"/>
      <w:bookmarkStart w:id="1426" w:name="_Toc296503203"/>
      <w:bookmarkStart w:id="1427" w:name="_Toc292559408"/>
      <w:bookmarkStart w:id="1428" w:name="_Toc297123545"/>
      <w:bookmarkStart w:id="1429" w:name="_Toc296891031"/>
      <w:bookmarkStart w:id="1430" w:name="_Toc297216204"/>
      <w:bookmarkStart w:id="1431" w:name="_Toc292559913"/>
      <w:r>
        <w:rPr>
          <w:rFonts w:hint="eastAsia" w:ascii="宋体" w:hAnsi="宋体" w:cs="宋体"/>
          <w:b w:val="0"/>
          <w:bCs w:val="0"/>
          <w:color w:val="000000"/>
          <w:sz w:val="21"/>
          <w:szCs w:val="21"/>
          <w:highlight w:val="none"/>
        </w:rPr>
        <w:t>包人的合理化建议</w:t>
      </w:r>
    </w:p>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14:paraId="6199E56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监理人审查承包人合理化建议的期限：</w:t>
      </w:r>
      <w:r>
        <w:rPr>
          <w:rFonts w:hint="eastAsia" w:ascii="宋体" w:hAnsi="宋体" w:cs="宋体"/>
          <w:highlight w:val="none"/>
          <w:u w:val="single"/>
        </w:rPr>
        <w:t>7天内</w:t>
      </w:r>
      <w:r>
        <w:rPr>
          <w:rFonts w:hint="eastAsia" w:ascii="宋体" w:hAnsi="宋体" w:cs="宋体"/>
          <w:highlight w:val="none"/>
        </w:rPr>
        <w:t>。</w:t>
      </w:r>
    </w:p>
    <w:p w14:paraId="4291F0FB">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发包人审批承包人合理化建议的期限：</w:t>
      </w:r>
      <w:r>
        <w:rPr>
          <w:rFonts w:hint="eastAsia" w:ascii="宋体" w:hAnsi="宋体" w:cs="宋体"/>
          <w:highlight w:val="none"/>
          <w:u w:val="single"/>
        </w:rPr>
        <w:t>7天内</w:t>
      </w:r>
      <w:r>
        <w:rPr>
          <w:rFonts w:hint="eastAsia" w:ascii="宋体" w:hAnsi="宋体" w:cs="宋体"/>
          <w:highlight w:val="none"/>
        </w:rPr>
        <w:t>。</w:t>
      </w:r>
    </w:p>
    <w:p w14:paraId="3456188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u w:val="single"/>
        </w:rPr>
      </w:pPr>
      <w:r>
        <w:rPr>
          <w:rFonts w:hint="eastAsia" w:ascii="宋体" w:hAnsi="宋体" w:cs="宋体"/>
          <w:highlight w:val="none"/>
        </w:rPr>
        <w:t>承</w:t>
      </w:r>
      <w:bookmarkStart w:id="1432" w:name="_Toc312678030"/>
      <w:bookmarkStart w:id="1433" w:name="_Toc297048390"/>
      <w:bookmarkStart w:id="1434" w:name="_Toc296891244"/>
      <w:bookmarkStart w:id="1435" w:name="_Toc300934995"/>
      <w:bookmarkStart w:id="1436" w:name="_Toc292559914"/>
      <w:bookmarkStart w:id="1437" w:name="_Toc296891032"/>
      <w:bookmarkStart w:id="1438" w:name="_Toc297123546"/>
      <w:bookmarkStart w:id="1439" w:name="_Toc296503204"/>
      <w:bookmarkStart w:id="1440" w:name="_Toc318581175"/>
      <w:bookmarkStart w:id="1441" w:name="_Toc296347203"/>
      <w:bookmarkStart w:id="1442" w:name="_Toc296346705"/>
      <w:bookmarkStart w:id="1443" w:name="_Toc292559409"/>
      <w:bookmarkStart w:id="1444" w:name="_Toc297216205"/>
      <w:bookmarkStart w:id="1445" w:name="_Toc296944543"/>
      <w:bookmarkStart w:id="1446" w:name="_Toc303539152"/>
      <w:bookmarkStart w:id="1447" w:name="_Toc304295571"/>
      <w:bookmarkStart w:id="1448" w:name="_Toc297120504"/>
      <w:bookmarkStart w:id="1449" w:name="_Toc312677504"/>
      <w:r>
        <w:rPr>
          <w:rFonts w:hint="eastAsia" w:ascii="宋体" w:hAnsi="宋体" w:cs="宋体"/>
          <w:highlight w:val="none"/>
        </w:rPr>
        <w:t>包人提出的合理化建议降低了合同价格或者提高了工程经济效益的奖励的方法和金额为：</w:t>
      </w:r>
      <w:r>
        <w:rPr>
          <w:rFonts w:hint="eastAsia" w:ascii="宋体" w:hAnsi="宋体" w:cs="宋体"/>
          <w:highlight w:val="none"/>
          <w:u w:val="single"/>
        </w:rPr>
        <w:t>/</w:t>
      </w:r>
      <w:r>
        <w:rPr>
          <w:rFonts w:hint="eastAsia" w:ascii="宋体" w:hAnsi="宋体" w:cs="宋体"/>
          <w:highlight w:val="none"/>
        </w:rPr>
        <w:t>。</w:t>
      </w:r>
    </w:p>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14:paraId="021963A7">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w:t>
      </w:r>
      <w:bookmarkStart w:id="1450" w:name="_Toc296503199"/>
      <w:bookmarkStart w:id="1451" w:name="_Toc300934997"/>
      <w:bookmarkStart w:id="1452" w:name="_Toc292559909"/>
      <w:bookmarkStart w:id="1453" w:name="_Toc312678033"/>
      <w:bookmarkStart w:id="1454" w:name="_Toc312677507"/>
      <w:bookmarkStart w:id="1455" w:name="_Toc303539154"/>
      <w:bookmarkStart w:id="1456" w:name="_Toc297120499"/>
      <w:bookmarkStart w:id="1457" w:name="_Toc304295574"/>
      <w:bookmarkStart w:id="1458" w:name="_Toc297123548"/>
      <w:bookmarkStart w:id="1459" w:name="_Toc296944538"/>
      <w:bookmarkStart w:id="1460" w:name="_Toc296346700"/>
      <w:bookmarkStart w:id="1461" w:name="_Toc296891027"/>
      <w:bookmarkStart w:id="1462" w:name="_Toc296891239"/>
      <w:bookmarkStart w:id="1463" w:name="_Toc292559404"/>
      <w:bookmarkStart w:id="1464" w:name="_Toc296347198"/>
      <w:bookmarkStart w:id="1465" w:name="_Toc297048385"/>
      <w:bookmarkStart w:id="1466" w:name="_Toc297216207"/>
      <w:r>
        <w:rPr>
          <w:rFonts w:hint="eastAsia" w:ascii="宋体" w:hAnsi="宋体" w:cs="宋体"/>
          <w:b w:val="0"/>
          <w:bCs w:val="0"/>
          <w:color w:val="000000"/>
          <w:sz w:val="21"/>
          <w:szCs w:val="21"/>
          <w:highlight w:val="none"/>
        </w:rPr>
        <w:t>0.7暂估价</w:t>
      </w:r>
    </w:p>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14:paraId="489BFA1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kern w:val="0"/>
          <w:highlight w:val="none"/>
        </w:rPr>
        <w:t>暂</w:t>
      </w:r>
      <w:bookmarkStart w:id="1467" w:name="_Toc312677508"/>
      <w:bookmarkStart w:id="1468" w:name="_Toc318581176"/>
      <w:bookmarkStart w:id="1469" w:name="_Toc312678034"/>
      <w:r>
        <w:rPr>
          <w:rFonts w:hint="eastAsia" w:ascii="宋体" w:hAnsi="宋体" w:cs="宋体"/>
          <w:kern w:val="0"/>
          <w:highlight w:val="none"/>
        </w:rPr>
        <w:t>估价材料和工程设备的明细详见附件</w:t>
      </w:r>
      <w:r>
        <w:rPr>
          <w:rFonts w:hint="eastAsia" w:ascii="宋体" w:hAnsi="宋体" w:cs="宋体"/>
          <w:kern w:val="0"/>
          <w:highlight w:val="none"/>
          <w:lang w:val="en-US" w:eastAsia="zh-CN"/>
        </w:rPr>
        <w:t>10</w:t>
      </w:r>
      <w:r>
        <w:rPr>
          <w:rFonts w:hint="eastAsia" w:ascii="宋体" w:hAnsi="宋体" w:cs="宋体"/>
          <w:kern w:val="0"/>
          <w:highlight w:val="none"/>
        </w:rPr>
        <w:t>：《</w:t>
      </w:r>
      <w:r>
        <w:rPr>
          <w:rFonts w:hint="eastAsia" w:ascii="宋体" w:hAnsi="宋体" w:cs="宋体"/>
          <w:color w:val="000000"/>
          <w:highlight w:val="none"/>
        </w:rPr>
        <w:t>暂估价一览表》</w:t>
      </w:r>
      <w:r>
        <w:rPr>
          <w:rFonts w:hint="eastAsia" w:ascii="宋体" w:hAnsi="宋体" w:cs="宋体"/>
          <w:kern w:val="0"/>
          <w:highlight w:val="none"/>
        </w:rPr>
        <w:t>。</w:t>
      </w:r>
    </w:p>
    <w:bookmarkEnd w:id="1467"/>
    <w:bookmarkEnd w:id="1468"/>
    <w:bookmarkEnd w:id="1469"/>
    <w:p w14:paraId="393313B8">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1</w:t>
      </w:r>
      <w:bookmarkStart w:id="1470" w:name="_Toc312677509"/>
      <w:bookmarkStart w:id="1471" w:name="_Toc318581177"/>
      <w:bookmarkStart w:id="1472" w:name="_Toc312678035"/>
      <w:r>
        <w:rPr>
          <w:rFonts w:hint="eastAsia" w:ascii="宋体" w:hAnsi="宋体" w:cs="宋体"/>
          <w:highlight w:val="none"/>
        </w:rPr>
        <w:t>0.7.1 依法必须</w:t>
      </w:r>
      <w:r>
        <w:rPr>
          <w:rFonts w:hint="eastAsia" w:ascii="宋体" w:hAnsi="宋体" w:cs="宋体"/>
          <w:highlight w:val="none"/>
          <w:lang w:eastAsia="zh-CN"/>
        </w:rPr>
        <w:t>招标</w:t>
      </w:r>
      <w:r>
        <w:rPr>
          <w:rFonts w:hint="eastAsia" w:ascii="宋体" w:hAnsi="宋体" w:cs="宋体"/>
          <w:highlight w:val="none"/>
        </w:rPr>
        <w:t>的暂估价项目</w:t>
      </w:r>
    </w:p>
    <w:bookmarkEnd w:id="1470"/>
    <w:bookmarkEnd w:id="1471"/>
    <w:bookmarkEnd w:id="1472"/>
    <w:p w14:paraId="5121C1D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对于依法必须</w:t>
      </w:r>
      <w:r>
        <w:rPr>
          <w:rFonts w:hint="eastAsia" w:ascii="宋体" w:hAnsi="宋体" w:cs="宋体"/>
          <w:highlight w:val="none"/>
          <w:lang w:eastAsia="zh-CN"/>
        </w:rPr>
        <w:t>招标</w:t>
      </w:r>
      <w:r>
        <w:rPr>
          <w:rFonts w:hint="eastAsia" w:ascii="宋体" w:hAnsi="宋体" w:cs="宋体"/>
          <w:highlight w:val="none"/>
        </w:rPr>
        <w:t>的暂估价项目的确认和批准采取第</w:t>
      </w:r>
      <w:r>
        <w:rPr>
          <w:rFonts w:hint="eastAsia" w:ascii="宋体" w:hAnsi="宋体" w:cs="宋体"/>
          <w:highlight w:val="none"/>
          <w:u w:val="single"/>
        </w:rPr>
        <w:t xml:space="preserve"> 1 </w:t>
      </w:r>
      <w:r>
        <w:rPr>
          <w:rFonts w:hint="eastAsia" w:ascii="宋体" w:hAnsi="宋体" w:cs="宋体"/>
          <w:highlight w:val="none"/>
        </w:rPr>
        <w:t>种方式确定。</w:t>
      </w:r>
    </w:p>
    <w:p w14:paraId="5B4BFDDD">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10.7.2 不属于依法必须</w:t>
      </w:r>
      <w:r>
        <w:rPr>
          <w:rFonts w:hint="eastAsia" w:ascii="宋体" w:hAnsi="宋体" w:cs="宋体"/>
          <w:highlight w:val="none"/>
          <w:lang w:eastAsia="zh-CN"/>
        </w:rPr>
        <w:t>招标</w:t>
      </w:r>
      <w:r>
        <w:rPr>
          <w:rFonts w:hint="eastAsia" w:ascii="宋体" w:hAnsi="宋体" w:cs="宋体"/>
          <w:highlight w:val="none"/>
        </w:rPr>
        <w:t>的暂估价项目</w:t>
      </w:r>
    </w:p>
    <w:p w14:paraId="7095260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对于不属于依法必须</w:t>
      </w:r>
      <w:r>
        <w:rPr>
          <w:rFonts w:hint="eastAsia" w:ascii="宋体" w:hAnsi="宋体" w:cs="宋体"/>
          <w:highlight w:val="none"/>
          <w:lang w:eastAsia="zh-CN"/>
        </w:rPr>
        <w:t>招标</w:t>
      </w:r>
      <w:r>
        <w:rPr>
          <w:rFonts w:hint="eastAsia" w:ascii="宋体" w:hAnsi="宋体" w:cs="宋体"/>
          <w:highlight w:val="none"/>
        </w:rPr>
        <w:t>的暂估价项目的确认和批准采取第</w:t>
      </w:r>
      <w:r>
        <w:rPr>
          <w:rFonts w:hint="eastAsia" w:ascii="宋体" w:hAnsi="宋体" w:cs="宋体"/>
          <w:highlight w:val="none"/>
          <w:u w:val="single"/>
        </w:rPr>
        <w:t xml:space="preserve"> 2 </w:t>
      </w:r>
      <w:r>
        <w:rPr>
          <w:rFonts w:hint="eastAsia" w:ascii="宋体" w:hAnsi="宋体" w:cs="宋体"/>
          <w:highlight w:val="none"/>
        </w:rPr>
        <w:t>种方式确定。</w:t>
      </w:r>
    </w:p>
    <w:p w14:paraId="5C0EF089">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10.8暂列金额</w:t>
      </w:r>
    </w:p>
    <w:p w14:paraId="598B2FB8">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合同当事人关于暂列金额使用的约定：</w:t>
      </w:r>
    </w:p>
    <w:p w14:paraId="590D4F16">
      <w:pPr>
        <w:pageBreakBefore w:val="0"/>
        <w:widowControl w:val="0"/>
        <w:kinsoku/>
        <w:wordWrap/>
        <w:overflowPunct/>
        <w:topLinePunct w:val="0"/>
        <w:autoSpaceDE w:val="0"/>
        <w:autoSpaceDN w:val="0"/>
        <w:bidi w:val="0"/>
        <w:adjustRightInd/>
        <w:snapToGrid w:val="0"/>
        <w:spacing w:line="360" w:lineRule="auto"/>
        <w:ind w:right="0" w:rightChars="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暂列金额主要用于可能产生的工程量变更和补充等。暂列金额待中标的施工单位进场摸清情况后，编制出实施方案及预算，并按</w:t>
      </w:r>
      <w:r>
        <w:rPr>
          <w:rFonts w:hint="eastAsia" w:ascii="宋体" w:hAnsi="宋体" w:cs="宋体"/>
          <w:color w:val="000000"/>
          <w:kern w:val="0"/>
          <w:highlight w:val="none"/>
          <w:u w:val="single"/>
          <w:lang w:val="en-US" w:eastAsia="zh-CN"/>
        </w:rPr>
        <w:t>相关要求</w:t>
      </w:r>
      <w:r>
        <w:rPr>
          <w:rFonts w:hint="eastAsia" w:ascii="宋体" w:hAnsi="宋体" w:cs="宋体"/>
          <w:color w:val="000000"/>
          <w:kern w:val="0"/>
          <w:highlight w:val="none"/>
          <w:u w:val="single"/>
        </w:rPr>
        <w:t>履行报批程序后方可使用。此费用按实际发生确定全部使用、部分使用或不使用。暂列金不计入工程款付款的基数</w:t>
      </w:r>
      <w:r>
        <w:rPr>
          <w:rFonts w:hint="eastAsia" w:ascii="宋体" w:hAnsi="宋体" w:cs="宋体"/>
          <w:color w:val="000000"/>
          <w:kern w:val="0"/>
          <w:highlight w:val="none"/>
        </w:rPr>
        <w:t>。</w:t>
      </w:r>
    </w:p>
    <w:p w14:paraId="15B83542">
      <w:pPr>
        <w:pStyle w:val="5"/>
        <w:pageBreakBefore w:val="0"/>
        <w:widowControl w:val="0"/>
        <w:kinsoku/>
        <w:wordWrap/>
        <w:overflowPunct/>
        <w:topLinePunct w:val="0"/>
        <w:bidi w:val="0"/>
        <w:adjustRightInd/>
        <w:snapToGrid w:val="0"/>
        <w:spacing w:line="360" w:lineRule="auto"/>
        <w:ind w:right="0" w:rightChars="0"/>
        <w:textAlignment w:val="auto"/>
        <w:rPr>
          <w:rFonts w:ascii="宋体" w:hAnsi="宋体" w:cs="宋体"/>
          <w:bCs w:val="0"/>
          <w:color w:val="000000"/>
          <w:sz w:val="24"/>
          <w:szCs w:val="24"/>
          <w:highlight w:val="none"/>
        </w:rPr>
      </w:pPr>
      <w:bookmarkStart w:id="1473" w:name="_Toc351203643"/>
      <w:bookmarkStart w:id="1474" w:name="_Toc17785"/>
      <w:bookmarkStart w:id="1475" w:name="_Toc18228"/>
      <w:bookmarkStart w:id="1476" w:name="_Toc69909975"/>
      <w:r>
        <w:rPr>
          <w:rFonts w:hint="eastAsia" w:ascii="宋体" w:hAnsi="宋体" w:cs="宋体"/>
          <w:bCs w:val="0"/>
          <w:color w:val="000000"/>
          <w:sz w:val="24"/>
          <w:szCs w:val="24"/>
          <w:highlight w:val="none"/>
        </w:rPr>
        <w:t>11. 价格调整</w:t>
      </w:r>
      <w:bookmarkEnd w:id="1473"/>
      <w:bookmarkEnd w:id="1474"/>
      <w:bookmarkEnd w:id="1475"/>
      <w:bookmarkEnd w:id="1476"/>
    </w:p>
    <w:p w14:paraId="4C163166">
      <w:pPr>
        <w:pStyle w:val="6"/>
        <w:pageBreakBefore w:val="0"/>
        <w:widowControl w:val="0"/>
        <w:kinsoku/>
        <w:wordWrap/>
        <w:overflowPunct/>
        <w:topLinePunct w:val="0"/>
        <w:bidi w:val="0"/>
        <w:adjustRightInd/>
        <w:snapToGrid w:val="0"/>
        <w:spacing w:before="0" w:after="0" w:line="360" w:lineRule="auto"/>
        <w:ind w:right="0" w:rightChars="0" w:firstLine="420" w:firstLineChars="200"/>
        <w:textAlignment w:val="auto"/>
        <w:rPr>
          <w:rFonts w:ascii="宋体" w:hAnsi="宋体" w:cs="宋体"/>
          <w:b w:val="0"/>
          <w:bCs w:val="0"/>
          <w:color w:val="000000"/>
          <w:sz w:val="21"/>
          <w:szCs w:val="21"/>
          <w:highlight w:val="none"/>
        </w:rPr>
      </w:pPr>
      <w:bookmarkStart w:id="1477" w:name="_Toc297120501"/>
      <w:bookmarkStart w:id="1478" w:name="_Toc296346702"/>
      <w:bookmarkStart w:id="1479" w:name="_Toc297123550"/>
      <w:bookmarkStart w:id="1480" w:name="_Toc304295577"/>
      <w:bookmarkStart w:id="1481" w:name="_Toc296503201"/>
      <w:bookmarkStart w:id="1482" w:name="_Toc296944540"/>
      <w:bookmarkStart w:id="1483" w:name="_Toc300935000"/>
      <w:bookmarkStart w:id="1484" w:name="_Toc303539157"/>
      <w:bookmarkStart w:id="1485" w:name="_Toc292559406"/>
      <w:bookmarkStart w:id="1486" w:name="_Toc292559911"/>
      <w:bookmarkStart w:id="1487" w:name="_Toc312678039"/>
      <w:bookmarkStart w:id="1488" w:name="_Toc296891029"/>
      <w:bookmarkStart w:id="1489" w:name="_Toc297048387"/>
      <w:bookmarkStart w:id="1490" w:name="_Toc297216209"/>
      <w:bookmarkStart w:id="1491" w:name="_Toc296891241"/>
      <w:bookmarkStart w:id="1492" w:name="_Toc296347200"/>
      <w:r>
        <w:rPr>
          <w:rFonts w:hint="eastAsia" w:ascii="宋体" w:hAnsi="宋体" w:cs="宋体"/>
          <w:b w:val="0"/>
          <w:bCs w:val="0"/>
          <w:color w:val="000000"/>
          <w:sz w:val="21"/>
          <w:szCs w:val="21"/>
          <w:highlight w:val="none"/>
        </w:rPr>
        <w:t>11.1市场价格波动引起的调整</w:t>
      </w:r>
    </w:p>
    <w:bookmarkEnd w:id="1377"/>
    <w:bookmarkEnd w:id="1378"/>
    <w:bookmarkEnd w:id="1379"/>
    <w:bookmarkEnd w:id="1380"/>
    <w:bookmarkEnd w:id="1381"/>
    <w:bookmarkEnd w:id="1382"/>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14:paraId="22CA62C2">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u w:val="single"/>
        </w:rPr>
      </w:pPr>
      <w:bookmarkStart w:id="1493" w:name="_Toc296347204"/>
      <w:bookmarkStart w:id="1494" w:name="_Toc297048391"/>
      <w:bookmarkStart w:id="1495" w:name="_Toc292559915"/>
      <w:bookmarkStart w:id="1496" w:name="_Toc296944544"/>
      <w:bookmarkStart w:id="1497" w:name="_Toc297120505"/>
      <w:bookmarkStart w:id="1498" w:name="_Toc296891033"/>
      <w:bookmarkStart w:id="1499" w:name="_Toc296346706"/>
      <w:bookmarkStart w:id="1500" w:name="_Toc296503205"/>
      <w:bookmarkStart w:id="1501" w:name="_Toc296891245"/>
      <w:bookmarkStart w:id="1502" w:name="_Toc292559410"/>
      <w:bookmarkStart w:id="1503" w:name="_Toc1460"/>
      <w:bookmarkStart w:id="1504" w:name="_Toc351203644"/>
      <w:bookmarkStart w:id="1505" w:name="_Toc16198"/>
      <w:bookmarkStart w:id="1506" w:name="_Toc69909976"/>
      <w:bookmarkStart w:id="1507" w:name="_Toc297123552"/>
      <w:bookmarkStart w:id="1508" w:name="_Toc300935002"/>
      <w:bookmarkStart w:id="1509" w:name="_Toc304295579"/>
      <w:bookmarkStart w:id="1510" w:name="_Toc297216211"/>
      <w:bookmarkStart w:id="1511" w:name="_Toc303539159"/>
      <w:bookmarkStart w:id="1512" w:name="_Toc312678040"/>
      <w:r>
        <w:rPr>
          <w:rFonts w:hint="eastAsia" w:ascii="宋体" w:hAnsi="宋体" w:cs="宋体"/>
          <w:color w:val="000000"/>
          <w:highlight w:val="none"/>
        </w:rPr>
        <w:t>市场价格波动是否调整合同价格的约定：</w:t>
      </w:r>
      <w:r>
        <w:rPr>
          <w:rFonts w:hint="eastAsia" w:ascii="宋体" w:hAnsi="宋体" w:cs="宋体"/>
          <w:color w:val="000000"/>
          <w:highlight w:val="none"/>
          <w:u w:val="single"/>
        </w:rPr>
        <w:t xml:space="preserve"> </w:t>
      </w:r>
      <w:r>
        <w:rPr>
          <w:rFonts w:hint="eastAsia" w:ascii="宋体" w:hAnsi="宋体" w:eastAsia="宋体" w:cs="宋体"/>
          <w:color w:val="000000"/>
          <w:szCs w:val="21"/>
          <w:highlight w:val="none"/>
          <w:u w:val="single"/>
        </w:rPr>
        <w:t>本项目所有人工及材料</w:t>
      </w:r>
      <w:r>
        <w:rPr>
          <w:rFonts w:hint="eastAsia" w:ascii="宋体" w:hAnsi="宋体" w:eastAsia="宋体" w:cs="宋体"/>
          <w:color w:val="000000"/>
          <w:szCs w:val="21"/>
          <w:highlight w:val="none"/>
          <w:u w:val="single"/>
          <w:lang w:eastAsia="zh-CN"/>
        </w:rPr>
        <w:t>、苗木</w:t>
      </w:r>
      <w:r>
        <w:rPr>
          <w:rFonts w:hint="eastAsia" w:ascii="宋体" w:hAnsi="宋体" w:eastAsia="宋体" w:cs="宋体"/>
          <w:color w:val="000000"/>
          <w:szCs w:val="21"/>
          <w:highlight w:val="none"/>
          <w:u w:val="single"/>
        </w:rPr>
        <w:t>的价格不因市场的波动而进行调整</w:t>
      </w:r>
      <w:r>
        <w:rPr>
          <w:rFonts w:hint="eastAsia" w:ascii="宋体" w:hAnsi="宋体" w:cs="宋体"/>
          <w:color w:val="000000"/>
          <w:highlight w:val="none"/>
          <w:u w:val="single"/>
          <w:lang w:eastAsia="zh-CN"/>
        </w:rPr>
        <w:t>。</w:t>
      </w:r>
    </w:p>
    <w:p w14:paraId="3DBF547A">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r>
        <w:rPr>
          <w:rFonts w:hint="eastAsia" w:ascii="宋体" w:hAnsi="宋体" w:cs="宋体"/>
          <w:bCs w:val="0"/>
          <w:color w:val="000000"/>
          <w:sz w:val="24"/>
          <w:szCs w:val="24"/>
          <w:highlight w:val="none"/>
        </w:rPr>
        <w:t xml:space="preserve">12. </w:t>
      </w:r>
      <w:bookmarkEnd w:id="1493"/>
      <w:bookmarkEnd w:id="1494"/>
      <w:bookmarkEnd w:id="1495"/>
      <w:bookmarkEnd w:id="1496"/>
      <w:bookmarkEnd w:id="1497"/>
      <w:bookmarkEnd w:id="1498"/>
      <w:bookmarkEnd w:id="1499"/>
      <w:bookmarkEnd w:id="1500"/>
      <w:bookmarkEnd w:id="1501"/>
      <w:bookmarkEnd w:id="1502"/>
      <w:r>
        <w:rPr>
          <w:rFonts w:hint="eastAsia" w:ascii="宋体" w:hAnsi="宋体" w:cs="宋体"/>
          <w:bCs w:val="0"/>
          <w:color w:val="000000"/>
          <w:sz w:val="24"/>
          <w:szCs w:val="24"/>
          <w:highlight w:val="none"/>
        </w:rPr>
        <w:t>合同价格、计量与支付</w:t>
      </w:r>
      <w:bookmarkEnd w:id="1503"/>
      <w:bookmarkEnd w:id="1504"/>
      <w:bookmarkEnd w:id="1505"/>
      <w:bookmarkEnd w:id="1506"/>
    </w:p>
    <w:bookmarkEnd w:id="1507"/>
    <w:bookmarkEnd w:id="1508"/>
    <w:bookmarkEnd w:id="1509"/>
    <w:bookmarkEnd w:id="1510"/>
    <w:bookmarkEnd w:id="1511"/>
    <w:bookmarkEnd w:id="1512"/>
    <w:p w14:paraId="2020F460">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kern w:val="0"/>
          <w:szCs w:val="21"/>
          <w:highlight w:val="none"/>
        </w:rPr>
      </w:pPr>
      <w:bookmarkStart w:id="1513" w:name="_Toc292559916"/>
      <w:bookmarkStart w:id="1514" w:name="_Toc292559411"/>
      <w:bookmarkStart w:id="1515" w:name="_Toc267251461"/>
      <w:bookmarkStart w:id="1516" w:name="_Toc296944545"/>
      <w:bookmarkStart w:id="1517" w:name="_Toc297048392"/>
      <w:bookmarkStart w:id="1518" w:name="_Toc296891034"/>
      <w:bookmarkStart w:id="1519" w:name="_Toc297120506"/>
      <w:bookmarkStart w:id="1520" w:name="_Toc296503206"/>
      <w:bookmarkStart w:id="1521" w:name="_Toc296347205"/>
      <w:bookmarkStart w:id="1522" w:name="_Toc296891246"/>
      <w:bookmarkStart w:id="1523" w:name="_Toc296346707"/>
      <w:bookmarkStart w:id="1524" w:name="_Toc297123553"/>
      <w:bookmarkStart w:id="1525" w:name="_Toc300935003"/>
      <w:bookmarkStart w:id="1526" w:name="_Toc312678041"/>
      <w:bookmarkStart w:id="1527" w:name="_Toc303539160"/>
      <w:bookmarkStart w:id="1528" w:name="_Toc297216212"/>
      <w:bookmarkStart w:id="1529" w:name="_Toc304295580"/>
      <w:r>
        <w:rPr>
          <w:rFonts w:hint="eastAsia" w:ascii="宋体" w:hAnsi="宋体" w:cs="宋体"/>
          <w:kern w:val="0"/>
          <w:szCs w:val="21"/>
          <w:highlight w:val="none"/>
        </w:rPr>
        <w:t>12.1合</w:t>
      </w:r>
      <w:bookmarkEnd w:id="1513"/>
      <w:bookmarkEnd w:id="1514"/>
      <w:bookmarkEnd w:id="1515"/>
      <w:r>
        <w:rPr>
          <w:rFonts w:hint="eastAsia" w:ascii="宋体" w:hAnsi="宋体" w:cs="宋体"/>
          <w:kern w:val="0"/>
          <w:szCs w:val="21"/>
          <w:highlight w:val="none"/>
        </w:rPr>
        <w:t>同价</w:t>
      </w:r>
      <w:bookmarkEnd w:id="1516"/>
      <w:bookmarkEnd w:id="1517"/>
      <w:bookmarkEnd w:id="1518"/>
      <w:bookmarkEnd w:id="1519"/>
      <w:bookmarkEnd w:id="1520"/>
      <w:bookmarkEnd w:id="1521"/>
      <w:bookmarkEnd w:id="1522"/>
      <w:bookmarkEnd w:id="1523"/>
      <w:r>
        <w:rPr>
          <w:rFonts w:hint="eastAsia" w:ascii="宋体" w:hAnsi="宋体" w:cs="宋体"/>
          <w:kern w:val="0"/>
          <w:szCs w:val="21"/>
          <w:highlight w:val="none"/>
        </w:rPr>
        <w:t>格形式</w:t>
      </w:r>
      <w:bookmarkEnd w:id="1524"/>
      <w:bookmarkEnd w:id="1525"/>
      <w:bookmarkEnd w:id="1526"/>
      <w:bookmarkEnd w:id="1527"/>
      <w:bookmarkEnd w:id="1528"/>
      <w:bookmarkEnd w:id="1529"/>
      <w:r>
        <w:rPr>
          <w:rFonts w:hint="eastAsia" w:ascii="宋体" w:hAnsi="宋体" w:cs="宋体"/>
          <w:kern w:val="0"/>
          <w:szCs w:val="21"/>
          <w:highlight w:val="none"/>
          <w:lang w:eastAsia="zh-CN"/>
        </w:rPr>
        <w:t>：</w:t>
      </w:r>
      <w:r>
        <w:rPr>
          <w:rFonts w:hint="eastAsia" w:ascii="宋体" w:hAnsi="宋体" w:cs="宋体"/>
          <w:kern w:val="0"/>
          <w:szCs w:val="21"/>
          <w:highlight w:val="none"/>
          <w:u w:val="single"/>
          <w:lang w:val="en-US" w:eastAsia="zh-CN"/>
        </w:rPr>
        <w:t>固定</w:t>
      </w:r>
      <w:r>
        <w:rPr>
          <w:rFonts w:hint="eastAsia" w:ascii="宋体" w:hAnsi="宋体" w:cs="宋体"/>
          <w:kern w:val="0"/>
          <w:szCs w:val="21"/>
          <w:highlight w:val="none"/>
          <w:u w:val="single"/>
        </w:rPr>
        <w:t>单价合同</w:t>
      </w:r>
      <w:r>
        <w:rPr>
          <w:rFonts w:hint="eastAsia" w:ascii="宋体" w:hAnsi="宋体" w:cs="宋体"/>
          <w:kern w:val="0"/>
          <w:szCs w:val="21"/>
          <w:highlight w:val="none"/>
        </w:rPr>
        <w:t>。</w:t>
      </w:r>
    </w:p>
    <w:p w14:paraId="13EED7BA">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kern w:val="0"/>
          <w:szCs w:val="21"/>
          <w:highlight w:val="none"/>
        </w:rPr>
      </w:pPr>
      <w:r>
        <w:rPr>
          <w:rFonts w:hint="eastAsia" w:ascii="宋体" w:hAnsi="宋体" w:cs="宋体"/>
          <w:kern w:val="0"/>
          <w:szCs w:val="21"/>
          <w:highlight w:val="none"/>
        </w:rPr>
        <w:t>综合单价包含的风险范围：/。</w:t>
      </w:r>
    </w:p>
    <w:p w14:paraId="539CA088">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kern w:val="0"/>
          <w:szCs w:val="21"/>
          <w:highlight w:val="none"/>
        </w:rPr>
      </w:pPr>
      <w:r>
        <w:rPr>
          <w:rFonts w:hint="eastAsia" w:ascii="宋体" w:hAnsi="宋体" w:cs="宋体"/>
          <w:kern w:val="0"/>
          <w:szCs w:val="21"/>
          <w:highlight w:val="none"/>
        </w:rPr>
        <w:t>风险费用的计算方法：/。</w:t>
      </w:r>
    </w:p>
    <w:p w14:paraId="4DB0611E">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s="宋体"/>
          <w:kern w:val="0"/>
          <w:szCs w:val="21"/>
          <w:highlight w:val="none"/>
        </w:rPr>
      </w:pPr>
      <w:r>
        <w:rPr>
          <w:rFonts w:hint="eastAsia" w:ascii="宋体" w:hAnsi="宋体" w:cs="宋体"/>
          <w:kern w:val="0"/>
          <w:szCs w:val="21"/>
          <w:highlight w:val="none"/>
        </w:rPr>
        <w:t>风险范围以外合同价格的调整方法：同第10条。</w:t>
      </w:r>
    </w:p>
    <w:p w14:paraId="5C5099CC">
      <w:pPr>
        <w:pageBreakBefore w:val="0"/>
        <w:widowControl w:val="0"/>
        <w:kinsoku/>
        <w:wordWrap/>
        <w:overflowPunct/>
        <w:topLinePunct w:val="0"/>
        <w:bidi w:val="0"/>
        <w:adjustRightInd/>
        <w:snapToGrid w:val="0"/>
        <w:spacing w:line="360" w:lineRule="auto"/>
        <w:ind w:right="-426" w:rightChars="-203" w:firstLine="420" w:firstLineChars="200"/>
        <w:textAlignment w:val="auto"/>
        <w:rPr>
          <w:rFonts w:hint="eastAsia" w:ascii="宋体" w:hAnsi="宋体" w:cs="宋体"/>
          <w:highlight w:val="none"/>
        </w:rPr>
      </w:pPr>
      <w:r>
        <w:rPr>
          <w:rFonts w:hint="eastAsia" w:ascii="宋体" w:hAnsi="宋体" w:cs="宋体"/>
          <w:highlight w:val="none"/>
        </w:rPr>
        <w:t>12.2 预付款</w:t>
      </w:r>
    </w:p>
    <w:bookmarkEnd w:id="1383"/>
    <w:p w14:paraId="1485B8ED">
      <w:pPr>
        <w:pageBreakBefore w:val="0"/>
        <w:widowControl w:val="0"/>
        <w:kinsoku/>
        <w:wordWrap/>
        <w:overflowPunct/>
        <w:topLinePunct w:val="0"/>
        <w:bidi w:val="0"/>
        <w:adjustRightInd/>
        <w:snapToGrid w:val="0"/>
        <w:spacing w:line="360" w:lineRule="auto"/>
        <w:ind w:right="-420" w:rightChars="-200" w:firstLine="420" w:firstLineChars="200"/>
        <w:jc w:val="left"/>
        <w:textAlignment w:val="auto"/>
        <w:rPr>
          <w:rFonts w:hint="eastAsia" w:ascii="宋体" w:hAnsi="宋体" w:cs="宋体"/>
          <w:color w:val="auto"/>
          <w:szCs w:val="21"/>
          <w:highlight w:val="none"/>
        </w:rPr>
      </w:pPr>
      <w:bookmarkStart w:id="1530" w:name="_Toc15777"/>
      <w:bookmarkStart w:id="1531" w:name="_Toc69909977"/>
      <w:bookmarkStart w:id="1532" w:name="_Toc14586"/>
      <w:bookmarkStart w:id="1533" w:name="_Toc351203645"/>
      <w:bookmarkStart w:id="1534" w:name="_Toc296944558"/>
      <w:bookmarkStart w:id="1535" w:name="_Toc292559929"/>
      <w:bookmarkStart w:id="1536" w:name="_Toc297048405"/>
      <w:bookmarkStart w:id="1537" w:name="_Toc312678053"/>
      <w:bookmarkStart w:id="1538" w:name="_Toc296346720"/>
      <w:bookmarkStart w:id="1539" w:name="_Toc296891047"/>
      <w:bookmarkStart w:id="1540" w:name="_Toc297120519"/>
      <w:bookmarkStart w:id="1541" w:name="_Toc296347218"/>
      <w:bookmarkStart w:id="1542" w:name="_Toc303539172"/>
      <w:bookmarkStart w:id="1543" w:name="_Toc300935015"/>
      <w:bookmarkStart w:id="1544" w:name="_Toc296503219"/>
      <w:bookmarkStart w:id="1545" w:name="_Toc297216223"/>
      <w:bookmarkStart w:id="1546" w:name="_Toc297123564"/>
      <w:bookmarkStart w:id="1547" w:name="_Toc296891259"/>
      <w:bookmarkStart w:id="1548" w:name="_Toc304295593"/>
      <w:bookmarkStart w:id="1549" w:name="_Toc292559424"/>
      <w:r>
        <w:rPr>
          <w:rFonts w:hint="eastAsia" w:ascii="宋体" w:hAnsi="宋体" w:cs="宋体"/>
          <w:color w:val="auto"/>
          <w:szCs w:val="21"/>
          <w:highlight w:val="none"/>
        </w:rPr>
        <w:t>预付款支付比例或金额：</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rPr>
        <w:t>。</w:t>
      </w:r>
    </w:p>
    <w:p w14:paraId="0C0AC814">
      <w:pPr>
        <w:pageBreakBefore w:val="0"/>
        <w:widowControl w:val="0"/>
        <w:kinsoku/>
        <w:wordWrap/>
        <w:overflowPunct/>
        <w:topLinePunct w:val="0"/>
        <w:bidi w:val="0"/>
        <w:adjustRightInd/>
        <w:snapToGrid w:val="0"/>
        <w:spacing w:line="360" w:lineRule="auto"/>
        <w:ind w:right="-420" w:rightChars="-20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预付款支付期限：</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rPr>
        <w:t>。</w:t>
      </w:r>
    </w:p>
    <w:p w14:paraId="7FCEAA52">
      <w:pPr>
        <w:pageBreakBefore w:val="0"/>
        <w:widowControl w:val="0"/>
        <w:kinsoku/>
        <w:wordWrap/>
        <w:overflowPunct/>
        <w:topLinePunct w:val="0"/>
        <w:bidi w:val="0"/>
        <w:adjustRightInd/>
        <w:snapToGrid w:val="0"/>
        <w:spacing w:line="360" w:lineRule="auto"/>
        <w:ind w:right="-420" w:rightChars="-200"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预付款扣回的方式：</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w:t>
      </w:r>
    </w:p>
    <w:p w14:paraId="0081A00F">
      <w:pPr>
        <w:pageBreakBefore w:val="0"/>
        <w:widowControl w:val="0"/>
        <w:kinsoku/>
        <w:wordWrap/>
        <w:overflowPunct/>
        <w:topLinePunct w:val="0"/>
        <w:bidi w:val="0"/>
        <w:adjustRightInd/>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12.2.2 预付款担保</w:t>
      </w:r>
    </w:p>
    <w:p w14:paraId="47644439">
      <w:pPr>
        <w:pageBreakBefore w:val="0"/>
        <w:widowControl w:val="0"/>
        <w:kinsoku/>
        <w:wordWrap/>
        <w:overflowPunct/>
        <w:topLinePunct w:val="0"/>
        <w:bidi w:val="0"/>
        <w:adjustRightInd/>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承包人提交预付款担保的期限：</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rPr>
        <w:t>。</w:t>
      </w:r>
    </w:p>
    <w:p w14:paraId="7D795AC8">
      <w:pPr>
        <w:pageBreakBefore w:val="0"/>
        <w:widowControl w:val="0"/>
        <w:kinsoku/>
        <w:wordWrap/>
        <w:overflowPunct/>
        <w:topLinePunct w:val="0"/>
        <w:bidi w:val="0"/>
        <w:adjustRightInd/>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预付款担保的形式为：</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rPr>
        <w:t>。</w:t>
      </w:r>
    </w:p>
    <w:p w14:paraId="1019B890">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12.4工程进度款支付</w:t>
      </w:r>
    </w:p>
    <w:p w14:paraId="1F56BC74">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12.4.1 付款周期</w:t>
      </w:r>
    </w:p>
    <w:p w14:paraId="75896C95">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hint="eastAsia" w:ascii="宋体" w:hAnsi="宋体" w:cs="宋体"/>
          <w:highlight w:val="none"/>
          <w:u w:val="single"/>
          <w:lang w:val="en-US" w:eastAsia="zh-CN"/>
        </w:rPr>
      </w:pPr>
      <w:r>
        <w:rPr>
          <w:rFonts w:hint="eastAsia" w:ascii="宋体" w:hAnsi="宋体" w:cs="宋体"/>
          <w:highlight w:val="none"/>
          <w:u w:val="single"/>
          <w:lang w:eastAsia="zh-CN"/>
        </w:rPr>
        <w:t>（</w:t>
      </w:r>
      <w:r>
        <w:rPr>
          <w:rFonts w:hint="eastAsia" w:ascii="宋体" w:hAnsi="宋体" w:cs="宋体"/>
          <w:highlight w:val="none"/>
          <w:u w:val="single"/>
          <w:lang w:val="en-US" w:eastAsia="zh-CN"/>
        </w:rPr>
        <w:t>1）合同签订后，发包人向承包人支付合同总价（扣除暂列金）的10%；</w:t>
      </w:r>
    </w:p>
    <w:p w14:paraId="25F7B737">
      <w:pPr>
        <w:pageBreakBefore w:val="0"/>
        <w:widowControl w:val="0"/>
        <w:kinsoku/>
        <w:wordWrap/>
        <w:overflowPunct/>
        <w:topLinePunct w:val="0"/>
        <w:bidi w:val="0"/>
        <w:adjustRightInd/>
        <w:snapToGrid w:val="0"/>
        <w:spacing w:line="360" w:lineRule="auto"/>
        <w:ind w:right="0" w:rightChars="0" w:firstLine="420" w:firstLineChars="200"/>
        <w:textAlignment w:val="auto"/>
        <w:rPr>
          <w:rFonts w:hint="default" w:ascii="宋体" w:hAnsi="宋体" w:eastAsia="宋体" w:cs="宋体"/>
          <w:strike w:val="0"/>
          <w:dstrike w:val="0"/>
          <w:highlight w:val="none"/>
          <w:u w:val="single"/>
          <w:lang w:val="en-US" w:eastAsia="zh-CN"/>
        </w:rPr>
      </w:pPr>
      <w:r>
        <w:rPr>
          <w:rFonts w:hint="eastAsia" w:hAnsi="宋体" w:cs="宋体"/>
          <w:highlight w:val="none"/>
          <w:u w:val="single"/>
          <w:lang w:val="en-US" w:eastAsia="zh-CN"/>
        </w:rPr>
        <w:t>（2）工程完工后，支付至</w:t>
      </w:r>
      <w:r>
        <w:rPr>
          <w:rFonts w:hint="eastAsia" w:ascii="宋体" w:hAnsi="宋体" w:cs="宋体"/>
          <w:strike w:val="0"/>
          <w:dstrike w:val="0"/>
          <w:highlight w:val="none"/>
          <w:u w:val="single"/>
        </w:rPr>
        <w:t>经监理人、全过程造价咨询单位及发包人审定的已完成的实体工程的计量价款的</w:t>
      </w:r>
      <w:r>
        <w:rPr>
          <w:rFonts w:hint="eastAsia" w:ascii="宋体" w:hAnsi="宋体" w:cs="宋体"/>
          <w:strike w:val="0"/>
          <w:dstrike w:val="0"/>
          <w:highlight w:val="none"/>
          <w:u w:val="single"/>
          <w:lang w:val="en-US" w:eastAsia="zh-CN"/>
        </w:rPr>
        <w:t>80</w:t>
      </w:r>
      <w:r>
        <w:rPr>
          <w:rFonts w:hint="eastAsia" w:ascii="宋体" w:hAnsi="宋体" w:cs="宋体"/>
          <w:strike w:val="0"/>
          <w:dstrike w:val="0"/>
          <w:highlight w:val="none"/>
          <w:u w:val="single"/>
        </w:rPr>
        <w:t>%</w:t>
      </w:r>
      <w:r>
        <w:rPr>
          <w:rFonts w:hint="eastAsia" w:ascii="宋体" w:hAnsi="宋体" w:cs="宋体"/>
          <w:strike w:val="0"/>
          <w:dstrike w:val="0"/>
          <w:highlight w:val="none"/>
          <w:u w:val="single"/>
          <w:lang w:val="en-US" w:eastAsia="zh-CN"/>
        </w:rPr>
        <w:t>且不超过合同总价的80%；</w:t>
      </w:r>
    </w:p>
    <w:p w14:paraId="6DA403DC">
      <w:pPr>
        <w:pageBreakBefore w:val="0"/>
        <w:widowControl w:val="0"/>
        <w:kinsoku/>
        <w:wordWrap/>
        <w:overflowPunct/>
        <w:topLinePunct w:val="0"/>
        <w:bidi w:val="0"/>
        <w:adjustRightInd/>
        <w:snapToGrid w:val="0"/>
        <w:spacing w:line="360" w:lineRule="auto"/>
        <w:ind w:right="0" w:rightChars="0" w:firstLine="420" w:firstLineChars="200"/>
        <w:textAlignment w:val="auto"/>
        <w:rPr>
          <w:rFonts w:hint="eastAsia" w:ascii="宋体" w:hAnsi="宋体" w:cs="宋体"/>
          <w:highlight w:val="none"/>
          <w:u w:val="single"/>
        </w:rPr>
      </w:pPr>
      <w:r>
        <w:rPr>
          <w:rFonts w:hint="eastAsia" w:ascii="宋体" w:hAnsi="宋体" w:cs="宋体"/>
          <w:highlight w:val="none"/>
          <w:u w:val="single"/>
        </w:rPr>
        <w:t>（</w:t>
      </w:r>
      <w:r>
        <w:rPr>
          <w:rFonts w:hint="eastAsia" w:ascii="宋体" w:hAnsi="宋体" w:cs="宋体"/>
          <w:highlight w:val="none"/>
          <w:u w:val="single"/>
          <w:lang w:val="en-US" w:eastAsia="zh-CN"/>
        </w:rPr>
        <w:t>3</w:t>
      </w:r>
      <w:r>
        <w:rPr>
          <w:rFonts w:hint="eastAsia" w:ascii="宋体" w:hAnsi="宋体" w:cs="宋体"/>
          <w:highlight w:val="none"/>
          <w:u w:val="single"/>
        </w:rPr>
        <w:t>）本工程结算总价最终结果以发包人委托的造价咨询单位审核为准。</w:t>
      </w:r>
    </w:p>
    <w:p w14:paraId="46B9F882">
      <w:pPr>
        <w:pageBreakBefore w:val="0"/>
        <w:widowControl w:val="0"/>
        <w:kinsoku/>
        <w:wordWrap/>
        <w:overflowPunct/>
        <w:topLinePunct w:val="0"/>
        <w:bidi w:val="0"/>
        <w:adjustRightInd/>
        <w:snapToGrid w:val="0"/>
        <w:spacing w:line="360" w:lineRule="auto"/>
        <w:ind w:right="0" w:rightChars="0" w:firstLine="420" w:firstLineChars="200"/>
        <w:textAlignment w:val="auto"/>
        <w:rPr>
          <w:rFonts w:hint="eastAsia" w:ascii="宋体" w:hAnsi="宋体" w:cs="宋体"/>
          <w:highlight w:val="none"/>
          <w:u w:val="single"/>
        </w:rPr>
      </w:pPr>
      <w:r>
        <w:rPr>
          <w:rFonts w:hint="eastAsia" w:ascii="宋体" w:hAnsi="宋体" w:cs="宋体"/>
          <w:highlight w:val="none"/>
          <w:u w:val="single"/>
        </w:rPr>
        <w:t>项目竣工结算完成后，承包人向发包人提供本工程结算价的3%的工程质量保修担保（可采用银行保函，保险公司保险单，现金等形式）,发包人向承包人支付至结算审核价款的100%。</w:t>
      </w:r>
    </w:p>
    <w:p w14:paraId="7D1B9FAD">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u w:val="single"/>
        </w:rPr>
      </w:pPr>
      <w:r>
        <w:rPr>
          <w:rFonts w:hint="eastAsia" w:ascii="宋体" w:hAnsi="宋体" w:cs="宋体"/>
          <w:highlight w:val="none"/>
          <w:u w:val="single"/>
        </w:rPr>
        <w:t>12.4.1.5</w:t>
      </w:r>
      <w:r>
        <w:rPr>
          <w:rFonts w:hint="eastAsia" w:ascii="宋体" w:hAnsi="宋体" w:cs="宋体"/>
          <w:highlight w:val="none"/>
          <w:u w:val="single"/>
          <w:lang w:val="en-US" w:eastAsia="zh-CN"/>
        </w:rPr>
        <w:t xml:space="preserve"> </w:t>
      </w:r>
      <w:r>
        <w:rPr>
          <w:rFonts w:hint="eastAsia" w:ascii="宋体" w:hAnsi="宋体" w:cs="宋体"/>
          <w:highlight w:val="none"/>
          <w:u w:val="single"/>
        </w:rPr>
        <w:t>承包人申请付款的程序须符合发包人的财务规定，并先开具相应金额的符合约定及规定税率的增值税专用发票，每次付款需取得监理人签字认可，否则，发包人有权拒绝付款。</w:t>
      </w:r>
    </w:p>
    <w:p w14:paraId="267093F5">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u w:val="single"/>
        </w:rPr>
      </w:pPr>
      <w:r>
        <w:rPr>
          <w:rFonts w:hint="eastAsia" w:ascii="宋体" w:hAnsi="宋体" w:cs="宋体"/>
          <w:highlight w:val="none"/>
          <w:u w:val="single"/>
        </w:rPr>
        <w:t>12.4.1.6</w:t>
      </w:r>
      <w:r>
        <w:rPr>
          <w:rFonts w:hint="eastAsia" w:ascii="宋体" w:hAnsi="宋体" w:cs="宋体"/>
          <w:highlight w:val="none"/>
          <w:u w:val="single"/>
          <w:lang w:val="en-US" w:eastAsia="zh-CN"/>
        </w:rPr>
        <w:t xml:space="preserve"> </w:t>
      </w:r>
      <w:r>
        <w:rPr>
          <w:rFonts w:hint="eastAsia" w:ascii="宋体" w:hAnsi="宋体" w:cs="宋体"/>
          <w:highlight w:val="none"/>
          <w:u w:val="single"/>
        </w:rPr>
        <w:t>发包人每次付款时，均可直接扣除承包人应承担的违约责任、赔偿责任，及其他应支付给发包人的款项。</w:t>
      </w:r>
    </w:p>
    <w:p w14:paraId="10E5D68D">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u w:val="single"/>
        </w:rPr>
      </w:pPr>
      <w:r>
        <w:rPr>
          <w:rFonts w:hint="eastAsia" w:ascii="宋体" w:hAnsi="宋体" w:cs="宋体"/>
          <w:highlight w:val="none"/>
          <w:u w:val="single"/>
        </w:rPr>
        <w:t>12.4.1.8</w:t>
      </w:r>
      <w:r>
        <w:rPr>
          <w:rFonts w:hint="eastAsia" w:ascii="宋体" w:hAnsi="宋体" w:cs="宋体"/>
          <w:highlight w:val="none"/>
          <w:u w:val="single"/>
          <w:lang w:val="en-US" w:eastAsia="zh-CN"/>
        </w:rPr>
        <w:t xml:space="preserve"> </w:t>
      </w:r>
      <w:r>
        <w:rPr>
          <w:rFonts w:hint="eastAsia" w:ascii="宋体" w:hAnsi="宋体" w:cs="宋体"/>
          <w:highlight w:val="none"/>
          <w:u w:val="single"/>
        </w:rPr>
        <w:t>承包人应分解工程价款中的人工费用，在本项目所在地银行开设农民工工资专用账户，专项用于支付农民工工资。发包人按照南通市建设主管部门规定和轨道交通行业特点，同时参照江苏省其他城市轨道交通工程的相关要求和规定，本项目中人工费占工程造价的比例约定为：原则上不低于10%（具体以发包人相关管理办法要求为准）。发包人按照约定的比例将应付工程款中的人工费单独拨付到承包人开设的农民工工资专用账户，确保专款专用。</w:t>
      </w:r>
    </w:p>
    <w:p w14:paraId="7A34725B">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r>
        <w:rPr>
          <w:rFonts w:hint="eastAsia" w:ascii="宋体" w:hAnsi="宋体" w:cs="宋体"/>
          <w:bCs w:val="0"/>
          <w:color w:val="000000"/>
          <w:sz w:val="24"/>
          <w:szCs w:val="24"/>
          <w:highlight w:val="none"/>
        </w:rPr>
        <w:t>13. 验收和工程试车</w:t>
      </w:r>
      <w:bookmarkEnd w:id="1530"/>
      <w:bookmarkEnd w:id="1531"/>
      <w:bookmarkEnd w:id="1532"/>
      <w:bookmarkEnd w:id="1533"/>
    </w:p>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14:paraId="3161F2A9">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13.1分部分项工程验收</w:t>
      </w:r>
    </w:p>
    <w:p w14:paraId="1B34DDA4">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13.1.2监理人不能按时进行验收时，应提前</w:t>
      </w:r>
      <w:r>
        <w:rPr>
          <w:rFonts w:hint="eastAsia" w:ascii="宋体" w:hAnsi="宋体" w:cs="宋体"/>
          <w:highlight w:val="none"/>
          <w:u w:val="single"/>
        </w:rPr>
        <w:t xml:space="preserve">  24  </w:t>
      </w:r>
      <w:r>
        <w:rPr>
          <w:rFonts w:hint="eastAsia" w:ascii="宋体" w:hAnsi="宋体" w:cs="宋体"/>
          <w:highlight w:val="none"/>
        </w:rPr>
        <w:t>小时提交书面延期要求。</w:t>
      </w:r>
    </w:p>
    <w:p w14:paraId="7F62E137">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关于延期最长不得超过：</w:t>
      </w:r>
      <w:r>
        <w:rPr>
          <w:rFonts w:hint="eastAsia" w:ascii="宋体" w:hAnsi="宋体" w:cs="宋体"/>
          <w:highlight w:val="none"/>
          <w:u w:val="single"/>
        </w:rPr>
        <w:t xml:space="preserve">  48  </w:t>
      </w:r>
      <w:r>
        <w:rPr>
          <w:rFonts w:hint="eastAsia" w:ascii="宋体" w:hAnsi="宋体" w:cs="宋体"/>
          <w:highlight w:val="none"/>
        </w:rPr>
        <w:t>小时。</w:t>
      </w:r>
    </w:p>
    <w:p w14:paraId="16D13361">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bookmarkStart w:id="1550" w:name="_Toc292559428"/>
      <w:bookmarkStart w:id="1551" w:name="_Toc297120523"/>
      <w:bookmarkStart w:id="1552" w:name="_Toc296347222"/>
      <w:bookmarkStart w:id="1553" w:name="_Toc304295596"/>
      <w:bookmarkStart w:id="1554" w:name="_Toc296944562"/>
      <w:bookmarkStart w:id="1555" w:name="_Toc312678056"/>
      <w:bookmarkStart w:id="1556" w:name="_Toc297048409"/>
      <w:bookmarkStart w:id="1557" w:name="_Toc296346724"/>
      <w:bookmarkStart w:id="1558" w:name="_Toc297123565"/>
      <w:bookmarkStart w:id="1559" w:name="_Toc297216224"/>
      <w:bookmarkStart w:id="1560" w:name="_Toc296503223"/>
      <w:bookmarkStart w:id="1561" w:name="_Toc300935016"/>
      <w:bookmarkStart w:id="1562" w:name="_Toc303539173"/>
      <w:bookmarkStart w:id="1563" w:name="_Toc296891051"/>
      <w:bookmarkStart w:id="1564" w:name="_Toc292559933"/>
      <w:bookmarkStart w:id="1565" w:name="_Toc296891263"/>
      <w:bookmarkStart w:id="1566" w:name="_Toc267251472"/>
      <w:bookmarkStart w:id="1567" w:name="_Toc267251470"/>
      <w:bookmarkStart w:id="1568" w:name="_Toc267251471"/>
      <w:bookmarkStart w:id="1569" w:name="_Toc267251473"/>
      <w:bookmarkStart w:id="1570" w:name="_Toc267251476"/>
      <w:bookmarkStart w:id="1571" w:name="_Toc267251474"/>
      <w:bookmarkStart w:id="1572" w:name="_Toc267251475"/>
      <w:r>
        <w:rPr>
          <w:rFonts w:hint="eastAsia" w:ascii="宋体" w:hAnsi="宋体" w:cs="宋体"/>
          <w:b w:val="0"/>
          <w:bCs w:val="0"/>
          <w:color w:val="000000"/>
          <w:sz w:val="21"/>
          <w:szCs w:val="21"/>
          <w:highlight w:val="none"/>
        </w:rPr>
        <w:t>13.2竣工验收</w:t>
      </w:r>
    </w:p>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14:paraId="5905151F">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bookmarkStart w:id="1573" w:name="_Toc280868704"/>
      <w:bookmarkStart w:id="1574" w:name="_Toc280868705"/>
      <w:bookmarkStart w:id="1575" w:name="_Toc280868706"/>
      <w:bookmarkStart w:id="1576" w:name="_Toc280868707"/>
      <w:bookmarkStart w:id="1577" w:name="_Toc280868708"/>
      <w:bookmarkStart w:id="1578" w:name="_Toc280868709"/>
      <w:r>
        <w:rPr>
          <w:rFonts w:hint="eastAsia" w:ascii="宋体" w:hAnsi="宋体" w:cs="宋体"/>
          <w:color w:val="000000"/>
          <w:highlight w:val="none"/>
        </w:rPr>
        <w:t>13.2.2竣工验收程序</w:t>
      </w:r>
    </w:p>
    <w:bookmarkEnd w:id="1573"/>
    <w:p w14:paraId="24139294">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关于竣工验收程序的约定：</w:t>
      </w:r>
      <w:r>
        <w:rPr>
          <w:rFonts w:hint="eastAsia" w:ascii="宋体" w:hAnsi="宋体" w:eastAsia="宋体" w:cs="宋体"/>
          <w:color w:val="000000"/>
          <w:kern w:val="0"/>
          <w:szCs w:val="21"/>
          <w:highlight w:val="none"/>
          <w:u w:val="single"/>
          <w:lang w:eastAsia="zh-CN"/>
        </w:rPr>
        <w:t>竣工验收前，承包人需提供完整的竣工验收资料。</w:t>
      </w:r>
    </w:p>
    <w:bookmarkEnd w:id="1574"/>
    <w:p w14:paraId="7E128303">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13.2.5移交、接收全部与部分工程</w:t>
      </w:r>
    </w:p>
    <w:bookmarkEnd w:id="1575"/>
    <w:p w14:paraId="205665D9">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承包人向发包人移交工程的期限</w:t>
      </w:r>
      <w:r>
        <w:rPr>
          <w:rFonts w:hint="eastAsia" w:ascii="宋体" w:hAnsi="宋体" w:eastAsia="宋体" w:cs="宋体"/>
          <w:color w:val="000000"/>
          <w:kern w:val="0"/>
          <w:szCs w:val="21"/>
          <w:highlight w:val="none"/>
        </w:rPr>
        <w:t>：</w:t>
      </w:r>
      <w:r>
        <w:rPr>
          <w:rFonts w:hint="eastAsia" w:ascii="宋体" w:hAnsi="宋体" w:eastAsia="宋体" w:cs="宋体"/>
          <w:color w:val="000000"/>
          <w:szCs w:val="21"/>
          <w:highlight w:val="none"/>
          <w:u w:val="single"/>
        </w:rPr>
        <w:t xml:space="preserve">颁发工程接收证书后7天内  </w:t>
      </w:r>
      <w:r>
        <w:rPr>
          <w:rFonts w:hint="eastAsia" w:ascii="宋体" w:hAnsi="宋体" w:eastAsia="宋体" w:cs="宋体"/>
          <w:color w:val="000000"/>
          <w:szCs w:val="21"/>
          <w:highlight w:val="none"/>
        </w:rPr>
        <w:t>。</w:t>
      </w:r>
    </w:p>
    <w:bookmarkEnd w:id="1576"/>
    <w:p w14:paraId="6BE9D97B">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承包人未按时移交工程的，违约金的计算方法为：</w:t>
      </w:r>
      <w:r>
        <w:rPr>
          <w:rFonts w:hint="eastAsia" w:ascii="宋体" w:hAnsi="宋体" w:cs="宋体"/>
          <w:color w:val="000000"/>
          <w:highlight w:val="none"/>
          <w:u w:val="single"/>
        </w:rPr>
        <w:t>按工期延误处理</w:t>
      </w:r>
      <w:r>
        <w:rPr>
          <w:rFonts w:hint="eastAsia" w:ascii="宋体" w:hAnsi="宋体" w:cs="宋体"/>
          <w:color w:val="000000"/>
          <w:highlight w:val="none"/>
        </w:rPr>
        <w:t>。</w:t>
      </w:r>
    </w:p>
    <w:bookmarkEnd w:id="1577"/>
    <w:p w14:paraId="6F5FED91">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13.6竣工退场</w:t>
      </w:r>
    </w:p>
    <w:p w14:paraId="07B96B42">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13.6.1 竣工退场</w:t>
      </w:r>
    </w:p>
    <w:p w14:paraId="2339C611">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承包人完成竣工退场的期限：</w:t>
      </w:r>
      <w:r>
        <w:rPr>
          <w:rFonts w:hint="eastAsia" w:ascii="宋体" w:hAnsi="宋体" w:cs="宋体"/>
          <w:color w:val="000000"/>
          <w:kern w:val="0"/>
          <w:highlight w:val="none"/>
          <w:u w:val="single"/>
        </w:rPr>
        <w:t>承包人须在工程竣工验收后28天内拆除现场所有临时设施。包括所有的地坪、建筑垃圾及剩余材料全部清运出现场的费用。</w:t>
      </w:r>
    </w:p>
    <w:p w14:paraId="5FABC343">
      <w:pPr>
        <w:pStyle w:val="5"/>
        <w:pageBreakBefore w:val="0"/>
        <w:widowControl w:val="0"/>
        <w:kinsoku/>
        <w:wordWrap/>
        <w:overflowPunct/>
        <w:topLinePunct w:val="0"/>
        <w:bidi w:val="0"/>
        <w:adjustRightInd/>
        <w:snapToGrid w:val="0"/>
        <w:spacing w:line="360" w:lineRule="auto"/>
        <w:ind w:right="0" w:rightChars="0"/>
        <w:textAlignment w:val="auto"/>
        <w:rPr>
          <w:rFonts w:ascii="宋体" w:hAnsi="宋体" w:cs="宋体"/>
          <w:bCs w:val="0"/>
          <w:color w:val="000000"/>
          <w:sz w:val="24"/>
          <w:szCs w:val="24"/>
          <w:highlight w:val="none"/>
        </w:rPr>
      </w:pPr>
      <w:bookmarkStart w:id="1579" w:name="_Toc351203646"/>
      <w:bookmarkStart w:id="1580" w:name="_Toc15226"/>
      <w:bookmarkStart w:id="1581" w:name="_Toc69909978"/>
      <w:bookmarkStart w:id="1582" w:name="_Toc18689"/>
      <w:r>
        <w:rPr>
          <w:rFonts w:hint="eastAsia" w:ascii="宋体" w:hAnsi="宋体" w:cs="宋体"/>
          <w:bCs w:val="0"/>
          <w:color w:val="000000"/>
          <w:sz w:val="24"/>
          <w:szCs w:val="24"/>
          <w:highlight w:val="none"/>
        </w:rPr>
        <w:t>14. 竣工结算</w:t>
      </w:r>
      <w:bookmarkEnd w:id="1579"/>
      <w:bookmarkEnd w:id="1580"/>
      <w:bookmarkEnd w:id="1581"/>
      <w:bookmarkEnd w:id="1582"/>
    </w:p>
    <w:p w14:paraId="300069B3">
      <w:pPr>
        <w:pStyle w:val="6"/>
        <w:pageBreakBefore w:val="0"/>
        <w:widowControl w:val="0"/>
        <w:kinsoku/>
        <w:wordWrap/>
        <w:overflowPunct/>
        <w:topLinePunct w:val="0"/>
        <w:bidi w:val="0"/>
        <w:adjustRightInd/>
        <w:snapToGrid w:val="0"/>
        <w:spacing w:before="0" w:after="0" w:line="360" w:lineRule="auto"/>
        <w:ind w:right="0" w:rightChars="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14.1竣工结算申请</w:t>
      </w:r>
    </w:p>
    <w:p w14:paraId="683E47B0">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highlight w:val="none"/>
        </w:rPr>
        <w:t>承包人提交竣工结算申请单的期限：</w:t>
      </w:r>
      <w:r>
        <w:rPr>
          <w:rFonts w:hint="eastAsia" w:ascii="宋体" w:hAnsi="宋体" w:eastAsia="宋体" w:cs="宋体"/>
          <w:color w:val="000000"/>
          <w:szCs w:val="21"/>
          <w:highlight w:val="none"/>
          <w:u w:val="single"/>
        </w:rPr>
        <w:t>工程通过竣工验收后，承包人应在2个月内上报结算，发包人在收到该结算后</w:t>
      </w:r>
      <w:r>
        <w:rPr>
          <w:rFonts w:hint="eastAsia" w:ascii="宋体" w:hAnsi="宋体" w:eastAsia="宋体" w:cs="宋体"/>
          <w:color w:val="000000"/>
          <w:szCs w:val="21"/>
          <w:highlight w:val="none"/>
          <w:u w:val="single"/>
          <w:lang w:val="en-US" w:eastAsia="zh-CN"/>
        </w:rPr>
        <w:t>组织审核</w:t>
      </w:r>
      <w:r>
        <w:rPr>
          <w:rFonts w:hint="eastAsia" w:ascii="宋体" w:hAnsi="宋体" w:cs="宋体"/>
          <w:color w:val="000000"/>
          <w:highlight w:val="none"/>
        </w:rPr>
        <w:t>。</w:t>
      </w:r>
    </w:p>
    <w:p w14:paraId="79104FED">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竣工结算申请单应包括的内容：</w:t>
      </w:r>
    </w:p>
    <w:p w14:paraId="0D7B4422">
      <w:pPr>
        <w:pageBreakBefore w:val="0"/>
        <w:widowControl w:val="0"/>
        <w:numPr>
          <w:ilvl w:val="0"/>
          <w:numId w:val="6"/>
        </w:numPr>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u w:val="single"/>
        </w:rPr>
      </w:pPr>
      <w:r>
        <w:rPr>
          <w:rFonts w:hint="eastAsia" w:ascii="宋体" w:hAnsi="宋体" w:cs="宋体"/>
          <w:highlight w:val="none"/>
          <w:u w:val="single"/>
        </w:rPr>
        <w:t>到该移交证书注明的日期为止，承包人根据合同所完成的所有工作的价值；</w:t>
      </w:r>
    </w:p>
    <w:p w14:paraId="019BDA03">
      <w:pPr>
        <w:pageBreakBefore w:val="0"/>
        <w:widowControl w:val="0"/>
        <w:numPr>
          <w:ilvl w:val="0"/>
          <w:numId w:val="6"/>
        </w:numPr>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highlight w:val="none"/>
          <w:u w:val="single"/>
        </w:rPr>
        <w:t>除质保金外，承包人认为作为竣工结算，根据合同或其他约定(包括变更及对承包人的奖惩金额的累计)，承包人应得到的任何应付未付款额总计</w:t>
      </w:r>
      <w:r>
        <w:rPr>
          <w:rFonts w:hint="eastAsia" w:ascii="宋体" w:hAnsi="宋体" w:cs="宋体"/>
          <w:color w:val="000000"/>
          <w:highlight w:val="none"/>
        </w:rPr>
        <w:t>。</w:t>
      </w:r>
    </w:p>
    <w:p w14:paraId="721E327D">
      <w:pPr>
        <w:pStyle w:val="6"/>
        <w:pageBreakBefore w:val="0"/>
        <w:widowControl w:val="0"/>
        <w:kinsoku/>
        <w:wordWrap/>
        <w:overflowPunct/>
        <w:topLinePunct w:val="0"/>
        <w:bidi w:val="0"/>
        <w:adjustRightInd/>
        <w:snapToGrid w:val="0"/>
        <w:spacing w:before="0" w:after="0" w:line="360" w:lineRule="auto"/>
        <w:ind w:right="0" w:rightChars="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14.2竣工结算审核</w:t>
      </w:r>
    </w:p>
    <w:p w14:paraId="186B6A78">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发包人审批竣工付款申请单的期限：</w:t>
      </w:r>
      <w:r>
        <w:rPr>
          <w:rFonts w:hint="eastAsia" w:ascii="宋体" w:hAnsi="宋体" w:eastAsia="宋体" w:cs="宋体"/>
          <w:szCs w:val="24"/>
          <w:highlight w:val="none"/>
          <w:u w:val="single"/>
        </w:rPr>
        <w:t>收到的竣工结算相关说明后56天之内，发包人应组织全过程造价咨询单位审核竣工结算文件和竣工结算相关说明，并出具审核人报告</w:t>
      </w:r>
      <w:r>
        <w:rPr>
          <w:rFonts w:hint="eastAsia" w:ascii="宋体" w:hAnsi="宋体" w:cs="宋体"/>
          <w:color w:val="000000"/>
          <w:highlight w:val="none"/>
        </w:rPr>
        <w:t>。</w:t>
      </w:r>
    </w:p>
    <w:p w14:paraId="5DDDDACC">
      <w:pPr>
        <w:pageBreakBefore w:val="0"/>
        <w:widowControl w:val="0"/>
        <w:kinsoku/>
        <w:wordWrap/>
        <w:overflowPunct/>
        <w:topLinePunct w:val="0"/>
        <w:bidi w:val="0"/>
        <w:adjustRightInd/>
        <w:snapToGrid w:val="0"/>
        <w:spacing w:line="360" w:lineRule="auto"/>
        <w:ind w:right="0" w:rightChars="0" w:firstLine="420" w:firstLineChars="200"/>
        <w:textAlignment w:val="auto"/>
        <w:rPr>
          <w:rFonts w:hint="eastAsia" w:ascii="宋体" w:hAnsi="宋体" w:cs="宋体"/>
          <w:color w:val="000000"/>
          <w:highlight w:val="none"/>
        </w:rPr>
      </w:pPr>
      <w:r>
        <w:rPr>
          <w:rFonts w:hint="eastAsia" w:ascii="宋体" w:hAnsi="宋体" w:cs="宋体"/>
          <w:highlight w:val="none"/>
        </w:rPr>
        <w:t>发包人完成竣工付款的期限：</w:t>
      </w:r>
      <w:r>
        <w:rPr>
          <w:rFonts w:hint="eastAsia" w:ascii="宋体" w:hAnsi="宋体" w:eastAsia="宋体" w:cs="宋体"/>
          <w:szCs w:val="24"/>
          <w:highlight w:val="none"/>
          <w:u w:val="single"/>
        </w:rPr>
        <w:t>发包人在</w:t>
      </w:r>
      <w:r>
        <w:rPr>
          <w:rFonts w:hint="eastAsia" w:ascii="宋体" w:hAnsi="宋体" w:eastAsia="宋体" w:cs="宋体"/>
          <w:szCs w:val="24"/>
          <w:highlight w:val="none"/>
          <w:u w:val="single"/>
          <w:lang w:val="en-US" w:eastAsia="zh-CN"/>
        </w:rPr>
        <w:t>工程</w:t>
      </w:r>
      <w:r>
        <w:rPr>
          <w:rFonts w:hint="eastAsia" w:ascii="宋体" w:hAnsi="宋体" w:eastAsia="宋体" w:cs="宋体"/>
          <w:szCs w:val="24"/>
          <w:highlight w:val="none"/>
          <w:u w:val="single"/>
        </w:rPr>
        <w:t>竣工结算后的56天内，向承包人支付还应支付给承包人的款项</w:t>
      </w:r>
      <w:r>
        <w:rPr>
          <w:rFonts w:hint="eastAsia" w:ascii="宋体" w:hAnsi="宋体" w:cs="宋体"/>
          <w:color w:val="000000"/>
          <w:highlight w:val="none"/>
        </w:rPr>
        <w:t>。</w:t>
      </w:r>
    </w:p>
    <w:p w14:paraId="7D2F6E2E">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u w:val="single"/>
        </w:rPr>
      </w:pPr>
      <w:r>
        <w:rPr>
          <w:rFonts w:hint="eastAsia" w:ascii="宋体" w:hAnsi="宋体" w:cs="宋体"/>
          <w:color w:val="000000"/>
          <w:highlight w:val="none"/>
        </w:rPr>
        <w:t>关于竣工付款证书异议部分复核的方式和程序：</w:t>
      </w:r>
      <w:r>
        <w:rPr>
          <w:rFonts w:hint="eastAsia" w:ascii="宋体" w:hAnsi="宋体" w:cs="宋体"/>
          <w:highlight w:val="none"/>
          <w:u w:val="single"/>
        </w:rPr>
        <w:t>对其中仍然存在争议的部分与承包人和监理人进行协商并达成一致，如仍然不能达成一致，由发包人提出最终意见，承包人按照发包人的最终意见进行修改并提交最终竣工结算文件。若承包人不同意发包人的决定，按本合同条件第2</w:t>
      </w:r>
      <w:r>
        <w:rPr>
          <w:rFonts w:hint="eastAsia" w:ascii="宋体" w:hAnsi="宋体" w:cs="宋体"/>
          <w:highlight w:val="none"/>
          <w:u w:val="single"/>
          <w:lang w:val="en-US" w:eastAsia="zh-CN"/>
        </w:rPr>
        <w:t>0.</w:t>
      </w:r>
      <w:r>
        <w:rPr>
          <w:rFonts w:hint="eastAsia" w:ascii="宋体" w:hAnsi="宋体" w:cs="宋体"/>
          <w:highlight w:val="none"/>
          <w:u w:val="single"/>
        </w:rPr>
        <w:t>4条关于争议的约定处理</w:t>
      </w:r>
      <w:r>
        <w:rPr>
          <w:rFonts w:hint="eastAsia" w:ascii="宋体" w:hAnsi="宋体" w:cs="宋体"/>
          <w:color w:val="000000"/>
          <w:highlight w:val="none"/>
        </w:rPr>
        <w:t>。</w:t>
      </w:r>
    </w:p>
    <w:p w14:paraId="4A709B3A">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14.4最终结清</w:t>
      </w:r>
    </w:p>
    <w:p w14:paraId="71794F96">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14.4.1 最终结清申请单</w:t>
      </w:r>
    </w:p>
    <w:p w14:paraId="06BE4132">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承包人提交最终结清申请单的份数：</w:t>
      </w:r>
      <w:r>
        <w:rPr>
          <w:rFonts w:hint="eastAsia" w:ascii="宋体" w:hAnsi="宋体" w:cs="宋体"/>
          <w:color w:val="000000"/>
          <w:kern w:val="0"/>
          <w:highlight w:val="none"/>
          <w:u w:val="single"/>
        </w:rPr>
        <w:t>4份</w:t>
      </w:r>
      <w:r>
        <w:rPr>
          <w:rFonts w:hint="eastAsia" w:ascii="宋体" w:hAnsi="宋体" w:cs="宋体"/>
          <w:color w:val="000000"/>
          <w:highlight w:val="none"/>
        </w:rPr>
        <w:t>。</w:t>
      </w:r>
    </w:p>
    <w:p w14:paraId="2912AA60">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color w:val="000000"/>
          <w:kern w:val="0"/>
          <w:highlight w:val="none"/>
        </w:rPr>
        <w:t>承包人提交最终结算申请单的期限：</w:t>
      </w:r>
      <w:r>
        <w:rPr>
          <w:rFonts w:hint="eastAsia" w:ascii="宋体" w:hAnsi="宋体" w:eastAsia="宋体" w:cs="宋体"/>
          <w:color w:val="000000"/>
          <w:kern w:val="0"/>
          <w:szCs w:val="24"/>
          <w:highlight w:val="none"/>
          <w:u w:val="single"/>
        </w:rPr>
        <w:t>缺陷责任期满后30个工作日内</w:t>
      </w:r>
      <w:r>
        <w:rPr>
          <w:rFonts w:hint="eastAsia" w:ascii="宋体" w:hAnsi="宋体" w:cs="宋体"/>
          <w:color w:val="000000"/>
          <w:highlight w:val="none"/>
        </w:rPr>
        <w:t>。</w:t>
      </w:r>
      <w:r>
        <w:rPr>
          <w:rFonts w:hint="eastAsia" w:ascii="宋体" w:hAnsi="宋体" w:cs="宋体"/>
          <w:highlight w:val="none"/>
        </w:rPr>
        <w:t xml:space="preserve"> </w:t>
      </w:r>
    </w:p>
    <w:p w14:paraId="18AB25F2">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14.4.2 最终结清证书和支付</w:t>
      </w:r>
    </w:p>
    <w:p w14:paraId="3F917BFE">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（1）发包人完成最终结清申请单的审批并颁发最终结清证书的期限：</w:t>
      </w:r>
      <w:r>
        <w:rPr>
          <w:rFonts w:hint="eastAsia" w:ascii="宋体" w:hAnsi="宋体" w:cs="宋体"/>
          <w:highlight w:val="none"/>
          <w:u w:val="single"/>
        </w:rPr>
        <w:t>收到承包人提交的最终结清申请单后 60个工作日</w:t>
      </w:r>
      <w:r>
        <w:rPr>
          <w:rFonts w:hint="eastAsia" w:ascii="宋体" w:hAnsi="宋体" w:cs="宋体"/>
          <w:color w:val="000000"/>
          <w:highlight w:val="none"/>
        </w:rPr>
        <w:t>。</w:t>
      </w:r>
    </w:p>
    <w:p w14:paraId="6C45CE4D">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highlight w:val="none"/>
        </w:rPr>
      </w:pPr>
      <w:r>
        <w:rPr>
          <w:rFonts w:hint="eastAsia" w:ascii="宋体" w:hAnsi="宋体" w:cs="宋体"/>
          <w:highlight w:val="none"/>
        </w:rPr>
        <w:t>（2）发包人完成支付的期限：</w:t>
      </w:r>
      <w:r>
        <w:rPr>
          <w:rFonts w:hint="eastAsia" w:ascii="宋体" w:hAnsi="宋体" w:cs="宋体"/>
          <w:highlight w:val="none"/>
          <w:u w:val="single"/>
        </w:rPr>
        <w:t>最终结清证书后30个工作日</w:t>
      </w:r>
      <w:r>
        <w:rPr>
          <w:rFonts w:hint="eastAsia" w:ascii="宋体" w:hAnsi="宋体" w:cs="宋体"/>
          <w:color w:val="000000"/>
          <w:highlight w:val="none"/>
        </w:rPr>
        <w:t>。</w:t>
      </w:r>
    </w:p>
    <w:bookmarkEnd w:id="1566"/>
    <w:bookmarkEnd w:id="1567"/>
    <w:bookmarkEnd w:id="1568"/>
    <w:bookmarkEnd w:id="1569"/>
    <w:bookmarkEnd w:id="1570"/>
    <w:bookmarkEnd w:id="1571"/>
    <w:bookmarkEnd w:id="1572"/>
    <w:bookmarkEnd w:id="1578"/>
    <w:p w14:paraId="190CBE1D">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583" w:name="_Toc69909979"/>
      <w:bookmarkStart w:id="1584" w:name="_Toc30932"/>
      <w:bookmarkStart w:id="1585" w:name="_Toc351203647"/>
      <w:bookmarkStart w:id="1586" w:name="_Toc25243"/>
      <w:bookmarkStart w:id="1587" w:name="_Toc267251483"/>
      <w:bookmarkStart w:id="1588" w:name="_Toc267251482"/>
      <w:bookmarkStart w:id="1589" w:name="_Toc267251484"/>
      <w:bookmarkStart w:id="1590" w:name="_Toc267251485"/>
      <w:bookmarkStart w:id="1591" w:name="_Toc267251490"/>
      <w:bookmarkStart w:id="1592" w:name="_Toc267251486"/>
      <w:bookmarkStart w:id="1593" w:name="_Toc267251488"/>
      <w:bookmarkStart w:id="1594" w:name="_Toc267251489"/>
      <w:bookmarkStart w:id="1595" w:name="_Toc267251502"/>
      <w:bookmarkStart w:id="1596" w:name="_Toc267251499"/>
      <w:bookmarkStart w:id="1597" w:name="_Toc267251493"/>
      <w:bookmarkStart w:id="1598" w:name="_Toc267251491"/>
      <w:bookmarkStart w:id="1599" w:name="_Toc267251496"/>
      <w:bookmarkStart w:id="1600" w:name="_Toc267251495"/>
      <w:bookmarkStart w:id="1601" w:name="_Toc267251497"/>
      <w:bookmarkStart w:id="1602" w:name="_Toc267251503"/>
      <w:bookmarkStart w:id="1603" w:name="_Toc267251501"/>
      <w:bookmarkStart w:id="1604" w:name="_Toc267251492"/>
      <w:bookmarkStart w:id="1605" w:name="_Toc267251494"/>
      <w:bookmarkStart w:id="1606" w:name="_Toc267251498"/>
      <w:bookmarkStart w:id="1607" w:name="_Toc267251507"/>
      <w:bookmarkStart w:id="1608" w:name="_Toc267251506"/>
      <w:bookmarkStart w:id="1609" w:name="_Toc267251504"/>
      <w:bookmarkStart w:id="1610" w:name="_Toc267251508"/>
      <w:bookmarkStart w:id="1611" w:name="_Toc267251510"/>
      <w:bookmarkStart w:id="1612" w:name="_Toc267251514"/>
      <w:bookmarkStart w:id="1613" w:name="_Toc267251515"/>
      <w:bookmarkStart w:id="1614" w:name="_Toc267251513"/>
      <w:bookmarkStart w:id="1615" w:name="_Toc267251511"/>
      <w:bookmarkStart w:id="1616" w:name="_Toc267251509"/>
      <w:r>
        <w:rPr>
          <w:rFonts w:hint="eastAsia" w:ascii="宋体" w:hAnsi="宋体" w:cs="宋体"/>
          <w:bCs w:val="0"/>
          <w:color w:val="000000"/>
          <w:sz w:val="24"/>
          <w:szCs w:val="24"/>
          <w:highlight w:val="none"/>
        </w:rPr>
        <w:t>15. 缺陷责任期与保修</w:t>
      </w:r>
      <w:bookmarkEnd w:id="1583"/>
      <w:bookmarkEnd w:id="1584"/>
      <w:bookmarkEnd w:id="1585"/>
      <w:bookmarkEnd w:id="1586"/>
    </w:p>
    <w:p w14:paraId="6488F625">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15.2缺陷责任期</w:t>
      </w:r>
      <w:bookmarkEnd w:id="1587"/>
    </w:p>
    <w:p w14:paraId="6CD9D173">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缺陷责任期的具体期限：</w:t>
      </w:r>
      <w:r>
        <w:rPr>
          <w:rFonts w:hint="eastAsia" w:ascii="宋体" w:hAnsi="宋体" w:cs="宋体"/>
          <w:color w:val="000000"/>
          <w:highlight w:val="none"/>
          <w:u w:val="single"/>
        </w:rPr>
        <w:t>24个月</w:t>
      </w:r>
      <w:r>
        <w:rPr>
          <w:rFonts w:hint="eastAsia" w:ascii="宋体" w:hAnsi="宋体" w:cs="宋体"/>
          <w:color w:val="000000"/>
          <w:highlight w:val="none"/>
        </w:rPr>
        <w:t>。</w:t>
      </w:r>
    </w:p>
    <w:p w14:paraId="043E7973">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15.3质量保证金</w:t>
      </w:r>
    </w:p>
    <w:p w14:paraId="25CD658E">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关于是否扣留质量保证金的约定：</w:t>
      </w:r>
      <w:r>
        <w:rPr>
          <w:rFonts w:hint="eastAsia" w:ascii="宋体" w:hAnsi="宋体" w:cs="宋体"/>
          <w:color w:val="000000"/>
          <w:highlight w:val="none"/>
          <w:u w:val="single"/>
        </w:rPr>
        <w:t>否</w:t>
      </w:r>
      <w:r>
        <w:rPr>
          <w:rFonts w:hint="eastAsia" w:ascii="宋体" w:hAnsi="宋体" w:cs="宋体"/>
          <w:color w:val="000000"/>
          <w:highlight w:val="none"/>
        </w:rPr>
        <w:t>，关于质量保证金，竣工验收完毕及结算审定单出具后，质量保证金采用银行保函形式或保险公司保险单或现金替代。</w:t>
      </w:r>
    </w:p>
    <w:p w14:paraId="78EABF7B">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highlight w:val="none"/>
        </w:rPr>
      </w:pPr>
      <w:r>
        <w:rPr>
          <w:rFonts w:hint="eastAsia" w:ascii="宋体" w:hAnsi="宋体" w:cs="宋体"/>
          <w:highlight w:val="none"/>
        </w:rPr>
        <w:t>15.3.1 承包人提供质量保证金的方式</w:t>
      </w:r>
    </w:p>
    <w:p w14:paraId="2C10100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质量保证金采用以下第</w:t>
      </w:r>
      <w:r>
        <w:rPr>
          <w:rFonts w:hint="eastAsia" w:ascii="宋体" w:hAnsi="宋体" w:cs="宋体"/>
          <w:color w:val="000000"/>
          <w:highlight w:val="none"/>
          <w:u w:val="single"/>
        </w:rPr>
        <w:t xml:space="preserve"> （1）或（2）或（3） </w:t>
      </w:r>
      <w:r>
        <w:rPr>
          <w:rFonts w:hint="eastAsia" w:ascii="宋体" w:hAnsi="宋体" w:cs="宋体"/>
          <w:color w:val="000000"/>
          <w:highlight w:val="none"/>
        </w:rPr>
        <w:t>种方式：</w:t>
      </w:r>
    </w:p>
    <w:p w14:paraId="337DFD9A">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 xml:space="preserve">（1）质量保证金保函，保证金额为：本工程结算总价最终结果的3%； </w:t>
      </w:r>
    </w:p>
    <w:p w14:paraId="15FC8A47">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（2）现金：本工程结算总价最终结果的3%；</w:t>
      </w:r>
    </w:p>
    <w:p w14:paraId="5E8A73F5">
      <w:pPr>
        <w:pageBreakBefore w:val="0"/>
        <w:widowControl w:val="0"/>
        <w:kinsoku/>
        <w:wordWrap/>
        <w:overflowPunct/>
        <w:topLinePunct w:val="0"/>
        <w:autoSpaceDE w:val="0"/>
        <w:autoSpaceDN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（3）其他方式:</w:t>
      </w:r>
      <w:r>
        <w:rPr>
          <w:rFonts w:hint="eastAsia" w:ascii="宋体" w:hAnsi="宋体" w:cs="宋体"/>
          <w:color w:val="000000"/>
          <w:kern w:val="0"/>
          <w:highlight w:val="none"/>
          <w:u w:val="single"/>
        </w:rPr>
        <w:t xml:space="preserve"> 保险公司保险单</w:t>
      </w:r>
      <w:r>
        <w:rPr>
          <w:rFonts w:hint="eastAsia" w:ascii="宋体" w:hAnsi="宋体" w:cs="宋体"/>
          <w:color w:val="000000"/>
          <w:kern w:val="0"/>
          <w:highlight w:val="none"/>
        </w:rPr>
        <w:t>。</w:t>
      </w:r>
    </w:p>
    <w:p w14:paraId="2B9F64AA">
      <w:pPr>
        <w:pageBreakBefore w:val="0"/>
        <w:widowControl w:val="0"/>
        <w:kinsoku/>
        <w:wordWrap/>
        <w:overflowPunct/>
        <w:topLinePunct w:val="0"/>
        <w:bidi w:val="0"/>
        <w:adjustRightInd/>
        <w:snapToGrid w:val="0"/>
        <w:spacing w:line="360" w:lineRule="auto"/>
        <w:ind w:right="-420" w:rightChars="-200" w:firstLine="420" w:firstLineChars="200"/>
        <w:jc w:val="left"/>
        <w:textAlignment w:val="auto"/>
        <w:rPr>
          <w:rFonts w:ascii="宋体" w:hAnsi="宋体" w:cs="宋体"/>
          <w:color w:val="000000"/>
          <w:highlight w:val="none"/>
          <w:u w:val="single"/>
        </w:rPr>
      </w:pPr>
      <w:r>
        <w:rPr>
          <w:rFonts w:hint="eastAsia" w:ascii="宋体" w:hAnsi="宋体" w:cs="宋体"/>
          <w:color w:val="000000"/>
          <w:highlight w:val="none"/>
        </w:rPr>
        <w:t>关于质量保证金的补充约定：</w:t>
      </w:r>
      <w:r>
        <w:rPr>
          <w:rFonts w:hint="eastAsia" w:ascii="宋体" w:hAnsi="宋体" w:cs="宋体"/>
          <w:color w:val="000000"/>
          <w:highlight w:val="none"/>
          <w:lang w:val="en-US" w:eastAsia="zh-CN"/>
        </w:rPr>
        <w:t>/</w:t>
      </w:r>
      <w:r>
        <w:rPr>
          <w:rFonts w:hint="eastAsia" w:ascii="宋体" w:hAnsi="宋体" w:cs="宋体"/>
          <w:color w:val="000000"/>
          <w:highlight w:val="none"/>
          <w:u w:val="single"/>
        </w:rPr>
        <w:t>。</w:t>
      </w:r>
    </w:p>
    <w:bookmarkEnd w:id="1588"/>
    <w:bookmarkEnd w:id="1589"/>
    <w:p w14:paraId="54DF9BFC">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15.4保修</w:t>
      </w:r>
    </w:p>
    <w:bookmarkEnd w:id="1590"/>
    <w:p w14:paraId="785DC445">
      <w:pPr>
        <w:pageBreakBefore w:val="0"/>
        <w:widowControl w:val="0"/>
        <w:kinsoku/>
        <w:wordWrap/>
        <w:overflowPunct/>
        <w:topLinePunct w:val="0"/>
        <w:bidi w:val="0"/>
        <w:adjustRightInd/>
        <w:snapToGrid w:val="0"/>
        <w:spacing w:line="360" w:lineRule="auto"/>
        <w:ind w:right="-420" w:rightChars="-200" w:firstLine="409" w:firstLineChars="195"/>
        <w:textAlignment w:val="auto"/>
        <w:rPr>
          <w:rFonts w:ascii="宋体" w:hAnsi="宋体" w:cs="宋体"/>
          <w:color w:val="000000"/>
          <w:highlight w:val="none"/>
        </w:rPr>
      </w:pPr>
      <w:r>
        <w:rPr>
          <w:rFonts w:hint="eastAsia" w:ascii="宋体" w:hAnsi="宋体" w:cs="宋体"/>
          <w:color w:val="000000"/>
          <w:highlight w:val="none"/>
        </w:rPr>
        <w:t>15.4.1 保修责任</w:t>
      </w:r>
    </w:p>
    <w:p w14:paraId="0648A64D">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highlight w:val="none"/>
        </w:rPr>
        <w:t>工程保修期为：</w:t>
      </w:r>
      <w:r>
        <w:rPr>
          <w:rFonts w:hint="eastAsia" w:ascii="宋体" w:hAnsi="宋体" w:cs="宋体"/>
          <w:color w:val="000000"/>
          <w:kern w:val="0"/>
          <w:highlight w:val="none"/>
          <w:u w:val="single"/>
        </w:rPr>
        <w:t xml:space="preserve">               /                  </w:t>
      </w:r>
      <w:r>
        <w:rPr>
          <w:rFonts w:hint="eastAsia" w:ascii="宋体" w:hAnsi="宋体" w:cs="宋体"/>
          <w:color w:val="000000"/>
          <w:kern w:val="0"/>
          <w:highlight w:val="none"/>
        </w:rPr>
        <w:t>。</w:t>
      </w:r>
    </w:p>
    <w:p w14:paraId="16844075">
      <w:pPr>
        <w:pageBreakBefore w:val="0"/>
        <w:widowControl w:val="0"/>
        <w:kinsoku/>
        <w:wordWrap/>
        <w:overflowPunct/>
        <w:topLinePunct w:val="0"/>
        <w:bidi w:val="0"/>
        <w:adjustRightInd/>
        <w:snapToGrid w:val="0"/>
        <w:spacing w:line="360" w:lineRule="auto"/>
        <w:ind w:right="-420" w:rightChars="-200" w:firstLine="409" w:firstLineChars="195"/>
        <w:textAlignment w:val="auto"/>
        <w:rPr>
          <w:rFonts w:ascii="宋体" w:hAnsi="宋体" w:cs="宋体"/>
          <w:color w:val="000000"/>
          <w:highlight w:val="none"/>
        </w:rPr>
      </w:pPr>
      <w:r>
        <w:rPr>
          <w:rFonts w:hint="eastAsia" w:ascii="宋体" w:hAnsi="宋体" w:cs="宋体"/>
          <w:color w:val="000000"/>
          <w:highlight w:val="none"/>
        </w:rPr>
        <w:t>15.4.3 修复通知</w:t>
      </w:r>
    </w:p>
    <w:p w14:paraId="204D1FFC">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hint="eastAsia" w:ascii="宋体" w:hAnsi="宋体" w:cs="宋体"/>
          <w:color w:val="000000"/>
          <w:kern w:val="0"/>
          <w:highlight w:val="none"/>
        </w:rPr>
      </w:pPr>
      <w:r>
        <w:rPr>
          <w:rFonts w:hint="eastAsia" w:ascii="宋体" w:hAnsi="宋体" w:cs="宋体"/>
          <w:color w:val="000000"/>
          <w:kern w:val="0"/>
          <w:highlight w:val="none"/>
        </w:rPr>
        <w:t>承包人收到保修通知并到达工程现场的合理时间：</w:t>
      </w:r>
      <w:r>
        <w:rPr>
          <w:rFonts w:hint="eastAsia" w:ascii="宋体" w:hAnsi="宋体" w:cs="宋体"/>
          <w:color w:val="000000"/>
          <w:kern w:val="0"/>
          <w:highlight w:val="none"/>
          <w:u w:val="single"/>
        </w:rPr>
        <w:t>12小时</w:t>
      </w:r>
      <w:r>
        <w:rPr>
          <w:rFonts w:hint="eastAsia" w:ascii="宋体" w:hAnsi="宋体" w:cs="宋体"/>
          <w:color w:val="000000"/>
          <w:kern w:val="0"/>
          <w:highlight w:val="none"/>
        </w:rPr>
        <w:t>。</w:t>
      </w:r>
    </w:p>
    <w:p w14:paraId="5FFAD532">
      <w:pPr>
        <w:pageBreakBefore w:val="0"/>
        <w:widowControl w:val="0"/>
        <w:kinsoku/>
        <w:wordWrap/>
        <w:overflowPunct/>
        <w:topLinePunct w:val="0"/>
        <w:bidi w:val="0"/>
        <w:adjustRightInd/>
        <w:snapToGrid w:val="0"/>
        <w:spacing w:line="360" w:lineRule="auto"/>
        <w:ind w:right="0" w:rightChars="0" w:firstLine="420" w:firstLineChars="200"/>
        <w:textAlignment w:val="auto"/>
        <w:rPr>
          <w:rFonts w:hint="eastAsia" w:ascii="宋体" w:hAnsi="宋体" w:eastAsia="宋体" w:cs="宋体"/>
          <w:b w:val="0"/>
          <w:bCs w:val="0"/>
          <w:color w:val="000000"/>
          <w:kern w:val="2"/>
          <w:szCs w:val="24"/>
          <w:highlight w:val="none"/>
          <w:u w:val="single"/>
          <w:lang w:val="zh-TW" w:eastAsia="zh-TW"/>
        </w:rPr>
      </w:pPr>
      <w:r>
        <w:rPr>
          <w:rFonts w:hint="eastAsia" w:ascii="宋体" w:hAnsi="宋体" w:cs="宋体"/>
          <w:b w:val="0"/>
          <w:bCs w:val="0"/>
          <w:color w:val="000000"/>
          <w:kern w:val="2"/>
          <w:szCs w:val="24"/>
          <w:highlight w:val="none"/>
          <w:u w:val="single"/>
        </w:rPr>
        <w:t>绿化养护期的具体期限</w:t>
      </w:r>
      <w:r>
        <w:rPr>
          <w:rFonts w:hint="eastAsia" w:ascii="宋体" w:hAnsi="宋体" w:eastAsia="宋体" w:cs="宋体"/>
          <w:b w:val="0"/>
          <w:bCs w:val="0"/>
          <w:color w:val="000000"/>
          <w:kern w:val="2"/>
          <w:szCs w:val="24"/>
          <w:highlight w:val="none"/>
          <w:u w:val="single"/>
        </w:rPr>
        <w:t>：</w:t>
      </w:r>
      <w:bookmarkEnd w:id="1591"/>
      <w:bookmarkEnd w:id="1592"/>
      <w:bookmarkEnd w:id="1593"/>
      <w:bookmarkEnd w:id="1594"/>
      <w:bookmarkStart w:id="1617" w:name="_Toc10470"/>
      <w:bookmarkStart w:id="1618" w:name="_Toc351203648"/>
      <w:bookmarkStart w:id="1619" w:name="_Toc29017"/>
      <w:bookmarkStart w:id="1620" w:name="_Toc69909980"/>
      <w:bookmarkStart w:id="1621" w:name="_Toc280868717"/>
      <w:bookmarkStart w:id="1622" w:name="_Toc280868718"/>
      <w:r>
        <w:rPr>
          <w:rFonts w:hint="eastAsia" w:ascii="宋体" w:hAnsi="宋体" w:eastAsia="宋体" w:cs="宋体"/>
          <w:b w:val="0"/>
          <w:bCs w:val="0"/>
          <w:color w:val="000000"/>
          <w:kern w:val="2"/>
          <w:szCs w:val="24"/>
          <w:highlight w:val="none"/>
          <w:u w:val="single"/>
          <w:lang w:val="zh-TW" w:eastAsia="zh-TW"/>
        </w:rPr>
        <w:t>养护期为自竣工验收合格之日起一年时间，按一级养护标准进行养护，补种的苗木应从补种之日起重新计算养护期</w:t>
      </w:r>
      <w:r>
        <w:rPr>
          <w:rFonts w:hint="eastAsia" w:ascii="宋体" w:hAnsi="宋体" w:eastAsia="宋体" w:cs="宋体"/>
          <w:b w:val="0"/>
          <w:bCs w:val="0"/>
          <w:color w:val="000000"/>
          <w:kern w:val="2"/>
          <w:szCs w:val="24"/>
          <w:highlight w:val="none"/>
          <w:u w:val="single"/>
          <w:lang w:val="zh-TW"/>
        </w:rPr>
        <w:t>，</w:t>
      </w:r>
      <w:r>
        <w:rPr>
          <w:rFonts w:hint="eastAsia" w:ascii="宋体" w:hAnsi="宋体" w:eastAsia="宋体" w:cs="宋体"/>
          <w:b w:val="0"/>
          <w:bCs w:val="0"/>
          <w:color w:val="000000"/>
          <w:kern w:val="2"/>
          <w:szCs w:val="24"/>
          <w:highlight w:val="none"/>
          <w:u w:val="single"/>
          <w:lang w:val="zh-TW" w:eastAsia="zh-TW"/>
        </w:rPr>
        <w:t>直至养护期满并办理建管移交手续</w:t>
      </w:r>
      <w:r>
        <w:rPr>
          <w:rFonts w:hint="eastAsia" w:ascii="宋体" w:hAnsi="宋体" w:eastAsia="宋体" w:cs="宋体"/>
          <w:b w:val="0"/>
          <w:bCs w:val="0"/>
          <w:color w:val="000000"/>
          <w:kern w:val="2"/>
          <w:szCs w:val="24"/>
          <w:highlight w:val="none"/>
          <w:u w:val="single"/>
          <w:lang w:val="zh-TW"/>
        </w:rPr>
        <w:t>，</w:t>
      </w:r>
      <w:r>
        <w:rPr>
          <w:rFonts w:hint="eastAsia" w:ascii="宋体" w:hAnsi="宋体" w:eastAsia="宋体" w:cs="宋体"/>
          <w:b w:val="0"/>
          <w:bCs w:val="0"/>
          <w:color w:val="000000"/>
          <w:kern w:val="2"/>
          <w:szCs w:val="24"/>
          <w:highlight w:val="none"/>
          <w:u w:val="single"/>
          <w:lang w:val="zh-TW" w:eastAsia="zh-TW"/>
        </w:rPr>
        <w:t>建管移交按照南通市关于印发《南通市区园林绿化工程建管交接管理办法》的通知（通政园管[2019]101号）执行。</w:t>
      </w:r>
    </w:p>
    <w:p w14:paraId="6EE37AE9">
      <w:pPr>
        <w:pageBreakBefore w:val="0"/>
        <w:widowControl w:val="0"/>
        <w:numPr>
          <w:ilvl w:val="0"/>
          <w:numId w:val="7"/>
        </w:numPr>
        <w:kinsoku/>
        <w:wordWrap/>
        <w:overflowPunct/>
        <w:topLinePunct w:val="0"/>
        <w:bidi w:val="0"/>
        <w:adjustRightInd/>
        <w:snapToGrid w:val="0"/>
        <w:spacing w:line="360" w:lineRule="auto"/>
        <w:ind w:right="-420" w:rightChars="-200" w:firstLine="480" w:firstLineChars="200"/>
        <w:textAlignment w:val="auto"/>
        <w:rPr>
          <w:rFonts w:hint="eastAsia" w:ascii="宋体" w:hAnsi="宋体" w:cs="宋体"/>
          <w:bCs w:val="0"/>
          <w:color w:val="000000"/>
          <w:sz w:val="24"/>
          <w:szCs w:val="24"/>
          <w:highlight w:val="none"/>
        </w:rPr>
      </w:pPr>
      <w:r>
        <w:rPr>
          <w:rFonts w:hint="eastAsia" w:ascii="宋体" w:hAnsi="宋体" w:cs="宋体"/>
          <w:bCs w:val="0"/>
          <w:color w:val="000000"/>
          <w:sz w:val="24"/>
          <w:szCs w:val="24"/>
          <w:highlight w:val="none"/>
        </w:rPr>
        <w:t>违约</w:t>
      </w:r>
      <w:bookmarkEnd w:id="1617"/>
      <w:bookmarkEnd w:id="1618"/>
      <w:bookmarkEnd w:id="1619"/>
      <w:bookmarkEnd w:id="1620"/>
    </w:p>
    <w:p w14:paraId="6760B703">
      <w:pPr>
        <w:pageBreakBefore w:val="0"/>
        <w:widowControl w:val="0"/>
        <w:numPr>
          <w:ilvl w:val="0"/>
          <w:numId w:val="0"/>
        </w:numPr>
        <w:kinsoku/>
        <w:wordWrap/>
        <w:overflowPunct/>
        <w:topLinePunct w:val="0"/>
        <w:bidi w:val="0"/>
        <w:adjustRightInd/>
        <w:snapToGrid w:val="0"/>
        <w:spacing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16.1发包人违约</w:t>
      </w:r>
    </w:p>
    <w:p w14:paraId="3DD26780">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16.1.1发包人违约的情形</w:t>
      </w:r>
    </w:p>
    <w:p w14:paraId="226A55A3">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发包人违约的其他情形：</w:t>
      </w:r>
      <w:r>
        <w:rPr>
          <w:rFonts w:hint="eastAsia" w:ascii="宋体" w:hAnsi="宋体" w:cs="宋体"/>
          <w:color w:val="000000"/>
          <w:kern w:val="0"/>
          <w:highlight w:val="none"/>
          <w:u w:val="single"/>
        </w:rPr>
        <w:t xml:space="preserve">           /              </w:t>
      </w:r>
      <w:r>
        <w:rPr>
          <w:rFonts w:hint="eastAsia" w:ascii="宋体" w:hAnsi="宋体" w:cs="宋体"/>
          <w:color w:val="000000"/>
          <w:kern w:val="0"/>
          <w:highlight w:val="none"/>
        </w:rPr>
        <w:t>。</w:t>
      </w:r>
    </w:p>
    <w:p w14:paraId="132D91C7">
      <w:pPr>
        <w:pageBreakBefore w:val="0"/>
        <w:widowControl w:val="0"/>
        <w:kinsoku/>
        <w:wordWrap/>
        <w:overflowPunct/>
        <w:topLinePunct w:val="0"/>
        <w:bidi w:val="0"/>
        <w:adjustRightInd/>
        <w:snapToGrid w:val="0"/>
        <w:spacing w:line="360" w:lineRule="auto"/>
        <w:ind w:left="1050" w:right="-420" w:rightChars="-200" w:hanging="1050" w:hangingChars="500"/>
        <w:textAlignment w:val="auto"/>
        <w:rPr>
          <w:rFonts w:ascii="宋体" w:hAnsi="宋体" w:cs="宋体"/>
          <w:color w:val="000000"/>
          <w:kern w:val="0"/>
          <w:highlight w:val="none"/>
        </w:rPr>
      </w:pPr>
      <w:r>
        <w:rPr>
          <w:rFonts w:hint="eastAsia" w:ascii="宋体" w:hAnsi="宋体" w:cs="宋体"/>
          <w:color w:val="000000"/>
          <w:kern w:val="0"/>
          <w:highlight w:val="none"/>
        </w:rPr>
        <w:t xml:space="preserve">    16.1.2 发包人违约的责任</w:t>
      </w:r>
    </w:p>
    <w:p w14:paraId="53F640C1">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发包人违约责任的承担方式和计算方法：</w:t>
      </w:r>
    </w:p>
    <w:p w14:paraId="30831837">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rPr>
        <w:t>（1）因发包人原因未能在计划开工日期前7天内下达开工通知的违约责任：</w:t>
      </w:r>
      <w:r>
        <w:rPr>
          <w:rFonts w:hint="eastAsia" w:ascii="宋体" w:hAnsi="宋体" w:cs="宋体"/>
          <w:color w:val="000000"/>
          <w:kern w:val="0"/>
          <w:highlight w:val="none"/>
          <w:u w:val="single"/>
        </w:rPr>
        <w:t>免</w:t>
      </w:r>
      <w:r>
        <w:rPr>
          <w:rFonts w:hint="eastAsia" w:ascii="宋体" w:hAnsi="宋体" w:cs="宋体"/>
          <w:color w:val="000000"/>
          <w:kern w:val="0"/>
          <w:highlight w:val="none"/>
        </w:rPr>
        <w:t>。</w:t>
      </w:r>
    </w:p>
    <w:p w14:paraId="62B415F2">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2）因发包人原因未能按合同约定支付合同价款的违约责任：因发包人未按合同约定及时拨付工程款导致农民工工资拖欠的，发包人应当以未结清的工程款为限先行垫付被拖欠的农民工工资，垫付款在结算时扣回。</w:t>
      </w:r>
    </w:p>
    <w:p w14:paraId="2DF686A4">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（3）发包人违反第10.1款〔变更的范围〕第（2）项约定，自行实施被取消的工作或转由他人实施的违约责任：</w:t>
      </w:r>
      <w:r>
        <w:rPr>
          <w:rFonts w:hint="eastAsia" w:ascii="宋体" w:hAnsi="宋体" w:cs="宋体"/>
          <w:color w:val="000000"/>
          <w:kern w:val="0"/>
          <w:highlight w:val="none"/>
          <w:u w:val="single"/>
        </w:rPr>
        <w:t>免</w:t>
      </w:r>
      <w:r>
        <w:rPr>
          <w:rFonts w:hint="eastAsia" w:ascii="宋体" w:hAnsi="宋体" w:cs="宋体"/>
          <w:color w:val="000000"/>
          <w:kern w:val="0"/>
          <w:highlight w:val="none"/>
        </w:rPr>
        <w:t>。</w:t>
      </w:r>
    </w:p>
    <w:p w14:paraId="40B51A37">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000000"/>
          <w:kern w:val="0"/>
          <w:highlight w:val="none"/>
          <w:u w:val="single"/>
        </w:rPr>
        <w:t xml:space="preserve">     /      </w:t>
      </w:r>
      <w:r>
        <w:rPr>
          <w:rFonts w:hint="eastAsia" w:ascii="宋体" w:hAnsi="宋体" w:cs="宋体"/>
          <w:color w:val="000000"/>
          <w:kern w:val="0"/>
          <w:highlight w:val="none"/>
        </w:rPr>
        <w:t>。</w:t>
      </w:r>
    </w:p>
    <w:p w14:paraId="040F5828">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（5）因发包人违反合同约定造成暂停施工的违约责任：</w:t>
      </w:r>
      <w:r>
        <w:rPr>
          <w:rFonts w:hint="eastAsia" w:ascii="宋体" w:hAnsi="宋体" w:cs="宋体"/>
          <w:color w:val="000000"/>
          <w:kern w:val="0"/>
          <w:highlight w:val="none"/>
          <w:u w:val="single"/>
        </w:rPr>
        <w:t>免</w:t>
      </w:r>
      <w:r>
        <w:rPr>
          <w:rFonts w:hint="eastAsia" w:ascii="宋体" w:hAnsi="宋体" w:cs="宋体"/>
          <w:color w:val="000000"/>
          <w:kern w:val="0"/>
          <w:highlight w:val="none"/>
        </w:rPr>
        <w:t>。</w:t>
      </w:r>
    </w:p>
    <w:p w14:paraId="3B249B7F">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（6）发包人无正当理由没有在约定期限内发出复工指示，导致承包人无法复工的违约责任：</w:t>
      </w:r>
      <w:r>
        <w:rPr>
          <w:rFonts w:hint="eastAsia" w:ascii="宋体" w:hAnsi="宋体" w:cs="宋体"/>
          <w:color w:val="000000"/>
          <w:kern w:val="0"/>
          <w:highlight w:val="none"/>
          <w:u w:val="single"/>
        </w:rPr>
        <w:t>免</w:t>
      </w:r>
      <w:r>
        <w:rPr>
          <w:rFonts w:hint="eastAsia" w:ascii="宋体" w:hAnsi="宋体" w:cs="宋体"/>
          <w:color w:val="000000"/>
          <w:kern w:val="0"/>
          <w:highlight w:val="none"/>
        </w:rPr>
        <w:t>。</w:t>
      </w:r>
    </w:p>
    <w:p w14:paraId="3F9C441E">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（7）其他：</w:t>
      </w:r>
      <w:r>
        <w:rPr>
          <w:rFonts w:hint="eastAsia" w:ascii="宋体" w:hAnsi="宋体" w:cs="宋体"/>
          <w:color w:val="000000"/>
          <w:kern w:val="0"/>
          <w:highlight w:val="none"/>
          <w:u w:val="single"/>
        </w:rPr>
        <w:t xml:space="preserve">                /                  </w:t>
      </w:r>
      <w:r>
        <w:rPr>
          <w:rFonts w:hint="eastAsia" w:ascii="宋体" w:hAnsi="宋体" w:cs="宋体"/>
          <w:color w:val="000000"/>
          <w:kern w:val="0"/>
          <w:highlight w:val="none"/>
        </w:rPr>
        <w:t>。</w:t>
      </w:r>
    </w:p>
    <w:p w14:paraId="0A4965FB">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16.1.3 因发包人违约解除合同</w:t>
      </w:r>
    </w:p>
    <w:p w14:paraId="4D0BC55D">
      <w:pPr>
        <w:pageBreakBefore w:val="0"/>
        <w:widowControl w:val="0"/>
        <w:kinsoku/>
        <w:wordWrap/>
        <w:overflowPunct/>
        <w:topLinePunct w:val="0"/>
        <w:autoSpaceDE w:val="0"/>
        <w:autoSpaceDN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承包人按16.1.1项〔发包人违约的情形〕约定暂停施工满</w:t>
      </w:r>
      <w:r>
        <w:rPr>
          <w:rFonts w:hint="eastAsia" w:ascii="宋体" w:hAnsi="宋体" w:cs="宋体"/>
          <w:color w:val="000000"/>
          <w:kern w:val="0"/>
          <w:highlight w:val="none"/>
          <w:u w:val="single"/>
        </w:rPr>
        <w:t xml:space="preserve"> / </w:t>
      </w:r>
      <w:r>
        <w:rPr>
          <w:rFonts w:hint="eastAsia" w:ascii="宋体" w:hAnsi="宋体" w:cs="宋体"/>
          <w:color w:val="000000"/>
          <w:kern w:val="0"/>
          <w:highlight w:val="none"/>
        </w:rPr>
        <w:t>天后发包人仍不纠正其违约行为并致使合同目的不能实现的，承包人有权解除合同。</w:t>
      </w:r>
    </w:p>
    <w:p w14:paraId="074B57FD">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16.2承包人违约</w:t>
      </w:r>
    </w:p>
    <w:p w14:paraId="3AC84C16">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16.2.1 承包人违约的情形</w:t>
      </w:r>
    </w:p>
    <w:p w14:paraId="3AD9067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16.2.1.1承包人违约的其他情形：</w:t>
      </w:r>
    </w:p>
    <w:p w14:paraId="36457395">
      <w:pPr>
        <w:pageBreakBefore w:val="0"/>
        <w:widowControl w:val="0"/>
        <w:numPr>
          <w:ilvl w:val="0"/>
          <w:numId w:val="8"/>
        </w:numPr>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无正当理由不执行合同；</w:t>
      </w:r>
    </w:p>
    <w:p w14:paraId="7FF8D351">
      <w:pPr>
        <w:pageBreakBefore w:val="0"/>
        <w:widowControl w:val="0"/>
        <w:numPr>
          <w:ilvl w:val="0"/>
          <w:numId w:val="8"/>
        </w:numPr>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未能遵守监理人根据第4.3.6款发出的要求承包人改正的通知；</w:t>
      </w:r>
    </w:p>
    <w:p w14:paraId="7D5D5394">
      <w:pPr>
        <w:pageBreakBefore w:val="0"/>
        <w:widowControl w:val="0"/>
        <w:numPr>
          <w:ilvl w:val="0"/>
          <w:numId w:val="8"/>
        </w:numPr>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承包人违反第3.2款的规定随意更换项目经理和项目主要人员；</w:t>
      </w:r>
    </w:p>
    <w:p w14:paraId="3963D2DD">
      <w:pPr>
        <w:pageBreakBefore w:val="0"/>
        <w:widowControl w:val="0"/>
        <w:numPr>
          <w:ilvl w:val="0"/>
          <w:numId w:val="8"/>
        </w:numPr>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未能遵守第8.2.4款和第8.2.5款使用承包人的设备；</w:t>
      </w:r>
    </w:p>
    <w:p w14:paraId="499D9ED0">
      <w:pPr>
        <w:pageBreakBefore w:val="0"/>
        <w:widowControl w:val="0"/>
        <w:numPr>
          <w:ilvl w:val="0"/>
          <w:numId w:val="8"/>
        </w:numPr>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无正当理由而未能按照第7.3.2.5.1款的规定日期竣工；</w:t>
      </w:r>
    </w:p>
    <w:p w14:paraId="5A82B704">
      <w:pPr>
        <w:pageBreakBefore w:val="0"/>
        <w:widowControl w:val="0"/>
        <w:numPr>
          <w:ilvl w:val="0"/>
          <w:numId w:val="8"/>
        </w:numPr>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承包人未按照第15.4.6款的约定进行保修；</w:t>
      </w:r>
    </w:p>
    <w:p w14:paraId="140274C9">
      <w:pPr>
        <w:pageBreakBefore w:val="0"/>
        <w:widowControl w:val="0"/>
        <w:numPr>
          <w:ilvl w:val="0"/>
          <w:numId w:val="8"/>
        </w:numPr>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承包人文明工地未达到第6.3.3款的约定；</w:t>
      </w:r>
    </w:p>
    <w:p w14:paraId="3536C5DD">
      <w:pPr>
        <w:pageBreakBefore w:val="0"/>
        <w:widowControl w:val="0"/>
        <w:numPr>
          <w:ilvl w:val="0"/>
          <w:numId w:val="8"/>
        </w:numPr>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承包人违反第1.8款廉洁条款或其他恶意行为；</w:t>
      </w:r>
    </w:p>
    <w:p w14:paraId="368092FE">
      <w:pPr>
        <w:pageBreakBefore w:val="0"/>
        <w:widowControl w:val="0"/>
        <w:numPr>
          <w:ilvl w:val="0"/>
          <w:numId w:val="8"/>
        </w:numPr>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因承包人原因危害了公共安全、公共环境或其他人员的利益；</w:t>
      </w:r>
    </w:p>
    <w:p w14:paraId="5FB84B66">
      <w:pPr>
        <w:pageBreakBefore w:val="0"/>
        <w:widowControl w:val="0"/>
        <w:numPr>
          <w:ilvl w:val="0"/>
          <w:numId w:val="8"/>
        </w:numPr>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承包人在本合同执行过程中在质量、进度、安全生产、文明施工等方面出现严重问题，事实上已经构成对发包人的社会形象产生严重影响；</w:t>
      </w:r>
    </w:p>
    <w:p w14:paraId="4FBEFE55">
      <w:pPr>
        <w:pageBreakBefore w:val="0"/>
        <w:widowControl w:val="0"/>
        <w:numPr>
          <w:ilvl w:val="0"/>
          <w:numId w:val="8"/>
        </w:numPr>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承包人拒不接受相关部门(包括但不限于政府质量、安全监督部门等)的监督、协调管理与决定。</w:t>
      </w:r>
    </w:p>
    <w:p w14:paraId="151B5DD0">
      <w:pPr>
        <w:pageBreakBefore w:val="0"/>
        <w:widowControl w:val="0"/>
        <w:numPr>
          <w:ilvl w:val="0"/>
          <w:numId w:val="8"/>
        </w:numPr>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承包人农民工欠薪清偿条款</w:t>
      </w:r>
    </w:p>
    <w:p w14:paraId="319105DB">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a.承包人未及时支付农民工工资，由承包人承担清偿农民工工资的责任。</w:t>
      </w:r>
    </w:p>
    <w:p w14:paraId="0DCDAF8C">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u w:val="single"/>
        </w:rPr>
      </w:pPr>
      <w:r>
        <w:rPr>
          <w:rFonts w:hint="eastAsia" w:ascii="宋体" w:hAnsi="宋体" w:cs="宋体"/>
          <w:color w:val="000000"/>
          <w:highlight w:val="none"/>
          <w:u w:val="single"/>
        </w:rPr>
        <w:t>b.承包人对分包单位劳动用工和工资发放等情况进行监督，分包单位拖欠农民工工资的，由承包人先行清偿，再依法进行追偿。</w:t>
      </w:r>
    </w:p>
    <w:p w14:paraId="5A4A5651">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u w:val="single"/>
        </w:rPr>
      </w:pPr>
      <w:r>
        <w:rPr>
          <w:rFonts w:hint="eastAsia" w:ascii="宋体" w:hAnsi="宋体" w:cs="宋体"/>
          <w:color w:val="000000"/>
          <w:highlight w:val="none"/>
          <w:u w:val="single"/>
        </w:rPr>
        <w:t>c.承包人转包或违法分包导致拖欠农民工工资的，由承包人承担清偿农民工工资的责任。</w:t>
      </w:r>
      <w:r>
        <w:rPr>
          <w:rFonts w:hint="eastAsia" w:ascii="宋体" w:hAnsi="宋体" w:cs="宋体"/>
          <w:color w:val="000000"/>
          <w:kern w:val="0"/>
          <w:highlight w:val="none"/>
          <w:u w:val="single"/>
        </w:rPr>
        <w:t>承包人承担违约责任，赔偿因其违约给发包人造成的损失。</w:t>
      </w:r>
    </w:p>
    <w:p w14:paraId="06D0CF71">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u w:val="single"/>
        </w:rPr>
      </w:pPr>
      <w:r>
        <w:rPr>
          <w:rFonts w:hint="eastAsia" w:ascii="宋体" w:hAnsi="宋体" w:cs="宋体"/>
          <w:color w:val="000000"/>
          <w:kern w:val="0"/>
          <w:highlight w:val="none"/>
          <w:u w:val="single"/>
        </w:rPr>
        <w:t>16.2.1.2当承包人出现以上违约情况而不改正或不停止违约行为时，发包人有权解除合同并将承包人逐出现场，并聘请其他人完成承包人合同工程，承包人应承担由此产生的一切费用及赔偿责任。</w:t>
      </w:r>
    </w:p>
    <w:p w14:paraId="5950AE9A">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16.2.2承包人违约的责任</w:t>
      </w:r>
    </w:p>
    <w:p w14:paraId="378ADFB9">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承包人违约责任的承担方式和计算方法：</w:t>
      </w:r>
    </w:p>
    <w:p w14:paraId="21377AF1">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kern w:val="0"/>
          <w:highlight w:val="none"/>
          <w:u w:val="single"/>
        </w:rPr>
      </w:pPr>
      <w:r>
        <w:rPr>
          <w:rFonts w:hint="eastAsia" w:ascii="宋体" w:hAnsi="宋体" w:cs="宋体"/>
          <w:kern w:val="0"/>
          <w:highlight w:val="none"/>
          <w:u w:val="single"/>
        </w:rPr>
        <w:t>（1）若因承包人原因未按期开工，则按延期每天</w:t>
      </w:r>
      <w:r>
        <w:rPr>
          <w:rFonts w:hint="eastAsia" w:ascii="宋体" w:hAnsi="宋体" w:cs="宋体"/>
          <w:kern w:val="0"/>
          <w:highlight w:val="none"/>
          <w:u w:val="single"/>
          <w:lang w:val="en-US" w:eastAsia="zh-CN"/>
        </w:rPr>
        <w:t>500</w:t>
      </w:r>
      <w:r>
        <w:rPr>
          <w:rFonts w:hint="eastAsia" w:ascii="宋体" w:hAnsi="宋体" w:cs="宋体"/>
          <w:kern w:val="0"/>
          <w:highlight w:val="none"/>
          <w:u w:val="single"/>
        </w:rPr>
        <w:t>元向发包人支付违约金；若超过十五天，承包人除支付违约金外，发包人有权解除合同。</w:t>
      </w:r>
    </w:p>
    <w:p w14:paraId="556985E6">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kern w:val="0"/>
          <w:highlight w:val="none"/>
          <w:u w:val="single"/>
        </w:rPr>
      </w:pPr>
      <w:r>
        <w:rPr>
          <w:rFonts w:hint="eastAsia" w:ascii="宋体" w:hAnsi="宋体" w:cs="宋体"/>
          <w:kern w:val="0"/>
          <w:highlight w:val="none"/>
          <w:u w:val="single"/>
        </w:rPr>
        <w:t>（2）承包人必须服从发包人和监理工程师的管理监督，施工中发生的质量问题必须及时整改，因承包人原因被责令停工和返工，所造成的责任与损失均由承包人承担 。</w:t>
      </w:r>
    </w:p>
    <w:p w14:paraId="2E50EDCE">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kern w:val="0"/>
          <w:highlight w:val="none"/>
          <w:u w:val="single"/>
        </w:rPr>
      </w:pPr>
      <w:r>
        <w:rPr>
          <w:rFonts w:hint="eastAsia" w:ascii="宋体" w:hAnsi="宋体" w:cs="宋体"/>
          <w:kern w:val="0"/>
          <w:highlight w:val="none"/>
          <w:u w:val="single"/>
        </w:rPr>
        <w:t>（3）承包人出现严重安全、质量事故，或在发包人规定的整改期限内达不到整改要求或明显无法按期完工的，发包人有权解除合同并要求施工单位退场，并按验收合格的工程量的50%款项结算。</w:t>
      </w:r>
    </w:p>
    <w:p w14:paraId="5C3AEEFB">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kern w:val="0"/>
          <w:highlight w:val="none"/>
          <w:u w:val="single"/>
        </w:rPr>
      </w:pPr>
      <w:r>
        <w:rPr>
          <w:rFonts w:hint="eastAsia" w:ascii="宋体" w:hAnsi="宋体" w:cs="宋体"/>
          <w:kern w:val="0"/>
          <w:highlight w:val="none"/>
          <w:u w:val="single"/>
        </w:rPr>
        <w:t>（4）若由于承包人原因造成施工质量存在严重缺陷，则发包人有权解除合同，并限令退场，除工程履约保证金不予退还外，还应承担赔偿发包人损失的责任。</w:t>
      </w:r>
    </w:p>
    <w:p w14:paraId="25D87C48">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kern w:val="0"/>
          <w:highlight w:val="none"/>
          <w:u w:val="single"/>
        </w:rPr>
      </w:pPr>
      <w:r>
        <w:rPr>
          <w:rFonts w:hint="eastAsia" w:ascii="宋体" w:hAnsi="宋体" w:cs="宋体"/>
          <w:kern w:val="0"/>
          <w:highlight w:val="none"/>
          <w:u w:val="single"/>
        </w:rPr>
        <w:t>（5）承包人必须达到合同约定的质量标准，达不到标准的，除履约保证金不予退还外，还必须负责返工、修理；经返工、修理后，仍不能消除质量缺陷或隐患，不能达到设计标准和施工要求的，发包人有权解除合同，并减少或拒绝支付工程款。造成发包人经济损失的，仍由承包人承担。</w:t>
      </w:r>
    </w:p>
    <w:p w14:paraId="48ACDDE5">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kern w:val="0"/>
          <w:highlight w:val="none"/>
          <w:u w:val="single"/>
        </w:rPr>
      </w:pPr>
      <w:r>
        <w:rPr>
          <w:rFonts w:hint="eastAsia" w:ascii="宋体" w:hAnsi="宋体" w:cs="宋体"/>
          <w:kern w:val="0"/>
          <w:highlight w:val="none"/>
          <w:u w:val="single"/>
        </w:rPr>
        <w:t>（6）承包人将本工程转包或违法分包的，一经发现，取消承包人的施工资格，已完工程量不予结算，同时发包人将依照相关法律法规要求，视情节在全国建筑市场监管公共服务平台予以公布；</w:t>
      </w:r>
    </w:p>
    <w:p w14:paraId="6EF16FF3">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highlight w:val="none"/>
        </w:rPr>
      </w:pPr>
      <w:r>
        <w:rPr>
          <w:rFonts w:hint="eastAsia" w:ascii="宋体" w:hAnsi="宋体" w:cs="宋体"/>
          <w:color w:val="000000"/>
          <w:highlight w:val="none"/>
        </w:rPr>
        <w:t>16.2.3 因承包人违约解除合同</w:t>
      </w:r>
    </w:p>
    <w:p w14:paraId="688D2495">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关于承包人违约解除合同的特别约定：</w:t>
      </w:r>
    </w:p>
    <w:p w14:paraId="3B50DEC6">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kern w:val="0"/>
          <w:highlight w:val="none"/>
          <w:u w:val="single"/>
        </w:rPr>
      </w:pPr>
      <w:r>
        <w:rPr>
          <w:rFonts w:hint="eastAsia" w:ascii="宋体" w:hAnsi="宋体" w:cs="宋体"/>
          <w:kern w:val="0"/>
          <w:highlight w:val="none"/>
          <w:u w:val="single"/>
          <w:lang w:eastAsia="zh-CN"/>
        </w:rPr>
        <w:t>（</w:t>
      </w:r>
      <w:r>
        <w:rPr>
          <w:rFonts w:hint="eastAsia" w:ascii="宋体" w:hAnsi="宋体" w:cs="宋体"/>
          <w:kern w:val="0"/>
          <w:highlight w:val="none"/>
          <w:u w:val="single"/>
          <w:lang w:val="en-US" w:eastAsia="zh-CN"/>
        </w:rPr>
        <w:t>1</w:t>
      </w:r>
      <w:r>
        <w:rPr>
          <w:rFonts w:hint="eastAsia" w:ascii="宋体" w:hAnsi="宋体" w:cs="宋体"/>
          <w:kern w:val="0"/>
          <w:highlight w:val="none"/>
          <w:u w:val="single"/>
          <w:lang w:eastAsia="zh-CN"/>
        </w:rPr>
        <w:t>）</w:t>
      </w:r>
      <w:r>
        <w:rPr>
          <w:rFonts w:hint="eastAsia" w:ascii="宋体" w:hAnsi="宋体" w:cs="宋体"/>
          <w:kern w:val="0"/>
          <w:highlight w:val="none"/>
          <w:u w:val="single"/>
        </w:rPr>
        <w:t>若因承包人原因未按期开工，则按延期每天</w:t>
      </w:r>
      <w:r>
        <w:rPr>
          <w:rFonts w:hint="eastAsia" w:ascii="宋体" w:hAnsi="宋体" w:cs="宋体"/>
          <w:kern w:val="0"/>
          <w:highlight w:val="none"/>
          <w:u w:val="single"/>
          <w:lang w:val="en-US" w:eastAsia="zh-CN"/>
        </w:rPr>
        <w:t>500</w:t>
      </w:r>
      <w:r>
        <w:rPr>
          <w:rFonts w:hint="eastAsia" w:ascii="宋体" w:hAnsi="宋体" w:cs="宋体"/>
          <w:kern w:val="0"/>
          <w:highlight w:val="none"/>
          <w:u w:val="single"/>
        </w:rPr>
        <w:t>元向发包人支付违约金；若超过十五天，则承包人除支付违约金外，发包人有权解除合同；</w:t>
      </w:r>
    </w:p>
    <w:p w14:paraId="027952FF">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kern w:val="0"/>
          <w:highlight w:val="none"/>
          <w:u w:val="single"/>
        </w:rPr>
      </w:pPr>
      <w:r>
        <w:rPr>
          <w:rFonts w:hint="eastAsia" w:ascii="宋体" w:hAnsi="宋体" w:cs="宋体"/>
          <w:kern w:val="0"/>
          <w:highlight w:val="none"/>
          <w:u w:val="single"/>
          <w:lang w:eastAsia="zh-CN"/>
        </w:rPr>
        <w:t>（</w:t>
      </w:r>
      <w:r>
        <w:rPr>
          <w:rFonts w:hint="eastAsia" w:ascii="宋体" w:hAnsi="宋体" w:cs="宋体"/>
          <w:kern w:val="0"/>
          <w:highlight w:val="none"/>
          <w:u w:val="single"/>
          <w:lang w:val="en-US" w:eastAsia="zh-CN"/>
        </w:rPr>
        <w:t>2</w:t>
      </w:r>
      <w:r>
        <w:rPr>
          <w:rFonts w:hint="eastAsia" w:ascii="宋体" w:hAnsi="宋体" w:cs="宋体"/>
          <w:kern w:val="0"/>
          <w:highlight w:val="none"/>
          <w:u w:val="single"/>
          <w:lang w:eastAsia="zh-CN"/>
        </w:rPr>
        <w:t>）</w:t>
      </w:r>
      <w:r>
        <w:rPr>
          <w:rFonts w:hint="eastAsia" w:ascii="宋体" w:hAnsi="宋体" w:cs="宋体"/>
          <w:kern w:val="0"/>
          <w:highlight w:val="none"/>
          <w:u w:val="single"/>
        </w:rPr>
        <w:t>若由于承包人原因造成施工质量存在严重缺陷，则发包人有权解除合同，并限令退场，除工程质量保证金不予退还外，还应承担赔偿发包人损失的责任；</w:t>
      </w:r>
    </w:p>
    <w:p w14:paraId="7B59BA74">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kern w:val="0"/>
          <w:highlight w:val="none"/>
          <w:u w:val="single"/>
        </w:rPr>
      </w:pPr>
      <w:r>
        <w:rPr>
          <w:rFonts w:hint="eastAsia" w:ascii="宋体" w:hAnsi="宋体" w:cs="宋体"/>
          <w:kern w:val="0"/>
          <w:highlight w:val="none"/>
          <w:u w:val="single"/>
          <w:lang w:eastAsia="zh-CN"/>
        </w:rPr>
        <w:t>（</w:t>
      </w:r>
      <w:r>
        <w:rPr>
          <w:rFonts w:hint="eastAsia" w:ascii="宋体" w:hAnsi="宋体" w:cs="宋体"/>
          <w:kern w:val="0"/>
          <w:highlight w:val="none"/>
          <w:u w:val="single"/>
          <w:lang w:val="en-US" w:eastAsia="zh-CN"/>
        </w:rPr>
        <w:t>3</w:t>
      </w:r>
      <w:r>
        <w:rPr>
          <w:rFonts w:hint="eastAsia" w:ascii="宋体" w:hAnsi="宋体" w:cs="宋体"/>
          <w:kern w:val="0"/>
          <w:highlight w:val="none"/>
          <w:u w:val="single"/>
          <w:lang w:eastAsia="zh-CN"/>
        </w:rPr>
        <w:t>）</w:t>
      </w:r>
      <w:r>
        <w:rPr>
          <w:rFonts w:hint="eastAsia" w:ascii="宋体" w:hAnsi="宋体" w:cs="宋体"/>
          <w:kern w:val="0"/>
          <w:highlight w:val="none"/>
          <w:u w:val="single"/>
        </w:rPr>
        <w:t>承包人必须达到合同约定的质量标准，达不到标准的，除履约保证金不予退还外，还必须负责返工、修理；经返工、修理后，仍不能消除质量缺陷或隐患，不能达到设计标准和施工要求的，发包人有权解除合同，并减少或拒绝支付工程款。造成发包人经济损失的，仍由承包人承担；</w:t>
      </w:r>
    </w:p>
    <w:p w14:paraId="4A39A4EB">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kern w:val="0"/>
          <w:highlight w:val="none"/>
          <w:u w:val="single"/>
        </w:rPr>
      </w:pPr>
      <w:r>
        <w:rPr>
          <w:rFonts w:hint="eastAsia" w:ascii="宋体" w:hAnsi="宋体" w:cs="宋体"/>
          <w:kern w:val="0"/>
          <w:highlight w:val="none"/>
          <w:u w:val="single"/>
          <w:lang w:eastAsia="zh-CN"/>
        </w:rPr>
        <w:t>（</w:t>
      </w:r>
      <w:r>
        <w:rPr>
          <w:rFonts w:hint="eastAsia" w:ascii="宋体" w:hAnsi="宋体" w:cs="宋体"/>
          <w:kern w:val="0"/>
          <w:highlight w:val="none"/>
          <w:u w:val="single"/>
          <w:lang w:val="en-US" w:eastAsia="zh-CN"/>
        </w:rPr>
        <w:t>4</w:t>
      </w:r>
      <w:r>
        <w:rPr>
          <w:rFonts w:hint="eastAsia" w:ascii="宋体" w:hAnsi="宋体" w:cs="宋体"/>
          <w:kern w:val="0"/>
          <w:highlight w:val="none"/>
          <w:u w:val="single"/>
          <w:lang w:eastAsia="zh-CN"/>
        </w:rPr>
        <w:t>）</w:t>
      </w:r>
      <w:r>
        <w:rPr>
          <w:rFonts w:hint="eastAsia" w:ascii="宋体" w:hAnsi="宋体" w:cs="宋体"/>
          <w:kern w:val="0"/>
          <w:highlight w:val="none"/>
          <w:u w:val="single"/>
        </w:rPr>
        <w:t>承包人出现严重安全、质量事故，或在发包人规定的整改期限内达不到整改要求或明显无法按期完工的，发包人有权解除合同并要求承包人退场，承包人接到退场通知后应立即无条件退场。对已完部分的工程同意发包人按已验收合格工程量的50%结算工程价款；</w:t>
      </w:r>
    </w:p>
    <w:p w14:paraId="4D21F25F">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kern w:val="0"/>
          <w:highlight w:val="none"/>
          <w:u w:val="single"/>
        </w:rPr>
      </w:pPr>
      <w:r>
        <w:rPr>
          <w:rFonts w:hint="eastAsia" w:ascii="宋体" w:hAnsi="宋体" w:cs="宋体"/>
          <w:kern w:val="0"/>
          <w:highlight w:val="none"/>
          <w:u w:val="single"/>
          <w:lang w:eastAsia="zh-CN"/>
        </w:rPr>
        <w:t>（</w:t>
      </w:r>
      <w:r>
        <w:rPr>
          <w:rFonts w:hint="eastAsia" w:ascii="宋体" w:hAnsi="宋体" w:cs="宋体"/>
          <w:kern w:val="0"/>
          <w:highlight w:val="none"/>
          <w:u w:val="single"/>
          <w:lang w:val="en-US" w:eastAsia="zh-CN"/>
        </w:rPr>
        <w:t>5</w:t>
      </w:r>
      <w:r>
        <w:rPr>
          <w:rFonts w:hint="eastAsia" w:ascii="宋体" w:hAnsi="宋体" w:cs="宋体"/>
          <w:kern w:val="0"/>
          <w:highlight w:val="none"/>
          <w:u w:val="single"/>
          <w:lang w:eastAsia="zh-CN"/>
        </w:rPr>
        <w:t>）</w:t>
      </w:r>
      <w:r>
        <w:rPr>
          <w:rFonts w:hint="eastAsia" w:ascii="宋体" w:hAnsi="宋体" w:cs="宋体"/>
          <w:kern w:val="0"/>
          <w:highlight w:val="none"/>
          <w:u w:val="single"/>
        </w:rPr>
        <w:t>在履行合同过程中，承包人不得转包和分包，一经发现，发包人可以解除本合同，并不予退还全额履约保证金，并且已完成的工程量不予结算，所造成的责任与损失均由承包人承担；</w:t>
      </w:r>
    </w:p>
    <w:p w14:paraId="494243E9">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kern w:val="0"/>
          <w:highlight w:val="none"/>
        </w:rPr>
      </w:pPr>
      <w:r>
        <w:rPr>
          <w:rFonts w:hint="eastAsia" w:ascii="宋体" w:hAnsi="宋体" w:cs="宋体"/>
          <w:kern w:val="0"/>
          <w:highlight w:val="none"/>
          <w:u w:val="single"/>
          <w:lang w:eastAsia="zh-CN"/>
        </w:rPr>
        <w:t>（</w:t>
      </w:r>
      <w:r>
        <w:rPr>
          <w:rFonts w:hint="eastAsia" w:ascii="宋体" w:hAnsi="宋体" w:cs="宋体"/>
          <w:kern w:val="0"/>
          <w:highlight w:val="none"/>
          <w:u w:val="single"/>
          <w:lang w:val="en-US" w:eastAsia="zh-CN"/>
        </w:rPr>
        <w:t>6</w:t>
      </w:r>
      <w:r>
        <w:rPr>
          <w:rFonts w:hint="eastAsia" w:ascii="宋体" w:hAnsi="宋体" w:cs="宋体"/>
          <w:kern w:val="0"/>
          <w:highlight w:val="none"/>
          <w:u w:val="single"/>
          <w:lang w:eastAsia="zh-CN"/>
        </w:rPr>
        <w:t>）</w:t>
      </w:r>
      <w:r>
        <w:rPr>
          <w:rFonts w:hint="eastAsia" w:ascii="宋体" w:hAnsi="宋体" w:cs="宋体"/>
          <w:kern w:val="0"/>
          <w:highlight w:val="none"/>
          <w:u w:val="single"/>
        </w:rPr>
        <w:t>合同中规定的其他情形</w:t>
      </w:r>
      <w:r>
        <w:rPr>
          <w:rFonts w:hint="eastAsia" w:ascii="宋体" w:hAnsi="宋体" w:cs="宋体"/>
          <w:kern w:val="0"/>
          <w:highlight w:val="none"/>
        </w:rPr>
        <w:t>。</w:t>
      </w:r>
    </w:p>
    <w:p w14:paraId="6F4E0ADD">
      <w:pPr>
        <w:pageBreakBefore w:val="0"/>
        <w:widowControl w:val="0"/>
        <w:kinsoku/>
        <w:wordWrap/>
        <w:overflowPunct/>
        <w:topLinePunct w:val="0"/>
        <w:bidi w:val="0"/>
        <w:adjustRightInd/>
        <w:snapToGrid w:val="0"/>
        <w:spacing w:line="360" w:lineRule="auto"/>
        <w:ind w:right="0" w:rightChars="0" w:firstLine="420" w:firstLineChars="200"/>
        <w:textAlignment w:val="auto"/>
        <w:rPr>
          <w:rFonts w:ascii="宋体" w:hAnsi="宋体" w:cs="宋体"/>
          <w:color w:val="000000"/>
          <w:kern w:val="0"/>
          <w:highlight w:val="none"/>
        </w:rPr>
      </w:pPr>
      <w:r>
        <w:rPr>
          <w:rFonts w:hint="eastAsia" w:ascii="宋体" w:hAnsi="宋体" w:cs="宋体"/>
          <w:color w:val="000000"/>
          <w:kern w:val="0"/>
          <w:highlight w:val="none"/>
        </w:rPr>
        <w:t>发包人继续使用承包人在施工现场的材料、设备、临时工程、承包人文件和由承包人或以其名义编制的其他文件的费用承担方式：</w:t>
      </w:r>
      <w:r>
        <w:rPr>
          <w:rFonts w:hint="eastAsia" w:ascii="宋体" w:hAnsi="宋体" w:cs="宋体"/>
          <w:color w:val="000000"/>
          <w:kern w:val="0"/>
          <w:highlight w:val="none"/>
          <w:u w:val="single"/>
        </w:rPr>
        <w:t xml:space="preserve">        /       </w:t>
      </w:r>
      <w:r>
        <w:rPr>
          <w:rFonts w:hint="eastAsia" w:ascii="宋体" w:hAnsi="宋体" w:cs="宋体"/>
          <w:color w:val="000000"/>
          <w:kern w:val="0"/>
          <w:highlight w:val="none"/>
        </w:rPr>
        <w:t>。</w:t>
      </w:r>
    </w:p>
    <w:p w14:paraId="3561739D">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623" w:name="_Toc351203649"/>
      <w:bookmarkStart w:id="1624" w:name="_Toc14527"/>
      <w:bookmarkStart w:id="1625" w:name="_Toc2542"/>
      <w:bookmarkStart w:id="1626" w:name="_Toc69909981"/>
      <w:r>
        <w:rPr>
          <w:rFonts w:hint="eastAsia" w:ascii="宋体" w:hAnsi="宋体" w:cs="宋体"/>
          <w:bCs w:val="0"/>
          <w:color w:val="000000"/>
          <w:sz w:val="24"/>
          <w:szCs w:val="24"/>
          <w:highlight w:val="none"/>
        </w:rPr>
        <w:t>17. 不可抗力</w:t>
      </w:r>
      <w:bookmarkEnd w:id="1621"/>
      <w:bookmarkEnd w:id="1623"/>
      <w:bookmarkEnd w:id="1624"/>
      <w:bookmarkEnd w:id="1625"/>
      <w:bookmarkEnd w:id="1626"/>
    </w:p>
    <w:p w14:paraId="5B312B17">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17.1不可抗力的确认</w:t>
      </w:r>
    </w:p>
    <w:p w14:paraId="78BBC76A">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除通用合同条款约定的不可抗力事件之外，视为不可抗力的其他情形：</w:t>
      </w:r>
      <w:r>
        <w:rPr>
          <w:rFonts w:hint="eastAsia" w:ascii="宋体" w:hAnsi="宋体" w:cs="宋体"/>
          <w:color w:val="000000"/>
          <w:highlight w:val="none"/>
          <w:lang w:val="en-US" w:eastAsia="zh-CN"/>
        </w:rPr>
        <w:t>按保险条款解释。</w:t>
      </w:r>
      <w:r>
        <w:rPr>
          <w:rFonts w:hint="eastAsia" w:ascii="宋体" w:hAnsi="宋体" w:cs="宋体"/>
          <w:color w:val="000000"/>
          <w:highlight w:val="none"/>
        </w:rPr>
        <w:t xml:space="preserve"> </w:t>
      </w:r>
    </w:p>
    <w:p w14:paraId="03E46F83">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17.4因不可抗力解除合同</w:t>
      </w:r>
    </w:p>
    <w:p w14:paraId="6520E008">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合同解除后，发包人应在商定或确定发包人应支付款项后</w:t>
      </w:r>
      <w:r>
        <w:rPr>
          <w:rFonts w:hint="eastAsia" w:ascii="宋体" w:hAnsi="宋体" w:cs="宋体"/>
          <w:color w:val="000000"/>
          <w:highlight w:val="none"/>
          <w:u w:val="single"/>
        </w:rPr>
        <w:t xml:space="preserve"> </w:t>
      </w:r>
      <w:r>
        <w:rPr>
          <w:rFonts w:hint="eastAsia" w:ascii="宋体" w:hAnsi="宋体" w:cs="宋体"/>
          <w:color w:val="000000"/>
          <w:highlight w:val="none"/>
          <w:u w:val="single"/>
          <w:lang w:val="en-US" w:eastAsia="zh-CN"/>
        </w:rPr>
        <w:t>30</w:t>
      </w:r>
      <w:r>
        <w:rPr>
          <w:rFonts w:hint="eastAsia" w:ascii="宋体" w:hAnsi="宋体" w:cs="宋体"/>
          <w:color w:val="000000"/>
          <w:highlight w:val="none"/>
          <w:u w:val="single"/>
        </w:rPr>
        <w:t xml:space="preserve"> </w:t>
      </w:r>
      <w:r>
        <w:rPr>
          <w:rFonts w:hint="eastAsia" w:ascii="宋体" w:hAnsi="宋体" w:cs="宋体"/>
          <w:color w:val="000000"/>
          <w:highlight w:val="none"/>
        </w:rPr>
        <w:t>天内完成款项的支付。</w:t>
      </w:r>
    </w:p>
    <w:p w14:paraId="7012F3D6">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627" w:name="_Toc351203650"/>
      <w:bookmarkStart w:id="1628" w:name="_Toc13527"/>
      <w:bookmarkStart w:id="1629" w:name="_Toc69909982"/>
      <w:r>
        <w:rPr>
          <w:rFonts w:hint="eastAsia" w:ascii="宋体" w:hAnsi="宋体" w:cs="宋体"/>
          <w:bCs w:val="0"/>
          <w:color w:val="000000"/>
          <w:sz w:val="24"/>
          <w:szCs w:val="24"/>
          <w:highlight w:val="none"/>
        </w:rPr>
        <w:t>18. 保险</w:t>
      </w:r>
      <w:bookmarkEnd w:id="1622"/>
      <w:bookmarkEnd w:id="1627"/>
      <w:bookmarkEnd w:id="1628"/>
      <w:bookmarkEnd w:id="1629"/>
      <w:r>
        <w:rPr>
          <w:rFonts w:hint="eastAsia" w:ascii="宋体" w:hAnsi="宋体" w:cs="宋体"/>
          <w:bCs w:val="0"/>
          <w:color w:val="000000"/>
          <w:sz w:val="24"/>
          <w:szCs w:val="24"/>
          <w:highlight w:val="none"/>
        </w:rPr>
        <w:t xml:space="preserve"> </w:t>
      </w:r>
    </w:p>
    <w:p w14:paraId="0AD13EE0">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rPr>
        <w:t>18.1工程保险</w:t>
      </w:r>
    </w:p>
    <w:p w14:paraId="54E803AB">
      <w:pPr>
        <w:pageBreakBefore w:val="0"/>
        <w:widowControl w:val="0"/>
        <w:kinsoku/>
        <w:wordWrap/>
        <w:overflowPunct/>
        <w:topLinePunct w:val="0"/>
        <w:bidi w:val="0"/>
        <w:adjustRightInd/>
        <w:snapToGrid w:val="0"/>
        <w:spacing w:line="360" w:lineRule="auto"/>
        <w:ind w:right="0" w:rightChars="0" w:firstLine="420" w:firstLineChars="200"/>
        <w:textAlignment w:val="auto"/>
        <w:rPr>
          <w:rFonts w:hint="default" w:ascii="宋体" w:hAnsi="宋体" w:eastAsia="宋体" w:cs="宋体"/>
          <w:color w:val="000000"/>
          <w:highlight w:val="none"/>
          <w:lang w:val="en-US" w:eastAsia="zh-CN"/>
        </w:rPr>
      </w:pPr>
      <w:r>
        <w:rPr>
          <w:rFonts w:hint="eastAsia" w:ascii="宋体" w:hAnsi="宋体" w:cs="宋体"/>
          <w:color w:val="000000"/>
          <w:highlight w:val="none"/>
        </w:rPr>
        <w:t>关于工程保险的特别约定：</w:t>
      </w:r>
      <w:r>
        <w:rPr>
          <w:rFonts w:hint="eastAsia" w:ascii="宋体" w:hAnsi="宋体" w:eastAsia="宋体" w:cs="宋体"/>
          <w:color w:val="000000"/>
          <w:szCs w:val="24"/>
          <w:highlight w:val="none"/>
          <w:u w:val="single"/>
        </w:rPr>
        <w:t>工程相关保险由承包人自行考虑投保，费用已在合同总价中，如不办理，一切责任由承包人自行负责</w:t>
      </w:r>
      <w:r>
        <w:rPr>
          <w:rFonts w:hint="eastAsia" w:ascii="宋体" w:hAnsi="宋体" w:cs="宋体"/>
          <w:color w:val="000000"/>
          <w:kern w:val="0"/>
          <w:highlight w:val="none"/>
        </w:rPr>
        <w:t>。</w:t>
      </w:r>
    </w:p>
    <w:p w14:paraId="3E3AD53C">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18.3其他保险</w:t>
      </w:r>
    </w:p>
    <w:p w14:paraId="65AB0C6E">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hint="eastAsia" w:ascii="宋体" w:hAnsi="宋体" w:cs="宋体"/>
          <w:strike/>
          <w:dstrike w:val="0"/>
          <w:color w:val="000000"/>
          <w:highlight w:val="none"/>
          <w:u w:val="single"/>
        </w:rPr>
      </w:pPr>
      <w:r>
        <w:rPr>
          <w:rFonts w:hint="eastAsia" w:ascii="宋体" w:hAnsi="宋体" w:cs="宋体"/>
          <w:color w:val="000000"/>
          <w:highlight w:val="none"/>
        </w:rPr>
        <w:t>承包人是否应为其施工设备等办理财产保险：</w:t>
      </w:r>
      <w:r>
        <w:rPr>
          <w:rFonts w:hint="eastAsia" w:ascii="宋体" w:hAnsi="宋体" w:cs="宋体"/>
          <w:color w:val="000000"/>
          <w:highlight w:val="none"/>
          <w:u w:val="single"/>
        </w:rPr>
        <w:t xml:space="preserve"> 是 </w:t>
      </w:r>
      <w:r>
        <w:rPr>
          <w:rFonts w:hint="eastAsia" w:ascii="宋体" w:hAnsi="宋体" w:cs="宋体"/>
          <w:color w:val="000000"/>
          <w:highlight w:val="none"/>
        </w:rPr>
        <w:t>。</w:t>
      </w:r>
    </w:p>
    <w:bookmarkEnd w:id="1595"/>
    <w:bookmarkEnd w:id="1596"/>
    <w:bookmarkEnd w:id="1597"/>
    <w:bookmarkEnd w:id="1598"/>
    <w:bookmarkEnd w:id="1599"/>
    <w:bookmarkEnd w:id="1600"/>
    <w:bookmarkEnd w:id="1601"/>
    <w:bookmarkEnd w:id="1602"/>
    <w:bookmarkEnd w:id="1603"/>
    <w:bookmarkEnd w:id="1604"/>
    <w:bookmarkEnd w:id="1605"/>
    <w:bookmarkEnd w:id="1606"/>
    <w:p w14:paraId="3CA96808">
      <w:pPr>
        <w:pStyle w:val="5"/>
        <w:pageBreakBefore w:val="0"/>
        <w:widowControl w:val="0"/>
        <w:kinsoku/>
        <w:wordWrap/>
        <w:overflowPunct/>
        <w:topLinePunct w:val="0"/>
        <w:bidi w:val="0"/>
        <w:adjustRightInd/>
        <w:snapToGrid w:val="0"/>
        <w:spacing w:line="360" w:lineRule="auto"/>
        <w:ind w:right="-420" w:rightChars="-200"/>
        <w:textAlignment w:val="auto"/>
        <w:rPr>
          <w:rFonts w:ascii="宋体" w:hAnsi="宋体" w:cs="宋体"/>
          <w:bCs w:val="0"/>
          <w:color w:val="000000"/>
          <w:sz w:val="24"/>
          <w:szCs w:val="24"/>
          <w:highlight w:val="none"/>
        </w:rPr>
      </w:pPr>
      <w:bookmarkStart w:id="1630" w:name="_Toc23076"/>
      <w:bookmarkStart w:id="1631" w:name="_Toc16712"/>
      <w:bookmarkStart w:id="1632" w:name="_Toc351203651"/>
      <w:bookmarkStart w:id="1633" w:name="_Toc69909983"/>
      <w:r>
        <w:rPr>
          <w:rFonts w:hint="eastAsia" w:ascii="宋体" w:hAnsi="宋体" w:cs="宋体"/>
          <w:bCs w:val="0"/>
          <w:color w:val="000000"/>
          <w:sz w:val="24"/>
          <w:szCs w:val="24"/>
          <w:highlight w:val="none"/>
        </w:rPr>
        <w:t>20. 争议解决</w:t>
      </w:r>
      <w:bookmarkEnd w:id="1630"/>
      <w:bookmarkEnd w:id="1631"/>
      <w:bookmarkEnd w:id="1632"/>
      <w:bookmarkEnd w:id="1633"/>
    </w:p>
    <w:bookmarkEnd w:id="1607"/>
    <w:bookmarkEnd w:id="1608"/>
    <w:bookmarkEnd w:id="1609"/>
    <w:p w14:paraId="109240C3">
      <w:pPr>
        <w:pStyle w:val="6"/>
        <w:pageBreakBefore w:val="0"/>
        <w:widowControl w:val="0"/>
        <w:kinsoku/>
        <w:wordWrap/>
        <w:overflowPunct/>
        <w:topLinePunct w:val="0"/>
        <w:bidi w:val="0"/>
        <w:adjustRightInd/>
        <w:snapToGrid w:val="0"/>
        <w:spacing w:before="0" w:after="0" w:line="360" w:lineRule="auto"/>
        <w:ind w:right="-420" w:rightChars="-200" w:firstLine="420" w:firstLineChars="200"/>
        <w:textAlignment w:val="auto"/>
        <w:rPr>
          <w:rFonts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20.4仲裁或诉讼</w:t>
      </w:r>
      <w:bookmarkEnd w:id="1610"/>
    </w:p>
    <w:p w14:paraId="7F1AD414">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ascii="宋体" w:hAnsi="宋体" w:cs="宋体"/>
          <w:color w:val="000000"/>
          <w:highlight w:val="none"/>
        </w:rPr>
      </w:pPr>
      <w:r>
        <w:rPr>
          <w:rFonts w:hint="eastAsia" w:ascii="宋体" w:hAnsi="宋体" w:cs="宋体"/>
          <w:color w:val="000000"/>
          <w:highlight w:val="none"/>
        </w:rPr>
        <w:t>因合同及合同有关事项发生的争议，按下列第</w:t>
      </w:r>
      <w:r>
        <w:rPr>
          <w:rFonts w:hint="eastAsia" w:ascii="宋体" w:hAnsi="宋体" w:cs="宋体"/>
          <w:color w:val="000000"/>
          <w:highlight w:val="none"/>
          <w:u w:val="single"/>
        </w:rPr>
        <w:t>（1）</w:t>
      </w:r>
      <w:r>
        <w:rPr>
          <w:rFonts w:hint="eastAsia" w:ascii="宋体" w:hAnsi="宋体" w:cs="宋体"/>
          <w:color w:val="000000"/>
          <w:highlight w:val="none"/>
        </w:rPr>
        <w:t>种方式解决：</w:t>
      </w:r>
    </w:p>
    <w:p w14:paraId="1F59E5C5">
      <w:pPr>
        <w:pageBreakBefore w:val="0"/>
        <w:widowControl w:val="0"/>
        <w:kinsoku/>
        <w:wordWrap/>
        <w:overflowPunct/>
        <w:topLinePunct w:val="0"/>
        <w:bidi w:val="0"/>
        <w:adjustRightInd/>
        <w:snapToGrid w:val="0"/>
        <w:spacing w:line="360" w:lineRule="auto"/>
        <w:ind w:right="-420" w:rightChars="-200" w:firstLine="420" w:firstLineChars="200"/>
        <w:textAlignment w:val="auto"/>
        <w:rPr>
          <w:rFonts w:hint="eastAsia" w:ascii="宋体" w:hAnsi="宋体" w:eastAsia="宋体" w:cs="宋体"/>
          <w:color w:val="000000"/>
          <w:highlight w:val="none"/>
          <w:lang w:eastAsia="zh-CN"/>
        </w:rPr>
      </w:pPr>
      <w:r>
        <w:rPr>
          <w:rFonts w:hint="eastAsia" w:ascii="宋体" w:hAnsi="宋体" w:cs="宋体"/>
          <w:color w:val="000000"/>
          <w:highlight w:val="none"/>
        </w:rPr>
        <w:t>（1）向</w:t>
      </w:r>
      <w:r>
        <w:rPr>
          <w:rFonts w:hint="eastAsia" w:ascii="宋体" w:hAnsi="宋体" w:cs="宋体"/>
          <w:color w:val="000000"/>
          <w:highlight w:val="none"/>
          <w:u w:val="single"/>
        </w:rPr>
        <w:t>南通</w:t>
      </w:r>
      <w:r>
        <w:rPr>
          <w:rFonts w:hint="eastAsia" w:ascii="宋体" w:hAnsi="宋体" w:cs="宋体"/>
          <w:color w:val="000000"/>
          <w:highlight w:val="none"/>
        </w:rPr>
        <w:t>仲裁委员会申请仲裁</w:t>
      </w:r>
      <w:r>
        <w:rPr>
          <w:rFonts w:hint="eastAsia" w:ascii="宋体" w:hAnsi="宋体" w:cs="宋体"/>
          <w:color w:val="000000"/>
          <w:highlight w:val="none"/>
          <w:lang w:eastAsia="zh-CN"/>
        </w:rPr>
        <w:t>。</w:t>
      </w:r>
    </w:p>
    <w:bookmarkEnd w:id="1611"/>
    <w:bookmarkEnd w:id="1612"/>
    <w:bookmarkEnd w:id="1613"/>
    <w:bookmarkEnd w:id="1614"/>
    <w:bookmarkEnd w:id="1615"/>
    <w:bookmarkEnd w:id="1616"/>
    <w:p w14:paraId="1122E98D">
      <w:pPr>
        <w:pStyle w:val="3"/>
        <w:pageBreakBefore w:val="0"/>
        <w:widowControl w:val="0"/>
        <w:kinsoku/>
        <w:wordWrap/>
        <w:overflowPunct/>
        <w:topLinePunct w:val="0"/>
        <w:bidi w:val="0"/>
        <w:adjustRightInd/>
        <w:snapToGrid w:val="0"/>
        <w:spacing w:before="0" w:after="0" w:line="360" w:lineRule="auto"/>
        <w:ind w:right="-420" w:rightChars="-200"/>
        <w:jc w:val="center"/>
        <w:textAlignment w:val="auto"/>
        <w:rPr>
          <w:rFonts w:ascii="宋体" w:hAnsi="宋体" w:cs="宋体"/>
          <w:b/>
          <w:sz w:val="21"/>
          <w:szCs w:val="21"/>
          <w:highlight w:val="none"/>
        </w:rPr>
      </w:pPr>
      <w:bookmarkStart w:id="1634" w:name="_Toc8515"/>
      <w:bookmarkStart w:id="1635" w:name="_Toc34827495"/>
      <w:bookmarkStart w:id="1636" w:name="_Toc69891494"/>
      <w:bookmarkStart w:id="1637" w:name="_Toc9270"/>
      <w:bookmarkStart w:id="1638" w:name="_Toc11313"/>
      <w:bookmarkStart w:id="1639" w:name="_Toc34826955"/>
      <w:bookmarkStart w:id="1640" w:name="_Toc69909984"/>
      <w:bookmarkStart w:id="1641" w:name="_Toc29900"/>
      <w:bookmarkStart w:id="1642" w:name="_Toc25328"/>
      <w:r>
        <w:rPr>
          <w:rFonts w:hint="eastAsia" w:ascii="宋体" w:hAnsi="宋体" w:cs="宋体"/>
          <w:b/>
          <w:bCs/>
          <w:sz w:val="32"/>
          <w:szCs w:val="44"/>
          <w:highlight w:val="none"/>
        </w:rPr>
        <w:br w:type="page"/>
      </w:r>
      <w:bookmarkStart w:id="1643" w:name="_Toc17105"/>
      <w:r>
        <w:rPr>
          <w:rFonts w:hint="eastAsia" w:ascii="宋体" w:hAnsi="宋体" w:cs="宋体"/>
          <w:b/>
          <w:bCs/>
          <w:sz w:val="32"/>
          <w:szCs w:val="44"/>
          <w:highlight w:val="none"/>
        </w:rPr>
        <w:t>第</w:t>
      </w:r>
      <w:r>
        <w:rPr>
          <w:rFonts w:hint="eastAsia" w:cs="宋体"/>
          <w:b/>
          <w:bCs/>
          <w:sz w:val="32"/>
          <w:szCs w:val="44"/>
          <w:highlight w:val="none"/>
        </w:rPr>
        <w:t>四</w:t>
      </w:r>
      <w:r>
        <w:rPr>
          <w:rFonts w:hint="eastAsia" w:ascii="宋体" w:hAnsi="宋体" w:cs="宋体"/>
          <w:b/>
          <w:bCs/>
          <w:sz w:val="32"/>
          <w:szCs w:val="44"/>
          <w:highlight w:val="none"/>
        </w:rPr>
        <w:t>部分  合同附件</w:t>
      </w:r>
      <w:bookmarkEnd w:id="1634"/>
      <w:bookmarkEnd w:id="1635"/>
      <w:bookmarkEnd w:id="1636"/>
      <w:bookmarkEnd w:id="1637"/>
      <w:bookmarkEnd w:id="1638"/>
      <w:bookmarkEnd w:id="1639"/>
      <w:bookmarkEnd w:id="1640"/>
      <w:bookmarkEnd w:id="1641"/>
      <w:bookmarkEnd w:id="1642"/>
      <w:bookmarkEnd w:id="1643"/>
    </w:p>
    <w:p w14:paraId="02B8C100">
      <w:pPr>
        <w:keepNext w:val="0"/>
        <w:keepLines w:val="0"/>
        <w:pageBreakBefore w:val="0"/>
        <w:widowControl w:val="0"/>
        <w:kinsoku/>
        <w:wordWrap/>
        <w:overflowPunct/>
        <w:topLinePunct w:val="0"/>
        <w:autoSpaceDE/>
        <w:autoSpaceDN/>
        <w:bidi w:val="0"/>
        <w:adjustRightInd/>
        <w:snapToGrid/>
        <w:spacing w:line="360" w:lineRule="auto"/>
        <w:ind w:right="-420" w:rightChars="-200"/>
        <w:textAlignment w:val="auto"/>
        <w:rPr>
          <w:rFonts w:ascii="宋体" w:hAnsi="宋体" w:cs="宋体"/>
          <w:highlight w:val="none"/>
        </w:rPr>
      </w:pPr>
      <w:r>
        <w:rPr>
          <w:rFonts w:hint="eastAsia" w:ascii="宋体" w:hAnsi="宋体" w:cs="宋体"/>
          <w:highlight w:val="none"/>
        </w:rPr>
        <w:t>协议书附件：</w:t>
      </w:r>
    </w:p>
    <w:p w14:paraId="70478DC6">
      <w:pPr>
        <w:keepNext w:val="0"/>
        <w:keepLines w:val="0"/>
        <w:pageBreakBefore w:val="0"/>
        <w:widowControl w:val="0"/>
        <w:kinsoku/>
        <w:wordWrap/>
        <w:overflowPunct/>
        <w:topLinePunct w:val="0"/>
        <w:autoSpaceDE/>
        <w:autoSpaceDN/>
        <w:bidi w:val="0"/>
        <w:adjustRightInd/>
        <w:snapToGrid/>
        <w:spacing w:line="360" w:lineRule="auto"/>
        <w:ind w:right="-420" w:rightChars="-200"/>
        <w:textAlignment w:val="auto"/>
        <w:outlineLvl w:val="0"/>
        <w:rPr>
          <w:rFonts w:ascii="宋体" w:hAnsi="宋体" w:cs="宋体"/>
          <w:highlight w:val="none"/>
        </w:rPr>
      </w:pPr>
      <w:bookmarkStart w:id="1644" w:name="_Toc2812"/>
      <w:bookmarkStart w:id="1645" w:name="_Toc20084"/>
      <w:bookmarkStart w:id="1646" w:name="_Toc3771"/>
      <w:bookmarkStart w:id="1647" w:name="_Toc26097"/>
      <w:bookmarkStart w:id="1648" w:name="_Toc1121"/>
      <w:bookmarkStart w:id="1649" w:name="_Toc1053"/>
      <w:r>
        <w:rPr>
          <w:rFonts w:hint="eastAsia" w:ascii="宋体" w:hAnsi="宋体" w:cs="宋体"/>
          <w:highlight w:val="none"/>
        </w:rPr>
        <w:t>附件1：承包人承揽工程项目一览表</w:t>
      </w:r>
      <w:bookmarkEnd w:id="1644"/>
      <w:bookmarkEnd w:id="1645"/>
      <w:bookmarkEnd w:id="1646"/>
      <w:bookmarkEnd w:id="1647"/>
      <w:bookmarkEnd w:id="1648"/>
      <w:bookmarkEnd w:id="1649"/>
    </w:p>
    <w:p w14:paraId="54671E98">
      <w:pPr>
        <w:keepNext w:val="0"/>
        <w:keepLines w:val="0"/>
        <w:pageBreakBefore w:val="0"/>
        <w:widowControl w:val="0"/>
        <w:kinsoku/>
        <w:wordWrap/>
        <w:overflowPunct/>
        <w:topLinePunct w:val="0"/>
        <w:autoSpaceDE/>
        <w:autoSpaceDN/>
        <w:bidi w:val="0"/>
        <w:adjustRightInd/>
        <w:snapToGrid/>
        <w:spacing w:line="360" w:lineRule="auto"/>
        <w:ind w:right="-420" w:rightChars="-200"/>
        <w:textAlignment w:val="auto"/>
        <w:outlineLvl w:val="0"/>
        <w:rPr>
          <w:rFonts w:ascii="宋体" w:hAnsi="宋体" w:cs="宋体"/>
          <w:highlight w:val="none"/>
        </w:rPr>
      </w:pPr>
      <w:bookmarkStart w:id="1650" w:name="_Toc11687"/>
      <w:bookmarkStart w:id="1651" w:name="_Toc5710"/>
      <w:bookmarkStart w:id="1652" w:name="_Toc8270"/>
      <w:bookmarkStart w:id="1653" w:name="_Toc26832"/>
      <w:bookmarkStart w:id="1654" w:name="_Toc22421"/>
      <w:bookmarkStart w:id="1655" w:name="_Toc1906"/>
      <w:r>
        <w:rPr>
          <w:rFonts w:hint="eastAsia" w:ascii="宋体" w:hAnsi="宋体" w:cs="宋体"/>
          <w:highlight w:val="none"/>
        </w:rPr>
        <w:t>附件2：发包人供应材料设备一览表</w:t>
      </w:r>
      <w:bookmarkEnd w:id="1650"/>
      <w:bookmarkEnd w:id="1651"/>
      <w:bookmarkEnd w:id="1652"/>
      <w:bookmarkEnd w:id="1653"/>
      <w:bookmarkEnd w:id="1654"/>
      <w:bookmarkEnd w:id="1655"/>
    </w:p>
    <w:p w14:paraId="546ECCAA">
      <w:pPr>
        <w:keepNext w:val="0"/>
        <w:keepLines w:val="0"/>
        <w:pageBreakBefore w:val="0"/>
        <w:widowControl w:val="0"/>
        <w:kinsoku/>
        <w:wordWrap/>
        <w:overflowPunct/>
        <w:topLinePunct w:val="0"/>
        <w:autoSpaceDE/>
        <w:autoSpaceDN/>
        <w:bidi w:val="0"/>
        <w:adjustRightInd/>
        <w:snapToGrid/>
        <w:spacing w:line="360" w:lineRule="auto"/>
        <w:ind w:right="-420" w:rightChars="-200"/>
        <w:textAlignment w:val="auto"/>
        <w:outlineLvl w:val="0"/>
        <w:rPr>
          <w:rFonts w:ascii="宋体" w:hAnsi="宋体" w:cs="宋体"/>
          <w:highlight w:val="none"/>
        </w:rPr>
      </w:pPr>
      <w:bookmarkStart w:id="1656" w:name="_Toc17805"/>
      <w:bookmarkStart w:id="1657" w:name="_Toc24058"/>
      <w:bookmarkStart w:id="1658" w:name="_Toc17737"/>
      <w:bookmarkStart w:id="1659" w:name="_Toc32501"/>
      <w:bookmarkStart w:id="1660" w:name="_Toc23282"/>
      <w:bookmarkStart w:id="1661" w:name="_Toc11303"/>
      <w:r>
        <w:rPr>
          <w:rFonts w:hint="eastAsia" w:ascii="宋体" w:hAnsi="宋体" w:cs="宋体"/>
          <w:highlight w:val="none"/>
        </w:rPr>
        <w:t>附件3：工程质量保修书</w:t>
      </w:r>
      <w:bookmarkEnd w:id="1656"/>
      <w:bookmarkEnd w:id="1657"/>
      <w:bookmarkEnd w:id="1658"/>
      <w:bookmarkEnd w:id="1659"/>
      <w:bookmarkEnd w:id="1660"/>
      <w:bookmarkEnd w:id="1661"/>
    </w:p>
    <w:p w14:paraId="52B2BBBD">
      <w:pPr>
        <w:keepNext w:val="0"/>
        <w:keepLines w:val="0"/>
        <w:pageBreakBefore w:val="0"/>
        <w:widowControl w:val="0"/>
        <w:kinsoku/>
        <w:wordWrap/>
        <w:overflowPunct/>
        <w:topLinePunct w:val="0"/>
        <w:autoSpaceDE/>
        <w:autoSpaceDN/>
        <w:bidi w:val="0"/>
        <w:adjustRightInd/>
        <w:snapToGrid/>
        <w:spacing w:line="360" w:lineRule="auto"/>
        <w:ind w:right="-420" w:rightChars="-200"/>
        <w:textAlignment w:val="auto"/>
        <w:outlineLvl w:val="0"/>
        <w:rPr>
          <w:rFonts w:ascii="宋体" w:hAnsi="宋体" w:cs="宋体"/>
          <w:highlight w:val="none"/>
        </w:rPr>
      </w:pPr>
      <w:bookmarkStart w:id="1662" w:name="_Toc11615"/>
      <w:bookmarkStart w:id="1663" w:name="_Toc3935"/>
      <w:bookmarkStart w:id="1664" w:name="_Toc30508"/>
      <w:bookmarkStart w:id="1665" w:name="_Toc31374"/>
      <w:bookmarkStart w:id="1666" w:name="_Toc31243"/>
      <w:bookmarkStart w:id="1667" w:name="_Toc25719"/>
      <w:r>
        <w:rPr>
          <w:rFonts w:hint="eastAsia" w:ascii="宋体" w:hAnsi="宋体" w:cs="宋体"/>
          <w:highlight w:val="none"/>
        </w:rPr>
        <w:t>附件4：安全生产协议书</w:t>
      </w:r>
      <w:bookmarkEnd w:id="1662"/>
      <w:bookmarkEnd w:id="1663"/>
      <w:bookmarkEnd w:id="1664"/>
      <w:bookmarkEnd w:id="1665"/>
      <w:bookmarkEnd w:id="1666"/>
    </w:p>
    <w:bookmarkEnd w:id="1667"/>
    <w:p w14:paraId="5AF02665">
      <w:pPr>
        <w:keepNext w:val="0"/>
        <w:keepLines w:val="0"/>
        <w:pageBreakBefore w:val="0"/>
        <w:widowControl w:val="0"/>
        <w:kinsoku/>
        <w:wordWrap/>
        <w:overflowPunct/>
        <w:topLinePunct w:val="0"/>
        <w:autoSpaceDE/>
        <w:autoSpaceDN/>
        <w:bidi w:val="0"/>
        <w:adjustRightInd/>
        <w:snapToGrid/>
        <w:spacing w:line="360" w:lineRule="auto"/>
        <w:ind w:right="-420" w:rightChars="-200"/>
        <w:textAlignment w:val="auto"/>
        <w:outlineLvl w:val="0"/>
        <w:rPr>
          <w:rFonts w:ascii="宋体" w:hAnsi="宋体" w:cs="宋体"/>
          <w:highlight w:val="none"/>
        </w:rPr>
      </w:pPr>
      <w:bookmarkStart w:id="1668" w:name="_Toc8667"/>
      <w:bookmarkStart w:id="1669" w:name="_Toc32139"/>
      <w:bookmarkStart w:id="1670" w:name="_Toc7712"/>
      <w:bookmarkStart w:id="1671" w:name="_Toc2726"/>
      <w:bookmarkStart w:id="1672" w:name="_Toc24986"/>
      <w:r>
        <w:rPr>
          <w:rFonts w:hint="eastAsia" w:ascii="宋体" w:hAnsi="宋体" w:cs="宋体"/>
          <w:highlight w:val="none"/>
        </w:rPr>
        <w:t>附件</w:t>
      </w:r>
      <w:r>
        <w:rPr>
          <w:rFonts w:hint="eastAsia" w:ascii="宋体" w:hAnsi="宋体" w:cs="宋体"/>
          <w:highlight w:val="none"/>
          <w:lang w:val="en-US" w:eastAsia="zh-CN"/>
        </w:rPr>
        <w:t>5</w:t>
      </w:r>
      <w:r>
        <w:rPr>
          <w:rFonts w:hint="eastAsia" w:ascii="宋体" w:hAnsi="宋体" w:cs="宋体"/>
          <w:highlight w:val="none"/>
        </w:rPr>
        <w:t>：承包人用于本工程施工的机械设备表</w:t>
      </w:r>
      <w:bookmarkEnd w:id="1668"/>
      <w:bookmarkEnd w:id="1669"/>
      <w:bookmarkEnd w:id="1670"/>
      <w:bookmarkEnd w:id="1671"/>
      <w:bookmarkEnd w:id="1672"/>
    </w:p>
    <w:p w14:paraId="1673953E">
      <w:pPr>
        <w:keepNext w:val="0"/>
        <w:keepLines w:val="0"/>
        <w:pageBreakBefore w:val="0"/>
        <w:widowControl w:val="0"/>
        <w:kinsoku/>
        <w:wordWrap/>
        <w:overflowPunct/>
        <w:topLinePunct w:val="0"/>
        <w:autoSpaceDE/>
        <w:autoSpaceDN/>
        <w:bidi w:val="0"/>
        <w:adjustRightInd/>
        <w:snapToGrid/>
        <w:spacing w:line="360" w:lineRule="auto"/>
        <w:ind w:right="-420" w:rightChars="-200"/>
        <w:textAlignment w:val="auto"/>
        <w:outlineLvl w:val="0"/>
        <w:rPr>
          <w:rFonts w:hint="eastAsia" w:ascii="宋体" w:hAnsi="宋体" w:cs="宋体"/>
          <w:highlight w:val="none"/>
        </w:rPr>
      </w:pPr>
      <w:bookmarkStart w:id="1673" w:name="_Toc17147"/>
      <w:bookmarkStart w:id="1674" w:name="_Toc17906"/>
      <w:bookmarkStart w:id="1675" w:name="_Toc21424"/>
      <w:bookmarkStart w:id="1676" w:name="_Toc3161"/>
      <w:bookmarkStart w:id="1677" w:name="_Toc25298"/>
      <w:bookmarkStart w:id="1678" w:name="_Toc18425"/>
      <w:r>
        <w:rPr>
          <w:rFonts w:hint="eastAsia" w:ascii="宋体" w:hAnsi="宋体" w:cs="宋体"/>
          <w:highlight w:val="none"/>
        </w:rPr>
        <w:t>附件</w:t>
      </w:r>
      <w:r>
        <w:rPr>
          <w:rFonts w:hint="eastAsia" w:ascii="宋体" w:hAnsi="宋体" w:cs="宋体"/>
          <w:highlight w:val="none"/>
          <w:lang w:val="en-US" w:eastAsia="zh-CN"/>
        </w:rPr>
        <w:t>6</w:t>
      </w:r>
      <w:r>
        <w:rPr>
          <w:rFonts w:hint="eastAsia" w:ascii="宋体" w:hAnsi="宋体" w:cs="宋体"/>
          <w:highlight w:val="none"/>
        </w:rPr>
        <w:t>：承包人主要施工管理人员表</w:t>
      </w:r>
      <w:bookmarkEnd w:id="1673"/>
      <w:bookmarkEnd w:id="1674"/>
      <w:bookmarkEnd w:id="1675"/>
      <w:bookmarkEnd w:id="1676"/>
      <w:bookmarkEnd w:id="1677"/>
      <w:bookmarkEnd w:id="1678"/>
    </w:p>
    <w:p w14:paraId="41BF08AB">
      <w:pPr>
        <w:keepNext w:val="0"/>
        <w:keepLines w:val="0"/>
        <w:pageBreakBefore w:val="0"/>
        <w:widowControl w:val="0"/>
        <w:kinsoku/>
        <w:wordWrap/>
        <w:overflowPunct/>
        <w:topLinePunct w:val="0"/>
        <w:autoSpaceDE/>
        <w:autoSpaceDN/>
        <w:bidi w:val="0"/>
        <w:adjustRightInd/>
        <w:snapToGrid/>
        <w:spacing w:line="360" w:lineRule="auto"/>
        <w:ind w:right="-420" w:rightChars="-200"/>
        <w:textAlignment w:val="auto"/>
        <w:outlineLvl w:val="0"/>
        <w:rPr>
          <w:rFonts w:hint="default" w:eastAsia="宋体"/>
          <w:highlight w:val="none"/>
          <w:lang w:val="en-US" w:eastAsia="zh-CN"/>
        </w:rPr>
      </w:pPr>
      <w:r>
        <w:rPr>
          <w:rFonts w:hint="eastAsia" w:ascii="宋体" w:hAnsi="宋体" w:cs="宋体"/>
          <w:highlight w:val="none"/>
        </w:rPr>
        <w:t>附件</w:t>
      </w:r>
      <w:r>
        <w:rPr>
          <w:rFonts w:hint="eastAsia" w:ascii="宋体" w:hAnsi="宋体" w:cs="宋体"/>
          <w:highlight w:val="none"/>
          <w:lang w:val="en-US" w:eastAsia="zh-CN"/>
        </w:rPr>
        <w:t>7</w:t>
      </w:r>
      <w:r>
        <w:rPr>
          <w:rFonts w:hint="eastAsia" w:ascii="宋体" w:hAnsi="宋体" w:cs="宋体"/>
          <w:highlight w:val="none"/>
        </w:rPr>
        <w:t>：</w:t>
      </w:r>
      <w:r>
        <w:rPr>
          <w:rFonts w:hint="eastAsia" w:ascii="宋体" w:hAnsi="宋体" w:cs="宋体"/>
          <w:highlight w:val="none"/>
          <w:lang w:val="en-US" w:eastAsia="zh-CN"/>
        </w:rPr>
        <w:t>履约担保</w:t>
      </w:r>
    </w:p>
    <w:p w14:paraId="5A212578">
      <w:pPr>
        <w:keepNext w:val="0"/>
        <w:keepLines w:val="0"/>
        <w:pageBreakBefore w:val="0"/>
        <w:widowControl w:val="0"/>
        <w:kinsoku/>
        <w:wordWrap/>
        <w:overflowPunct/>
        <w:topLinePunct w:val="0"/>
        <w:autoSpaceDE/>
        <w:autoSpaceDN/>
        <w:bidi w:val="0"/>
        <w:adjustRightInd/>
        <w:snapToGrid/>
        <w:spacing w:line="360" w:lineRule="auto"/>
        <w:ind w:right="-420" w:rightChars="-200"/>
        <w:textAlignment w:val="auto"/>
        <w:outlineLvl w:val="0"/>
        <w:rPr>
          <w:rFonts w:ascii="宋体" w:hAnsi="宋体" w:cs="宋体"/>
          <w:highlight w:val="none"/>
        </w:rPr>
      </w:pPr>
      <w:bookmarkStart w:id="1679" w:name="_Toc22314"/>
      <w:bookmarkStart w:id="1680" w:name="_Toc10838"/>
      <w:bookmarkStart w:id="1681" w:name="_Toc6064"/>
      <w:bookmarkStart w:id="1682" w:name="_Toc7062"/>
      <w:bookmarkStart w:id="1683" w:name="_Toc10994"/>
      <w:bookmarkStart w:id="1684" w:name="_Toc22760"/>
      <w:r>
        <w:rPr>
          <w:rFonts w:hint="eastAsia" w:ascii="宋体" w:hAnsi="宋体" w:cs="宋体"/>
          <w:highlight w:val="none"/>
        </w:rPr>
        <w:t>附件</w:t>
      </w:r>
      <w:r>
        <w:rPr>
          <w:rFonts w:hint="eastAsia" w:ascii="宋体" w:hAnsi="宋体" w:cs="宋体"/>
          <w:highlight w:val="none"/>
          <w:lang w:val="en-US" w:eastAsia="zh-CN"/>
        </w:rPr>
        <w:t>8</w:t>
      </w:r>
      <w:r>
        <w:rPr>
          <w:rFonts w:hint="eastAsia" w:ascii="宋体" w:hAnsi="宋体" w:cs="宋体"/>
          <w:highlight w:val="none"/>
        </w:rPr>
        <w:t>：暂估价一览表</w:t>
      </w:r>
      <w:bookmarkEnd w:id="1679"/>
      <w:bookmarkEnd w:id="1680"/>
      <w:bookmarkEnd w:id="1681"/>
      <w:bookmarkEnd w:id="1682"/>
      <w:bookmarkEnd w:id="1683"/>
      <w:bookmarkEnd w:id="1684"/>
    </w:p>
    <w:p w14:paraId="3612EC7B">
      <w:pPr>
        <w:keepNext w:val="0"/>
        <w:keepLines w:val="0"/>
        <w:pageBreakBefore w:val="0"/>
        <w:widowControl w:val="0"/>
        <w:kinsoku/>
        <w:wordWrap/>
        <w:overflowPunct/>
        <w:topLinePunct w:val="0"/>
        <w:autoSpaceDE/>
        <w:autoSpaceDN/>
        <w:bidi w:val="0"/>
        <w:adjustRightInd/>
        <w:snapToGrid/>
        <w:spacing w:line="360" w:lineRule="auto"/>
        <w:ind w:right="-420" w:rightChars="-200"/>
        <w:textAlignment w:val="auto"/>
        <w:outlineLvl w:val="0"/>
        <w:rPr>
          <w:rFonts w:hint="eastAsia" w:ascii="宋体" w:hAnsi="宋体" w:eastAsia="宋体" w:cs="宋体"/>
          <w:highlight w:val="none"/>
        </w:rPr>
      </w:pPr>
      <w:bookmarkStart w:id="1685" w:name="_Toc16707"/>
      <w:bookmarkStart w:id="1686" w:name="_Toc5858"/>
      <w:bookmarkStart w:id="1687" w:name="_Toc31957"/>
      <w:bookmarkStart w:id="1688" w:name="_Toc30099"/>
      <w:bookmarkStart w:id="1689" w:name="_Toc72"/>
      <w:bookmarkStart w:id="1690" w:name="_Toc28139"/>
      <w:r>
        <w:rPr>
          <w:rFonts w:hint="eastAsia" w:ascii="宋体" w:hAnsi="宋体" w:eastAsia="宋体" w:cs="宋体"/>
          <w:highlight w:val="none"/>
        </w:rPr>
        <w:t>附件</w:t>
      </w:r>
      <w:r>
        <w:rPr>
          <w:rFonts w:hint="eastAsia" w:ascii="宋体" w:hAnsi="宋体" w:eastAsia="宋体" w:cs="宋体"/>
          <w:highlight w:val="none"/>
          <w:lang w:val="en-US" w:eastAsia="zh-CN"/>
        </w:rPr>
        <w:t>9</w:t>
      </w:r>
      <w:r>
        <w:rPr>
          <w:rFonts w:hint="eastAsia" w:ascii="宋体" w:hAnsi="宋体" w:eastAsia="宋体" w:cs="宋体"/>
          <w:highlight w:val="none"/>
        </w:rPr>
        <w:t>：廉政合同格式</w:t>
      </w:r>
      <w:bookmarkEnd w:id="1685"/>
      <w:bookmarkEnd w:id="1686"/>
      <w:bookmarkEnd w:id="1687"/>
      <w:bookmarkEnd w:id="1688"/>
      <w:bookmarkEnd w:id="1689"/>
      <w:bookmarkEnd w:id="1690"/>
    </w:p>
    <w:p w14:paraId="38F62B1B">
      <w:pPr>
        <w:keepNext w:val="0"/>
        <w:keepLines w:val="0"/>
        <w:pageBreakBefore w:val="0"/>
        <w:widowControl w:val="0"/>
        <w:kinsoku/>
        <w:wordWrap/>
        <w:overflowPunct/>
        <w:topLinePunct w:val="0"/>
        <w:autoSpaceDE/>
        <w:autoSpaceDN/>
        <w:bidi w:val="0"/>
        <w:adjustRightInd/>
        <w:snapToGrid/>
        <w:spacing w:line="360" w:lineRule="auto"/>
        <w:ind w:right="-420" w:rightChars="-200"/>
        <w:textAlignment w:val="auto"/>
        <w:outlineLvl w:val="0"/>
        <w:rPr>
          <w:rFonts w:hint="eastAsia" w:ascii="宋体" w:hAnsi="宋体" w:eastAsia="宋体" w:cs="宋体"/>
          <w:highlight w:val="none"/>
        </w:rPr>
      </w:pPr>
      <w:bookmarkStart w:id="1691" w:name="_Toc3023"/>
      <w:bookmarkStart w:id="1692" w:name="_Toc18871"/>
      <w:bookmarkStart w:id="1693" w:name="_Toc21177"/>
      <w:r>
        <w:rPr>
          <w:rFonts w:hint="eastAsia" w:ascii="宋体" w:hAnsi="宋体" w:eastAsia="宋体" w:cs="宋体"/>
          <w:highlight w:val="none"/>
        </w:rPr>
        <w:t>附件</w:t>
      </w:r>
      <w:r>
        <w:rPr>
          <w:rFonts w:hint="eastAsia" w:ascii="宋体" w:hAnsi="宋体" w:eastAsia="宋体" w:cs="宋体"/>
          <w:highlight w:val="none"/>
          <w:lang w:val="en-US" w:eastAsia="zh-CN"/>
        </w:rPr>
        <w:t>10</w:t>
      </w:r>
      <w:r>
        <w:rPr>
          <w:rFonts w:hint="eastAsia" w:ascii="宋体" w:hAnsi="宋体" w:eastAsia="宋体" w:cs="宋体"/>
          <w:highlight w:val="none"/>
        </w:rPr>
        <w:t>：</w:t>
      </w:r>
      <w:bookmarkEnd w:id="1691"/>
      <w:bookmarkEnd w:id="1692"/>
      <w:bookmarkEnd w:id="1693"/>
      <w:r>
        <w:rPr>
          <w:rFonts w:hint="eastAsia" w:ascii="宋体" w:hAnsi="宋体" w:eastAsia="宋体" w:cs="宋体"/>
          <w:highlight w:val="none"/>
        </w:rPr>
        <w:t>工程管理要求及技术说明</w:t>
      </w:r>
    </w:p>
    <w:p w14:paraId="5CDB967B">
      <w:pPr>
        <w:pStyle w:val="3"/>
        <w:rPr>
          <w:rFonts w:hint="eastAsia" w:ascii="宋体" w:hAnsi="宋体" w:eastAsia="宋体" w:cs="宋体"/>
          <w:highlight w:val="none"/>
        </w:rPr>
      </w:pPr>
    </w:p>
    <w:p w14:paraId="6FC6E63D">
      <w:pPr>
        <w:rPr>
          <w:rFonts w:hint="eastAsia"/>
          <w:highlight w:val="none"/>
        </w:rPr>
        <w:sectPr>
          <w:footerReference r:id="rId9" w:type="default"/>
          <w:pgSz w:w="11906" w:h="16838"/>
          <w:pgMar w:top="1418" w:right="1135" w:bottom="1418" w:left="1531"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09D6AE1">
      <w:pPr>
        <w:spacing w:before="156" w:beforeLines="50" w:after="156" w:afterLines="50"/>
        <w:outlineLvl w:val="0"/>
        <w:rPr>
          <w:rFonts w:ascii="宋体" w:hAnsi="宋体" w:cs="宋体"/>
          <w:highlight w:val="none"/>
        </w:rPr>
      </w:pPr>
      <w:bookmarkStart w:id="1694" w:name="_Toc19592"/>
      <w:bookmarkStart w:id="1695" w:name="_Toc22883"/>
      <w:bookmarkStart w:id="1696" w:name="_Toc69909985"/>
      <w:bookmarkStart w:id="1697" w:name="_Toc673"/>
      <w:bookmarkStart w:id="1698" w:name="_Toc14155"/>
      <w:bookmarkStart w:id="1699" w:name="_Toc69891495"/>
      <w:bookmarkStart w:id="1700" w:name="_Toc20891"/>
      <w:r>
        <w:rPr>
          <w:rFonts w:hint="eastAsia" w:ascii="宋体" w:hAnsi="宋体" w:cs="宋体"/>
          <w:highlight w:val="none"/>
        </w:rPr>
        <w:t>附件1：</w:t>
      </w:r>
      <w:bookmarkEnd w:id="1694"/>
      <w:bookmarkEnd w:id="1695"/>
      <w:r>
        <w:rPr>
          <w:rFonts w:hint="eastAsia" w:ascii="宋体" w:hAnsi="宋体" w:cs="宋体"/>
          <w:highlight w:val="none"/>
        </w:rPr>
        <w:t>承包人承揽工程项目一览表</w:t>
      </w:r>
      <w:bookmarkEnd w:id="1696"/>
      <w:bookmarkEnd w:id="1697"/>
      <w:bookmarkEnd w:id="1698"/>
      <w:bookmarkEnd w:id="1699"/>
      <w:bookmarkEnd w:id="1700"/>
    </w:p>
    <w:p w14:paraId="4D5A2BAA">
      <w:pPr>
        <w:jc w:val="center"/>
        <w:rPr>
          <w:rFonts w:ascii="宋体" w:hAnsi="宋体" w:cs="宋体"/>
          <w:b/>
          <w:sz w:val="28"/>
          <w:szCs w:val="28"/>
          <w:highlight w:val="none"/>
        </w:rPr>
      </w:pPr>
      <w:bookmarkStart w:id="1701" w:name="_Toc25402"/>
      <w:r>
        <w:rPr>
          <w:rFonts w:hint="eastAsia" w:ascii="宋体" w:hAnsi="宋体" w:cs="宋体"/>
          <w:b/>
          <w:sz w:val="28"/>
          <w:szCs w:val="28"/>
          <w:highlight w:val="none"/>
        </w:rPr>
        <w:t>承包人承揽工程项目一览表</w:t>
      </w:r>
      <w:bookmarkEnd w:id="1701"/>
    </w:p>
    <w:tbl>
      <w:tblPr>
        <w:tblStyle w:val="22"/>
        <w:tblW w:w="14601"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743"/>
        <w:gridCol w:w="1377"/>
        <w:gridCol w:w="1417"/>
        <w:gridCol w:w="2410"/>
        <w:gridCol w:w="850"/>
        <w:gridCol w:w="1560"/>
        <w:gridCol w:w="2126"/>
        <w:gridCol w:w="1417"/>
        <w:gridCol w:w="851"/>
        <w:gridCol w:w="850"/>
      </w:tblGrid>
      <w:tr w14:paraId="08AB10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743" w:type="dxa"/>
            <w:tcBorders>
              <w:top w:val="single" w:color="auto" w:sz="12" w:space="0"/>
              <w:bottom w:val="double" w:color="auto" w:sz="6" w:space="0"/>
            </w:tcBorders>
            <w:noWrap w:val="0"/>
            <w:vAlign w:val="center"/>
          </w:tcPr>
          <w:p w14:paraId="362E6E49">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单位工程</w:t>
            </w:r>
          </w:p>
          <w:p w14:paraId="74E11E2E">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名称</w:t>
            </w:r>
          </w:p>
        </w:tc>
        <w:tc>
          <w:tcPr>
            <w:tcW w:w="1377" w:type="dxa"/>
            <w:tcBorders>
              <w:top w:val="single" w:color="auto" w:sz="12" w:space="0"/>
              <w:bottom w:val="double" w:color="auto" w:sz="6" w:space="0"/>
            </w:tcBorders>
            <w:noWrap w:val="0"/>
            <w:vAlign w:val="center"/>
          </w:tcPr>
          <w:p w14:paraId="2A6F4266">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建设规模</w:t>
            </w:r>
          </w:p>
        </w:tc>
        <w:tc>
          <w:tcPr>
            <w:tcW w:w="1417" w:type="dxa"/>
            <w:tcBorders>
              <w:top w:val="single" w:color="auto" w:sz="12" w:space="0"/>
              <w:bottom w:val="double" w:color="auto" w:sz="6" w:space="0"/>
            </w:tcBorders>
            <w:noWrap w:val="0"/>
            <w:vAlign w:val="center"/>
          </w:tcPr>
          <w:p w14:paraId="79893CA7">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建筑面积</w:t>
            </w:r>
          </w:p>
          <w:p w14:paraId="5CEAF374">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(平方米)</w:t>
            </w:r>
          </w:p>
        </w:tc>
        <w:tc>
          <w:tcPr>
            <w:tcW w:w="2410" w:type="dxa"/>
            <w:tcBorders>
              <w:top w:val="single" w:color="auto" w:sz="12" w:space="0"/>
              <w:bottom w:val="double" w:color="auto" w:sz="6" w:space="0"/>
            </w:tcBorders>
            <w:noWrap w:val="0"/>
            <w:vAlign w:val="center"/>
          </w:tcPr>
          <w:p w14:paraId="42AFE2C0">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结构形式</w:t>
            </w:r>
          </w:p>
        </w:tc>
        <w:tc>
          <w:tcPr>
            <w:tcW w:w="850" w:type="dxa"/>
            <w:tcBorders>
              <w:top w:val="single" w:color="auto" w:sz="12" w:space="0"/>
              <w:bottom w:val="double" w:color="auto" w:sz="6" w:space="0"/>
            </w:tcBorders>
            <w:noWrap w:val="0"/>
            <w:vAlign w:val="center"/>
          </w:tcPr>
          <w:p w14:paraId="5905A8EF">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层数</w:t>
            </w:r>
          </w:p>
        </w:tc>
        <w:tc>
          <w:tcPr>
            <w:tcW w:w="1560" w:type="dxa"/>
            <w:tcBorders>
              <w:top w:val="single" w:color="auto" w:sz="12" w:space="0"/>
              <w:bottom w:val="double" w:color="auto" w:sz="6" w:space="0"/>
            </w:tcBorders>
            <w:noWrap w:val="0"/>
            <w:vAlign w:val="center"/>
          </w:tcPr>
          <w:p w14:paraId="2DE0DC2E">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生产能力</w:t>
            </w:r>
          </w:p>
        </w:tc>
        <w:tc>
          <w:tcPr>
            <w:tcW w:w="2126" w:type="dxa"/>
            <w:tcBorders>
              <w:top w:val="single" w:color="auto" w:sz="12" w:space="0"/>
              <w:bottom w:val="double" w:color="auto" w:sz="6" w:space="0"/>
            </w:tcBorders>
            <w:noWrap w:val="0"/>
            <w:vAlign w:val="center"/>
          </w:tcPr>
          <w:p w14:paraId="6E634F72">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设备安装内容</w:t>
            </w:r>
          </w:p>
        </w:tc>
        <w:tc>
          <w:tcPr>
            <w:tcW w:w="1417" w:type="dxa"/>
            <w:tcBorders>
              <w:top w:val="single" w:color="auto" w:sz="12" w:space="0"/>
              <w:bottom w:val="double" w:color="auto" w:sz="6" w:space="0"/>
            </w:tcBorders>
            <w:noWrap w:val="0"/>
            <w:vAlign w:val="center"/>
          </w:tcPr>
          <w:p w14:paraId="180DF23B">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合同价格（元）</w:t>
            </w:r>
          </w:p>
        </w:tc>
        <w:tc>
          <w:tcPr>
            <w:tcW w:w="851" w:type="dxa"/>
            <w:tcBorders>
              <w:top w:val="single" w:color="auto" w:sz="12" w:space="0"/>
              <w:bottom w:val="double" w:color="auto" w:sz="6" w:space="0"/>
            </w:tcBorders>
            <w:noWrap w:val="0"/>
            <w:vAlign w:val="center"/>
          </w:tcPr>
          <w:p w14:paraId="6FB9B430">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开工</w:t>
            </w:r>
          </w:p>
          <w:p w14:paraId="51B973FD">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日期</w:t>
            </w:r>
          </w:p>
        </w:tc>
        <w:tc>
          <w:tcPr>
            <w:tcW w:w="850" w:type="dxa"/>
            <w:tcBorders>
              <w:top w:val="single" w:color="auto" w:sz="12" w:space="0"/>
              <w:bottom w:val="double" w:color="auto" w:sz="6" w:space="0"/>
            </w:tcBorders>
            <w:noWrap w:val="0"/>
            <w:vAlign w:val="center"/>
          </w:tcPr>
          <w:p w14:paraId="4B0C8CD0">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竣工</w:t>
            </w:r>
          </w:p>
          <w:p w14:paraId="4CAF0B1C">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日期</w:t>
            </w:r>
          </w:p>
        </w:tc>
      </w:tr>
      <w:tr w14:paraId="14FA2B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743" w:type="dxa"/>
            <w:tcBorders>
              <w:top w:val="double" w:color="auto" w:sz="6" w:space="0"/>
              <w:bottom w:val="single" w:color="auto" w:sz="6" w:space="0"/>
            </w:tcBorders>
            <w:noWrap w:val="0"/>
            <w:vAlign w:val="center"/>
          </w:tcPr>
          <w:p w14:paraId="63FE7175">
            <w:pPr>
              <w:pStyle w:val="11"/>
              <w:keepNext/>
              <w:spacing w:after="0"/>
              <w:ind w:left="63" w:right="63"/>
              <w:rPr>
                <w:rFonts w:hint="eastAsia" w:ascii="宋体" w:hAnsi="宋体" w:eastAsia="宋体" w:cs="宋体"/>
                <w:highlight w:val="none"/>
              </w:rPr>
            </w:pPr>
            <w:r>
              <w:rPr>
                <w:rFonts w:hint="eastAsia" w:ascii="宋体" w:hAnsi="宋体" w:eastAsia="宋体" w:cs="宋体"/>
                <w:highlight w:val="none"/>
              </w:rPr>
              <w:t>详见投标文件</w:t>
            </w:r>
          </w:p>
        </w:tc>
        <w:tc>
          <w:tcPr>
            <w:tcW w:w="1377" w:type="dxa"/>
            <w:tcBorders>
              <w:top w:val="double" w:color="auto" w:sz="6" w:space="0"/>
              <w:bottom w:val="single" w:color="auto" w:sz="6" w:space="0"/>
            </w:tcBorders>
            <w:noWrap w:val="0"/>
            <w:vAlign w:val="center"/>
          </w:tcPr>
          <w:p w14:paraId="1D51D994">
            <w:pPr>
              <w:pStyle w:val="11"/>
              <w:keepNext/>
              <w:spacing w:after="0"/>
              <w:ind w:left="63" w:right="63"/>
              <w:rPr>
                <w:rFonts w:hint="eastAsia" w:ascii="宋体" w:hAnsi="宋体" w:eastAsia="宋体" w:cs="宋体"/>
                <w:highlight w:val="none"/>
              </w:rPr>
            </w:pPr>
          </w:p>
        </w:tc>
        <w:tc>
          <w:tcPr>
            <w:tcW w:w="1417" w:type="dxa"/>
            <w:tcBorders>
              <w:top w:val="double" w:color="auto" w:sz="6" w:space="0"/>
              <w:bottom w:val="single" w:color="auto" w:sz="6" w:space="0"/>
            </w:tcBorders>
            <w:noWrap w:val="0"/>
            <w:vAlign w:val="center"/>
          </w:tcPr>
          <w:p w14:paraId="356EC89B">
            <w:pPr>
              <w:pStyle w:val="11"/>
              <w:keepNext/>
              <w:spacing w:after="0"/>
              <w:ind w:left="63" w:right="63"/>
              <w:rPr>
                <w:rFonts w:hint="eastAsia" w:ascii="宋体" w:hAnsi="宋体" w:eastAsia="宋体" w:cs="宋体"/>
                <w:highlight w:val="none"/>
              </w:rPr>
            </w:pPr>
          </w:p>
        </w:tc>
        <w:tc>
          <w:tcPr>
            <w:tcW w:w="2410" w:type="dxa"/>
            <w:tcBorders>
              <w:top w:val="double" w:color="auto" w:sz="6" w:space="0"/>
              <w:bottom w:val="single" w:color="auto" w:sz="6" w:space="0"/>
            </w:tcBorders>
            <w:noWrap w:val="0"/>
            <w:vAlign w:val="center"/>
          </w:tcPr>
          <w:p w14:paraId="3A005537">
            <w:pPr>
              <w:pStyle w:val="11"/>
              <w:keepNext/>
              <w:spacing w:after="0"/>
              <w:ind w:left="63" w:right="63"/>
              <w:rPr>
                <w:rFonts w:hint="eastAsia" w:ascii="宋体" w:hAnsi="宋体" w:eastAsia="宋体" w:cs="宋体"/>
                <w:highlight w:val="none"/>
              </w:rPr>
            </w:pPr>
          </w:p>
        </w:tc>
        <w:tc>
          <w:tcPr>
            <w:tcW w:w="850" w:type="dxa"/>
            <w:tcBorders>
              <w:top w:val="double" w:color="auto" w:sz="6" w:space="0"/>
              <w:bottom w:val="single" w:color="auto" w:sz="6" w:space="0"/>
            </w:tcBorders>
            <w:noWrap w:val="0"/>
            <w:vAlign w:val="center"/>
          </w:tcPr>
          <w:p w14:paraId="438BB134">
            <w:pPr>
              <w:pStyle w:val="11"/>
              <w:keepNext/>
              <w:spacing w:after="0"/>
              <w:ind w:left="63" w:right="63"/>
              <w:rPr>
                <w:rFonts w:hint="eastAsia" w:ascii="宋体" w:hAnsi="宋体" w:eastAsia="宋体" w:cs="宋体"/>
                <w:highlight w:val="none"/>
              </w:rPr>
            </w:pPr>
          </w:p>
        </w:tc>
        <w:tc>
          <w:tcPr>
            <w:tcW w:w="1560" w:type="dxa"/>
            <w:tcBorders>
              <w:top w:val="double" w:color="auto" w:sz="6" w:space="0"/>
              <w:bottom w:val="single" w:color="auto" w:sz="6" w:space="0"/>
            </w:tcBorders>
            <w:noWrap w:val="0"/>
            <w:vAlign w:val="center"/>
          </w:tcPr>
          <w:p w14:paraId="7A81DB08">
            <w:pPr>
              <w:pStyle w:val="11"/>
              <w:keepNext/>
              <w:spacing w:after="0"/>
              <w:ind w:left="63" w:right="63"/>
              <w:rPr>
                <w:rFonts w:hint="eastAsia" w:ascii="宋体" w:hAnsi="宋体" w:eastAsia="宋体" w:cs="宋体"/>
                <w:highlight w:val="none"/>
              </w:rPr>
            </w:pPr>
          </w:p>
        </w:tc>
        <w:tc>
          <w:tcPr>
            <w:tcW w:w="2126" w:type="dxa"/>
            <w:tcBorders>
              <w:top w:val="double" w:color="auto" w:sz="6" w:space="0"/>
              <w:bottom w:val="single" w:color="auto" w:sz="6" w:space="0"/>
            </w:tcBorders>
            <w:noWrap w:val="0"/>
            <w:vAlign w:val="center"/>
          </w:tcPr>
          <w:p w14:paraId="1A81DBBA">
            <w:pPr>
              <w:pStyle w:val="11"/>
              <w:keepNext/>
              <w:spacing w:after="0"/>
              <w:ind w:left="63" w:right="63"/>
              <w:rPr>
                <w:rFonts w:hint="eastAsia" w:ascii="宋体" w:hAnsi="宋体" w:eastAsia="宋体" w:cs="宋体"/>
                <w:highlight w:val="none"/>
              </w:rPr>
            </w:pPr>
          </w:p>
        </w:tc>
        <w:tc>
          <w:tcPr>
            <w:tcW w:w="1417" w:type="dxa"/>
            <w:tcBorders>
              <w:top w:val="double" w:color="auto" w:sz="6" w:space="0"/>
              <w:bottom w:val="single" w:color="auto" w:sz="6" w:space="0"/>
            </w:tcBorders>
            <w:noWrap w:val="0"/>
            <w:vAlign w:val="center"/>
          </w:tcPr>
          <w:p w14:paraId="73FD2B6E">
            <w:pPr>
              <w:pStyle w:val="11"/>
              <w:keepNext/>
              <w:spacing w:after="0"/>
              <w:ind w:left="63" w:right="63"/>
              <w:rPr>
                <w:rFonts w:hint="eastAsia" w:ascii="宋体" w:hAnsi="宋体" w:eastAsia="宋体" w:cs="宋体"/>
                <w:highlight w:val="none"/>
              </w:rPr>
            </w:pPr>
          </w:p>
        </w:tc>
        <w:tc>
          <w:tcPr>
            <w:tcW w:w="851" w:type="dxa"/>
            <w:tcBorders>
              <w:top w:val="double" w:color="auto" w:sz="6" w:space="0"/>
              <w:bottom w:val="single" w:color="auto" w:sz="6" w:space="0"/>
            </w:tcBorders>
            <w:noWrap w:val="0"/>
            <w:vAlign w:val="center"/>
          </w:tcPr>
          <w:p w14:paraId="5FFA905C">
            <w:pPr>
              <w:pStyle w:val="11"/>
              <w:keepNext/>
              <w:spacing w:after="0"/>
              <w:ind w:left="63" w:right="63"/>
              <w:rPr>
                <w:rFonts w:hint="eastAsia" w:ascii="宋体" w:hAnsi="宋体" w:eastAsia="宋体" w:cs="宋体"/>
                <w:highlight w:val="none"/>
              </w:rPr>
            </w:pPr>
          </w:p>
        </w:tc>
        <w:tc>
          <w:tcPr>
            <w:tcW w:w="850" w:type="dxa"/>
            <w:tcBorders>
              <w:top w:val="double" w:color="auto" w:sz="6" w:space="0"/>
              <w:bottom w:val="single" w:color="auto" w:sz="6" w:space="0"/>
            </w:tcBorders>
            <w:noWrap w:val="0"/>
            <w:vAlign w:val="center"/>
          </w:tcPr>
          <w:p w14:paraId="7DF27F3F">
            <w:pPr>
              <w:pStyle w:val="11"/>
              <w:keepNext/>
              <w:spacing w:after="0"/>
              <w:ind w:left="63" w:right="63"/>
              <w:rPr>
                <w:rFonts w:hint="eastAsia" w:ascii="宋体" w:hAnsi="宋体" w:eastAsia="宋体" w:cs="宋体"/>
                <w:highlight w:val="none"/>
              </w:rPr>
            </w:pPr>
          </w:p>
        </w:tc>
      </w:tr>
      <w:tr w14:paraId="204327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743" w:type="dxa"/>
            <w:tcBorders>
              <w:top w:val="nil"/>
            </w:tcBorders>
            <w:noWrap w:val="0"/>
            <w:vAlign w:val="center"/>
          </w:tcPr>
          <w:p w14:paraId="16C2270B">
            <w:pPr>
              <w:pStyle w:val="11"/>
              <w:keepNext/>
              <w:spacing w:after="0"/>
              <w:ind w:left="63" w:right="63"/>
              <w:rPr>
                <w:rFonts w:hint="eastAsia" w:ascii="宋体" w:hAnsi="宋体" w:cs="宋体"/>
                <w:highlight w:val="none"/>
              </w:rPr>
            </w:pPr>
          </w:p>
        </w:tc>
        <w:tc>
          <w:tcPr>
            <w:tcW w:w="1377" w:type="dxa"/>
            <w:tcBorders>
              <w:top w:val="nil"/>
            </w:tcBorders>
            <w:noWrap w:val="0"/>
            <w:vAlign w:val="center"/>
          </w:tcPr>
          <w:p w14:paraId="04155319">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0D0E597D">
            <w:pPr>
              <w:pStyle w:val="11"/>
              <w:keepNext/>
              <w:spacing w:after="0"/>
              <w:ind w:left="63" w:right="63"/>
              <w:rPr>
                <w:rFonts w:hint="eastAsia" w:ascii="宋体" w:hAnsi="宋体" w:cs="宋体"/>
                <w:highlight w:val="none"/>
              </w:rPr>
            </w:pPr>
          </w:p>
        </w:tc>
        <w:tc>
          <w:tcPr>
            <w:tcW w:w="2410" w:type="dxa"/>
            <w:tcBorders>
              <w:top w:val="nil"/>
            </w:tcBorders>
            <w:noWrap w:val="0"/>
            <w:vAlign w:val="center"/>
          </w:tcPr>
          <w:p w14:paraId="40B4D09E">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65A73132">
            <w:pPr>
              <w:pStyle w:val="11"/>
              <w:keepNext/>
              <w:spacing w:after="0"/>
              <w:ind w:left="63" w:right="63"/>
              <w:rPr>
                <w:rFonts w:hint="eastAsia" w:ascii="宋体" w:hAnsi="宋体" w:cs="宋体"/>
                <w:highlight w:val="none"/>
              </w:rPr>
            </w:pPr>
          </w:p>
        </w:tc>
        <w:tc>
          <w:tcPr>
            <w:tcW w:w="1560" w:type="dxa"/>
            <w:tcBorders>
              <w:top w:val="nil"/>
            </w:tcBorders>
            <w:noWrap w:val="0"/>
            <w:vAlign w:val="center"/>
          </w:tcPr>
          <w:p w14:paraId="3ED8950D">
            <w:pPr>
              <w:pStyle w:val="11"/>
              <w:keepNext/>
              <w:spacing w:after="0"/>
              <w:ind w:left="63" w:right="63"/>
              <w:rPr>
                <w:rFonts w:hint="eastAsia" w:ascii="宋体" w:hAnsi="宋体" w:cs="宋体"/>
                <w:highlight w:val="none"/>
              </w:rPr>
            </w:pPr>
          </w:p>
        </w:tc>
        <w:tc>
          <w:tcPr>
            <w:tcW w:w="2126" w:type="dxa"/>
            <w:tcBorders>
              <w:top w:val="nil"/>
            </w:tcBorders>
            <w:noWrap w:val="0"/>
            <w:vAlign w:val="center"/>
          </w:tcPr>
          <w:p w14:paraId="68271BE8">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239C22DA">
            <w:pPr>
              <w:pStyle w:val="11"/>
              <w:keepNext/>
              <w:spacing w:after="0"/>
              <w:ind w:left="63" w:right="63"/>
              <w:rPr>
                <w:rFonts w:hint="eastAsia" w:ascii="宋体" w:hAnsi="宋体" w:cs="宋体"/>
                <w:highlight w:val="none"/>
              </w:rPr>
            </w:pPr>
          </w:p>
        </w:tc>
        <w:tc>
          <w:tcPr>
            <w:tcW w:w="851" w:type="dxa"/>
            <w:tcBorders>
              <w:top w:val="nil"/>
            </w:tcBorders>
            <w:noWrap w:val="0"/>
            <w:vAlign w:val="center"/>
          </w:tcPr>
          <w:p w14:paraId="6BFB8418">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3260CE17">
            <w:pPr>
              <w:pStyle w:val="11"/>
              <w:keepNext/>
              <w:spacing w:after="0"/>
              <w:ind w:left="63" w:right="63"/>
              <w:rPr>
                <w:rFonts w:hint="eastAsia" w:ascii="宋体" w:hAnsi="宋体" w:cs="宋体"/>
                <w:highlight w:val="none"/>
              </w:rPr>
            </w:pPr>
          </w:p>
        </w:tc>
      </w:tr>
      <w:tr w14:paraId="3BF05F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743" w:type="dxa"/>
            <w:tcBorders>
              <w:top w:val="nil"/>
            </w:tcBorders>
            <w:noWrap w:val="0"/>
            <w:vAlign w:val="center"/>
          </w:tcPr>
          <w:p w14:paraId="5A7D6AE3">
            <w:pPr>
              <w:pStyle w:val="11"/>
              <w:keepNext/>
              <w:spacing w:after="0"/>
              <w:ind w:left="63" w:right="63"/>
              <w:rPr>
                <w:rFonts w:hint="eastAsia" w:ascii="宋体" w:hAnsi="宋体" w:cs="宋体"/>
                <w:highlight w:val="none"/>
              </w:rPr>
            </w:pPr>
          </w:p>
        </w:tc>
        <w:tc>
          <w:tcPr>
            <w:tcW w:w="1377" w:type="dxa"/>
            <w:tcBorders>
              <w:top w:val="nil"/>
            </w:tcBorders>
            <w:noWrap w:val="0"/>
            <w:vAlign w:val="center"/>
          </w:tcPr>
          <w:p w14:paraId="1EB61D9E">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0683D684">
            <w:pPr>
              <w:pStyle w:val="11"/>
              <w:keepNext/>
              <w:spacing w:after="0"/>
              <w:ind w:left="63" w:right="63"/>
              <w:rPr>
                <w:rFonts w:hint="eastAsia" w:ascii="宋体" w:hAnsi="宋体" w:cs="宋体"/>
                <w:highlight w:val="none"/>
              </w:rPr>
            </w:pPr>
          </w:p>
        </w:tc>
        <w:tc>
          <w:tcPr>
            <w:tcW w:w="2410" w:type="dxa"/>
            <w:tcBorders>
              <w:top w:val="nil"/>
            </w:tcBorders>
            <w:noWrap w:val="0"/>
            <w:vAlign w:val="center"/>
          </w:tcPr>
          <w:p w14:paraId="304F36F0">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18F961F2">
            <w:pPr>
              <w:pStyle w:val="11"/>
              <w:keepNext/>
              <w:spacing w:after="0"/>
              <w:ind w:left="63" w:right="63"/>
              <w:rPr>
                <w:rFonts w:hint="eastAsia" w:ascii="宋体" w:hAnsi="宋体" w:cs="宋体"/>
                <w:highlight w:val="none"/>
              </w:rPr>
            </w:pPr>
          </w:p>
        </w:tc>
        <w:tc>
          <w:tcPr>
            <w:tcW w:w="1560" w:type="dxa"/>
            <w:tcBorders>
              <w:top w:val="nil"/>
            </w:tcBorders>
            <w:noWrap w:val="0"/>
            <w:vAlign w:val="center"/>
          </w:tcPr>
          <w:p w14:paraId="7246CEA4">
            <w:pPr>
              <w:pStyle w:val="11"/>
              <w:keepNext/>
              <w:spacing w:after="0"/>
              <w:ind w:left="63" w:right="63"/>
              <w:rPr>
                <w:rFonts w:hint="eastAsia" w:ascii="宋体" w:hAnsi="宋体" w:cs="宋体"/>
                <w:highlight w:val="none"/>
              </w:rPr>
            </w:pPr>
          </w:p>
        </w:tc>
        <w:tc>
          <w:tcPr>
            <w:tcW w:w="2126" w:type="dxa"/>
            <w:tcBorders>
              <w:top w:val="nil"/>
            </w:tcBorders>
            <w:noWrap w:val="0"/>
            <w:vAlign w:val="center"/>
          </w:tcPr>
          <w:p w14:paraId="26C3D773">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54305E9E">
            <w:pPr>
              <w:pStyle w:val="11"/>
              <w:keepNext/>
              <w:spacing w:after="0"/>
              <w:ind w:left="63" w:right="63"/>
              <w:rPr>
                <w:rFonts w:hint="eastAsia" w:ascii="宋体" w:hAnsi="宋体" w:cs="宋体"/>
                <w:highlight w:val="none"/>
              </w:rPr>
            </w:pPr>
          </w:p>
        </w:tc>
        <w:tc>
          <w:tcPr>
            <w:tcW w:w="851" w:type="dxa"/>
            <w:tcBorders>
              <w:top w:val="nil"/>
            </w:tcBorders>
            <w:noWrap w:val="0"/>
            <w:vAlign w:val="center"/>
          </w:tcPr>
          <w:p w14:paraId="3E067DE3">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6BF3CCE8">
            <w:pPr>
              <w:pStyle w:val="11"/>
              <w:keepNext/>
              <w:spacing w:after="0"/>
              <w:ind w:left="63" w:right="63"/>
              <w:rPr>
                <w:rFonts w:hint="eastAsia" w:ascii="宋体" w:hAnsi="宋体" w:cs="宋体"/>
                <w:highlight w:val="none"/>
              </w:rPr>
            </w:pPr>
          </w:p>
        </w:tc>
      </w:tr>
      <w:tr w14:paraId="7BB452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743" w:type="dxa"/>
            <w:noWrap w:val="0"/>
            <w:vAlign w:val="center"/>
          </w:tcPr>
          <w:p w14:paraId="05452726">
            <w:pPr>
              <w:pStyle w:val="11"/>
              <w:keepNext/>
              <w:spacing w:after="0"/>
              <w:ind w:left="63" w:right="63"/>
              <w:rPr>
                <w:rFonts w:hint="eastAsia" w:ascii="宋体" w:hAnsi="宋体" w:cs="宋体"/>
                <w:highlight w:val="none"/>
              </w:rPr>
            </w:pPr>
          </w:p>
        </w:tc>
        <w:tc>
          <w:tcPr>
            <w:tcW w:w="1377" w:type="dxa"/>
            <w:noWrap w:val="0"/>
            <w:vAlign w:val="center"/>
          </w:tcPr>
          <w:p w14:paraId="18DB0CAD">
            <w:pPr>
              <w:pStyle w:val="11"/>
              <w:keepNext/>
              <w:spacing w:after="0"/>
              <w:ind w:left="63" w:right="63"/>
              <w:rPr>
                <w:rFonts w:hint="eastAsia" w:ascii="宋体" w:hAnsi="宋体" w:cs="宋体"/>
                <w:highlight w:val="none"/>
              </w:rPr>
            </w:pPr>
          </w:p>
        </w:tc>
        <w:tc>
          <w:tcPr>
            <w:tcW w:w="1417" w:type="dxa"/>
            <w:noWrap w:val="0"/>
            <w:vAlign w:val="center"/>
          </w:tcPr>
          <w:p w14:paraId="284EAD47">
            <w:pPr>
              <w:pStyle w:val="11"/>
              <w:keepNext/>
              <w:spacing w:after="0"/>
              <w:ind w:left="63" w:right="63"/>
              <w:rPr>
                <w:rFonts w:hint="eastAsia" w:ascii="宋体" w:hAnsi="宋体" w:cs="宋体"/>
                <w:highlight w:val="none"/>
              </w:rPr>
            </w:pPr>
          </w:p>
        </w:tc>
        <w:tc>
          <w:tcPr>
            <w:tcW w:w="2410" w:type="dxa"/>
            <w:noWrap w:val="0"/>
            <w:vAlign w:val="center"/>
          </w:tcPr>
          <w:p w14:paraId="64AC6CCB">
            <w:pPr>
              <w:pStyle w:val="11"/>
              <w:keepNext/>
              <w:spacing w:after="0"/>
              <w:ind w:left="63" w:right="63"/>
              <w:rPr>
                <w:rFonts w:hint="eastAsia" w:ascii="宋体" w:hAnsi="宋体" w:cs="宋体"/>
                <w:highlight w:val="none"/>
              </w:rPr>
            </w:pPr>
          </w:p>
        </w:tc>
        <w:tc>
          <w:tcPr>
            <w:tcW w:w="850" w:type="dxa"/>
            <w:noWrap w:val="0"/>
            <w:vAlign w:val="center"/>
          </w:tcPr>
          <w:p w14:paraId="4DCDA775">
            <w:pPr>
              <w:pStyle w:val="11"/>
              <w:keepNext/>
              <w:spacing w:after="0"/>
              <w:ind w:left="63" w:right="63"/>
              <w:rPr>
                <w:rFonts w:hint="eastAsia" w:ascii="宋体" w:hAnsi="宋体" w:cs="宋体"/>
                <w:highlight w:val="none"/>
              </w:rPr>
            </w:pPr>
          </w:p>
        </w:tc>
        <w:tc>
          <w:tcPr>
            <w:tcW w:w="1560" w:type="dxa"/>
            <w:noWrap w:val="0"/>
            <w:vAlign w:val="center"/>
          </w:tcPr>
          <w:p w14:paraId="5F410C65">
            <w:pPr>
              <w:pStyle w:val="11"/>
              <w:keepNext/>
              <w:spacing w:after="0"/>
              <w:ind w:left="63" w:right="63"/>
              <w:rPr>
                <w:rFonts w:hint="eastAsia" w:ascii="宋体" w:hAnsi="宋体" w:cs="宋体"/>
                <w:highlight w:val="none"/>
              </w:rPr>
            </w:pPr>
          </w:p>
        </w:tc>
        <w:tc>
          <w:tcPr>
            <w:tcW w:w="2126" w:type="dxa"/>
            <w:noWrap w:val="0"/>
            <w:vAlign w:val="center"/>
          </w:tcPr>
          <w:p w14:paraId="2BD82C28">
            <w:pPr>
              <w:pStyle w:val="11"/>
              <w:keepNext/>
              <w:spacing w:after="0"/>
              <w:ind w:left="63" w:right="63"/>
              <w:rPr>
                <w:rFonts w:hint="eastAsia" w:ascii="宋体" w:hAnsi="宋体" w:cs="宋体"/>
                <w:highlight w:val="none"/>
              </w:rPr>
            </w:pPr>
          </w:p>
        </w:tc>
        <w:tc>
          <w:tcPr>
            <w:tcW w:w="1417" w:type="dxa"/>
            <w:noWrap w:val="0"/>
            <w:vAlign w:val="center"/>
          </w:tcPr>
          <w:p w14:paraId="27B63A25">
            <w:pPr>
              <w:pStyle w:val="11"/>
              <w:keepNext/>
              <w:spacing w:after="0"/>
              <w:ind w:left="63" w:right="63"/>
              <w:rPr>
                <w:rFonts w:hint="eastAsia" w:ascii="宋体" w:hAnsi="宋体" w:cs="宋体"/>
                <w:highlight w:val="none"/>
              </w:rPr>
            </w:pPr>
          </w:p>
        </w:tc>
        <w:tc>
          <w:tcPr>
            <w:tcW w:w="851" w:type="dxa"/>
            <w:noWrap w:val="0"/>
            <w:vAlign w:val="center"/>
          </w:tcPr>
          <w:p w14:paraId="6B80253F">
            <w:pPr>
              <w:pStyle w:val="11"/>
              <w:keepNext/>
              <w:spacing w:after="0"/>
              <w:ind w:left="63" w:right="63"/>
              <w:rPr>
                <w:rFonts w:hint="eastAsia" w:ascii="宋体" w:hAnsi="宋体" w:cs="宋体"/>
                <w:highlight w:val="none"/>
              </w:rPr>
            </w:pPr>
          </w:p>
        </w:tc>
        <w:tc>
          <w:tcPr>
            <w:tcW w:w="850" w:type="dxa"/>
            <w:noWrap w:val="0"/>
            <w:vAlign w:val="center"/>
          </w:tcPr>
          <w:p w14:paraId="3DADAD1D">
            <w:pPr>
              <w:pStyle w:val="11"/>
              <w:keepNext/>
              <w:spacing w:after="0"/>
              <w:ind w:left="63" w:right="63"/>
              <w:rPr>
                <w:rFonts w:hint="eastAsia" w:ascii="宋体" w:hAnsi="宋体" w:cs="宋体"/>
                <w:highlight w:val="none"/>
              </w:rPr>
            </w:pPr>
          </w:p>
        </w:tc>
      </w:tr>
      <w:tr w14:paraId="1721E0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743" w:type="dxa"/>
            <w:tcBorders>
              <w:top w:val="nil"/>
            </w:tcBorders>
            <w:noWrap w:val="0"/>
            <w:vAlign w:val="center"/>
          </w:tcPr>
          <w:p w14:paraId="7D351F9C">
            <w:pPr>
              <w:pStyle w:val="11"/>
              <w:keepNext/>
              <w:spacing w:after="0"/>
              <w:ind w:left="63" w:right="63"/>
              <w:rPr>
                <w:rFonts w:hint="eastAsia" w:ascii="宋体" w:hAnsi="宋体" w:cs="宋体"/>
                <w:highlight w:val="none"/>
              </w:rPr>
            </w:pPr>
          </w:p>
        </w:tc>
        <w:tc>
          <w:tcPr>
            <w:tcW w:w="1377" w:type="dxa"/>
            <w:tcBorders>
              <w:top w:val="nil"/>
            </w:tcBorders>
            <w:noWrap w:val="0"/>
            <w:vAlign w:val="center"/>
          </w:tcPr>
          <w:p w14:paraId="4F86ED5F">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3DB9808C">
            <w:pPr>
              <w:pStyle w:val="11"/>
              <w:keepNext/>
              <w:spacing w:after="0"/>
              <w:ind w:left="63" w:right="63"/>
              <w:rPr>
                <w:rFonts w:hint="eastAsia" w:ascii="宋体" w:hAnsi="宋体" w:cs="宋体"/>
                <w:highlight w:val="none"/>
              </w:rPr>
            </w:pPr>
          </w:p>
        </w:tc>
        <w:tc>
          <w:tcPr>
            <w:tcW w:w="2410" w:type="dxa"/>
            <w:tcBorders>
              <w:top w:val="nil"/>
            </w:tcBorders>
            <w:noWrap w:val="0"/>
            <w:vAlign w:val="center"/>
          </w:tcPr>
          <w:p w14:paraId="5CCF8147">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16D55E8D">
            <w:pPr>
              <w:pStyle w:val="11"/>
              <w:keepNext/>
              <w:spacing w:after="0"/>
              <w:ind w:left="63" w:right="63"/>
              <w:rPr>
                <w:rFonts w:hint="eastAsia" w:ascii="宋体" w:hAnsi="宋体" w:cs="宋体"/>
                <w:highlight w:val="none"/>
              </w:rPr>
            </w:pPr>
          </w:p>
        </w:tc>
        <w:tc>
          <w:tcPr>
            <w:tcW w:w="1560" w:type="dxa"/>
            <w:tcBorders>
              <w:top w:val="nil"/>
            </w:tcBorders>
            <w:noWrap w:val="0"/>
            <w:vAlign w:val="center"/>
          </w:tcPr>
          <w:p w14:paraId="4EA59090">
            <w:pPr>
              <w:pStyle w:val="11"/>
              <w:keepNext/>
              <w:spacing w:after="0"/>
              <w:ind w:left="63" w:right="63"/>
              <w:rPr>
                <w:rFonts w:hint="eastAsia" w:ascii="宋体" w:hAnsi="宋体" w:cs="宋体"/>
                <w:highlight w:val="none"/>
              </w:rPr>
            </w:pPr>
          </w:p>
        </w:tc>
        <w:tc>
          <w:tcPr>
            <w:tcW w:w="2126" w:type="dxa"/>
            <w:tcBorders>
              <w:top w:val="nil"/>
            </w:tcBorders>
            <w:noWrap w:val="0"/>
            <w:vAlign w:val="center"/>
          </w:tcPr>
          <w:p w14:paraId="04596650">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1318C5EB">
            <w:pPr>
              <w:pStyle w:val="11"/>
              <w:keepNext/>
              <w:spacing w:after="0"/>
              <w:ind w:left="63" w:right="63"/>
              <w:rPr>
                <w:rFonts w:hint="eastAsia" w:ascii="宋体" w:hAnsi="宋体" w:cs="宋体"/>
                <w:highlight w:val="none"/>
              </w:rPr>
            </w:pPr>
          </w:p>
        </w:tc>
        <w:tc>
          <w:tcPr>
            <w:tcW w:w="851" w:type="dxa"/>
            <w:tcBorders>
              <w:top w:val="nil"/>
            </w:tcBorders>
            <w:noWrap w:val="0"/>
            <w:vAlign w:val="center"/>
          </w:tcPr>
          <w:p w14:paraId="40C117E1">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25A303E3">
            <w:pPr>
              <w:pStyle w:val="11"/>
              <w:keepNext/>
              <w:spacing w:after="0"/>
              <w:ind w:left="63" w:right="63"/>
              <w:rPr>
                <w:rFonts w:hint="eastAsia" w:ascii="宋体" w:hAnsi="宋体" w:cs="宋体"/>
                <w:highlight w:val="none"/>
              </w:rPr>
            </w:pPr>
          </w:p>
        </w:tc>
      </w:tr>
      <w:tr w14:paraId="164BEB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743" w:type="dxa"/>
            <w:noWrap w:val="0"/>
            <w:vAlign w:val="center"/>
          </w:tcPr>
          <w:p w14:paraId="7A617F5A">
            <w:pPr>
              <w:pStyle w:val="11"/>
              <w:keepNext/>
              <w:spacing w:after="0"/>
              <w:ind w:left="63" w:right="63"/>
              <w:rPr>
                <w:rFonts w:hint="eastAsia" w:ascii="宋体" w:hAnsi="宋体" w:cs="宋体"/>
                <w:highlight w:val="none"/>
              </w:rPr>
            </w:pPr>
          </w:p>
        </w:tc>
        <w:tc>
          <w:tcPr>
            <w:tcW w:w="1377" w:type="dxa"/>
            <w:noWrap w:val="0"/>
            <w:vAlign w:val="center"/>
          </w:tcPr>
          <w:p w14:paraId="5C13EA6C">
            <w:pPr>
              <w:pStyle w:val="11"/>
              <w:keepNext/>
              <w:spacing w:after="0"/>
              <w:ind w:left="63" w:right="63"/>
              <w:rPr>
                <w:rFonts w:hint="eastAsia" w:ascii="宋体" w:hAnsi="宋体" w:cs="宋体"/>
                <w:highlight w:val="none"/>
              </w:rPr>
            </w:pPr>
          </w:p>
        </w:tc>
        <w:tc>
          <w:tcPr>
            <w:tcW w:w="1417" w:type="dxa"/>
            <w:noWrap w:val="0"/>
            <w:vAlign w:val="center"/>
          </w:tcPr>
          <w:p w14:paraId="2F35A5FA">
            <w:pPr>
              <w:pStyle w:val="11"/>
              <w:keepNext/>
              <w:spacing w:after="0"/>
              <w:ind w:left="63" w:right="63"/>
              <w:rPr>
                <w:rFonts w:hint="eastAsia" w:ascii="宋体" w:hAnsi="宋体" w:cs="宋体"/>
                <w:highlight w:val="none"/>
              </w:rPr>
            </w:pPr>
          </w:p>
        </w:tc>
        <w:tc>
          <w:tcPr>
            <w:tcW w:w="2410" w:type="dxa"/>
            <w:noWrap w:val="0"/>
            <w:vAlign w:val="center"/>
          </w:tcPr>
          <w:p w14:paraId="7364F92F">
            <w:pPr>
              <w:pStyle w:val="11"/>
              <w:keepNext/>
              <w:spacing w:after="0"/>
              <w:ind w:left="63" w:right="63"/>
              <w:rPr>
                <w:rFonts w:hint="eastAsia" w:ascii="宋体" w:hAnsi="宋体" w:cs="宋体"/>
                <w:highlight w:val="none"/>
              </w:rPr>
            </w:pPr>
          </w:p>
        </w:tc>
        <w:tc>
          <w:tcPr>
            <w:tcW w:w="850" w:type="dxa"/>
            <w:noWrap w:val="0"/>
            <w:vAlign w:val="center"/>
          </w:tcPr>
          <w:p w14:paraId="77128AB0">
            <w:pPr>
              <w:pStyle w:val="11"/>
              <w:keepNext/>
              <w:spacing w:after="0"/>
              <w:ind w:left="63" w:right="63"/>
              <w:rPr>
                <w:rFonts w:hint="eastAsia" w:ascii="宋体" w:hAnsi="宋体" w:cs="宋体"/>
                <w:highlight w:val="none"/>
              </w:rPr>
            </w:pPr>
          </w:p>
        </w:tc>
        <w:tc>
          <w:tcPr>
            <w:tcW w:w="1560" w:type="dxa"/>
            <w:noWrap w:val="0"/>
            <w:vAlign w:val="center"/>
          </w:tcPr>
          <w:p w14:paraId="238DD33E">
            <w:pPr>
              <w:pStyle w:val="11"/>
              <w:keepNext/>
              <w:spacing w:after="0"/>
              <w:ind w:left="63" w:right="63"/>
              <w:rPr>
                <w:rFonts w:hint="eastAsia" w:ascii="宋体" w:hAnsi="宋体" w:cs="宋体"/>
                <w:highlight w:val="none"/>
              </w:rPr>
            </w:pPr>
          </w:p>
        </w:tc>
        <w:tc>
          <w:tcPr>
            <w:tcW w:w="2126" w:type="dxa"/>
            <w:noWrap w:val="0"/>
            <w:vAlign w:val="center"/>
          </w:tcPr>
          <w:p w14:paraId="26EB3A84">
            <w:pPr>
              <w:pStyle w:val="11"/>
              <w:keepNext/>
              <w:spacing w:after="0"/>
              <w:ind w:left="63" w:right="63"/>
              <w:rPr>
                <w:rFonts w:hint="eastAsia" w:ascii="宋体" w:hAnsi="宋体" w:cs="宋体"/>
                <w:highlight w:val="none"/>
              </w:rPr>
            </w:pPr>
          </w:p>
        </w:tc>
        <w:tc>
          <w:tcPr>
            <w:tcW w:w="1417" w:type="dxa"/>
            <w:noWrap w:val="0"/>
            <w:vAlign w:val="center"/>
          </w:tcPr>
          <w:p w14:paraId="32FCAF15">
            <w:pPr>
              <w:pStyle w:val="11"/>
              <w:keepNext/>
              <w:spacing w:after="0"/>
              <w:ind w:left="63" w:right="63"/>
              <w:rPr>
                <w:rFonts w:hint="eastAsia" w:ascii="宋体" w:hAnsi="宋体" w:cs="宋体"/>
                <w:highlight w:val="none"/>
              </w:rPr>
            </w:pPr>
          </w:p>
        </w:tc>
        <w:tc>
          <w:tcPr>
            <w:tcW w:w="851" w:type="dxa"/>
            <w:noWrap w:val="0"/>
            <w:vAlign w:val="center"/>
          </w:tcPr>
          <w:p w14:paraId="4909BACB">
            <w:pPr>
              <w:pStyle w:val="11"/>
              <w:keepNext/>
              <w:spacing w:after="0"/>
              <w:ind w:left="63" w:right="63"/>
              <w:rPr>
                <w:rFonts w:hint="eastAsia" w:ascii="宋体" w:hAnsi="宋体" w:cs="宋体"/>
                <w:highlight w:val="none"/>
              </w:rPr>
            </w:pPr>
          </w:p>
        </w:tc>
        <w:tc>
          <w:tcPr>
            <w:tcW w:w="850" w:type="dxa"/>
            <w:noWrap w:val="0"/>
            <w:vAlign w:val="center"/>
          </w:tcPr>
          <w:p w14:paraId="18741796">
            <w:pPr>
              <w:pStyle w:val="11"/>
              <w:keepNext/>
              <w:spacing w:after="0"/>
              <w:ind w:left="63" w:right="63"/>
              <w:rPr>
                <w:rFonts w:hint="eastAsia" w:ascii="宋体" w:hAnsi="宋体" w:cs="宋体"/>
                <w:highlight w:val="none"/>
              </w:rPr>
            </w:pPr>
          </w:p>
        </w:tc>
      </w:tr>
      <w:tr w14:paraId="2F1188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743" w:type="dxa"/>
            <w:tcBorders>
              <w:top w:val="nil"/>
            </w:tcBorders>
            <w:noWrap w:val="0"/>
            <w:vAlign w:val="center"/>
          </w:tcPr>
          <w:p w14:paraId="16CC7220">
            <w:pPr>
              <w:pStyle w:val="11"/>
              <w:keepNext/>
              <w:spacing w:after="0"/>
              <w:ind w:left="63" w:right="63"/>
              <w:rPr>
                <w:rFonts w:hint="eastAsia" w:ascii="宋体" w:hAnsi="宋体" w:cs="宋体"/>
                <w:highlight w:val="none"/>
              </w:rPr>
            </w:pPr>
          </w:p>
        </w:tc>
        <w:tc>
          <w:tcPr>
            <w:tcW w:w="1377" w:type="dxa"/>
            <w:tcBorders>
              <w:top w:val="nil"/>
            </w:tcBorders>
            <w:noWrap w:val="0"/>
            <w:vAlign w:val="center"/>
          </w:tcPr>
          <w:p w14:paraId="7E98FD04">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10DFF43F">
            <w:pPr>
              <w:pStyle w:val="11"/>
              <w:keepNext/>
              <w:spacing w:after="0"/>
              <w:ind w:left="63" w:right="63"/>
              <w:rPr>
                <w:rFonts w:hint="eastAsia" w:ascii="宋体" w:hAnsi="宋体" w:cs="宋体"/>
                <w:highlight w:val="none"/>
              </w:rPr>
            </w:pPr>
          </w:p>
        </w:tc>
        <w:tc>
          <w:tcPr>
            <w:tcW w:w="2410" w:type="dxa"/>
            <w:tcBorders>
              <w:top w:val="nil"/>
            </w:tcBorders>
            <w:noWrap w:val="0"/>
            <w:vAlign w:val="center"/>
          </w:tcPr>
          <w:p w14:paraId="69227D80">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1D5E18C1">
            <w:pPr>
              <w:pStyle w:val="11"/>
              <w:keepNext/>
              <w:spacing w:after="0"/>
              <w:ind w:left="63" w:right="63"/>
              <w:rPr>
                <w:rFonts w:hint="eastAsia" w:ascii="宋体" w:hAnsi="宋体" w:cs="宋体"/>
                <w:highlight w:val="none"/>
              </w:rPr>
            </w:pPr>
          </w:p>
        </w:tc>
        <w:tc>
          <w:tcPr>
            <w:tcW w:w="1560" w:type="dxa"/>
            <w:tcBorders>
              <w:top w:val="nil"/>
            </w:tcBorders>
            <w:noWrap w:val="0"/>
            <w:vAlign w:val="center"/>
          </w:tcPr>
          <w:p w14:paraId="460393AA">
            <w:pPr>
              <w:pStyle w:val="11"/>
              <w:keepNext/>
              <w:spacing w:after="0"/>
              <w:ind w:left="63" w:right="63"/>
              <w:rPr>
                <w:rFonts w:hint="eastAsia" w:ascii="宋体" w:hAnsi="宋体" w:cs="宋体"/>
                <w:highlight w:val="none"/>
              </w:rPr>
            </w:pPr>
          </w:p>
        </w:tc>
        <w:tc>
          <w:tcPr>
            <w:tcW w:w="2126" w:type="dxa"/>
            <w:tcBorders>
              <w:top w:val="nil"/>
            </w:tcBorders>
            <w:noWrap w:val="0"/>
            <w:vAlign w:val="center"/>
          </w:tcPr>
          <w:p w14:paraId="2B1C79CF">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43CE3501">
            <w:pPr>
              <w:pStyle w:val="11"/>
              <w:keepNext/>
              <w:spacing w:after="0"/>
              <w:ind w:left="63" w:right="63"/>
              <w:rPr>
                <w:rFonts w:hint="eastAsia" w:ascii="宋体" w:hAnsi="宋体" w:cs="宋体"/>
                <w:highlight w:val="none"/>
              </w:rPr>
            </w:pPr>
          </w:p>
        </w:tc>
        <w:tc>
          <w:tcPr>
            <w:tcW w:w="851" w:type="dxa"/>
            <w:tcBorders>
              <w:top w:val="nil"/>
            </w:tcBorders>
            <w:noWrap w:val="0"/>
            <w:vAlign w:val="center"/>
          </w:tcPr>
          <w:p w14:paraId="3DD97E2D">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6F12A0C6">
            <w:pPr>
              <w:pStyle w:val="11"/>
              <w:keepNext/>
              <w:spacing w:after="0"/>
              <w:ind w:left="63" w:right="63"/>
              <w:rPr>
                <w:rFonts w:hint="eastAsia" w:ascii="宋体" w:hAnsi="宋体" w:cs="宋体"/>
                <w:highlight w:val="none"/>
              </w:rPr>
            </w:pPr>
          </w:p>
        </w:tc>
      </w:tr>
      <w:tr w14:paraId="09C865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743" w:type="dxa"/>
            <w:tcBorders>
              <w:top w:val="nil"/>
            </w:tcBorders>
            <w:noWrap w:val="0"/>
            <w:vAlign w:val="center"/>
          </w:tcPr>
          <w:p w14:paraId="637F94F3">
            <w:pPr>
              <w:pStyle w:val="11"/>
              <w:keepNext/>
              <w:spacing w:after="0"/>
              <w:ind w:left="63" w:right="63"/>
              <w:rPr>
                <w:rFonts w:hint="eastAsia" w:ascii="宋体" w:hAnsi="宋体" w:cs="宋体"/>
                <w:highlight w:val="none"/>
              </w:rPr>
            </w:pPr>
          </w:p>
        </w:tc>
        <w:tc>
          <w:tcPr>
            <w:tcW w:w="1377" w:type="dxa"/>
            <w:tcBorders>
              <w:top w:val="nil"/>
            </w:tcBorders>
            <w:noWrap w:val="0"/>
            <w:vAlign w:val="center"/>
          </w:tcPr>
          <w:p w14:paraId="683C083E">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26C1A75E">
            <w:pPr>
              <w:pStyle w:val="11"/>
              <w:keepNext/>
              <w:spacing w:after="0"/>
              <w:ind w:left="63" w:right="63"/>
              <w:rPr>
                <w:rFonts w:hint="eastAsia" w:ascii="宋体" w:hAnsi="宋体" w:cs="宋体"/>
                <w:highlight w:val="none"/>
              </w:rPr>
            </w:pPr>
          </w:p>
        </w:tc>
        <w:tc>
          <w:tcPr>
            <w:tcW w:w="2410" w:type="dxa"/>
            <w:tcBorders>
              <w:top w:val="nil"/>
            </w:tcBorders>
            <w:noWrap w:val="0"/>
            <w:vAlign w:val="center"/>
          </w:tcPr>
          <w:p w14:paraId="01263672">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3A28FA70">
            <w:pPr>
              <w:pStyle w:val="11"/>
              <w:keepNext/>
              <w:spacing w:after="0"/>
              <w:ind w:left="63" w:right="63"/>
              <w:rPr>
                <w:rFonts w:hint="eastAsia" w:ascii="宋体" w:hAnsi="宋体" w:cs="宋体"/>
                <w:highlight w:val="none"/>
              </w:rPr>
            </w:pPr>
          </w:p>
        </w:tc>
        <w:tc>
          <w:tcPr>
            <w:tcW w:w="1560" w:type="dxa"/>
            <w:tcBorders>
              <w:top w:val="nil"/>
            </w:tcBorders>
            <w:noWrap w:val="0"/>
            <w:vAlign w:val="center"/>
          </w:tcPr>
          <w:p w14:paraId="2540142F">
            <w:pPr>
              <w:pStyle w:val="11"/>
              <w:keepNext/>
              <w:spacing w:after="0"/>
              <w:ind w:left="63" w:right="63"/>
              <w:rPr>
                <w:rFonts w:hint="eastAsia" w:ascii="宋体" w:hAnsi="宋体" w:cs="宋体"/>
                <w:highlight w:val="none"/>
              </w:rPr>
            </w:pPr>
          </w:p>
        </w:tc>
        <w:tc>
          <w:tcPr>
            <w:tcW w:w="2126" w:type="dxa"/>
            <w:tcBorders>
              <w:top w:val="nil"/>
            </w:tcBorders>
            <w:noWrap w:val="0"/>
            <w:vAlign w:val="center"/>
          </w:tcPr>
          <w:p w14:paraId="73D4D4AF">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789AD796">
            <w:pPr>
              <w:pStyle w:val="11"/>
              <w:keepNext/>
              <w:spacing w:after="0"/>
              <w:ind w:left="63" w:right="63"/>
              <w:rPr>
                <w:rFonts w:hint="eastAsia" w:ascii="宋体" w:hAnsi="宋体" w:cs="宋体"/>
                <w:highlight w:val="none"/>
              </w:rPr>
            </w:pPr>
          </w:p>
        </w:tc>
        <w:tc>
          <w:tcPr>
            <w:tcW w:w="851" w:type="dxa"/>
            <w:tcBorders>
              <w:top w:val="nil"/>
            </w:tcBorders>
            <w:noWrap w:val="0"/>
            <w:vAlign w:val="center"/>
          </w:tcPr>
          <w:p w14:paraId="246B1A46">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7773FD8E">
            <w:pPr>
              <w:pStyle w:val="11"/>
              <w:keepNext/>
              <w:spacing w:after="0"/>
              <w:ind w:left="63" w:right="63"/>
              <w:rPr>
                <w:rFonts w:hint="eastAsia" w:ascii="宋体" w:hAnsi="宋体" w:cs="宋体"/>
                <w:highlight w:val="none"/>
              </w:rPr>
            </w:pPr>
          </w:p>
        </w:tc>
      </w:tr>
      <w:tr w14:paraId="62372B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743" w:type="dxa"/>
            <w:noWrap w:val="0"/>
            <w:vAlign w:val="center"/>
          </w:tcPr>
          <w:p w14:paraId="7744D77D">
            <w:pPr>
              <w:pStyle w:val="11"/>
              <w:keepNext/>
              <w:spacing w:after="0"/>
              <w:ind w:left="63" w:right="63"/>
              <w:rPr>
                <w:rFonts w:hint="eastAsia" w:ascii="宋体" w:hAnsi="宋体" w:cs="宋体"/>
                <w:highlight w:val="none"/>
              </w:rPr>
            </w:pPr>
          </w:p>
        </w:tc>
        <w:tc>
          <w:tcPr>
            <w:tcW w:w="1377" w:type="dxa"/>
            <w:noWrap w:val="0"/>
            <w:vAlign w:val="center"/>
          </w:tcPr>
          <w:p w14:paraId="47DB3A7F">
            <w:pPr>
              <w:pStyle w:val="11"/>
              <w:keepNext/>
              <w:spacing w:after="0"/>
              <w:ind w:left="63" w:right="63"/>
              <w:rPr>
                <w:rFonts w:hint="eastAsia" w:ascii="宋体" w:hAnsi="宋体" w:cs="宋体"/>
                <w:highlight w:val="none"/>
              </w:rPr>
            </w:pPr>
          </w:p>
        </w:tc>
        <w:tc>
          <w:tcPr>
            <w:tcW w:w="1417" w:type="dxa"/>
            <w:noWrap w:val="0"/>
            <w:vAlign w:val="center"/>
          </w:tcPr>
          <w:p w14:paraId="2A5CE851">
            <w:pPr>
              <w:pStyle w:val="11"/>
              <w:keepNext/>
              <w:spacing w:after="0"/>
              <w:ind w:left="63" w:right="63"/>
              <w:rPr>
                <w:rFonts w:hint="eastAsia" w:ascii="宋体" w:hAnsi="宋体" w:cs="宋体"/>
                <w:highlight w:val="none"/>
              </w:rPr>
            </w:pPr>
          </w:p>
        </w:tc>
        <w:tc>
          <w:tcPr>
            <w:tcW w:w="2410" w:type="dxa"/>
            <w:noWrap w:val="0"/>
            <w:vAlign w:val="center"/>
          </w:tcPr>
          <w:p w14:paraId="729D669E">
            <w:pPr>
              <w:pStyle w:val="11"/>
              <w:keepNext/>
              <w:spacing w:after="0"/>
              <w:ind w:left="63" w:right="63"/>
              <w:rPr>
                <w:rFonts w:hint="eastAsia" w:ascii="宋体" w:hAnsi="宋体" w:cs="宋体"/>
                <w:highlight w:val="none"/>
              </w:rPr>
            </w:pPr>
          </w:p>
        </w:tc>
        <w:tc>
          <w:tcPr>
            <w:tcW w:w="850" w:type="dxa"/>
            <w:noWrap w:val="0"/>
            <w:vAlign w:val="center"/>
          </w:tcPr>
          <w:p w14:paraId="47000638">
            <w:pPr>
              <w:pStyle w:val="11"/>
              <w:keepNext/>
              <w:spacing w:after="0"/>
              <w:ind w:left="63" w:right="63"/>
              <w:rPr>
                <w:rFonts w:hint="eastAsia" w:ascii="宋体" w:hAnsi="宋体" w:cs="宋体"/>
                <w:highlight w:val="none"/>
              </w:rPr>
            </w:pPr>
          </w:p>
        </w:tc>
        <w:tc>
          <w:tcPr>
            <w:tcW w:w="1560" w:type="dxa"/>
            <w:noWrap w:val="0"/>
            <w:vAlign w:val="center"/>
          </w:tcPr>
          <w:p w14:paraId="31D9DD4B">
            <w:pPr>
              <w:pStyle w:val="11"/>
              <w:keepNext/>
              <w:spacing w:after="0"/>
              <w:ind w:left="63" w:right="63"/>
              <w:rPr>
                <w:rFonts w:hint="eastAsia" w:ascii="宋体" w:hAnsi="宋体" w:cs="宋体"/>
                <w:highlight w:val="none"/>
              </w:rPr>
            </w:pPr>
          </w:p>
        </w:tc>
        <w:tc>
          <w:tcPr>
            <w:tcW w:w="2126" w:type="dxa"/>
            <w:noWrap w:val="0"/>
            <w:vAlign w:val="center"/>
          </w:tcPr>
          <w:p w14:paraId="01E097D1">
            <w:pPr>
              <w:pStyle w:val="11"/>
              <w:keepNext/>
              <w:spacing w:after="0"/>
              <w:ind w:left="63" w:right="63"/>
              <w:rPr>
                <w:rFonts w:hint="eastAsia" w:ascii="宋体" w:hAnsi="宋体" w:cs="宋体"/>
                <w:highlight w:val="none"/>
              </w:rPr>
            </w:pPr>
          </w:p>
        </w:tc>
        <w:tc>
          <w:tcPr>
            <w:tcW w:w="1417" w:type="dxa"/>
            <w:noWrap w:val="0"/>
            <w:vAlign w:val="center"/>
          </w:tcPr>
          <w:p w14:paraId="16619C28">
            <w:pPr>
              <w:pStyle w:val="11"/>
              <w:keepNext/>
              <w:spacing w:after="0"/>
              <w:ind w:left="63" w:right="63"/>
              <w:rPr>
                <w:rFonts w:hint="eastAsia" w:ascii="宋体" w:hAnsi="宋体" w:cs="宋体"/>
                <w:highlight w:val="none"/>
              </w:rPr>
            </w:pPr>
          </w:p>
        </w:tc>
        <w:tc>
          <w:tcPr>
            <w:tcW w:w="851" w:type="dxa"/>
            <w:noWrap w:val="0"/>
            <w:vAlign w:val="center"/>
          </w:tcPr>
          <w:p w14:paraId="39695AAA">
            <w:pPr>
              <w:pStyle w:val="11"/>
              <w:keepNext/>
              <w:spacing w:after="0"/>
              <w:ind w:left="63" w:right="63"/>
              <w:rPr>
                <w:rFonts w:hint="eastAsia" w:ascii="宋体" w:hAnsi="宋体" w:cs="宋体"/>
                <w:highlight w:val="none"/>
              </w:rPr>
            </w:pPr>
          </w:p>
        </w:tc>
        <w:tc>
          <w:tcPr>
            <w:tcW w:w="850" w:type="dxa"/>
            <w:noWrap w:val="0"/>
            <w:vAlign w:val="center"/>
          </w:tcPr>
          <w:p w14:paraId="5B3F41AF">
            <w:pPr>
              <w:pStyle w:val="11"/>
              <w:keepNext/>
              <w:spacing w:after="0"/>
              <w:ind w:left="63" w:right="63"/>
              <w:rPr>
                <w:rFonts w:hint="eastAsia" w:ascii="宋体" w:hAnsi="宋体" w:cs="宋体"/>
                <w:highlight w:val="none"/>
              </w:rPr>
            </w:pPr>
          </w:p>
        </w:tc>
      </w:tr>
      <w:tr w14:paraId="5A8D8F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743" w:type="dxa"/>
            <w:tcBorders>
              <w:top w:val="nil"/>
            </w:tcBorders>
            <w:noWrap w:val="0"/>
            <w:vAlign w:val="center"/>
          </w:tcPr>
          <w:p w14:paraId="2DE19EBA">
            <w:pPr>
              <w:pStyle w:val="11"/>
              <w:keepNext/>
              <w:spacing w:after="0"/>
              <w:ind w:left="63" w:right="63"/>
              <w:rPr>
                <w:rFonts w:hint="eastAsia" w:ascii="宋体" w:hAnsi="宋体" w:cs="宋体"/>
                <w:highlight w:val="none"/>
              </w:rPr>
            </w:pPr>
          </w:p>
        </w:tc>
        <w:tc>
          <w:tcPr>
            <w:tcW w:w="1377" w:type="dxa"/>
            <w:tcBorders>
              <w:top w:val="nil"/>
            </w:tcBorders>
            <w:noWrap w:val="0"/>
            <w:vAlign w:val="center"/>
          </w:tcPr>
          <w:p w14:paraId="58A97945">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5E9E2BA8">
            <w:pPr>
              <w:pStyle w:val="11"/>
              <w:keepNext/>
              <w:spacing w:after="0"/>
              <w:ind w:left="63" w:right="63"/>
              <w:rPr>
                <w:rFonts w:hint="eastAsia" w:ascii="宋体" w:hAnsi="宋体" w:cs="宋体"/>
                <w:highlight w:val="none"/>
              </w:rPr>
            </w:pPr>
          </w:p>
        </w:tc>
        <w:tc>
          <w:tcPr>
            <w:tcW w:w="2410" w:type="dxa"/>
            <w:tcBorders>
              <w:top w:val="nil"/>
            </w:tcBorders>
            <w:noWrap w:val="0"/>
            <w:vAlign w:val="center"/>
          </w:tcPr>
          <w:p w14:paraId="47614C45">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7AB84627">
            <w:pPr>
              <w:pStyle w:val="11"/>
              <w:keepNext/>
              <w:spacing w:after="0"/>
              <w:ind w:left="63" w:right="63"/>
              <w:rPr>
                <w:rFonts w:hint="eastAsia" w:ascii="宋体" w:hAnsi="宋体" w:cs="宋体"/>
                <w:highlight w:val="none"/>
              </w:rPr>
            </w:pPr>
          </w:p>
        </w:tc>
        <w:tc>
          <w:tcPr>
            <w:tcW w:w="1560" w:type="dxa"/>
            <w:tcBorders>
              <w:top w:val="nil"/>
            </w:tcBorders>
            <w:noWrap w:val="0"/>
            <w:vAlign w:val="center"/>
          </w:tcPr>
          <w:p w14:paraId="43C1B52B">
            <w:pPr>
              <w:pStyle w:val="11"/>
              <w:keepNext/>
              <w:spacing w:after="0"/>
              <w:ind w:left="63" w:right="63"/>
              <w:rPr>
                <w:rFonts w:hint="eastAsia" w:ascii="宋体" w:hAnsi="宋体" w:cs="宋体"/>
                <w:highlight w:val="none"/>
              </w:rPr>
            </w:pPr>
          </w:p>
        </w:tc>
        <w:tc>
          <w:tcPr>
            <w:tcW w:w="2126" w:type="dxa"/>
            <w:tcBorders>
              <w:top w:val="nil"/>
            </w:tcBorders>
            <w:noWrap w:val="0"/>
            <w:vAlign w:val="center"/>
          </w:tcPr>
          <w:p w14:paraId="323E17E1">
            <w:pPr>
              <w:pStyle w:val="11"/>
              <w:keepNext/>
              <w:spacing w:after="0"/>
              <w:ind w:left="63" w:right="63"/>
              <w:rPr>
                <w:rFonts w:hint="eastAsia" w:ascii="宋体" w:hAnsi="宋体" w:cs="宋体"/>
                <w:highlight w:val="none"/>
              </w:rPr>
            </w:pPr>
          </w:p>
        </w:tc>
        <w:tc>
          <w:tcPr>
            <w:tcW w:w="1417" w:type="dxa"/>
            <w:tcBorders>
              <w:top w:val="nil"/>
            </w:tcBorders>
            <w:noWrap w:val="0"/>
            <w:vAlign w:val="center"/>
          </w:tcPr>
          <w:p w14:paraId="5F97699F">
            <w:pPr>
              <w:pStyle w:val="11"/>
              <w:keepNext/>
              <w:spacing w:after="0"/>
              <w:ind w:left="63" w:right="63"/>
              <w:rPr>
                <w:rFonts w:hint="eastAsia" w:ascii="宋体" w:hAnsi="宋体" w:cs="宋体"/>
                <w:highlight w:val="none"/>
              </w:rPr>
            </w:pPr>
          </w:p>
        </w:tc>
        <w:tc>
          <w:tcPr>
            <w:tcW w:w="851" w:type="dxa"/>
            <w:tcBorders>
              <w:top w:val="nil"/>
            </w:tcBorders>
            <w:noWrap w:val="0"/>
            <w:vAlign w:val="center"/>
          </w:tcPr>
          <w:p w14:paraId="2091C889">
            <w:pPr>
              <w:pStyle w:val="11"/>
              <w:keepNext/>
              <w:spacing w:after="0"/>
              <w:ind w:left="63" w:right="63"/>
              <w:rPr>
                <w:rFonts w:hint="eastAsia" w:ascii="宋体" w:hAnsi="宋体" w:cs="宋体"/>
                <w:highlight w:val="none"/>
              </w:rPr>
            </w:pPr>
          </w:p>
        </w:tc>
        <w:tc>
          <w:tcPr>
            <w:tcW w:w="850" w:type="dxa"/>
            <w:tcBorders>
              <w:top w:val="nil"/>
            </w:tcBorders>
            <w:noWrap w:val="0"/>
            <w:vAlign w:val="center"/>
          </w:tcPr>
          <w:p w14:paraId="169EA99A">
            <w:pPr>
              <w:pStyle w:val="11"/>
              <w:keepNext/>
              <w:spacing w:after="0"/>
              <w:ind w:left="63" w:right="63"/>
              <w:rPr>
                <w:rFonts w:hint="eastAsia" w:ascii="宋体" w:hAnsi="宋体" w:cs="宋体"/>
                <w:highlight w:val="none"/>
              </w:rPr>
            </w:pPr>
          </w:p>
        </w:tc>
      </w:tr>
      <w:tr w14:paraId="7245C3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743" w:type="dxa"/>
            <w:noWrap w:val="0"/>
            <w:vAlign w:val="center"/>
          </w:tcPr>
          <w:p w14:paraId="1DB70C87">
            <w:pPr>
              <w:pStyle w:val="11"/>
              <w:keepNext/>
              <w:spacing w:after="0"/>
              <w:ind w:left="63" w:right="63"/>
              <w:rPr>
                <w:rFonts w:hint="eastAsia" w:ascii="宋体" w:hAnsi="宋体" w:cs="宋体"/>
                <w:highlight w:val="none"/>
              </w:rPr>
            </w:pPr>
          </w:p>
        </w:tc>
        <w:tc>
          <w:tcPr>
            <w:tcW w:w="1377" w:type="dxa"/>
            <w:noWrap w:val="0"/>
            <w:vAlign w:val="center"/>
          </w:tcPr>
          <w:p w14:paraId="378C782D">
            <w:pPr>
              <w:pStyle w:val="11"/>
              <w:keepNext/>
              <w:spacing w:after="0"/>
              <w:ind w:left="63" w:right="63"/>
              <w:rPr>
                <w:rFonts w:hint="eastAsia" w:ascii="宋体" w:hAnsi="宋体" w:cs="宋体"/>
                <w:highlight w:val="none"/>
              </w:rPr>
            </w:pPr>
          </w:p>
        </w:tc>
        <w:tc>
          <w:tcPr>
            <w:tcW w:w="1417" w:type="dxa"/>
            <w:noWrap w:val="0"/>
            <w:vAlign w:val="center"/>
          </w:tcPr>
          <w:p w14:paraId="34AE8330">
            <w:pPr>
              <w:pStyle w:val="11"/>
              <w:keepNext/>
              <w:spacing w:after="0"/>
              <w:ind w:left="63" w:right="63"/>
              <w:rPr>
                <w:rFonts w:hint="eastAsia" w:ascii="宋体" w:hAnsi="宋体" w:cs="宋体"/>
                <w:highlight w:val="none"/>
              </w:rPr>
            </w:pPr>
          </w:p>
        </w:tc>
        <w:tc>
          <w:tcPr>
            <w:tcW w:w="2410" w:type="dxa"/>
            <w:noWrap w:val="0"/>
            <w:vAlign w:val="center"/>
          </w:tcPr>
          <w:p w14:paraId="31116074">
            <w:pPr>
              <w:pStyle w:val="11"/>
              <w:keepNext/>
              <w:spacing w:after="0"/>
              <w:ind w:left="63" w:right="63"/>
              <w:rPr>
                <w:rFonts w:hint="eastAsia" w:ascii="宋体" w:hAnsi="宋体" w:cs="宋体"/>
                <w:highlight w:val="none"/>
              </w:rPr>
            </w:pPr>
          </w:p>
        </w:tc>
        <w:tc>
          <w:tcPr>
            <w:tcW w:w="850" w:type="dxa"/>
            <w:noWrap w:val="0"/>
            <w:vAlign w:val="center"/>
          </w:tcPr>
          <w:p w14:paraId="5BF5E08E">
            <w:pPr>
              <w:pStyle w:val="11"/>
              <w:keepNext/>
              <w:spacing w:after="0"/>
              <w:ind w:left="63" w:right="63"/>
              <w:rPr>
                <w:rFonts w:hint="eastAsia" w:ascii="宋体" w:hAnsi="宋体" w:cs="宋体"/>
                <w:highlight w:val="none"/>
              </w:rPr>
            </w:pPr>
          </w:p>
        </w:tc>
        <w:tc>
          <w:tcPr>
            <w:tcW w:w="1560" w:type="dxa"/>
            <w:noWrap w:val="0"/>
            <w:vAlign w:val="center"/>
          </w:tcPr>
          <w:p w14:paraId="781877BC">
            <w:pPr>
              <w:pStyle w:val="11"/>
              <w:keepNext/>
              <w:spacing w:after="0"/>
              <w:ind w:left="63" w:right="63"/>
              <w:rPr>
                <w:rFonts w:hint="eastAsia" w:ascii="宋体" w:hAnsi="宋体" w:cs="宋体"/>
                <w:highlight w:val="none"/>
              </w:rPr>
            </w:pPr>
          </w:p>
        </w:tc>
        <w:tc>
          <w:tcPr>
            <w:tcW w:w="2126" w:type="dxa"/>
            <w:noWrap w:val="0"/>
            <w:vAlign w:val="center"/>
          </w:tcPr>
          <w:p w14:paraId="7426200C">
            <w:pPr>
              <w:pStyle w:val="11"/>
              <w:keepNext/>
              <w:spacing w:after="0"/>
              <w:ind w:left="63" w:right="63"/>
              <w:rPr>
                <w:rFonts w:hint="eastAsia" w:ascii="宋体" w:hAnsi="宋体" w:cs="宋体"/>
                <w:highlight w:val="none"/>
              </w:rPr>
            </w:pPr>
          </w:p>
        </w:tc>
        <w:tc>
          <w:tcPr>
            <w:tcW w:w="1417" w:type="dxa"/>
            <w:noWrap w:val="0"/>
            <w:vAlign w:val="center"/>
          </w:tcPr>
          <w:p w14:paraId="68261FB9">
            <w:pPr>
              <w:pStyle w:val="11"/>
              <w:keepNext/>
              <w:spacing w:after="0"/>
              <w:ind w:left="63" w:right="63"/>
              <w:rPr>
                <w:rFonts w:hint="eastAsia" w:ascii="宋体" w:hAnsi="宋体" w:cs="宋体"/>
                <w:highlight w:val="none"/>
              </w:rPr>
            </w:pPr>
          </w:p>
        </w:tc>
        <w:tc>
          <w:tcPr>
            <w:tcW w:w="851" w:type="dxa"/>
            <w:noWrap w:val="0"/>
            <w:vAlign w:val="center"/>
          </w:tcPr>
          <w:p w14:paraId="174E008D">
            <w:pPr>
              <w:pStyle w:val="11"/>
              <w:keepNext/>
              <w:spacing w:after="0"/>
              <w:ind w:left="63" w:right="63"/>
              <w:rPr>
                <w:rFonts w:hint="eastAsia" w:ascii="宋体" w:hAnsi="宋体" w:cs="宋体"/>
                <w:highlight w:val="none"/>
              </w:rPr>
            </w:pPr>
          </w:p>
        </w:tc>
        <w:tc>
          <w:tcPr>
            <w:tcW w:w="850" w:type="dxa"/>
            <w:noWrap w:val="0"/>
            <w:vAlign w:val="center"/>
          </w:tcPr>
          <w:p w14:paraId="5FB3F583">
            <w:pPr>
              <w:pStyle w:val="11"/>
              <w:keepNext/>
              <w:spacing w:after="0"/>
              <w:ind w:left="63" w:right="63"/>
              <w:rPr>
                <w:rFonts w:hint="eastAsia" w:ascii="宋体" w:hAnsi="宋体" w:cs="宋体"/>
                <w:highlight w:val="none"/>
              </w:rPr>
            </w:pPr>
          </w:p>
        </w:tc>
      </w:tr>
    </w:tbl>
    <w:p w14:paraId="332A8D37">
      <w:pPr>
        <w:rPr>
          <w:rFonts w:ascii="宋体" w:hAnsi="宋体" w:cs="宋体"/>
          <w:b/>
          <w:highlight w:val="none"/>
        </w:rPr>
        <w:sectPr>
          <w:footerReference r:id="rId10" w:type="default"/>
          <w:pgSz w:w="16838" w:h="11906" w:orient="landscape"/>
          <w:pgMar w:top="1554" w:right="1418" w:bottom="1531" w:left="1418" w:header="851" w:footer="992" w:gutter="0"/>
          <w:pgBorders>
            <w:top w:val="none" w:sz="0" w:space="0"/>
            <w:left w:val="none" w:sz="0" w:space="0"/>
            <w:bottom w:val="none" w:sz="0" w:space="0"/>
            <w:right w:val="none" w:sz="0" w:space="0"/>
          </w:pgBorders>
          <w:pgNumType w:fmt="decimal"/>
          <w:cols w:space="720" w:num="1"/>
          <w:titlePg/>
          <w:docGrid w:type="linesAndChars" w:linePitch="312" w:charSpace="0"/>
        </w:sectPr>
      </w:pPr>
    </w:p>
    <w:p w14:paraId="6717846F">
      <w:pPr>
        <w:spacing w:before="156" w:beforeLines="50" w:after="156" w:afterLines="50"/>
        <w:outlineLvl w:val="0"/>
        <w:rPr>
          <w:rFonts w:ascii="宋体" w:hAnsi="宋体" w:cs="宋体"/>
          <w:highlight w:val="none"/>
        </w:rPr>
      </w:pPr>
      <w:bookmarkStart w:id="1702" w:name="_Toc23938"/>
      <w:bookmarkStart w:id="1703" w:name="_Toc25206"/>
      <w:bookmarkStart w:id="1704" w:name="_Toc22119"/>
      <w:bookmarkStart w:id="1705" w:name="_Toc69891496"/>
      <w:bookmarkStart w:id="1706" w:name="_Toc5761"/>
      <w:bookmarkStart w:id="1707" w:name="_Toc7584"/>
      <w:bookmarkStart w:id="1708" w:name="_Toc69909986"/>
      <w:bookmarkStart w:id="1709" w:name="_Toc31842"/>
      <w:r>
        <w:rPr>
          <w:rFonts w:hint="eastAsia" w:ascii="宋体" w:hAnsi="宋体" w:cs="宋体"/>
          <w:highlight w:val="none"/>
        </w:rPr>
        <w:t>附</w:t>
      </w:r>
      <w:bookmarkStart w:id="1710" w:name="_Toc267261692"/>
      <w:bookmarkStart w:id="1711" w:name="_Toc296347224"/>
      <w:bookmarkStart w:id="1712" w:name="_Toc296944564"/>
      <w:bookmarkStart w:id="1713" w:name="_Toc296891265"/>
      <w:bookmarkStart w:id="1714" w:name="_Toc296503225"/>
      <w:bookmarkStart w:id="1715" w:name="_Toc296891053"/>
      <w:bookmarkStart w:id="1716" w:name="_Toc296346726"/>
      <w:r>
        <w:rPr>
          <w:rFonts w:hint="eastAsia" w:ascii="宋体" w:hAnsi="宋体" w:cs="宋体"/>
          <w:highlight w:val="none"/>
        </w:rPr>
        <w:t>件2：</w:t>
      </w:r>
      <w:bookmarkEnd w:id="1702"/>
      <w:bookmarkEnd w:id="1703"/>
      <w:r>
        <w:rPr>
          <w:rFonts w:hint="eastAsia" w:ascii="宋体" w:hAnsi="宋体" w:cs="宋体"/>
          <w:highlight w:val="none"/>
        </w:rPr>
        <w:t>发包人供应材料设备一览表</w:t>
      </w:r>
      <w:bookmarkEnd w:id="1704"/>
      <w:bookmarkEnd w:id="1705"/>
      <w:bookmarkEnd w:id="1706"/>
      <w:bookmarkEnd w:id="1707"/>
      <w:bookmarkEnd w:id="1708"/>
      <w:bookmarkEnd w:id="1709"/>
    </w:p>
    <w:bookmarkEnd w:id="1710"/>
    <w:bookmarkEnd w:id="1711"/>
    <w:bookmarkEnd w:id="1712"/>
    <w:bookmarkEnd w:id="1713"/>
    <w:bookmarkEnd w:id="1714"/>
    <w:bookmarkEnd w:id="1715"/>
    <w:bookmarkEnd w:id="1716"/>
    <w:p w14:paraId="73FD486C">
      <w:pPr>
        <w:jc w:val="center"/>
        <w:rPr>
          <w:rFonts w:ascii="宋体" w:hAnsi="宋体" w:cs="宋体"/>
          <w:b/>
          <w:sz w:val="28"/>
          <w:szCs w:val="28"/>
          <w:highlight w:val="none"/>
        </w:rPr>
      </w:pPr>
      <w:bookmarkStart w:id="1717" w:name="_Toc9914"/>
      <w:r>
        <w:rPr>
          <w:rFonts w:hint="eastAsia" w:ascii="宋体" w:hAnsi="宋体" w:cs="宋体"/>
          <w:b/>
          <w:sz w:val="28"/>
          <w:szCs w:val="28"/>
          <w:highlight w:val="none"/>
        </w:rPr>
        <w:t>发包人供应材料设备一览表</w:t>
      </w:r>
      <w:bookmarkEnd w:id="1717"/>
    </w:p>
    <w:tbl>
      <w:tblPr>
        <w:tblStyle w:val="22"/>
        <w:tblW w:w="977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455"/>
        <w:gridCol w:w="1276"/>
        <w:gridCol w:w="1418"/>
        <w:gridCol w:w="940"/>
        <w:gridCol w:w="851"/>
        <w:gridCol w:w="1044"/>
        <w:gridCol w:w="992"/>
        <w:gridCol w:w="851"/>
        <w:gridCol w:w="1225"/>
        <w:gridCol w:w="718"/>
      </w:tblGrid>
      <w:tr w14:paraId="6646AA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55" w:type="dxa"/>
            <w:tcBorders>
              <w:top w:val="single" w:color="auto" w:sz="12" w:space="0"/>
              <w:bottom w:val="double" w:color="auto" w:sz="6" w:space="0"/>
            </w:tcBorders>
            <w:noWrap w:val="0"/>
            <w:vAlign w:val="center"/>
          </w:tcPr>
          <w:p w14:paraId="2E889985">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序号</w:t>
            </w:r>
          </w:p>
        </w:tc>
        <w:tc>
          <w:tcPr>
            <w:tcW w:w="1276" w:type="dxa"/>
            <w:tcBorders>
              <w:top w:val="single" w:color="auto" w:sz="12" w:space="0"/>
              <w:bottom w:val="double" w:color="auto" w:sz="6" w:space="0"/>
            </w:tcBorders>
            <w:noWrap w:val="0"/>
            <w:vAlign w:val="center"/>
          </w:tcPr>
          <w:p w14:paraId="5D326F6E">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材料、</w:t>
            </w:r>
          </w:p>
          <w:p w14:paraId="2A3AD035">
            <w:pPr>
              <w:pStyle w:val="11"/>
              <w:keepNext/>
              <w:spacing w:after="0"/>
              <w:ind w:right="63"/>
              <w:jc w:val="center"/>
              <w:rPr>
                <w:rFonts w:hint="eastAsia" w:ascii="宋体" w:hAnsi="宋体" w:eastAsia="宋体" w:cs="宋体"/>
                <w:highlight w:val="none"/>
              </w:rPr>
            </w:pPr>
            <w:r>
              <w:rPr>
                <w:rFonts w:hint="eastAsia" w:ascii="宋体" w:hAnsi="宋体" w:eastAsia="宋体" w:cs="宋体"/>
                <w:highlight w:val="none"/>
              </w:rPr>
              <w:t>设备品种</w:t>
            </w:r>
          </w:p>
        </w:tc>
        <w:tc>
          <w:tcPr>
            <w:tcW w:w="1418" w:type="dxa"/>
            <w:tcBorders>
              <w:top w:val="single" w:color="auto" w:sz="12" w:space="0"/>
              <w:bottom w:val="double" w:color="auto" w:sz="6" w:space="0"/>
            </w:tcBorders>
            <w:noWrap w:val="0"/>
            <w:vAlign w:val="center"/>
          </w:tcPr>
          <w:p w14:paraId="1E74C460">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规格型号</w:t>
            </w:r>
          </w:p>
        </w:tc>
        <w:tc>
          <w:tcPr>
            <w:tcW w:w="940" w:type="dxa"/>
            <w:tcBorders>
              <w:top w:val="single" w:color="auto" w:sz="12" w:space="0"/>
              <w:bottom w:val="double" w:color="auto" w:sz="6" w:space="0"/>
            </w:tcBorders>
            <w:noWrap w:val="0"/>
            <w:vAlign w:val="center"/>
          </w:tcPr>
          <w:p w14:paraId="7184CB37">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单位</w:t>
            </w:r>
          </w:p>
        </w:tc>
        <w:tc>
          <w:tcPr>
            <w:tcW w:w="851" w:type="dxa"/>
            <w:tcBorders>
              <w:top w:val="single" w:color="auto" w:sz="12" w:space="0"/>
              <w:bottom w:val="double" w:color="auto" w:sz="6" w:space="0"/>
            </w:tcBorders>
            <w:noWrap w:val="0"/>
            <w:vAlign w:val="center"/>
          </w:tcPr>
          <w:p w14:paraId="7D13F0EC">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数量</w:t>
            </w:r>
          </w:p>
        </w:tc>
        <w:tc>
          <w:tcPr>
            <w:tcW w:w="1044" w:type="dxa"/>
            <w:tcBorders>
              <w:top w:val="single" w:color="auto" w:sz="12" w:space="0"/>
              <w:bottom w:val="double" w:color="auto" w:sz="6" w:space="0"/>
            </w:tcBorders>
            <w:noWrap w:val="0"/>
            <w:vAlign w:val="center"/>
          </w:tcPr>
          <w:p w14:paraId="6BF6440B">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单价（元）</w:t>
            </w:r>
          </w:p>
        </w:tc>
        <w:tc>
          <w:tcPr>
            <w:tcW w:w="992" w:type="dxa"/>
            <w:tcBorders>
              <w:top w:val="single" w:color="auto" w:sz="12" w:space="0"/>
              <w:bottom w:val="double" w:color="auto" w:sz="6" w:space="0"/>
            </w:tcBorders>
            <w:noWrap w:val="0"/>
            <w:vAlign w:val="center"/>
          </w:tcPr>
          <w:p w14:paraId="047C71C4">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质量</w:t>
            </w:r>
          </w:p>
          <w:p w14:paraId="197FD2D2">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等级</w:t>
            </w:r>
          </w:p>
        </w:tc>
        <w:tc>
          <w:tcPr>
            <w:tcW w:w="851" w:type="dxa"/>
            <w:tcBorders>
              <w:top w:val="single" w:color="auto" w:sz="12" w:space="0"/>
              <w:bottom w:val="double" w:color="auto" w:sz="6" w:space="0"/>
            </w:tcBorders>
            <w:noWrap w:val="0"/>
            <w:vAlign w:val="center"/>
          </w:tcPr>
          <w:p w14:paraId="05FB5B8F">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供应</w:t>
            </w:r>
          </w:p>
          <w:p w14:paraId="5F2FCF2C">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时间</w:t>
            </w:r>
          </w:p>
        </w:tc>
        <w:tc>
          <w:tcPr>
            <w:tcW w:w="1225" w:type="dxa"/>
            <w:tcBorders>
              <w:top w:val="single" w:color="auto" w:sz="12" w:space="0"/>
              <w:bottom w:val="double" w:color="auto" w:sz="6" w:space="0"/>
            </w:tcBorders>
            <w:noWrap w:val="0"/>
            <w:vAlign w:val="center"/>
          </w:tcPr>
          <w:p w14:paraId="63BBF574">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送达地点</w:t>
            </w:r>
          </w:p>
        </w:tc>
        <w:tc>
          <w:tcPr>
            <w:tcW w:w="718" w:type="dxa"/>
            <w:tcBorders>
              <w:top w:val="single" w:color="auto" w:sz="12" w:space="0"/>
              <w:bottom w:val="double" w:color="auto" w:sz="6" w:space="0"/>
            </w:tcBorders>
            <w:noWrap w:val="0"/>
            <w:vAlign w:val="center"/>
          </w:tcPr>
          <w:p w14:paraId="13933C9E">
            <w:pPr>
              <w:pStyle w:val="11"/>
              <w:keepNext/>
              <w:spacing w:after="0"/>
              <w:ind w:left="63" w:right="63"/>
              <w:jc w:val="center"/>
              <w:rPr>
                <w:rFonts w:hint="eastAsia" w:ascii="宋体" w:hAnsi="宋体" w:eastAsia="宋体" w:cs="宋体"/>
                <w:highlight w:val="none"/>
              </w:rPr>
            </w:pPr>
            <w:r>
              <w:rPr>
                <w:rFonts w:hint="eastAsia" w:ascii="宋体" w:hAnsi="宋体" w:eastAsia="宋体" w:cs="宋体"/>
                <w:highlight w:val="none"/>
              </w:rPr>
              <w:t>备注</w:t>
            </w:r>
          </w:p>
        </w:tc>
      </w:tr>
      <w:tr w14:paraId="60E09B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tcBorders>
              <w:top w:val="double" w:color="auto" w:sz="6" w:space="0"/>
              <w:bottom w:val="single" w:color="auto" w:sz="6" w:space="0"/>
            </w:tcBorders>
            <w:noWrap w:val="0"/>
            <w:vAlign w:val="center"/>
          </w:tcPr>
          <w:p w14:paraId="32F18E58">
            <w:pPr>
              <w:pStyle w:val="11"/>
              <w:keepNext/>
              <w:spacing w:after="0"/>
              <w:ind w:left="63" w:right="63"/>
              <w:rPr>
                <w:rFonts w:hint="eastAsia" w:ascii="宋体" w:hAnsi="宋体" w:eastAsia="宋体" w:cs="宋体"/>
                <w:highlight w:val="none"/>
              </w:rPr>
            </w:pPr>
            <w:r>
              <w:rPr>
                <w:rFonts w:hint="eastAsia" w:ascii="宋体" w:hAnsi="宋体" w:eastAsia="宋体" w:cs="宋体"/>
                <w:highlight w:val="none"/>
              </w:rPr>
              <w:t>无</w:t>
            </w:r>
          </w:p>
        </w:tc>
        <w:tc>
          <w:tcPr>
            <w:tcW w:w="1276" w:type="dxa"/>
            <w:tcBorders>
              <w:top w:val="double" w:color="auto" w:sz="6" w:space="0"/>
              <w:bottom w:val="single" w:color="auto" w:sz="6" w:space="0"/>
            </w:tcBorders>
            <w:noWrap w:val="0"/>
            <w:vAlign w:val="center"/>
          </w:tcPr>
          <w:p w14:paraId="3F20E671">
            <w:pPr>
              <w:pStyle w:val="11"/>
              <w:keepNext/>
              <w:spacing w:after="0"/>
              <w:ind w:left="63" w:right="63"/>
              <w:rPr>
                <w:rFonts w:hint="eastAsia" w:ascii="宋体" w:hAnsi="宋体" w:eastAsia="宋体" w:cs="宋体"/>
                <w:highlight w:val="none"/>
              </w:rPr>
            </w:pPr>
          </w:p>
        </w:tc>
        <w:tc>
          <w:tcPr>
            <w:tcW w:w="1418" w:type="dxa"/>
            <w:tcBorders>
              <w:top w:val="double" w:color="auto" w:sz="6" w:space="0"/>
              <w:bottom w:val="single" w:color="auto" w:sz="6" w:space="0"/>
            </w:tcBorders>
            <w:noWrap w:val="0"/>
            <w:vAlign w:val="center"/>
          </w:tcPr>
          <w:p w14:paraId="7309496F">
            <w:pPr>
              <w:pStyle w:val="11"/>
              <w:keepNext/>
              <w:spacing w:after="0"/>
              <w:ind w:left="63" w:right="63"/>
              <w:rPr>
                <w:rFonts w:hint="eastAsia" w:ascii="宋体" w:hAnsi="宋体" w:eastAsia="宋体" w:cs="宋体"/>
                <w:highlight w:val="none"/>
              </w:rPr>
            </w:pPr>
          </w:p>
        </w:tc>
        <w:tc>
          <w:tcPr>
            <w:tcW w:w="940" w:type="dxa"/>
            <w:tcBorders>
              <w:top w:val="double" w:color="auto" w:sz="6" w:space="0"/>
              <w:bottom w:val="single" w:color="auto" w:sz="6" w:space="0"/>
            </w:tcBorders>
            <w:noWrap w:val="0"/>
            <w:vAlign w:val="center"/>
          </w:tcPr>
          <w:p w14:paraId="5ECB11F7">
            <w:pPr>
              <w:pStyle w:val="11"/>
              <w:keepNext/>
              <w:spacing w:after="0"/>
              <w:ind w:left="63" w:right="63"/>
              <w:rPr>
                <w:rFonts w:hint="eastAsia" w:ascii="宋体" w:hAnsi="宋体" w:eastAsia="宋体" w:cs="宋体"/>
                <w:highlight w:val="none"/>
              </w:rPr>
            </w:pPr>
          </w:p>
        </w:tc>
        <w:tc>
          <w:tcPr>
            <w:tcW w:w="851" w:type="dxa"/>
            <w:tcBorders>
              <w:top w:val="double" w:color="auto" w:sz="6" w:space="0"/>
              <w:bottom w:val="single" w:color="auto" w:sz="6" w:space="0"/>
            </w:tcBorders>
            <w:noWrap w:val="0"/>
            <w:vAlign w:val="center"/>
          </w:tcPr>
          <w:p w14:paraId="42390922">
            <w:pPr>
              <w:pStyle w:val="11"/>
              <w:keepNext/>
              <w:spacing w:after="0"/>
              <w:ind w:left="63" w:right="63"/>
              <w:rPr>
                <w:rFonts w:hint="eastAsia" w:ascii="宋体" w:hAnsi="宋体" w:eastAsia="宋体" w:cs="宋体"/>
                <w:highlight w:val="none"/>
              </w:rPr>
            </w:pPr>
          </w:p>
        </w:tc>
        <w:tc>
          <w:tcPr>
            <w:tcW w:w="1044" w:type="dxa"/>
            <w:tcBorders>
              <w:top w:val="double" w:color="auto" w:sz="6" w:space="0"/>
              <w:bottom w:val="single" w:color="auto" w:sz="6" w:space="0"/>
            </w:tcBorders>
            <w:noWrap w:val="0"/>
            <w:vAlign w:val="center"/>
          </w:tcPr>
          <w:p w14:paraId="4EB37681">
            <w:pPr>
              <w:pStyle w:val="11"/>
              <w:keepNext/>
              <w:spacing w:after="0"/>
              <w:ind w:left="63" w:right="63"/>
              <w:rPr>
                <w:rFonts w:hint="eastAsia" w:ascii="宋体" w:hAnsi="宋体" w:eastAsia="宋体" w:cs="宋体"/>
                <w:highlight w:val="none"/>
              </w:rPr>
            </w:pPr>
          </w:p>
        </w:tc>
        <w:tc>
          <w:tcPr>
            <w:tcW w:w="992" w:type="dxa"/>
            <w:tcBorders>
              <w:top w:val="double" w:color="auto" w:sz="6" w:space="0"/>
              <w:bottom w:val="single" w:color="auto" w:sz="6" w:space="0"/>
            </w:tcBorders>
            <w:noWrap w:val="0"/>
            <w:vAlign w:val="center"/>
          </w:tcPr>
          <w:p w14:paraId="6F299773">
            <w:pPr>
              <w:pStyle w:val="11"/>
              <w:keepNext/>
              <w:spacing w:after="0"/>
              <w:ind w:left="63" w:right="63"/>
              <w:rPr>
                <w:rFonts w:hint="eastAsia" w:ascii="宋体" w:hAnsi="宋体" w:eastAsia="宋体" w:cs="宋体"/>
                <w:highlight w:val="none"/>
              </w:rPr>
            </w:pPr>
          </w:p>
        </w:tc>
        <w:tc>
          <w:tcPr>
            <w:tcW w:w="851" w:type="dxa"/>
            <w:tcBorders>
              <w:top w:val="double" w:color="auto" w:sz="6" w:space="0"/>
              <w:bottom w:val="single" w:color="auto" w:sz="6" w:space="0"/>
            </w:tcBorders>
            <w:noWrap w:val="0"/>
            <w:vAlign w:val="center"/>
          </w:tcPr>
          <w:p w14:paraId="476CE338">
            <w:pPr>
              <w:pStyle w:val="11"/>
              <w:keepNext/>
              <w:spacing w:after="0"/>
              <w:ind w:left="63" w:right="63"/>
              <w:rPr>
                <w:rFonts w:hint="eastAsia" w:ascii="宋体" w:hAnsi="宋体" w:eastAsia="宋体" w:cs="宋体"/>
                <w:highlight w:val="none"/>
              </w:rPr>
            </w:pPr>
          </w:p>
        </w:tc>
        <w:tc>
          <w:tcPr>
            <w:tcW w:w="1225" w:type="dxa"/>
            <w:tcBorders>
              <w:top w:val="double" w:color="auto" w:sz="6" w:space="0"/>
              <w:bottom w:val="single" w:color="auto" w:sz="6" w:space="0"/>
            </w:tcBorders>
            <w:noWrap w:val="0"/>
            <w:vAlign w:val="center"/>
          </w:tcPr>
          <w:p w14:paraId="21A2C3A7">
            <w:pPr>
              <w:pStyle w:val="11"/>
              <w:keepNext/>
              <w:spacing w:after="0"/>
              <w:ind w:left="63" w:right="63"/>
              <w:rPr>
                <w:rFonts w:hint="eastAsia" w:ascii="宋体" w:hAnsi="宋体" w:eastAsia="宋体" w:cs="宋体"/>
                <w:highlight w:val="none"/>
              </w:rPr>
            </w:pPr>
          </w:p>
        </w:tc>
        <w:tc>
          <w:tcPr>
            <w:tcW w:w="718" w:type="dxa"/>
            <w:tcBorders>
              <w:top w:val="double" w:color="auto" w:sz="6" w:space="0"/>
              <w:bottom w:val="single" w:color="auto" w:sz="6" w:space="0"/>
            </w:tcBorders>
            <w:noWrap w:val="0"/>
            <w:vAlign w:val="center"/>
          </w:tcPr>
          <w:p w14:paraId="0E6C32E6">
            <w:pPr>
              <w:pStyle w:val="11"/>
              <w:keepNext/>
              <w:spacing w:after="0"/>
              <w:ind w:left="63" w:right="63"/>
              <w:rPr>
                <w:rFonts w:hint="eastAsia" w:ascii="宋体" w:hAnsi="宋体" w:eastAsia="宋体" w:cs="宋体"/>
                <w:highlight w:val="none"/>
              </w:rPr>
            </w:pPr>
          </w:p>
        </w:tc>
      </w:tr>
      <w:tr w14:paraId="3955B9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tcBorders>
              <w:top w:val="nil"/>
            </w:tcBorders>
            <w:noWrap w:val="0"/>
            <w:vAlign w:val="center"/>
          </w:tcPr>
          <w:p w14:paraId="0FA94930">
            <w:pPr>
              <w:pStyle w:val="11"/>
              <w:keepNext/>
              <w:spacing w:after="0"/>
              <w:ind w:left="63" w:right="63"/>
              <w:rPr>
                <w:rFonts w:ascii="宋体" w:hAnsi="宋体" w:cs="宋体"/>
                <w:highlight w:val="none"/>
              </w:rPr>
            </w:pPr>
          </w:p>
        </w:tc>
        <w:tc>
          <w:tcPr>
            <w:tcW w:w="1276" w:type="dxa"/>
            <w:tcBorders>
              <w:top w:val="nil"/>
            </w:tcBorders>
            <w:noWrap w:val="0"/>
            <w:vAlign w:val="center"/>
          </w:tcPr>
          <w:p w14:paraId="41845075">
            <w:pPr>
              <w:pStyle w:val="11"/>
              <w:keepNext/>
              <w:spacing w:after="0"/>
              <w:ind w:left="63" w:right="63"/>
              <w:rPr>
                <w:rFonts w:ascii="宋体" w:hAnsi="宋体" w:cs="宋体"/>
                <w:highlight w:val="none"/>
              </w:rPr>
            </w:pPr>
          </w:p>
        </w:tc>
        <w:tc>
          <w:tcPr>
            <w:tcW w:w="1418" w:type="dxa"/>
            <w:tcBorders>
              <w:top w:val="nil"/>
            </w:tcBorders>
            <w:noWrap w:val="0"/>
            <w:vAlign w:val="center"/>
          </w:tcPr>
          <w:p w14:paraId="5C21B5A8">
            <w:pPr>
              <w:pStyle w:val="11"/>
              <w:keepNext/>
              <w:spacing w:after="0"/>
              <w:ind w:left="63" w:right="63"/>
              <w:rPr>
                <w:rFonts w:ascii="宋体" w:hAnsi="宋体" w:cs="宋体"/>
                <w:highlight w:val="none"/>
              </w:rPr>
            </w:pPr>
          </w:p>
        </w:tc>
        <w:tc>
          <w:tcPr>
            <w:tcW w:w="940" w:type="dxa"/>
            <w:tcBorders>
              <w:top w:val="nil"/>
            </w:tcBorders>
            <w:noWrap w:val="0"/>
            <w:vAlign w:val="center"/>
          </w:tcPr>
          <w:p w14:paraId="4D6E0E4F">
            <w:pPr>
              <w:pStyle w:val="11"/>
              <w:keepNext/>
              <w:spacing w:after="0"/>
              <w:ind w:left="63" w:right="63"/>
              <w:rPr>
                <w:rFonts w:ascii="宋体" w:hAnsi="宋体" w:cs="宋体"/>
                <w:highlight w:val="none"/>
              </w:rPr>
            </w:pPr>
          </w:p>
        </w:tc>
        <w:tc>
          <w:tcPr>
            <w:tcW w:w="851" w:type="dxa"/>
            <w:tcBorders>
              <w:top w:val="nil"/>
            </w:tcBorders>
            <w:noWrap w:val="0"/>
            <w:vAlign w:val="center"/>
          </w:tcPr>
          <w:p w14:paraId="0AC16ACC">
            <w:pPr>
              <w:pStyle w:val="11"/>
              <w:keepNext/>
              <w:spacing w:after="0"/>
              <w:ind w:left="63" w:right="63"/>
              <w:rPr>
                <w:rFonts w:ascii="宋体" w:hAnsi="宋体" w:cs="宋体"/>
                <w:highlight w:val="none"/>
              </w:rPr>
            </w:pPr>
          </w:p>
        </w:tc>
        <w:tc>
          <w:tcPr>
            <w:tcW w:w="1044" w:type="dxa"/>
            <w:tcBorders>
              <w:top w:val="nil"/>
            </w:tcBorders>
            <w:noWrap w:val="0"/>
            <w:vAlign w:val="center"/>
          </w:tcPr>
          <w:p w14:paraId="1A8A60AF">
            <w:pPr>
              <w:pStyle w:val="11"/>
              <w:keepNext/>
              <w:spacing w:after="0"/>
              <w:ind w:left="63" w:right="63"/>
              <w:rPr>
                <w:rFonts w:ascii="宋体" w:hAnsi="宋体" w:cs="宋体"/>
                <w:highlight w:val="none"/>
              </w:rPr>
            </w:pPr>
          </w:p>
        </w:tc>
        <w:tc>
          <w:tcPr>
            <w:tcW w:w="992" w:type="dxa"/>
            <w:tcBorders>
              <w:top w:val="nil"/>
            </w:tcBorders>
            <w:noWrap w:val="0"/>
            <w:vAlign w:val="center"/>
          </w:tcPr>
          <w:p w14:paraId="4ABDF3C2">
            <w:pPr>
              <w:pStyle w:val="11"/>
              <w:keepNext/>
              <w:spacing w:after="0"/>
              <w:ind w:left="63" w:right="63"/>
              <w:rPr>
                <w:rFonts w:ascii="宋体" w:hAnsi="宋体" w:cs="宋体"/>
                <w:highlight w:val="none"/>
              </w:rPr>
            </w:pPr>
          </w:p>
        </w:tc>
        <w:tc>
          <w:tcPr>
            <w:tcW w:w="851" w:type="dxa"/>
            <w:tcBorders>
              <w:top w:val="nil"/>
            </w:tcBorders>
            <w:noWrap w:val="0"/>
            <w:vAlign w:val="center"/>
          </w:tcPr>
          <w:p w14:paraId="4E31C771">
            <w:pPr>
              <w:pStyle w:val="11"/>
              <w:keepNext/>
              <w:spacing w:after="0"/>
              <w:ind w:left="63" w:right="63"/>
              <w:rPr>
                <w:rFonts w:ascii="宋体" w:hAnsi="宋体" w:cs="宋体"/>
                <w:highlight w:val="none"/>
              </w:rPr>
            </w:pPr>
          </w:p>
        </w:tc>
        <w:tc>
          <w:tcPr>
            <w:tcW w:w="1225" w:type="dxa"/>
            <w:tcBorders>
              <w:top w:val="nil"/>
            </w:tcBorders>
            <w:noWrap w:val="0"/>
            <w:vAlign w:val="center"/>
          </w:tcPr>
          <w:p w14:paraId="44417A4C">
            <w:pPr>
              <w:pStyle w:val="11"/>
              <w:keepNext/>
              <w:spacing w:after="0"/>
              <w:ind w:left="63" w:right="63"/>
              <w:rPr>
                <w:rFonts w:ascii="宋体" w:hAnsi="宋体" w:cs="宋体"/>
                <w:highlight w:val="none"/>
              </w:rPr>
            </w:pPr>
          </w:p>
        </w:tc>
        <w:tc>
          <w:tcPr>
            <w:tcW w:w="718" w:type="dxa"/>
            <w:tcBorders>
              <w:top w:val="nil"/>
            </w:tcBorders>
            <w:noWrap w:val="0"/>
            <w:vAlign w:val="center"/>
          </w:tcPr>
          <w:p w14:paraId="45E2B7CC">
            <w:pPr>
              <w:pStyle w:val="11"/>
              <w:keepNext/>
              <w:spacing w:after="0"/>
              <w:ind w:left="63" w:right="63"/>
              <w:rPr>
                <w:rFonts w:ascii="宋体" w:hAnsi="宋体" w:cs="宋体"/>
                <w:highlight w:val="none"/>
              </w:rPr>
            </w:pPr>
          </w:p>
        </w:tc>
      </w:tr>
      <w:tr w14:paraId="1EC161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04182FF0">
            <w:pPr>
              <w:pStyle w:val="11"/>
              <w:keepNext/>
              <w:spacing w:after="0"/>
              <w:ind w:left="63" w:right="63"/>
              <w:rPr>
                <w:rFonts w:ascii="宋体" w:hAnsi="宋体" w:cs="宋体"/>
                <w:highlight w:val="none"/>
              </w:rPr>
            </w:pPr>
          </w:p>
        </w:tc>
        <w:tc>
          <w:tcPr>
            <w:tcW w:w="1276" w:type="dxa"/>
            <w:noWrap w:val="0"/>
            <w:vAlign w:val="center"/>
          </w:tcPr>
          <w:p w14:paraId="02F6414C">
            <w:pPr>
              <w:pStyle w:val="11"/>
              <w:keepNext/>
              <w:spacing w:after="0"/>
              <w:ind w:left="63" w:right="63"/>
              <w:rPr>
                <w:rFonts w:ascii="宋体" w:hAnsi="宋体" w:cs="宋体"/>
                <w:highlight w:val="none"/>
              </w:rPr>
            </w:pPr>
          </w:p>
        </w:tc>
        <w:tc>
          <w:tcPr>
            <w:tcW w:w="1418" w:type="dxa"/>
            <w:noWrap w:val="0"/>
            <w:vAlign w:val="center"/>
          </w:tcPr>
          <w:p w14:paraId="3E0037DC">
            <w:pPr>
              <w:pStyle w:val="11"/>
              <w:keepNext/>
              <w:spacing w:after="0"/>
              <w:ind w:left="63" w:right="63"/>
              <w:rPr>
                <w:rFonts w:ascii="宋体" w:hAnsi="宋体" w:cs="宋体"/>
                <w:highlight w:val="none"/>
              </w:rPr>
            </w:pPr>
          </w:p>
        </w:tc>
        <w:tc>
          <w:tcPr>
            <w:tcW w:w="940" w:type="dxa"/>
            <w:noWrap w:val="0"/>
            <w:vAlign w:val="center"/>
          </w:tcPr>
          <w:p w14:paraId="35A38A16">
            <w:pPr>
              <w:pStyle w:val="11"/>
              <w:keepNext/>
              <w:spacing w:after="0"/>
              <w:ind w:left="63" w:right="63"/>
              <w:rPr>
                <w:rFonts w:ascii="宋体" w:hAnsi="宋体" w:cs="宋体"/>
                <w:highlight w:val="none"/>
              </w:rPr>
            </w:pPr>
          </w:p>
        </w:tc>
        <w:tc>
          <w:tcPr>
            <w:tcW w:w="851" w:type="dxa"/>
            <w:noWrap w:val="0"/>
            <w:vAlign w:val="center"/>
          </w:tcPr>
          <w:p w14:paraId="7853D44E">
            <w:pPr>
              <w:pStyle w:val="11"/>
              <w:keepNext/>
              <w:spacing w:after="0"/>
              <w:ind w:left="63" w:right="63"/>
              <w:rPr>
                <w:rFonts w:ascii="宋体" w:hAnsi="宋体" w:cs="宋体"/>
                <w:highlight w:val="none"/>
              </w:rPr>
            </w:pPr>
          </w:p>
        </w:tc>
        <w:tc>
          <w:tcPr>
            <w:tcW w:w="1044" w:type="dxa"/>
            <w:noWrap w:val="0"/>
            <w:vAlign w:val="center"/>
          </w:tcPr>
          <w:p w14:paraId="7514B5BB">
            <w:pPr>
              <w:pStyle w:val="11"/>
              <w:keepNext/>
              <w:spacing w:after="0"/>
              <w:ind w:left="63" w:right="63"/>
              <w:rPr>
                <w:rFonts w:ascii="宋体" w:hAnsi="宋体" w:cs="宋体"/>
                <w:highlight w:val="none"/>
              </w:rPr>
            </w:pPr>
          </w:p>
        </w:tc>
        <w:tc>
          <w:tcPr>
            <w:tcW w:w="992" w:type="dxa"/>
            <w:noWrap w:val="0"/>
            <w:vAlign w:val="center"/>
          </w:tcPr>
          <w:p w14:paraId="4ADB3994">
            <w:pPr>
              <w:pStyle w:val="11"/>
              <w:keepNext/>
              <w:spacing w:after="0"/>
              <w:ind w:left="63" w:right="63"/>
              <w:rPr>
                <w:rFonts w:ascii="宋体" w:hAnsi="宋体" w:cs="宋体"/>
                <w:highlight w:val="none"/>
              </w:rPr>
            </w:pPr>
          </w:p>
        </w:tc>
        <w:tc>
          <w:tcPr>
            <w:tcW w:w="851" w:type="dxa"/>
            <w:noWrap w:val="0"/>
            <w:vAlign w:val="center"/>
          </w:tcPr>
          <w:p w14:paraId="26ED0649">
            <w:pPr>
              <w:pStyle w:val="11"/>
              <w:keepNext/>
              <w:spacing w:after="0"/>
              <w:ind w:left="63" w:right="63"/>
              <w:rPr>
                <w:rFonts w:ascii="宋体" w:hAnsi="宋体" w:cs="宋体"/>
                <w:highlight w:val="none"/>
              </w:rPr>
            </w:pPr>
          </w:p>
        </w:tc>
        <w:tc>
          <w:tcPr>
            <w:tcW w:w="1225" w:type="dxa"/>
            <w:noWrap w:val="0"/>
            <w:vAlign w:val="center"/>
          </w:tcPr>
          <w:p w14:paraId="1DF7DC59">
            <w:pPr>
              <w:pStyle w:val="11"/>
              <w:keepNext/>
              <w:spacing w:after="0"/>
              <w:ind w:left="63" w:right="63"/>
              <w:rPr>
                <w:rFonts w:ascii="宋体" w:hAnsi="宋体" w:cs="宋体"/>
                <w:highlight w:val="none"/>
              </w:rPr>
            </w:pPr>
          </w:p>
        </w:tc>
        <w:tc>
          <w:tcPr>
            <w:tcW w:w="718" w:type="dxa"/>
            <w:noWrap w:val="0"/>
            <w:vAlign w:val="center"/>
          </w:tcPr>
          <w:p w14:paraId="677581F7">
            <w:pPr>
              <w:pStyle w:val="11"/>
              <w:keepNext/>
              <w:spacing w:after="0"/>
              <w:ind w:left="63" w:right="63"/>
              <w:rPr>
                <w:rFonts w:ascii="宋体" w:hAnsi="宋体" w:cs="宋体"/>
                <w:highlight w:val="none"/>
              </w:rPr>
            </w:pPr>
          </w:p>
        </w:tc>
      </w:tr>
      <w:tr w14:paraId="081853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5D2B9F5D">
            <w:pPr>
              <w:pStyle w:val="11"/>
              <w:keepNext/>
              <w:spacing w:after="0"/>
              <w:ind w:left="63" w:right="63"/>
              <w:rPr>
                <w:rFonts w:ascii="宋体" w:hAnsi="宋体" w:cs="宋体"/>
                <w:highlight w:val="none"/>
              </w:rPr>
            </w:pPr>
          </w:p>
        </w:tc>
        <w:tc>
          <w:tcPr>
            <w:tcW w:w="1276" w:type="dxa"/>
            <w:noWrap w:val="0"/>
            <w:vAlign w:val="center"/>
          </w:tcPr>
          <w:p w14:paraId="3827ADAB">
            <w:pPr>
              <w:pStyle w:val="11"/>
              <w:keepNext/>
              <w:spacing w:after="0"/>
              <w:ind w:left="63" w:right="63"/>
              <w:rPr>
                <w:rFonts w:ascii="宋体" w:hAnsi="宋体" w:cs="宋体"/>
                <w:highlight w:val="none"/>
              </w:rPr>
            </w:pPr>
          </w:p>
        </w:tc>
        <w:tc>
          <w:tcPr>
            <w:tcW w:w="1418" w:type="dxa"/>
            <w:noWrap w:val="0"/>
            <w:vAlign w:val="center"/>
          </w:tcPr>
          <w:p w14:paraId="06EA2B12">
            <w:pPr>
              <w:pStyle w:val="11"/>
              <w:keepNext/>
              <w:spacing w:after="0"/>
              <w:ind w:left="63" w:right="63"/>
              <w:rPr>
                <w:rFonts w:ascii="宋体" w:hAnsi="宋体" w:cs="宋体"/>
                <w:highlight w:val="none"/>
              </w:rPr>
            </w:pPr>
          </w:p>
        </w:tc>
        <w:tc>
          <w:tcPr>
            <w:tcW w:w="940" w:type="dxa"/>
            <w:noWrap w:val="0"/>
            <w:vAlign w:val="center"/>
          </w:tcPr>
          <w:p w14:paraId="057B9267">
            <w:pPr>
              <w:pStyle w:val="11"/>
              <w:keepNext/>
              <w:spacing w:after="0"/>
              <w:ind w:left="63" w:right="63"/>
              <w:rPr>
                <w:rFonts w:ascii="宋体" w:hAnsi="宋体" w:cs="宋体"/>
                <w:highlight w:val="none"/>
              </w:rPr>
            </w:pPr>
          </w:p>
        </w:tc>
        <w:tc>
          <w:tcPr>
            <w:tcW w:w="851" w:type="dxa"/>
            <w:noWrap w:val="0"/>
            <w:vAlign w:val="center"/>
          </w:tcPr>
          <w:p w14:paraId="745C17F4">
            <w:pPr>
              <w:pStyle w:val="11"/>
              <w:keepNext/>
              <w:spacing w:after="0"/>
              <w:ind w:left="63" w:right="63"/>
              <w:rPr>
                <w:rFonts w:ascii="宋体" w:hAnsi="宋体" w:cs="宋体"/>
                <w:highlight w:val="none"/>
              </w:rPr>
            </w:pPr>
          </w:p>
        </w:tc>
        <w:tc>
          <w:tcPr>
            <w:tcW w:w="1044" w:type="dxa"/>
            <w:noWrap w:val="0"/>
            <w:vAlign w:val="center"/>
          </w:tcPr>
          <w:p w14:paraId="6D0BA3AC">
            <w:pPr>
              <w:pStyle w:val="11"/>
              <w:keepNext/>
              <w:spacing w:after="0"/>
              <w:ind w:left="63" w:right="63"/>
              <w:rPr>
                <w:rFonts w:ascii="宋体" w:hAnsi="宋体" w:cs="宋体"/>
                <w:highlight w:val="none"/>
              </w:rPr>
            </w:pPr>
          </w:p>
        </w:tc>
        <w:tc>
          <w:tcPr>
            <w:tcW w:w="992" w:type="dxa"/>
            <w:noWrap w:val="0"/>
            <w:vAlign w:val="center"/>
          </w:tcPr>
          <w:p w14:paraId="3EC1EAB1">
            <w:pPr>
              <w:pStyle w:val="11"/>
              <w:keepNext/>
              <w:spacing w:after="0"/>
              <w:ind w:left="63" w:right="63"/>
              <w:rPr>
                <w:rFonts w:ascii="宋体" w:hAnsi="宋体" w:cs="宋体"/>
                <w:highlight w:val="none"/>
              </w:rPr>
            </w:pPr>
          </w:p>
        </w:tc>
        <w:tc>
          <w:tcPr>
            <w:tcW w:w="851" w:type="dxa"/>
            <w:noWrap w:val="0"/>
            <w:vAlign w:val="center"/>
          </w:tcPr>
          <w:p w14:paraId="790BE629">
            <w:pPr>
              <w:pStyle w:val="11"/>
              <w:keepNext/>
              <w:spacing w:after="0"/>
              <w:ind w:left="63" w:right="63"/>
              <w:rPr>
                <w:rFonts w:ascii="宋体" w:hAnsi="宋体" w:cs="宋体"/>
                <w:highlight w:val="none"/>
              </w:rPr>
            </w:pPr>
          </w:p>
        </w:tc>
        <w:tc>
          <w:tcPr>
            <w:tcW w:w="1225" w:type="dxa"/>
            <w:noWrap w:val="0"/>
            <w:vAlign w:val="center"/>
          </w:tcPr>
          <w:p w14:paraId="48105202">
            <w:pPr>
              <w:pStyle w:val="11"/>
              <w:keepNext/>
              <w:spacing w:after="0"/>
              <w:ind w:left="63" w:right="63"/>
              <w:rPr>
                <w:rFonts w:ascii="宋体" w:hAnsi="宋体" w:cs="宋体"/>
                <w:highlight w:val="none"/>
              </w:rPr>
            </w:pPr>
          </w:p>
        </w:tc>
        <w:tc>
          <w:tcPr>
            <w:tcW w:w="718" w:type="dxa"/>
            <w:noWrap w:val="0"/>
            <w:vAlign w:val="center"/>
          </w:tcPr>
          <w:p w14:paraId="42B41041">
            <w:pPr>
              <w:pStyle w:val="11"/>
              <w:keepNext/>
              <w:spacing w:after="0"/>
              <w:ind w:left="63" w:right="63"/>
              <w:rPr>
                <w:rFonts w:ascii="宋体" w:hAnsi="宋体" w:cs="宋体"/>
                <w:highlight w:val="none"/>
              </w:rPr>
            </w:pPr>
          </w:p>
        </w:tc>
      </w:tr>
      <w:tr w14:paraId="7339B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0A289619">
            <w:pPr>
              <w:pStyle w:val="11"/>
              <w:keepNext/>
              <w:spacing w:after="0"/>
              <w:ind w:left="63" w:right="63"/>
              <w:rPr>
                <w:rFonts w:ascii="宋体" w:hAnsi="宋体" w:cs="宋体"/>
                <w:highlight w:val="none"/>
              </w:rPr>
            </w:pPr>
          </w:p>
        </w:tc>
        <w:tc>
          <w:tcPr>
            <w:tcW w:w="1276" w:type="dxa"/>
            <w:noWrap w:val="0"/>
            <w:vAlign w:val="center"/>
          </w:tcPr>
          <w:p w14:paraId="72CFC624">
            <w:pPr>
              <w:pStyle w:val="11"/>
              <w:keepNext/>
              <w:spacing w:after="0"/>
              <w:ind w:left="63" w:right="63"/>
              <w:rPr>
                <w:rFonts w:ascii="宋体" w:hAnsi="宋体" w:cs="宋体"/>
                <w:highlight w:val="none"/>
              </w:rPr>
            </w:pPr>
          </w:p>
        </w:tc>
        <w:tc>
          <w:tcPr>
            <w:tcW w:w="1418" w:type="dxa"/>
            <w:noWrap w:val="0"/>
            <w:vAlign w:val="center"/>
          </w:tcPr>
          <w:p w14:paraId="27C63A7E">
            <w:pPr>
              <w:pStyle w:val="11"/>
              <w:keepNext/>
              <w:spacing w:after="0"/>
              <w:ind w:left="63" w:right="63"/>
              <w:rPr>
                <w:rFonts w:ascii="宋体" w:hAnsi="宋体" w:cs="宋体"/>
                <w:highlight w:val="none"/>
              </w:rPr>
            </w:pPr>
          </w:p>
        </w:tc>
        <w:tc>
          <w:tcPr>
            <w:tcW w:w="940" w:type="dxa"/>
            <w:noWrap w:val="0"/>
            <w:vAlign w:val="center"/>
          </w:tcPr>
          <w:p w14:paraId="6729B676">
            <w:pPr>
              <w:pStyle w:val="11"/>
              <w:keepNext/>
              <w:spacing w:after="0"/>
              <w:ind w:left="63" w:right="63"/>
              <w:rPr>
                <w:rFonts w:ascii="宋体" w:hAnsi="宋体" w:cs="宋体"/>
                <w:highlight w:val="none"/>
              </w:rPr>
            </w:pPr>
          </w:p>
        </w:tc>
        <w:tc>
          <w:tcPr>
            <w:tcW w:w="851" w:type="dxa"/>
            <w:noWrap w:val="0"/>
            <w:vAlign w:val="center"/>
          </w:tcPr>
          <w:p w14:paraId="32F0BE3D">
            <w:pPr>
              <w:pStyle w:val="11"/>
              <w:keepNext/>
              <w:spacing w:after="0"/>
              <w:ind w:left="63" w:right="63"/>
              <w:rPr>
                <w:rFonts w:ascii="宋体" w:hAnsi="宋体" w:cs="宋体"/>
                <w:highlight w:val="none"/>
              </w:rPr>
            </w:pPr>
          </w:p>
        </w:tc>
        <w:tc>
          <w:tcPr>
            <w:tcW w:w="1044" w:type="dxa"/>
            <w:noWrap w:val="0"/>
            <w:vAlign w:val="center"/>
          </w:tcPr>
          <w:p w14:paraId="1E13C599">
            <w:pPr>
              <w:pStyle w:val="11"/>
              <w:keepNext/>
              <w:spacing w:after="0"/>
              <w:ind w:left="63" w:right="63"/>
              <w:rPr>
                <w:rFonts w:ascii="宋体" w:hAnsi="宋体" w:cs="宋体"/>
                <w:highlight w:val="none"/>
              </w:rPr>
            </w:pPr>
          </w:p>
        </w:tc>
        <w:tc>
          <w:tcPr>
            <w:tcW w:w="992" w:type="dxa"/>
            <w:noWrap w:val="0"/>
            <w:vAlign w:val="center"/>
          </w:tcPr>
          <w:p w14:paraId="663F275C">
            <w:pPr>
              <w:pStyle w:val="11"/>
              <w:keepNext/>
              <w:spacing w:after="0"/>
              <w:ind w:left="63" w:right="63"/>
              <w:rPr>
                <w:rFonts w:ascii="宋体" w:hAnsi="宋体" w:cs="宋体"/>
                <w:highlight w:val="none"/>
              </w:rPr>
            </w:pPr>
          </w:p>
        </w:tc>
        <w:tc>
          <w:tcPr>
            <w:tcW w:w="851" w:type="dxa"/>
            <w:noWrap w:val="0"/>
            <w:vAlign w:val="center"/>
          </w:tcPr>
          <w:p w14:paraId="3DE694CD">
            <w:pPr>
              <w:pStyle w:val="11"/>
              <w:keepNext/>
              <w:spacing w:after="0"/>
              <w:ind w:left="63" w:right="63"/>
              <w:rPr>
                <w:rFonts w:ascii="宋体" w:hAnsi="宋体" w:cs="宋体"/>
                <w:highlight w:val="none"/>
              </w:rPr>
            </w:pPr>
          </w:p>
        </w:tc>
        <w:tc>
          <w:tcPr>
            <w:tcW w:w="1225" w:type="dxa"/>
            <w:noWrap w:val="0"/>
            <w:vAlign w:val="center"/>
          </w:tcPr>
          <w:p w14:paraId="32E8279C">
            <w:pPr>
              <w:pStyle w:val="11"/>
              <w:keepNext/>
              <w:spacing w:after="0"/>
              <w:ind w:left="63" w:right="63"/>
              <w:rPr>
                <w:rFonts w:ascii="宋体" w:hAnsi="宋体" w:cs="宋体"/>
                <w:highlight w:val="none"/>
              </w:rPr>
            </w:pPr>
          </w:p>
        </w:tc>
        <w:tc>
          <w:tcPr>
            <w:tcW w:w="718" w:type="dxa"/>
            <w:noWrap w:val="0"/>
            <w:vAlign w:val="center"/>
          </w:tcPr>
          <w:p w14:paraId="78A8094A">
            <w:pPr>
              <w:pStyle w:val="11"/>
              <w:keepNext/>
              <w:spacing w:after="0"/>
              <w:ind w:left="63" w:right="63"/>
              <w:rPr>
                <w:rFonts w:ascii="宋体" w:hAnsi="宋体" w:cs="宋体"/>
                <w:highlight w:val="none"/>
              </w:rPr>
            </w:pPr>
          </w:p>
        </w:tc>
      </w:tr>
      <w:tr w14:paraId="1B7FD6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3E9BE2AB">
            <w:pPr>
              <w:pStyle w:val="11"/>
              <w:keepNext/>
              <w:spacing w:after="0"/>
              <w:ind w:left="63" w:right="63"/>
              <w:rPr>
                <w:rFonts w:ascii="宋体" w:hAnsi="宋体" w:cs="宋体"/>
                <w:highlight w:val="none"/>
              </w:rPr>
            </w:pPr>
          </w:p>
        </w:tc>
        <w:tc>
          <w:tcPr>
            <w:tcW w:w="1276" w:type="dxa"/>
            <w:noWrap w:val="0"/>
            <w:vAlign w:val="center"/>
          </w:tcPr>
          <w:p w14:paraId="61015A81">
            <w:pPr>
              <w:pStyle w:val="11"/>
              <w:keepNext/>
              <w:spacing w:after="0"/>
              <w:ind w:left="63" w:right="63"/>
              <w:rPr>
                <w:rFonts w:ascii="宋体" w:hAnsi="宋体" w:cs="宋体"/>
                <w:highlight w:val="none"/>
              </w:rPr>
            </w:pPr>
          </w:p>
        </w:tc>
        <w:tc>
          <w:tcPr>
            <w:tcW w:w="1418" w:type="dxa"/>
            <w:noWrap w:val="0"/>
            <w:vAlign w:val="center"/>
          </w:tcPr>
          <w:p w14:paraId="37603B5E">
            <w:pPr>
              <w:pStyle w:val="11"/>
              <w:keepNext/>
              <w:spacing w:after="0"/>
              <w:ind w:left="63" w:right="63"/>
              <w:rPr>
                <w:rFonts w:ascii="宋体" w:hAnsi="宋体" w:cs="宋体"/>
                <w:highlight w:val="none"/>
              </w:rPr>
            </w:pPr>
          </w:p>
        </w:tc>
        <w:tc>
          <w:tcPr>
            <w:tcW w:w="940" w:type="dxa"/>
            <w:noWrap w:val="0"/>
            <w:vAlign w:val="center"/>
          </w:tcPr>
          <w:p w14:paraId="2F057F6C">
            <w:pPr>
              <w:pStyle w:val="11"/>
              <w:keepNext/>
              <w:spacing w:after="0"/>
              <w:ind w:left="63" w:right="63"/>
              <w:rPr>
                <w:rFonts w:ascii="宋体" w:hAnsi="宋体" w:cs="宋体"/>
                <w:highlight w:val="none"/>
              </w:rPr>
            </w:pPr>
          </w:p>
        </w:tc>
        <w:tc>
          <w:tcPr>
            <w:tcW w:w="851" w:type="dxa"/>
            <w:noWrap w:val="0"/>
            <w:vAlign w:val="center"/>
          </w:tcPr>
          <w:p w14:paraId="42638039">
            <w:pPr>
              <w:pStyle w:val="11"/>
              <w:keepNext/>
              <w:spacing w:after="0"/>
              <w:ind w:left="63" w:right="63"/>
              <w:rPr>
                <w:rFonts w:ascii="宋体" w:hAnsi="宋体" w:cs="宋体"/>
                <w:highlight w:val="none"/>
              </w:rPr>
            </w:pPr>
          </w:p>
        </w:tc>
        <w:tc>
          <w:tcPr>
            <w:tcW w:w="1044" w:type="dxa"/>
            <w:noWrap w:val="0"/>
            <w:vAlign w:val="center"/>
          </w:tcPr>
          <w:p w14:paraId="3AF9E486">
            <w:pPr>
              <w:pStyle w:val="11"/>
              <w:keepNext/>
              <w:spacing w:after="0"/>
              <w:ind w:left="63" w:right="63"/>
              <w:rPr>
                <w:rFonts w:ascii="宋体" w:hAnsi="宋体" w:cs="宋体"/>
                <w:highlight w:val="none"/>
              </w:rPr>
            </w:pPr>
          </w:p>
        </w:tc>
        <w:tc>
          <w:tcPr>
            <w:tcW w:w="992" w:type="dxa"/>
            <w:noWrap w:val="0"/>
            <w:vAlign w:val="center"/>
          </w:tcPr>
          <w:p w14:paraId="6CBD2919">
            <w:pPr>
              <w:pStyle w:val="11"/>
              <w:keepNext/>
              <w:spacing w:after="0"/>
              <w:ind w:left="63" w:right="63"/>
              <w:rPr>
                <w:rFonts w:ascii="宋体" w:hAnsi="宋体" w:cs="宋体"/>
                <w:highlight w:val="none"/>
              </w:rPr>
            </w:pPr>
          </w:p>
        </w:tc>
        <w:tc>
          <w:tcPr>
            <w:tcW w:w="851" w:type="dxa"/>
            <w:noWrap w:val="0"/>
            <w:vAlign w:val="center"/>
          </w:tcPr>
          <w:p w14:paraId="4382D1CB">
            <w:pPr>
              <w:pStyle w:val="11"/>
              <w:keepNext/>
              <w:spacing w:after="0"/>
              <w:ind w:left="63" w:right="63"/>
              <w:rPr>
                <w:rFonts w:ascii="宋体" w:hAnsi="宋体" w:cs="宋体"/>
                <w:highlight w:val="none"/>
              </w:rPr>
            </w:pPr>
          </w:p>
        </w:tc>
        <w:tc>
          <w:tcPr>
            <w:tcW w:w="1225" w:type="dxa"/>
            <w:noWrap w:val="0"/>
            <w:vAlign w:val="center"/>
          </w:tcPr>
          <w:p w14:paraId="774403B7">
            <w:pPr>
              <w:pStyle w:val="11"/>
              <w:keepNext/>
              <w:spacing w:after="0"/>
              <w:ind w:left="63" w:right="63"/>
              <w:rPr>
                <w:rFonts w:ascii="宋体" w:hAnsi="宋体" w:cs="宋体"/>
                <w:highlight w:val="none"/>
              </w:rPr>
            </w:pPr>
          </w:p>
        </w:tc>
        <w:tc>
          <w:tcPr>
            <w:tcW w:w="718" w:type="dxa"/>
            <w:noWrap w:val="0"/>
            <w:vAlign w:val="center"/>
          </w:tcPr>
          <w:p w14:paraId="1A74F18E">
            <w:pPr>
              <w:pStyle w:val="11"/>
              <w:keepNext/>
              <w:spacing w:after="0"/>
              <w:ind w:left="63" w:right="63"/>
              <w:rPr>
                <w:rFonts w:ascii="宋体" w:hAnsi="宋体" w:cs="宋体"/>
                <w:highlight w:val="none"/>
              </w:rPr>
            </w:pPr>
          </w:p>
        </w:tc>
      </w:tr>
      <w:tr w14:paraId="0938DF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7E773CEC">
            <w:pPr>
              <w:pStyle w:val="11"/>
              <w:keepNext/>
              <w:spacing w:after="0"/>
              <w:ind w:left="63" w:right="63"/>
              <w:rPr>
                <w:rFonts w:ascii="宋体" w:hAnsi="宋体" w:cs="宋体"/>
                <w:highlight w:val="none"/>
              </w:rPr>
            </w:pPr>
          </w:p>
        </w:tc>
        <w:tc>
          <w:tcPr>
            <w:tcW w:w="1276" w:type="dxa"/>
            <w:noWrap w:val="0"/>
            <w:vAlign w:val="center"/>
          </w:tcPr>
          <w:p w14:paraId="21E0D884">
            <w:pPr>
              <w:pStyle w:val="11"/>
              <w:keepNext/>
              <w:spacing w:after="0"/>
              <w:ind w:left="63" w:right="63"/>
              <w:rPr>
                <w:rFonts w:ascii="宋体" w:hAnsi="宋体" w:cs="宋体"/>
                <w:highlight w:val="none"/>
              </w:rPr>
            </w:pPr>
          </w:p>
        </w:tc>
        <w:tc>
          <w:tcPr>
            <w:tcW w:w="1418" w:type="dxa"/>
            <w:noWrap w:val="0"/>
            <w:vAlign w:val="center"/>
          </w:tcPr>
          <w:p w14:paraId="1802447B">
            <w:pPr>
              <w:pStyle w:val="11"/>
              <w:keepNext/>
              <w:spacing w:after="0"/>
              <w:ind w:left="63" w:right="63"/>
              <w:rPr>
                <w:rFonts w:ascii="宋体" w:hAnsi="宋体" w:cs="宋体"/>
                <w:highlight w:val="none"/>
              </w:rPr>
            </w:pPr>
          </w:p>
        </w:tc>
        <w:tc>
          <w:tcPr>
            <w:tcW w:w="940" w:type="dxa"/>
            <w:noWrap w:val="0"/>
            <w:vAlign w:val="center"/>
          </w:tcPr>
          <w:p w14:paraId="7EBDF059">
            <w:pPr>
              <w:pStyle w:val="11"/>
              <w:keepNext/>
              <w:spacing w:after="0"/>
              <w:ind w:left="63" w:right="63"/>
              <w:rPr>
                <w:rFonts w:ascii="宋体" w:hAnsi="宋体" w:cs="宋体"/>
                <w:highlight w:val="none"/>
              </w:rPr>
            </w:pPr>
          </w:p>
        </w:tc>
        <w:tc>
          <w:tcPr>
            <w:tcW w:w="851" w:type="dxa"/>
            <w:noWrap w:val="0"/>
            <w:vAlign w:val="center"/>
          </w:tcPr>
          <w:p w14:paraId="20DB85F2">
            <w:pPr>
              <w:pStyle w:val="11"/>
              <w:keepNext/>
              <w:spacing w:after="0"/>
              <w:ind w:left="63" w:right="63"/>
              <w:rPr>
                <w:rFonts w:ascii="宋体" w:hAnsi="宋体" w:cs="宋体"/>
                <w:highlight w:val="none"/>
              </w:rPr>
            </w:pPr>
          </w:p>
        </w:tc>
        <w:tc>
          <w:tcPr>
            <w:tcW w:w="1044" w:type="dxa"/>
            <w:noWrap w:val="0"/>
            <w:vAlign w:val="center"/>
          </w:tcPr>
          <w:p w14:paraId="0E29C850">
            <w:pPr>
              <w:pStyle w:val="11"/>
              <w:keepNext/>
              <w:spacing w:after="0"/>
              <w:ind w:left="63" w:right="63"/>
              <w:rPr>
                <w:rFonts w:ascii="宋体" w:hAnsi="宋体" w:cs="宋体"/>
                <w:highlight w:val="none"/>
              </w:rPr>
            </w:pPr>
          </w:p>
        </w:tc>
        <w:tc>
          <w:tcPr>
            <w:tcW w:w="992" w:type="dxa"/>
            <w:noWrap w:val="0"/>
            <w:vAlign w:val="center"/>
          </w:tcPr>
          <w:p w14:paraId="009A790B">
            <w:pPr>
              <w:pStyle w:val="11"/>
              <w:keepNext/>
              <w:spacing w:after="0"/>
              <w:ind w:left="63" w:right="63"/>
              <w:rPr>
                <w:rFonts w:ascii="宋体" w:hAnsi="宋体" w:cs="宋体"/>
                <w:highlight w:val="none"/>
              </w:rPr>
            </w:pPr>
          </w:p>
        </w:tc>
        <w:tc>
          <w:tcPr>
            <w:tcW w:w="851" w:type="dxa"/>
            <w:noWrap w:val="0"/>
            <w:vAlign w:val="center"/>
          </w:tcPr>
          <w:p w14:paraId="2D0C74B0">
            <w:pPr>
              <w:pStyle w:val="11"/>
              <w:keepNext/>
              <w:spacing w:after="0"/>
              <w:ind w:left="63" w:right="63"/>
              <w:rPr>
                <w:rFonts w:ascii="宋体" w:hAnsi="宋体" w:cs="宋体"/>
                <w:highlight w:val="none"/>
              </w:rPr>
            </w:pPr>
          </w:p>
        </w:tc>
        <w:tc>
          <w:tcPr>
            <w:tcW w:w="1225" w:type="dxa"/>
            <w:noWrap w:val="0"/>
            <w:vAlign w:val="center"/>
          </w:tcPr>
          <w:p w14:paraId="3DCBBB4A">
            <w:pPr>
              <w:pStyle w:val="11"/>
              <w:keepNext/>
              <w:spacing w:after="0"/>
              <w:ind w:left="63" w:right="63"/>
              <w:rPr>
                <w:rFonts w:ascii="宋体" w:hAnsi="宋体" w:cs="宋体"/>
                <w:highlight w:val="none"/>
              </w:rPr>
            </w:pPr>
          </w:p>
        </w:tc>
        <w:tc>
          <w:tcPr>
            <w:tcW w:w="718" w:type="dxa"/>
            <w:noWrap w:val="0"/>
            <w:vAlign w:val="center"/>
          </w:tcPr>
          <w:p w14:paraId="25B9EF29">
            <w:pPr>
              <w:pStyle w:val="11"/>
              <w:keepNext/>
              <w:spacing w:after="0"/>
              <w:ind w:left="63" w:right="63"/>
              <w:rPr>
                <w:rFonts w:ascii="宋体" w:hAnsi="宋体" w:cs="宋体"/>
                <w:highlight w:val="none"/>
              </w:rPr>
            </w:pPr>
          </w:p>
        </w:tc>
      </w:tr>
      <w:tr w14:paraId="243E4D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64DF75A1">
            <w:pPr>
              <w:pStyle w:val="11"/>
              <w:keepNext/>
              <w:spacing w:after="0"/>
              <w:ind w:left="63" w:right="63"/>
              <w:rPr>
                <w:rFonts w:ascii="宋体" w:hAnsi="宋体" w:cs="宋体"/>
                <w:highlight w:val="none"/>
              </w:rPr>
            </w:pPr>
          </w:p>
        </w:tc>
        <w:tc>
          <w:tcPr>
            <w:tcW w:w="1276" w:type="dxa"/>
            <w:noWrap w:val="0"/>
            <w:vAlign w:val="center"/>
          </w:tcPr>
          <w:p w14:paraId="68994685">
            <w:pPr>
              <w:pStyle w:val="11"/>
              <w:keepNext/>
              <w:spacing w:after="0"/>
              <w:ind w:left="63" w:right="63"/>
              <w:rPr>
                <w:rFonts w:ascii="宋体" w:hAnsi="宋体" w:cs="宋体"/>
                <w:highlight w:val="none"/>
              </w:rPr>
            </w:pPr>
          </w:p>
        </w:tc>
        <w:tc>
          <w:tcPr>
            <w:tcW w:w="1418" w:type="dxa"/>
            <w:noWrap w:val="0"/>
            <w:vAlign w:val="center"/>
          </w:tcPr>
          <w:p w14:paraId="516DA78D">
            <w:pPr>
              <w:pStyle w:val="11"/>
              <w:keepNext/>
              <w:spacing w:after="0"/>
              <w:ind w:left="63" w:right="63"/>
              <w:rPr>
                <w:rFonts w:ascii="宋体" w:hAnsi="宋体" w:cs="宋体"/>
                <w:highlight w:val="none"/>
              </w:rPr>
            </w:pPr>
          </w:p>
        </w:tc>
        <w:tc>
          <w:tcPr>
            <w:tcW w:w="940" w:type="dxa"/>
            <w:noWrap w:val="0"/>
            <w:vAlign w:val="center"/>
          </w:tcPr>
          <w:p w14:paraId="2870C8AE">
            <w:pPr>
              <w:pStyle w:val="11"/>
              <w:keepNext/>
              <w:spacing w:after="0"/>
              <w:ind w:left="63" w:right="63"/>
              <w:rPr>
                <w:rFonts w:ascii="宋体" w:hAnsi="宋体" w:cs="宋体"/>
                <w:highlight w:val="none"/>
              </w:rPr>
            </w:pPr>
          </w:p>
        </w:tc>
        <w:tc>
          <w:tcPr>
            <w:tcW w:w="851" w:type="dxa"/>
            <w:noWrap w:val="0"/>
            <w:vAlign w:val="center"/>
          </w:tcPr>
          <w:p w14:paraId="104D72D2">
            <w:pPr>
              <w:pStyle w:val="11"/>
              <w:keepNext/>
              <w:spacing w:after="0"/>
              <w:ind w:left="63" w:right="63"/>
              <w:rPr>
                <w:rFonts w:ascii="宋体" w:hAnsi="宋体" w:cs="宋体"/>
                <w:highlight w:val="none"/>
              </w:rPr>
            </w:pPr>
          </w:p>
        </w:tc>
        <w:tc>
          <w:tcPr>
            <w:tcW w:w="1044" w:type="dxa"/>
            <w:noWrap w:val="0"/>
            <w:vAlign w:val="center"/>
          </w:tcPr>
          <w:p w14:paraId="2581FFA6">
            <w:pPr>
              <w:pStyle w:val="11"/>
              <w:keepNext/>
              <w:spacing w:after="0"/>
              <w:ind w:left="63" w:right="63"/>
              <w:rPr>
                <w:rFonts w:ascii="宋体" w:hAnsi="宋体" w:cs="宋体"/>
                <w:highlight w:val="none"/>
              </w:rPr>
            </w:pPr>
          </w:p>
        </w:tc>
        <w:tc>
          <w:tcPr>
            <w:tcW w:w="992" w:type="dxa"/>
            <w:noWrap w:val="0"/>
            <w:vAlign w:val="center"/>
          </w:tcPr>
          <w:p w14:paraId="50112DC5">
            <w:pPr>
              <w:pStyle w:val="11"/>
              <w:keepNext/>
              <w:spacing w:after="0"/>
              <w:ind w:left="63" w:right="63"/>
              <w:rPr>
                <w:rFonts w:ascii="宋体" w:hAnsi="宋体" w:cs="宋体"/>
                <w:highlight w:val="none"/>
              </w:rPr>
            </w:pPr>
          </w:p>
        </w:tc>
        <w:tc>
          <w:tcPr>
            <w:tcW w:w="851" w:type="dxa"/>
            <w:noWrap w:val="0"/>
            <w:vAlign w:val="center"/>
          </w:tcPr>
          <w:p w14:paraId="7A424027">
            <w:pPr>
              <w:pStyle w:val="11"/>
              <w:keepNext/>
              <w:spacing w:after="0"/>
              <w:ind w:left="63" w:right="63"/>
              <w:rPr>
                <w:rFonts w:ascii="宋体" w:hAnsi="宋体" w:cs="宋体"/>
                <w:highlight w:val="none"/>
              </w:rPr>
            </w:pPr>
          </w:p>
        </w:tc>
        <w:tc>
          <w:tcPr>
            <w:tcW w:w="1225" w:type="dxa"/>
            <w:noWrap w:val="0"/>
            <w:vAlign w:val="center"/>
          </w:tcPr>
          <w:p w14:paraId="1D15BCE5">
            <w:pPr>
              <w:pStyle w:val="11"/>
              <w:keepNext/>
              <w:spacing w:after="0"/>
              <w:ind w:left="63" w:right="63"/>
              <w:rPr>
                <w:rFonts w:ascii="宋体" w:hAnsi="宋体" w:cs="宋体"/>
                <w:highlight w:val="none"/>
              </w:rPr>
            </w:pPr>
          </w:p>
        </w:tc>
        <w:tc>
          <w:tcPr>
            <w:tcW w:w="718" w:type="dxa"/>
            <w:noWrap w:val="0"/>
            <w:vAlign w:val="center"/>
          </w:tcPr>
          <w:p w14:paraId="508ED79D">
            <w:pPr>
              <w:pStyle w:val="11"/>
              <w:keepNext/>
              <w:spacing w:after="0"/>
              <w:ind w:left="63" w:right="63"/>
              <w:rPr>
                <w:rFonts w:ascii="宋体" w:hAnsi="宋体" w:cs="宋体"/>
                <w:highlight w:val="none"/>
              </w:rPr>
            </w:pPr>
          </w:p>
        </w:tc>
      </w:tr>
      <w:tr w14:paraId="595F79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18EA89AA">
            <w:pPr>
              <w:jc w:val="center"/>
              <w:rPr>
                <w:rFonts w:ascii="宋体" w:hAnsi="宋体" w:cs="宋体"/>
                <w:highlight w:val="none"/>
              </w:rPr>
            </w:pPr>
          </w:p>
        </w:tc>
        <w:tc>
          <w:tcPr>
            <w:tcW w:w="1276" w:type="dxa"/>
            <w:noWrap w:val="0"/>
            <w:vAlign w:val="center"/>
          </w:tcPr>
          <w:p w14:paraId="2E9C01E7">
            <w:pPr>
              <w:jc w:val="center"/>
              <w:rPr>
                <w:rFonts w:ascii="宋体" w:hAnsi="宋体" w:cs="宋体"/>
                <w:highlight w:val="none"/>
              </w:rPr>
            </w:pPr>
          </w:p>
        </w:tc>
        <w:tc>
          <w:tcPr>
            <w:tcW w:w="1418" w:type="dxa"/>
            <w:noWrap w:val="0"/>
            <w:vAlign w:val="center"/>
          </w:tcPr>
          <w:p w14:paraId="14E5221A">
            <w:pPr>
              <w:jc w:val="center"/>
              <w:rPr>
                <w:rFonts w:ascii="宋体" w:hAnsi="宋体" w:cs="宋体"/>
                <w:highlight w:val="none"/>
              </w:rPr>
            </w:pPr>
          </w:p>
        </w:tc>
        <w:tc>
          <w:tcPr>
            <w:tcW w:w="940" w:type="dxa"/>
            <w:noWrap w:val="0"/>
            <w:vAlign w:val="center"/>
          </w:tcPr>
          <w:p w14:paraId="0DCADBC1">
            <w:pPr>
              <w:jc w:val="center"/>
              <w:rPr>
                <w:rFonts w:ascii="宋体" w:hAnsi="宋体" w:cs="宋体"/>
                <w:highlight w:val="none"/>
              </w:rPr>
            </w:pPr>
          </w:p>
        </w:tc>
        <w:tc>
          <w:tcPr>
            <w:tcW w:w="851" w:type="dxa"/>
            <w:noWrap w:val="0"/>
            <w:vAlign w:val="center"/>
          </w:tcPr>
          <w:p w14:paraId="5ACBAC12">
            <w:pPr>
              <w:jc w:val="center"/>
              <w:rPr>
                <w:rFonts w:ascii="宋体" w:hAnsi="宋体" w:cs="宋体"/>
                <w:highlight w:val="none"/>
              </w:rPr>
            </w:pPr>
          </w:p>
        </w:tc>
        <w:tc>
          <w:tcPr>
            <w:tcW w:w="1044" w:type="dxa"/>
            <w:noWrap w:val="0"/>
            <w:vAlign w:val="center"/>
          </w:tcPr>
          <w:p w14:paraId="4C5D8CFF">
            <w:pPr>
              <w:jc w:val="center"/>
              <w:rPr>
                <w:rFonts w:ascii="宋体" w:hAnsi="宋体" w:cs="宋体"/>
                <w:highlight w:val="none"/>
              </w:rPr>
            </w:pPr>
          </w:p>
        </w:tc>
        <w:tc>
          <w:tcPr>
            <w:tcW w:w="992" w:type="dxa"/>
            <w:noWrap w:val="0"/>
            <w:vAlign w:val="center"/>
          </w:tcPr>
          <w:p w14:paraId="7C622489">
            <w:pPr>
              <w:jc w:val="center"/>
              <w:rPr>
                <w:rFonts w:ascii="宋体" w:hAnsi="宋体" w:cs="宋体"/>
                <w:highlight w:val="none"/>
              </w:rPr>
            </w:pPr>
          </w:p>
        </w:tc>
        <w:tc>
          <w:tcPr>
            <w:tcW w:w="851" w:type="dxa"/>
            <w:noWrap w:val="0"/>
            <w:vAlign w:val="center"/>
          </w:tcPr>
          <w:p w14:paraId="7F609C11">
            <w:pPr>
              <w:jc w:val="center"/>
              <w:rPr>
                <w:rFonts w:ascii="宋体" w:hAnsi="宋体" w:cs="宋体"/>
                <w:highlight w:val="none"/>
              </w:rPr>
            </w:pPr>
          </w:p>
        </w:tc>
        <w:tc>
          <w:tcPr>
            <w:tcW w:w="1225" w:type="dxa"/>
            <w:noWrap w:val="0"/>
            <w:vAlign w:val="center"/>
          </w:tcPr>
          <w:p w14:paraId="33168BF1">
            <w:pPr>
              <w:jc w:val="center"/>
              <w:rPr>
                <w:rFonts w:ascii="宋体" w:hAnsi="宋体" w:cs="宋体"/>
                <w:highlight w:val="none"/>
              </w:rPr>
            </w:pPr>
          </w:p>
        </w:tc>
        <w:tc>
          <w:tcPr>
            <w:tcW w:w="718" w:type="dxa"/>
            <w:noWrap w:val="0"/>
            <w:vAlign w:val="center"/>
          </w:tcPr>
          <w:p w14:paraId="5FD63EFB">
            <w:pPr>
              <w:jc w:val="center"/>
              <w:rPr>
                <w:rFonts w:ascii="宋体" w:hAnsi="宋体" w:cs="宋体"/>
                <w:highlight w:val="none"/>
              </w:rPr>
            </w:pPr>
          </w:p>
        </w:tc>
      </w:tr>
      <w:tr w14:paraId="6AB465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5576B75A">
            <w:pPr>
              <w:pStyle w:val="11"/>
              <w:keepNext/>
              <w:spacing w:after="0"/>
              <w:ind w:left="63" w:right="63"/>
              <w:rPr>
                <w:rFonts w:ascii="宋体" w:hAnsi="宋体" w:cs="宋体"/>
                <w:highlight w:val="none"/>
              </w:rPr>
            </w:pPr>
          </w:p>
        </w:tc>
        <w:tc>
          <w:tcPr>
            <w:tcW w:w="1276" w:type="dxa"/>
            <w:noWrap w:val="0"/>
            <w:vAlign w:val="center"/>
          </w:tcPr>
          <w:p w14:paraId="6B3DD618">
            <w:pPr>
              <w:pStyle w:val="11"/>
              <w:keepNext/>
              <w:spacing w:after="0"/>
              <w:ind w:left="63" w:right="63"/>
              <w:rPr>
                <w:rFonts w:ascii="宋体" w:hAnsi="宋体" w:cs="宋体"/>
                <w:highlight w:val="none"/>
              </w:rPr>
            </w:pPr>
          </w:p>
        </w:tc>
        <w:tc>
          <w:tcPr>
            <w:tcW w:w="1418" w:type="dxa"/>
            <w:noWrap w:val="0"/>
            <w:vAlign w:val="center"/>
          </w:tcPr>
          <w:p w14:paraId="4C81B58F">
            <w:pPr>
              <w:pStyle w:val="11"/>
              <w:keepNext/>
              <w:spacing w:after="0"/>
              <w:ind w:left="63" w:right="63"/>
              <w:rPr>
                <w:rFonts w:ascii="宋体" w:hAnsi="宋体" w:cs="宋体"/>
                <w:highlight w:val="none"/>
              </w:rPr>
            </w:pPr>
          </w:p>
        </w:tc>
        <w:tc>
          <w:tcPr>
            <w:tcW w:w="940" w:type="dxa"/>
            <w:noWrap w:val="0"/>
            <w:vAlign w:val="center"/>
          </w:tcPr>
          <w:p w14:paraId="6C5D3546">
            <w:pPr>
              <w:pStyle w:val="11"/>
              <w:keepNext/>
              <w:spacing w:after="0"/>
              <w:ind w:left="63" w:right="63"/>
              <w:rPr>
                <w:rFonts w:ascii="宋体" w:hAnsi="宋体" w:cs="宋体"/>
                <w:highlight w:val="none"/>
              </w:rPr>
            </w:pPr>
          </w:p>
        </w:tc>
        <w:tc>
          <w:tcPr>
            <w:tcW w:w="851" w:type="dxa"/>
            <w:noWrap w:val="0"/>
            <w:vAlign w:val="center"/>
          </w:tcPr>
          <w:p w14:paraId="63AC602C">
            <w:pPr>
              <w:pStyle w:val="11"/>
              <w:keepNext/>
              <w:spacing w:after="0"/>
              <w:ind w:left="63" w:right="63"/>
              <w:rPr>
                <w:rFonts w:ascii="宋体" w:hAnsi="宋体" w:cs="宋体"/>
                <w:highlight w:val="none"/>
              </w:rPr>
            </w:pPr>
          </w:p>
        </w:tc>
        <w:tc>
          <w:tcPr>
            <w:tcW w:w="1044" w:type="dxa"/>
            <w:noWrap w:val="0"/>
            <w:vAlign w:val="center"/>
          </w:tcPr>
          <w:p w14:paraId="280AA37D">
            <w:pPr>
              <w:pStyle w:val="11"/>
              <w:keepNext/>
              <w:spacing w:after="0"/>
              <w:ind w:left="63" w:right="63"/>
              <w:rPr>
                <w:rFonts w:ascii="宋体" w:hAnsi="宋体" w:cs="宋体"/>
                <w:highlight w:val="none"/>
              </w:rPr>
            </w:pPr>
          </w:p>
        </w:tc>
        <w:tc>
          <w:tcPr>
            <w:tcW w:w="992" w:type="dxa"/>
            <w:noWrap w:val="0"/>
            <w:vAlign w:val="center"/>
          </w:tcPr>
          <w:p w14:paraId="15F90811">
            <w:pPr>
              <w:pStyle w:val="11"/>
              <w:keepNext/>
              <w:spacing w:after="0"/>
              <w:ind w:left="63" w:right="63"/>
              <w:rPr>
                <w:rFonts w:ascii="宋体" w:hAnsi="宋体" w:cs="宋体"/>
                <w:highlight w:val="none"/>
              </w:rPr>
            </w:pPr>
          </w:p>
        </w:tc>
        <w:tc>
          <w:tcPr>
            <w:tcW w:w="851" w:type="dxa"/>
            <w:noWrap w:val="0"/>
            <w:vAlign w:val="center"/>
          </w:tcPr>
          <w:p w14:paraId="3C267F2F">
            <w:pPr>
              <w:pStyle w:val="11"/>
              <w:keepNext/>
              <w:spacing w:after="0"/>
              <w:ind w:left="63" w:right="63"/>
              <w:rPr>
                <w:rFonts w:ascii="宋体" w:hAnsi="宋体" w:cs="宋体"/>
                <w:highlight w:val="none"/>
              </w:rPr>
            </w:pPr>
          </w:p>
        </w:tc>
        <w:tc>
          <w:tcPr>
            <w:tcW w:w="1225" w:type="dxa"/>
            <w:noWrap w:val="0"/>
            <w:vAlign w:val="center"/>
          </w:tcPr>
          <w:p w14:paraId="78EDEAB1">
            <w:pPr>
              <w:pStyle w:val="11"/>
              <w:keepNext/>
              <w:spacing w:after="0"/>
              <w:ind w:left="63" w:right="63"/>
              <w:rPr>
                <w:rFonts w:ascii="宋体" w:hAnsi="宋体" w:cs="宋体"/>
                <w:highlight w:val="none"/>
              </w:rPr>
            </w:pPr>
          </w:p>
        </w:tc>
        <w:tc>
          <w:tcPr>
            <w:tcW w:w="718" w:type="dxa"/>
            <w:noWrap w:val="0"/>
            <w:vAlign w:val="center"/>
          </w:tcPr>
          <w:p w14:paraId="71FC58AD">
            <w:pPr>
              <w:pStyle w:val="11"/>
              <w:keepNext/>
              <w:spacing w:after="0"/>
              <w:ind w:left="63" w:right="63"/>
              <w:rPr>
                <w:rFonts w:ascii="宋体" w:hAnsi="宋体" w:cs="宋体"/>
                <w:highlight w:val="none"/>
              </w:rPr>
            </w:pPr>
          </w:p>
        </w:tc>
      </w:tr>
      <w:tr w14:paraId="3DAACB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4CE10F72">
            <w:pPr>
              <w:jc w:val="center"/>
              <w:rPr>
                <w:rFonts w:ascii="宋体" w:hAnsi="宋体" w:cs="宋体"/>
                <w:highlight w:val="none"/>
              </w:rPr>
            </w:pPr>
          </w:p>
        </w:tc>
        <w:tc>
          <w:tcPr>
            <w:tcW w:w="1276" w:type="dxa"/>
            <w:noWrap w:val="0"/>
            <w:vAlign w:val="center"/>
          </w:tcPr>
          <w:p w14:paraId="7397E722">
            <w:pPr>
              <w:jc w:val="center"/>
              <w:rPr>
                <w:rFonts w:ascii="宋体" w:hAnsi="宋体" w:cs="宋体"/>
                <w:highlight w:val="none"/>
              </w:rPr>
            </w:pPr>
          </w:p>
        </w:tc>
        <w:tc>
          <w:tcPr>
            <w:tcW w:w="1418" w:type="dxa"/>
            <w:noWrap w:val="0"/>
            <w:vAlign w:val="center"/>
          </w:tcPr>
          <w:p w14:paraId="72A495EE">
            <w:pPr>
              <w:jc w:val="center"/>
              <w:rPr>
                <w:rFonts w:ascii="宋体" w:hAnsi="宋体" w:cs="宋体"/>
                <w:highlight w:val="none"/>
              </w:rPr>
            </w:pPr>
          </w:p>
        </w:tc>
        <w:tc>
          <w:tcPr>
            <w:tcW w:w="940" w:type="dxa"/>
            <w:noWrap w:val="0"/>
            <w:vAlign w:val="center"/>
          </w:tcPr>
          <w:p w14:paraId="4D30D747">
            <w:pPr>
              <w:jc w:val="center"/>
              <w:rPr>
                <w:rFonts w:ascii="宋体" w:hAnsi="宋体" w:cs="宋体"/>
                <w:highlight w:val="none"/>
              </w:rPr>
            </w:pPr>
          </w:p>
        </w:tc>
        <w:tc>
          <w:tcPr>
            <w:tcW w:w="851" w:type="dxa"/>
            <w:noWrap w:val="0"/>
            <w:vAlign w:val="center"/>
          </w:tcPr>
          <w:p w14:paraId="05791784">
            <w:pPr>
              <w:jc w:val="center"/>
              <w:rPr>
                <w:rFonts w:ascii="宋体" w:hAnsi="宋体" w:cs="宋体"/>
                <w:highlight w:val="none"/>
              </w:rPr>
            </w:pPr>
          </w:p>
        </w:tc>
        <w:tc>
          <w:tcPr>
            <w:tcW w:w="1044" w:type="dxa"/>
            <w:noWrap w:val="0"/>
            <w:vAlign w:val="center"/>
          </w:tcPr>
          <w:p w14:paraId="2D94E49B">
            <w:pPr>
              <w:jc w:val="center"/>
              <w:rPr>
                <w:rFonts w:ascii="宋体" w:hAnsi="宋体" w:cs="宋体"/>
                <w:highlight w:val="none"/>
              </w:rPr>
            </w:pPr>
          </w:p>
        </w:tc>
        <w:tc>
          <w:tcPr>
            <w:tcW w:w="992" w:type="dxa"/>
            <w:noWrap w:val="0"/>
            <w:vAlign w:val="center"/>
          </w:tcPr>
          <w:p w14:paraId="052E7F6E">
            <w:pPr>
              <w:jc w:val="center"/>
              <w:rPr>
                <w:rFonts w:ascii="宋体" w:hAnsi="宋体" w:cs="宋体"/>
                <w:highlight w:val="none"/>
              </w:rPr>
            </w:pPr>
          </w:p>
        </w:tc>
        <w:tc>
          <w:tcPr>
            <w:tcW w:w="851" w:type="dxa"/>
            <w:noWrap w:val="0"/>
            <w:vAlign w:val="center"/>
          </w:tcPr>
          <w:p w14:paraId="2C64BF20">
            <w:pPr>
              <w:jc w:val="center"/>
              <w:rPr>
                <w:rFonts w:ascii="宋体" w:hAnsi="宋体" w:cs="宋体"/>
                <w:highlight w:val="none"/>
              </w:rPr>
            </w:pPr>
          </w:p>
        </w:tc>
        <w:tc>
          <w:tcPr>
            <w:tcW w:w="1225" w:type="dxa"/>
            <w:noWrap w:val="0"/>
            <w:vAlign w:val="center"/>
          </w:tcPr>
          <w:p w14:paraId="785E7209">
            <w:pPr>
              <w:jc w:val="center"/>
              <w:rPr>
                <w:rFonts w:ascii="宋体" w:hAnsi="宋体" w:cs="宋体"/>
                <w:highlight w:val="none"/>
              </w:rPr>
            </w:pPr>
          </w:p>
        </w:tc>
        <w:tc>
          <w:tcPr>
            <w:tcW w:w="718" w:type="dxa"/>
            <w:noWrap w:val="0"/>
            <w:vAlign w:val="center"/>
          </w:tcPr>
          <w:p w14:paraId="09F235EF">
            <w:pPr>
              <w:jc w:val="center"/>
              <w:rPr>
                <w:rFonts w:ascii="宋体" w:hAnsi="宋体" w:cs="宋体"/>
                <w:highlight w:val="none"/>
              </w:rPr>
            </w:pPr>
          </w:p>
        </w:tc>
      </w:tr>
      <w:tr w14:paraId="0527C7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281FBA5D">
            <w:pPr>
              <w:jc w:val="center"/>
              <w:rPr>
                <w:rFonts w:ascii="宋体" w:hAnsi="宋体" w:cs="宋体"/>
                <w:highlight w:val="none"/>
              </w:rPr>
            </w:pPr>
          </w:p>
        </w:tc>
        <w:tc>
          <w:tcPr>
            <w:tcW w:w="1276" w:type="dxa"/>
            <w:noWrap w:val="0"/>
            <w:vAlign w:val="center"/>
          </w:tcPr>
          <w:p w14:paraId="3EF647A9">
            <w:pPr>
              <w:jc w:val="center"/>
              <w:rPr>
                <w:rFonts w:ascii="宋体" w:hAnsi="宋体" w:cs="宋体"/>
                <w:highlight w:val="none"/>
              </w:rPr>
            </w:pPr>
          </w:p>
        </w:tc>
        <w:tc>
          <w:tcPr>
            <w:tcW w:w="1418" w:type="dxa"/>
            <w:noWrap w:val="0"/>
            <w:vAlign w:val="center"/>
          </w:tcPr>
          <w:p w14:paraId="5A30B400">
            <w:pPr>
              <w:jc w:val="center"/>
              <w:rPr>
                <w:rFonts w:ascii="宋体" w:hAnsi="宋体" w:cs="宋体"/>
                <w:highlight w:val="none"/>
              </w:rPr>
            </w:pPr>
          </w:p>
        </w:tc>
        <w:tc>
          <w:tcPr>
            <w:tcW w:w="940" w:type="dxa"/>
            <w:noWrap w:val="0"/>
            <w:vAlign w:val="center"/>
          </w:tcPr>
          <w:p w14:paraId="3374E86F">
            <w:pPr>
              <w:jc w:val="center"/>
              <w:rPr>
                <w:rFonts w:ascii="宋体" w:hAnsi="宋体" w:cs="宋体"/>
                <w:highlight w:val="none"/>
              </w:rPr>
            </w:pPr>
          </w:p>
        </w:tc>
        <w:tc>
          <w:tcPr>
            <w:tcW w:w="851" w:type="dxa"/>
            <w:noWrap w:val="0"/>
            <w:vAlign w:val="center"/>
          </w:tcPr>
          <w:p w14:paraId="686E2A24">
            <w:pPr>
              <w:jc w:val="center"/>
              <w:rPr>
                <w:rFonts w:ascii="宋体" w:hAnsi="宋体" w:cs="宋体"/>
                <w:highlight w:val="none"/>
              </w:rPr>
            </w:pPr>
          </w:p>
        </w:tc>
        <w:tc>
          <w:tcPr>
            <w:tcW w:w="1044" w:type="dxa"/>
            <w:noWrap w:val="0"/>
            <w:vAlign w:val="center"/>
          </w:tcPr>
          <w:p w14:paraId="426CEFEB">
            <w:pPr>
              <w:jc w:val="center"/>
              <w:rPr>
                <w:rFonts w:ascii="宋体" w:hAnsi="宋体" w:cs="宋体"/>
                <w:highlight w:val="none"/>
              </w:rPr>
            </w:pPr>
          </w:p>
        </w:tc>
        <w:tc>
          <w:tcPr>
            <w:tcW w:w="992" w:type="dxa"/>
            <w:noWrap w:val="0"/>
            <w:vAlign w:val="center"/>
          </w:tcPr>
          <w:p w14:paraId="090BEBBB">
            <w:pPr>
              <w:jc w:val="center"/>
              <w:rPr>
                <w:rFonts w:ascii="宋体" w:hAnsi="宋体" w:cs="宋体"/>
                <w:highlight w:val="none"/>
              </w:rPr>
            </w:pPr>
          </w:p>
        </w:tc>
        <w:tc>
          <w:tcPr>
            <w:tcW w:w="851" w:type="dxa"/>
            <w:noWrap w:val="0"/>
            <w:vAlign w:val="center"/>
          </w:tcPr>
          <w:p w14:paraId="4489DC45">
            <w:pPr>
              <w:jc w:val="center"/>
              <w:rPr>
                <w:rFonts w:ascii="宋体" w:hAnsi="宋体" w:cs="宋体"/>
                <w:highlight w:val="none"/>
              </w:rPr>
            </w:pPr>
          </w:p>
        </w:tc>
        <w:tc>
          <w:tcPr>
            <w:tcW w:w="1225" w:type="dxa"/>
            <w:noWrap w:val="0"/>
            <w:vAlign w:val="center"/>
          </w:tcPr>
          <w:p w14:paraId="76266E00">
            <w:pPr>
              <w:jc w:val="center"/>
              <w:rPr>
                <w:rFonts w:ascii="宋体" w:hAnsi="宋体" w:cs="宋体"/>
                <w:highlight w:val="none"/>
              </w:rPr>
            </w:pPr>
          </w:p>
        </w:tc>
        <w:tc>
          <w:tcPr>
            <w:tcW w:w="718" w:type="dxa"/>
            <w:noWrap w:val="0"/>
            <w:vAlign w:val="center"/>
          </w:tcPr>
          <w:p w14:paraId="2F306384">
            <w:pPr>
              <w:jc w:val="center"/>
              <w:rPr>
                <w:rFonts w:ascii="宋体" w:hAnsi="宋体" w:cs="宋体"/>
                <w:highlight w:val="none"/>
              </w:rPr>
            </w:pPr>
          </w:p>
        </w:tc>
      </w:tr>
      <w:tr w14:paraId="43FA40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77D48FB3">
            <w:pPr>
              <w:jc w:val="center"/>
              <w:rPr>
                <w:rFonts w:ascii="宋体" w:hAnsi="宋体" w:cs="宋体"/>
                <w:highlight w:val="none"/>
              </w:rPr>
            </w:pPr>
          </w:p>
        </w:tc>
        <w:tc>
          <w:tcPr>
            <w:tcW w:w="1276" w:type="dxa"/>
            <w:noWrap w:val="0"/>
            <w:vAlign w:val="center"/>
          </w:tcPr>
          <w:p w14:paraId="21DF35F2">
            <w:pPr>
              <w:jc w:val="center"/>
              <w:rPr>
                <w:rFonts w:ascii="宋体" w:hAnsi="宋体" w:cs="宋体"/>
                <w:highlight w:val="none"/>
              </w:rPr>
            </w:pPr>
          </w:p>
        </w:tc>
        <w:tc>
          <w:tcPr>
            <w:tcW w:w="1418" w:type="dxa"/>
            <w:noWrap w:val="0"/>
            <w:vAlign w:val="center"/>
          </w:tcPr>
          <w:p w14:paraId="197F6125">
            <w:pPr>
              <w:jc w:val="center"/>
              <w:rPr>
                <w:rFonts w:ascii="宋体" w:hAnsi="宋体" w:cs="宋体"/>
                <w:highlight w:val="none"/>
              </w:rPr>
            </w:pPr>
          </w:p>
        </w:tc>
        <w:tc>
          <w:tcPr>
            <w:tcW w:w="940" w:type="dxa"/>
            <w:noWrap w:val="0"/>
            <w:vAlign w:val="center"/>
          </w:tcPr>
          <w:p w14:paraId="19EB55B4">
            <w:pPr>
              <w:jc w:val="center"/>
              <w:rPr>
                <w:rFonts w:ascii="宋体" w:hAnsi="宋体" w:cs="宋体"/>
                <w:highlight w:val="none"/>
              </w:rPr>
            </w:pPr>
          </w:p>
        </w:tc>
        <w:tc>
          <w:tcPr>
            <w:tcW w:w="851" w:type="dxa"/>
            <w:noWrap w:val="0"/>
            <w:vAlign w:val="center"/>
          </w:tcPr>
          <w:p w14:paraId="64C6CB4E">
            <w:pPr>
              <w:jc w:val="center"/>
              <w:rPr>
                <w:rFonts w:ascii="宋体" w:hAnsi="宋体" w:cs="宋体"/>
                <w:highlight w:val="none"/>
              </w:rPr>
            </w:pPr>
          </w:p>
        </w:tc>
        <w:tc>
          <w:tcPr>
            <w:tcW w:w="1044" w:type="dxa"/>
            <w:noWrap w:val="0"/>
            <w:vAlign w:val="center"/>
          </w:tcPr>
          <w:p w14:paraId="72921607">
            <w:pPr>
              <w:jc w:val="center"/>
              <w:rPr>
                <w:rFonts w:ascii="宋体" w:hAnsi="宋体" w:cs="宋体"/>
                <w:highlight w:val="none"/>
              </w:rPr>
            </w:pPr>
          </w:p>
        </w:tc>
        <w:tc>
          <w:tcPr>
            <w:tcW w:w="992" w:type="dxa"/>
            <w:noWrap w:val="0"/>
            <w:vAlign w:val="center"/>
          </w:tcPr>
          <w:p w14:paraId="67AAFA14">
            <w:pPr>
              <w:jc w:val="center"/>
              <w:rPr>
                <w:rFonts w:ascii="宋体" w:hAnsi="宋体" w:cs="宋体"/>
                <w:highlight w:val="none"/>
              </w:rPr>
            </w:pPr>
          </w:p>
        </w:tc>
        <w:tc>
          <w:tcPr>
            <w:tcW w:w="851" w:type="dxa"/>
            <w:noWrap w:val="0"/>
            <w:vAlign w:val="center"/>
          </w:tcPr>
          <w:p w14:paraId="250D4778">
            <w:pPr>
              <w:jc w:val="center"/>
              <w:rPr>
                <w:rFonts w:ascii="宋体" w:hAnsi="宋体" w:cs="宋体"/>
                <w:highlight w:val="none"/>
              </w:rPr>
            </w:pPr>
          </w:p>
        </w:tc>
        <w:tc>
          <w:tcPr>
            <w:tcW w:w="1225" w:type="dxa"/>
            <w:noWrap w:val="0"/>
            <w:vAlign w:val="center"/>
          </w:tcPr>
          <w:p w14:paraId="5B559137">
            <w:pPr>
              <w:jc w:val="center"/>
              <w:rPr>
                <w:rFonts w:ascii="宋体" w:hAnsi="宋体" w:cs="宋体"/>
                <w:highlight w:val="none"/>
              </w:rPr>
            </w:pPr>
          </w:p>
        </w:tc>
        <w:tc>
          <w:tcPr>
            <w:tcW w:w="718" w:type="dxa"/>
            <w:noWrap w:val="0"/>
            <w:vAlign w:val="center"/>
          </w:tcPr>
          <w:p w14:paraId="76D9197D">
            <w:pPr>
              <w:jc w:val="center"/>
              <w:rPr>
                <w:rFonts w:ascii="宋体" w:hAnsi="宋体" w:cs="宋体"/>
                <w:highlight w:val="none"/>
              </w:rPr>
            </w:pPr>
          </w:p>
        </w:tc>
      </w:tr>
      <w:tr w14:paraId="5052D0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1ABDBC55">
            <w:pPr>
              <w:jc w:val="center"/>
              <w:rPr>
                <w:rFonts w:ascii="宋体" w:hAnsi="宋体" w:cs="宋体"/>
                <w:highlight w:val="none"/>
              </w:rPr>
            </w:pPr>
          </w:p>
        </w:tc>
        <w:tc>
          <w:tcPr>
            <w:tcW w:w="1276" w:type="dxa"/>
            <w:noWrap w:val="0"/>
            <w:vAlign w:val="center"/>
          </w:tcPr>
          <w:p w14:paraId="26B308B3">
            <w:pPr>
              <w:jc w:val="center"/>
              <w:rPr>
                <w:rFonts w:ascii="宋体" w:hAnsi="宋体" w:cs="宋体"/>
                <w:highlight w:val="none"/>
              </w:rPr>
            </w:pPr>
          </w:p>
        </w:tc>
        <w:tc>
          <w:tcPr>
            <w:tcW w:w="1418" w:type="dxa"/>
            <w:noWrap w:val="0"/>
            <w:vAlign w:val="center"/>
          </w:tcPr>
          <w:p w14:paraId="07ECCA0E">
            <w:pPr>
              <w:jc w:val="center"/>
              <w:rPr>
                <w:rFonts w:ascii="宋体" w:hAnsi="宋体" w:cs="宋体"/>
                <w:highlight w:val="none"/>
              </w:rPr>
            </w:pPr>
          </w:p>
        </w:tc>
        <w:tc>
          <w:tcPr>
            <w:tcW w:w="940" w:type="dxa"/>
            <w:noWrap w:val="0"/>
            <w:vAlign w:val="center"/>
          </w:tcPr>
          <w:p w14:paraId="4B4F8259">
            <w:pPr>
              <w:jc w:val="center"/>
              <w:rPr>
                <w:rFonts w:ascii="宋体" w:hAnsi="宋体" w:cs="宋体"/>
                <w:highlight w:val="none"/>
              </w:rPr>
            </w:pPr>
          </w:p>
        </w:tc>
        <w:tc>
          <w:tcPr>
            <w:tcW w:w="851" w:type="dxa"/>
            <w:noWrap w:val="0"/>
            <w:vAlign w:val="center"/>
          </w:tcPr>
          <w:p w14:paraId="33262823">
            <w:pPr>
              <w:jc w:val="center"/>
              <w:rPr>
                <w:rFonts w:ascii="宋体" w:hAnsi="宋体" w:cs="宋体"/>
                <w:highlight w:val="none"/>
              </w:rPr>
            </w:pPr>
          </w:p>
        </w:tc>
        <w:tc>
          <w:tcPr>
            <w:tcW w:w="1044" w:type="dxa"/>
            <w:noWrap w:val="0"/>
            <w:vAlign w:val="center"/>
          </w:tcPr>
          <w:p w14:paraId="4E416963">
            <w:pPr>
              <w:jc w:val="center"/>
              <w:rPr>
                <w:rFonts w:ascii="宋体" w:hAnsi="宋体" w:cs="宋体"/>
                <w:highlight w:val="none"/>
              </w:rPr>
            </w:pPr>
          </w:p>
        </w:tc>
        <w:tc>
          <w:tcPr>
            <w:tcW w:w="992" w:type="dxa"/>
            <w:noWrap w:val="0"/>
            <w:vAlign w:val="center"/>
          </w:tcPr>
          <w:p w14:paraId="70468BF3">
            <w:pPr>
              <w:jc w:val="center"/>
              <w:rPr>
                <w:rFonts w:ascii="宋体" w:hAnsi="宋体" w:cs="宋体"/>
                <w:highlight w:val="none"/>
              </w:rPr>
            </w:pPr>
          </w:p>
        </w:tc>
        <w:tc>
          <w:tcPr>
            <w:tcW w:w="851" w:type="dxa"/>
            <w:noWrap w:val="0"/>
            <w:vAlign w:val="center"/>
          </w:tcPr>
          <w:p w14:paraId="34B4459F">
            <w:pPr>
              <w:jc w:val="center"/>
              <w:rPr>
                <w:rFonts w:ascii="宋体" w:hAnsi="宋体" w:cs="宋体"/>
                <w:highlight w:val="none"/>
              </w:rPr>
            </w:pPr>
          </w:p>
        </w:tc>
        <w:tc>
          <w:tcPr>
            <w:tcW w:w="1225" w:type="dxa"/>
            <w:noWrap w:val="0"/>
            <w:vAlign w:val="center"/>
          </w:tcPr>
          <w:p w14:paraId="24270BF6">
            <w:pPr>
              <w:jc w:val="center"/>
              <w:rPr>
                <w:rFonts w:ascii="宋体" w:hAnsi="宋体" w:cs="宋体"/>
                <w:highlight w:val="none"/>
              </w:rPr>
            </w:pPr>
          </w:p>
        </w:tc>
        <w:tc>
          <w:tcPr>
            <w:tcW w:w="718" w:type="dxa"/>
            <w:noWrap w:val="0"/>
            <w:vAlign w:val="center"/>
          </w:tcPr>
          <w:p w14:paraId="13281104">
            <w:pPr>
              <w:jc w:val="center"/>
              <w:rPr>
                <w:rFonts w:ascii="宋体" w:hAnsi="宋体" w:cs="宋体"/>
                <w:highlight w:val="none"/>
              </w:rPr>
            </w:pPr>
          </w:p>
        </w:tc>
      </w:tr>
      <w:tr w14:paraId="49F733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76FFCD63">
            <w:pPr>
              <w:jc w:val="center"/>
              <w:rPr>
                <w:rFonts w:ascii="宋体" w:hAnsi="宋体" w:cs="宋体"/>
                <w:highlight w:val="none"/>
              </w:rPr>
            </w:pPr>
          </w:p>
        </w:tc>
        <w:tc>
          <w:tcPr>
            <w:tcW w:w="1276" w:type="dxa"/>
            <w:noWrap w:val="0"/>
            <w:vAlign w:val="center"/>
          </w:tcPr>
          <w:p w14:paraId="59ADE93C">
            <w:pPr>
              <w:jc w:val="center"/>
              <w:rPr>
                <w:rFonts w:ascii="宋体" w:hAnsi="宋体" w:cs="宋体"/>
                <w:highlight w:val="none"/>
              </w:rPr>
            </w:pPr>
          </w:p>
        </w:tc>
        <w:tc>
          <w:tcPr>
            <w:tcW w:w="1418" w:type="dxa"/>
            <w:noWrap w:val="0"/>
            <w:vAlign w:val="center"/>
          </w:tcPr>
          <w:p w14:paraId="3A4BF9BF">
            <w:pPr>
              <w:jc w:val="center"/>
              <w:rPr>
                <w:rFonts w:ascii="宋体" w:hAnsi="宋体" w:cs="宋体"/>
                <w:highlight w:val="none"/>
              </w:rPr>
            </w:pPr>
          </w:p>
        </w:tc>
        <w:tc>
          <w:tcPr>
            <w:tcW w:w="940" w:type="dxa"/>
            <w:noWrap w:val="0"/>
            <w:vAlign w:val="center"/>
          </w:tcPr>
          <w:p w14:paraId="015BBAA5">
            <w:pPr>
              <w:jc w:val="center"/>
              <w:rPr>
                <w:rFonts w:ascii="宋体" w:hAnsi="宋体" w:cs="宋体"/>
                <w:highlight w:val="none"/>
              </w:rPr>
            </w:pPr>
          </w:p>
        </w:tc>
        <w:tc>
          <w:tcPr>
            <w:tcW w:w="851" w:type="dxa"/>
            <w:noWrap w:val="0"/>
            <w:vAlign w:val="center"/>
          </w:tcPr>
          <w:p w14:paraId="0D8E101B">
            <w:pPr>
              <w:jc w:val="center"/>
              <w:rPr>
                <w:rFonts w:ascii="宋体" w:hAnsi="宋体" w:cs="宋体"/>
                <w:highlight w:val="none"/>
              </w:rPr>
            </w:pPr>
          </w:p>
        </w:tc>
        <w:tc>
          <w:tcPr>
            <w:tcW w:w="1044" w:type="dxa"/>
            <w:noWrap w:val="0"/>
            <w:vAlign w:val="center"/>
          </w:tcPr>
          <w:p w14:paraId="4F722106">
            <w:pPr>
              <w:jc w:val="center"/>
              <w:rPr>
                <w:rFonts w:ascii="宋体" w:hAnsi="宋体" w:cs="宋体"/>
                <w:highlight w:val="none"/>
              </w:rPr>
            </w:pPr>
          </w:p>
        </w:tc>
        <w:tc>
          <w:tcPr>
            <w:tcW w:w="992" w:type="dxa"/>
            <w:noWrap w:val="0"/>
            <w:vAlign w:val="center"/>
          </w:tcPr>
          <w:p w14:paraId="266EE1E0">
            <w:pPr>
              <w:jc w:val="center"/>
              <w:rPr>
                <w:rFonts w:ascii="宋体" w:hAnsi="宋体" w:cs="宋体"/>
                <w:highlight w:val="none"/>
              </w:rPr>
            </w:pPr>
          </w:p>
        </w:tc>
        <w:tc>
          <w:tcPr>
            <w:tcW w:w="851" w:type="dxa"/>
            <w:noWrap w:val="0"/>
            <w:vAlign w:val="center"/>
          </w:tcPr>
          <w:p w14:paraId="42DCD8C9">
            <w:pPr>
              <w:jc w:val="center"/>
              <w:rPr>
                <w:rFonts w:ascii="宋体" w:hAnsi="宋体" w:cs="宋体"/>
                <w:highlight w:val="none"/>
              </w:rPr>
            </w:pPr>
          </w:p>
        </w:tc>
        <w:tc>
          <w:tcPr>
            <w:tcW w:w="1225" w:type="dxa"/>
            <w:noWrap w:val="0"/>
            <w:vAlign w:val="center"/>
          </w:tcPr>
          <w:p w14:paraId="48AF53DB">
            <w:pPr>
              <w:jc w:val="center"/>
              <w:rPr>
                <w:rFonts w:ascii="宋体" w:hAnsi="宋体" w:cs="宋体"/>
                <w:highlight w:val="none"/>
              </w:rPr>
            </w:pPr>
          </w:p>
        </w:tc>
        <w:tc>
          <w:tcPr>
            <w:tcW w:w="718" w:type="dxa"/>
            <w:noWrap w:val="0"/>
            <w:vAlign w:val="center"/>
          </w:tcPr>
          <w:p w14:paraId="1E315E4F">
            <w:pPr>
              <w:jc w:val="center"/>
              <w:rPr>
                <w:rFonts w:ascii="宋体" w:hAnsi="宋体" w:cs="宋体"/>
                <w:highlight w:val="none"/>
              </w:rPr>
            </w:pPr>
          </w:p>
        </w:tc>
      </w:tr>
      <w:tr w14:paraId="01C2C6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195F45ED">
            <w:pPr>
              <w:jc w:val="center"/>
              <w:rPr>
                <w:rFonts w:ascii="宋体" w:hAnsi="宋体" w:cs="宋体"/>
                <w:highlight w:val="none"/>
              </w:rPr>
            </w:pPr>
          </w:p>
        </w:tc>
        <w:tc>
          <w:tcPr>
            <w:tcW w:w="1276" w:type="dxa"/>
            <w:noWrap w:val="0"/>
            <w:vAlign w:val="center"/>
          </w:tcPr>
          <w:p w14:paraId="37189628">
            <w:pPr>
              <w:jc w:val="center"/>
              <w:rPr>
                <w:rFonts w:ascii="宋体" w:hAnsi="宋体" w:cs="宋体"/>
                <w:highlight w:val="none"/>
              </w:rPr>
            </w:pPr>
          </w:p>
        </w:tc>
        <w:tc>
          <w:tcPr>
            <w:tcW w:w="1418" w:type="dxa"/>
            <w:noWrap w:val="0"/>
            <w:vAlign w:val="center"/>
          </w:tcPr>
          <w:p w14:paraId="3D0DFD63">
            <w:pPr>
              <w:jc w:val="center"/>
              <w:rPr>
                <w:rFonts w:ascii="宋体" w:hAnsi="宋体" w:cs="宋体"/>
                <w:highlight w:val="none"/>
              </w:rPr>
            </w:pPr>
          </w:p>
        </w:tc>
        <w:tc>
          <w:tcPr>
            <w:tcW w:w="940" w:type="dxa"/>
            <w:noWrap w:val="0"/>
            <w:vAlign w:val="center"/>
          </w:tcPr>
          <w:p w14:paraId="603A0D01">
            <w:pPr>
              <w:jc w:val="center"/>
              <w:rPr>
                <w:rFonts w:ascii="宋体" w:hAnsi="宋体" w:cs="宋体"/>
                <w:highlight w:val="none"/>
              </w:rPr>
            </w:pPr>
          </w:p>
        </w:tc>
        <w:tc>
          <w:tcPr>
            <w:tcW w:w="851" w:type="dxa"/>
            <w:noWrap w:val="0"/>
            <w:vAlign w:val="center"/>
          </w:tcPr>
          <w:p w14:paraId="1E78E43D">
            <w:pPr>
              <w:jc w:val="center"/>
              <w:rPr>
                <w:rFonts w:ascii="宋体" w:hAnsi="宋体" w:cs="宋体"/>
                <w:highlight w:val="none"/>
              </w:rPr>
            </w:pPr>
          </w:p>
        </w:tc>
        <w:tc>
          <w:tcPr>
            <w:tcW w:w="1044" w:type="dxa"/>
            <w:noWrap w:val="0"/>
            <w:vAlign w:val="center"/>
          </w:tcPr>
          <w:p w14:paraId="7C618BA0">
            <w:pPr>
              <w:jc w:val="center"/>
              <w:rPr>
                <w:rFonts w:ascii="宋体" w:hAnsi="宋体" w:cs="宋体"/>
                <w:highlight w:val="none"/>
              </w:rPr>
            </w:pPr>
          </w:p>
        </w:tc>
        <w:tc>
          <w:tcPr>
            <w:tcW w:w="992" w:type="dxa"/>
            <w:noWrap w:val="0"/>
            <w:vAlign w:val="center"/>
          </w:tcPr>
          <w:p w14:paraId="722E28C9">
            <w:pPr>
              <w:jc w:val="center"/>
              <w:rPr>
                <w:rFonts w:ascii="宋体" w:hAnsi="宋体" w:cs="宋体"/>
                <w:highlight w:val="none"/>
              </w:rPr>
            </w:pPr>
          </w:p>
        </w:tc>
        <w:tc>
          <w:tcPr>
            <w:tcW w:w="851" w:type="dxa"/>
            <w:noWrap w:val="0"/>
            <w:vAlign w:val="center"/>
          </w:tcPr>
          <w:p w14:paraId="3C107DE1">
            <w:pPr>
              <w:jc w:val="center"/>
              <w:rPr>
                <w:rFonts w:ascii="宋体" w:hAnsi="宋体" w:cs="宋体"/>
                <w:highlight w:val="none"/>
              </w:rPr>
            </w:pPr>
          </w:p>
        </w:tc>
        <w:tc>
          <w:tcPr>
            <w:tcW w:w="1225" w:type="dxa"/>
            <w:noWrap w:val="0"/>
            <w:vAlign w:val="center"/>
          </w:tcPr>
          <w:p w14:paraId="59ABD902">
            <w:pPr>
              <w:jc w:val="center"/>
              <w:rPr>
                <w:rFonts w:ascii="宋体" w:hAnsi="宋体" w:cs="宋体"/>
                <w:highlight w:val="none"/>
              </w:rPr>
            </w:pPr>
          </w:p>
        </w:tc>
        <w:tc>
          <w:tcPr>
            <w:tcW w:w="718" w:type="dxa"/>
            <w:noWrap w:val="0"/>
            <w:vAlign w:val="center"/>
          </w:tcPr>
          <w:p w14:paraId="642CBB0B">
            <w:pPr>
              <w:jc w:val="center"/>
              <w:rPr>
                <w:rFonts w:ascii="宋体" w:hAnsi="宋体" w:cs="宋体"/>
                <w:highlight w:val="none"/>
              </w:rPr>
            </w:pPr>
          </w:p>
        </w:tc>
      </w:tr>
      <w:tr w14:paraId="73D78E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333665E7">
            <w:pPr>
              <w:jc w:val="center"/>
              <w:rPr>
                <w:rFonts w:ascii="宋体" w:hAnsi="宋体" w:cs="宋体"/>
                <w:highlight w:val="none"/>
              </w:rPr>
            </w:pPr>
          </w:p>
        </w:tc>
        <w:tc>
          <w:tcPr>
            <w:tcW w:w="1276" w:type="dxa"/>
            <w:noWrap w:val="0"/>
            <w:vAlign w:val="center"/>
          </w:tcPr>
          <w:p w14:paraId="3F22FF4F">
            <w:pPr>
              <w:jc w:val="center"/>
              <w:rPr>
                <w:rFonts w:ascii="宋体" w:hAnsi="宋体" w:cs="宋体"/>
                <w:highlight w:val="none"/>
              </w:rPr>
            </w:pPr>
          </w:p>
        </w:tc>
        <w:tc>
          <w:tcPr>
            <w:tcW w:w="1418" w:type="dxa"/>
            <w:noWrap w:val="0"/>
            <w:vAlign w:val="center"/>
          </w:tcPr>
          <w:p w14:paraId="5BDB6B33">
            <w:pPr>
              <w:jc w:val="center"/>
              <w:rPr>
                <w:rFonts w:ascii="宋体" w:hAnsi="宋体" w:cs="宋体"/>
                <w:highlight w:val="none"/>
              </w:rPr>
            </w:pPr>
          </w:p>
        </w:tc>
        <w:tc>
          <w:tcPr>
            <w:tcW w:w="940" w:type="dxa"/>
            <w:noWrap w:val="0"/>
            <w:vAlign w:val="center"/>
          </w:tcPr>
          <w:p w14:paraId="4D06DBF1">
            <w:pPr>
              <w:jc w:val="center"/>
              <w:rPr>
                <w:rFonts w:ascii="宋体" w:hAnsi="宋体" w:cs="宋体"/>
                <w:highlight w:val="none"/>
              </w:rPr>
            </w:pPr>
          </w:p>
        </w:tc>
        <w:tc>
          <w:tcPr>
            <w:tcW w:w="851" w:type="dxa"/>
            <w:noWrap w:val="0"/>
            <w:vAlign w:val="center"/>
          </w:tcPr>
          <w:p w14:paraId="7497C91A">
            <w:pPr>
              <w:jc w:val="center"/>
              <w:rPr>
                <w:rFonts w:ascii="宋体" w:hAnsi="宋体" w:cs="宋体"/>
                <w:highlight w:val="none"/>
              </w:rPr>
            </w:pPr>
          </w:p>
        </w:tc>
        <w:tc>
          <w:tcPr>
            <w:tcW w:w="1044" w:type="dxa"/>
            <w:noWrap w:val="0"/>
            <w:vAlign w:val="center"/>
          </w:tcPr>
          <w:p w14:paraId="71125111">
            <w:pPr>
              <w:jc w:val="center"/>
              <w:rPr>
                <w:rFonts w:ascii="宋体" w:hAnsi="宋体" w:cs="宋体"/>
                <w:highlight w:val="none"/>
              </w:rPr>
            </w:pPr>
          </w:p>
        </w:tc>
        <w:tc>
          <w:tcPr>
            <w:tcW w:w="992" w:type="dxa"/>
            <w:noWrap w:val="0"/>
            <w:vAlign w:val="center"/>
          </w:tcPr>
          <w:p w14:paraId="6B247D14">
            <w:pPr>
              <w:jc w:val="center"/>
              <w:rPr>
                <w:rFonts w:ascii="宋体" w:hAnsi="宋体" w:cs="宋体"/>
                <w:highlight w:val="none"/>
              </w:rPr>
            </w:pPr>
          </w:p>
        </w:tc>
        <w:tc>
          <w:tcPr>
            <w:tcW w:w="851" w:type="dxa"/>
            <w:noWrap w:val="0"/>
            <w:vAlign w:val="center"/>
          </w:tcPr>
          <w:p w14:paraId="67EBC059">
            <w:pPr>
              <w:jc w:val="center"/>
              <w:rPr>
                <w:rFonts w:ascii="宋体" w:hAnsi="宋体" w:cs="宋体"/>
                <w:highlight w:val="none"/>
              </w:rPr>
            </w:pPr>
          </w:p>
        </w:tc>
        <w:tc>
          <w:tcPr>
            <w:tcW w:w="1225" w:type="dxa"/>
            <w:noWrap w:val="0"/>
            <w:vAlign w:val="center"/>
          </w:tcPr>
          <w:p w14:paraId="4A7A3996">
            <w:pPr>
              <w:jc w:val="center"/>
              <w:rPr>
                <w:rFonts w:ascii="宋体" w:hAnsi="宋体" w:cs="宋体"/>
                <w:highlight w:val="none"/>
              </w:rPr>
            </w:pPr>
          </w:p>
        </w:tc>
        <w:tc>
          <w:tcPr>
            <w:tcW w:w="718" w:type="dxa"/>
            <w:noWrap w:val="0"/>
            <w:vAlign w:val="center"/>
          </w:tcPr>
          <w:p w14:paraId="4DEA4119">
            <w:pPr>
              <w:jc w:val="center"/>
              <w:rPr>
                <w:rFonts w:ascii="宋体" w:hAnsi="宋体" w:cs="宋体"/>
                <w:highlight w:val="none"/>
              </w:rPr>
            </w:pPr>
          </w:p>
        </w:tc>
      </w:tr>
      <w:tr w14:paraId="464E13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55" w:type="dxa"/>
            <w:noWrap w:val="0"/>
            <w:vAlign w:val="center"/>
          </w:tcPr>
          <w:p w14:paraId="11690401">
            <w:pPr>
              <w:jc w:val="center"/>
              <w:rPr>
                <w:rFonts w:ascii="宋体" w:hAnsi="宋体" w:cs="宋体"/>
                <w:highlight w:val="none"/>
              </w:rPr>
            </w:pPr>
          </w:p>
        </w:tc>
        <w:tc>
          <w:tcPr>
            <w:tcW w:w="1276" w:type="dxa"/>
            <w:noWrap w:val="0"/>
            <w:vAlign w:val="center"/>
          </w:tcPr>
          <w:p w14:paraId="0B31D2E3">
            <w:pPr>
              <w:jc w:val="center"/>
              <w:rPr>
                <w:rFonts w:ascii="宋体" w:hAnsi="宋体" w:cs="宋体"/>
                <w:highlight w:val="none"/>
              </w:rPr>
            </w:pPr>
          </w:p>
        </w:tc>
        <w:tc>
          <w:tcPr>
            <w:tcW w:w="1418" w:type="dxa"/>
            <w:noWrap w:val="0"/>
            <w:vAlign w:val="center"/>
          </w:tcPr>
          <w:p w14:paraId="20896E4B">
            <w:pPr>
              <w:jc w:val="center"/>
              <w:rPr>
                <w:rFonts w:ascii="宋体" w:hAnsi="宋体" w:cs="宋体"/>
                <w:highlight w:val="none"/>
              </w:rPr>
            </w:pPr>
          </w:p>
        </w:tc>
        <w:tc>
          <w:tcPr>
            <w:tcW w:w="940" w:type="dxa"/>
            <w:noWrap w:val="0"/>
            <w:vAlign w:val="center"/>
          </w:tcPr>
          <w:p w14:paraId="59E908CC">
            <w:pPr>
              <w:jc w:val="center"/>
              <w:rPr>
                <w:rFonts w:ascii="宋体" w:hAnsi="宋体" w:cs="宋体"/>
                <w:highlight w:val="none"/>
              </w:rPr>
            </w:pPr>
          </w:p>
        </w:tc>
        <w:tc>
          <w:tcPr>
            <w:tcW w:w="851" w:type="dxa"/>
            <w:noWrap w:val="0"/>
            <w:vAlign w:val="center"/>
          </w:tcPr>
          <w:p w14:paraId="19C79393">
            <w:pPr>
              <w:jc w:val="center"/>
              <w:rPr>
                <w:rFonts w:ascii="宋体" w:hAnsi="宋体" w:cs="宋体"/>
                <w:highlight w:val="none"/>
              </w:rPr>
            </w:pPr>
          </w:p>
        </w:tc>
        <w:tc>
          <w:tcPr>
            <w:tcW w:w="1044" w:type="dxa"/>
            <w:noWrap w:val="0"/>
            <w:vAlign w:val="center"/>
          </w:tcPr>
          <w:p w14:paraId="7E61CDEC">
            <w:pPr>
              <w:jc w:val="center"/>
              <w:rPr>
                <w:rFonts w:ascii="宋体" w:hAnsi="宋体" w:cs="宋体"/>
                <w:highlight w:val="none"/>
              </w:rPr>
            </w:pPr>
          </w:p>
        </w:tc>
        <w:tc>
          <w:tcPr>
            <w:tcW w:w="992" w:type="dxa"/>
            <w:noWrap w:val="0"/>
            <w:vAlign w:val="center"/>
          </w:tcPr>
          <w:p w14:paraId="6A8C4A23">
            <w:pPr>
              <w:jc w:val="center"/>
              <w:rPr>
                <w:rFonts w:ascii="宋体" w:hAnsi="宋体" w:cs="宋体"/>
                <w:highlight w:val="none"/>
              </w:rPr>
            </w:pPr>
          </w:p>
        </w:tc>
        <w:tc>
          <w:tcPr>
            <w:tcW w:w="851" w:type="dxa"/>
            <w:noWrap w:val="0"/>
            <w:vAlign w:val="center"/>
          </w:tcPr>
          <w:p w14:paraId="68F5BDFD">
            <w:pPr>
              <w:jc w:val="center"/>
              <w:rPr>
                <w:rFonts w:ascii="宋体" w:hAnsi="宋体" w:cs="宋体"/>
                <w:highlight w:val="none"/>
              </w:rPr>
            </w:pPr>
          </w:p>
        </w:tc>
        <w:tc>
          <w:tcPr>
            <w:tcW w:w="1225" w:type="dxa"/>
            <w:noWrap w:val="0"/>
            <w:vAlign w:val="center"/>
          </w:tcPr>
          <w:p w14:paraId="758E35EF">
            <w:pPr>
              <w:jc w:val="center"/>
              <w:rPr>
                <w:rFonts w:ascii="宋体" w:hAnsi="宋体" w:cs="宋体"/>
                <w:highlight w:val="none"/>
              </w:rPr>
            </w:pPr>
          </w:p>
        </w:tc>
        <w:tc>
          <w:tcPr>
            <w:tcW w:w="718" w:type="dxa"/>
            <w:noWrap w:val="0"/>
            <w:vAlign w:val="center"/>
          </w:tcPr>
          <w:p w14:paraId="7E9FFAAF">
            <w:pPr>
              <w:jc w:val="center"/>
              <w:rPr>
                <w:rFonts w:ascii="宋体" w:hAnsi="宋体" w:cs="宋体"/>
                <w:highlight w:val="none"/>
              </w:rPr>
            </w:pPr>
          </w:p>
        </w:tc>
      </w:tr>
    </w:tbl>
    <w:p w14:paraId="11E0D4EE">
      <w:pPr>
        <w:rPr>
          <w:rFonts w:ascii="宋体" w:hAnsi="宋体" w:cs="宋体"/>
          <w:highlight w:val="none"/>
        </w:rPr>
      </w:pPr>
    </w:p>
    <w:p w14:paraId="1B99407A">
      <w:pPr>
        <w:spacing w:before="156" w:beforeLines="50" w:after="156" w:afterLines="50"/>
        <w:ind w:right="-733" w:rightChars="-349"/>
        <w:outlineLvl w:val="0"/>
        <w:rPr>
          <w:rFonts w:ascii="宋体" w:hAnsi="宋体" w:cs="宋体"/>
          <w:highlight w:val="none"/>
        </w:rPr>
      </w:pPr>
      <w:r>
        <w:rPr>
          <w:rFonts w:hint="eastAsia" w:ascii="宋体" w:hAnsi="宋体" w:cs="宋体"/>
          <w:highlight w:val="none"/>
        </w:rPr>
        <w:br w:type="page"/>
      </w:r>
      <w:bookmarkStart w:id="1718" w:name="_Toc32294"/>
      <w:bookmarkStart w:id="1719" w:name="_Toc12340"/>
      <w:bookmarkStart w:id="1720" w:name="_Toc69891497"/>
      <w:bookmarkStart w:id="1721" w:name="_Toc69909987"/>
      <w:bookmarkStart w:id="1722" w:name="_Toc18198"/>
      <w:bookmarkStart w:id="1723" w:name="_Toc23506"/>
      <w:bookmarkStart w:id="1724" w:name="_Toc8590"/>
      <w:r>
        <w:rPr>
          <w:rFonts w:hint="eastAsia" w:ascii="宋体" w:hAnsi="宋体" w:cs="宋体"/>
          <w:highlight w:val="none"/>
        </w:rPr>
        <w:t>附</w:t>
      </w:r>
      <w:bookmarkStart w:id="1725" w:name="_Toc267261693"/>
      <w:bookmarkStart w:id="1726" w:name="_Toc296891054"/>
      <w:bookmarkStart w:id="1727" w:name="_Toc296891266"/>
      <w:bookmarkStart w:id="1728" w:name="_Toc296944565"/>
      <w:bookmarkStart w:id="1729" w:name="_Toc296503226"/>
      <w:bookmarkStart w:id="1730" w:name="_Toc296346727"/>
      <w:bookmarkStart w:id="1731" w:name="_Toc296347225"/>
      <w:r>
        <w:rPr>
          <w:rFonts w:hint="eastAsia" w:ascii="宋体" w:hAnsi="宋体" w:cs="宋体"/>
          <w:highlight w:val="none"/>
        </w:rPr>
        <w:t>件3：</w:t>
      </w:r>
      <w:bookmarkEnd w:id="1718"/>
      <w:bookmarkEnd w:id="1719"/>
      <w:bookmarkEnd w:id="1725"/>
      <w:bookmarkEnd w:id="1726"/>
      <w:bookmarkEnd w:id="1727"/>
      <w:bookmarkEnd w:id="1728"/>
      <w:bookmarkEnd w:id="1729"/>
      <w:bookmarkEnd w:id="1730"/>
      <w:bookmarkEnd w:id="1731"/>
      <w:r>
        <w:rPr>
          <w:rFonts w:hint="eastAsia" w:ascii="宋体" w:hAnsi="宋体" w:cs="宋体"/>
          <w:highlight w:val="none"/>
        </w:rPr>
        <w:t>工程质量保修书</w:t>
      </w:r>
      <w:bookmarkEnd w:id="1720"/>
      <w:bookmarkEnd w:id="1721"/>
      <w:bookmarkEnd w:id="1722"/>
      <w:bookmarkEnd w:id="1723"/>
      <w:bookmarkEnd w:id="1724"/>
      <w:r>
        <w:rPr>
          <w:rFonts w:hint="eastAsia" w:ascii="宋体" w:hAnsi="宋体" w:cs="宋体"/>
          <w:highlight w:val="none"/>
        </w:rPr>
        <w:t xml:space="preserve">    </w:t>
      </w:r>
    </w:p>
    <w:p w14:paraId="0C1079AF">
      <w:pPr>
        <w:ind w:right="-733" w:rightChars="-349"/>
        <w:jc w:val="center"/>
        <w:rPr>
          <w:rFonts w:ascii="宋体" w:hAnsi="宋体" w:cs="宋体"/>
          <w:b/>
          <w:sz w:val="28"/>
          <w:szCs w:val="28"/>
          <w:highlight w:val="none"/>
        </w:rPr>
      </w:pPr>
      <w:bookmarkStart w:id="1732" w:name="_Toc31848"/>
      <w:r>
        <w:rPr>
          <w:rFonts w:hint="eastAsia" w:ascii="宋体" w:hAnsi="宋体" w:cs="宋体"/>
          <w:b/>
          <w:sz w:val="28"/>
          <w:szCs w:val="28"/>
          <w:highlight w:val="none"/>
        </w:rPr>
        <w:t>工程质量保修书</w:t>
      </w:r>
      <w:bookmarkEnd w:id="1732"/>
    </w:p>
    <w:p w14:paraId="6C2289B4">
      <w:pPr>
        <w:keepNext w:val="0"/>
        <w:keepLines w:val="0"/>
        <w:pageBreakBefore w:val="0"/>
        <w:widowControl w:val="0"/>
        <w:kinsoku/>
        <w:wordWrap/>
        <w:overflowPunct/>
        <w:topLinePunct w:val="0"/>
        <w:autoSpaceDE/>
        <w:autoSpaceDN/>
        <w:bidi w:val="0"/>
        <w:adjustRightInd/>
        <w:snapToGrid/>
        <w:spacing w:line="360" w:lineRule="auto"/>
        <w:ind w:right="-733" w:rightChars="-349"/>
        <w:textAlignment w:val="auto"/>
        <w:rPr>
          <w:rFonts w:hint="eastAsia" w:ascii="宋体" w:hAnsi="宋体" w:cs="宋体"/>
          <w:b/>
          <w:highlight w:val="none"/>
        </w:rPr>
      </w:pPr>
    </w:p>
    <w:p w14:paraId="6BD4BF2F">
      <w:pPr>
        <w:keepNext w:val="0"/>
        <w:keepLines w:val="0"/>
        <w:pageBreakBefore w:val="0"/>
        <w:widowControl w:val="0"/>
        <w:kinsoku/>
        <w:wordWrap/>
        <w:overflowPunct/>
        <w:topLinePunct w:val="0"/>
        <w:autoSpaceDE/>
        <w:autoSpaceDN/>
        <w:bidi w:val="0"/>
        <w:adjustRightInd/>
        <w:snapToGrid/>
        <w:spacing w:line="360" w:lineRule="auto"/>
        <w:ind w:right="-733" w:rightChars="-349"/>
        <w:textAlignment w:val="auto"/>
        <w:rPr>
          <w:rFonts w:hint="eastAsia" w:ascii="宋体" w:hAnsi="宋体" w:eastAsia="宋体" w:cs="宋体"/>
          <w:b/>
          <w:highlight w:val="none"/>
          <w:u w:val="single"/>
          <w:lang w:eastAsia="zh-CN"/>
        </w:rPr>
      </w:pPr>
      <w:r>
        <w:rPr>
          <w:rFonts w:hint="eastAsia" w:ascii="宋体" w:hAnsi="宋体" w:cs="宋体"/>
          <w:b/>
          <w:highlight w:val="none"/>
        </w:rPr>
        <w:t>发包人（全称）：</w:t>
      </w:r>
      <w:r>
        <w:rPr>
          <w:rFonts w:hint="eastAsia" w:ascii="宋体" w:hAnsi="宋体" w:cs="宋体"/>
          <w:b/>
          <w:highlight w:val="none"/>
          <w:u w:val="single"/>
          <w:lang w:eastAsia="zh-CN"/>
        </w:rPr>
        <w:t>南通轨道交通集团有限公司</w:t>
      </w:r>
    </w:p>
    <w:p w14:paraId="37F18A89">
      <w:pPr>
        <w:keepNext w:val="0"/>
        <w:keepLines w:val="0"/>
        <w:pageBreakBefore w:val="0"/>
        <w:widowControl w:val="0"/>
        <w:kinsoku/>
        <w:wordWrap/>
        <w:overflowPunct/>
        <w:topLinePunct w:val="0"/>
        <w:autoSpaceDE/>
        <w:autoSpaceDN/>
        <w:bidi w:val="0"/>
        <w:adjustRightInd/>
        <w:snapToGrid/>
        <w:spacing w:line="360" w:lineRule="auto"/>
        <w:ind w:right="-733" w:rightChars="-349"/>
        <w:textAlignment w:val="auto"/>
        <w:rPr>
          <w:rFonts w:hint="default" w:ascii="宋体" w:hAnsi="宋体" w:eastAsia="宋体" w:cs="宋体"/>
          <w:b/>
          <w:highlight w:val="none"/>
          <w:u w:val="single"/>
          <w:lang w:val="en-US" w:eastAsia="zh-CN"/>
        </w:rPr>
      </w:pPr>
      <w:r>
        <w:rPr>
          <w:rFonts w:hint="eastAsia" w:ascii="宋体" w:hAnsi="宋体" w:cs="宋体"/>
          <w:b/>
          <w:highlight w:val="none"/>
        </w:rPr>
        <w:t>承包人（全称）：</w:t>
      </w:r>
      <w:r>
        <w:rPr>
          <w:rFonts w:hint="eastAsia" w:ascii="宋体" w:hAnsi="宋体" w:cs="宋体"/>
          <w:b/>
          <w:color w:val="000000"/>
          <w:highlight w:val="none"/>
          <w:u w:val="single"/>
          <w:lang w:val="en-US" w:eastAsia="zh-CN"/>
        </w:rPr>
        <w:t xml:space="preserve">                        </w:t>
      </w:r>
    </w:p>
    <w:p w14:paraId="5E4BC108">
      <w:pPr>
        <w:keepNext w:val="0"/>
        <w:keepLines w:val="0"/>
        <w:pageBreakBefore w:val="0"/>
        <w:widowControl w:val="0"/>
        <w:kinsoku/>
        <w:wordWrap/>
        <w:overflowPunct/>
        <w:topLinePunct w:val="0"/>
        <w:autoSpaceDE/>
        <w:autoSpaceDN/>
        <w:bidi w:val="0"/>
        <w:adjustRightInd/>
        <w:snapToGrid/>
        <w:spacing w:line="360" w:lineRule="auto"/>
        <w:ind w:right="-733" w:rightChars="-349"/>
        <w:textAlignment w:val="auto"/>
        <w:rPr>
          <w:rFonts w:ascii="宋体" w:hAnsi="宋体" w:cs="宋体"/>
          <w:highlight w:val="none"/>
        </w:rPr>
      </w:pPr>
    </w:p>
    <w:p w14:paraId="0F13E70D">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r>
        <w:rPr>
          <w:rFonts w:hint="eastAsia" w:ascii="宋体" w:hAnsi="宋体"/>
          <w:highlight w:val="none"/>
        </w:rPr>
        <w:t>为保证</w:t>
      </w:r>
      <w:r>
        <w:rPr>
          <w:rFonts w:hint="eastAsia" w:ascii="宋体" w:hAnsi="宋体" w:cs="宋体"/>
          <w:kern w:val="58"/>
          <w:highlight w:val="none"/>
          <w:u w:val="single"/>
          <w:lang w:eastAsia="zh-CN"/>
        </w:rPr>
        <w:t>南通轨道交通部分站点非机动车换乘停车优化改造施工项目（第1批次）</w:t>
      </w:r>
      <w:r>
        <w:rPr>
          <w:rFonts w:hint="eastAsia" w:ascii="宋体" w:hAnsi="宋体"/>
          <w:highlight w:val="none"/>
        </w:rPr>
        <w:t>（下称“工程”）在合理使用期限内正常使用，根据《中华人民共和国建筑法》、《建设工程质量管理条例》，发包人和承包人经协商一致签订工程质量保修书。承包人在质量保修期内按照有关管理规定及双方约定承担工程质量保修责任。</w:t>
      </w:r>
    </w:p>
    <w:p w14:paraId="48F191B4">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bookmarkStart w:id="1733" w:name="_Toc6503_WPSOffice_Level2"/>
      <w:bookmarkStart w:id="1734" w:name="_Toc24548_WPSOffice_Level2"/>
      <w:bookmarkStart w:id="1735" w:name="_Toc224697252"/>
      <w:bookmarkStart w:id="1736" w:name="_Toc208056685"/>
      <w:r>
        <w:rPr>
          <w:rFonts w:hint="eastAsia" w:ascii="宋体" w:hAnsi="宋体"/>
          <w:highlight w:val="none"/>
        </w:rPr>
        <w:t>一、工程质量保修范围和内容</w:t>
      </w:r>
      <w:bookmarkEnd w:id="1733"/>
      <w:bookmarkEnd w:id="1734"/>
      <w:bookmarkEnd w:id="1735"/>
      <w:bookmarkEnd w:id="1736"/>
    </w:p>
    <w:p w14:paraId="77A5BBC5">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r>
        <w:rPr>
          <w:rFonts w:hint="eastAsia" w:ascii="宋体" w:hAnsi="宋体"/>
          <w:highlight w:val="none"/>
        </w:rPr>
        <w:t>质量保修范围为</w:t>
      </w:r>
      <w:r>
        <w:rPr>
          <w:rFonts w:hint="eastAsia" w:ascii="宋体" w:hAnsi="宋体" w:cs="宋体"/>
          <w:kern w:val="58"/>
          <w:highlight w:val="none"/>
          <w:u w:val="single"/>
          <w:lang w:eastAsia="zh-CN"/>
        </w:rPr>
        <w:t>南通轨道交通部分站点非机动车换乘停车优化改造施工项目（第1批次）</w:t>
      </w:r>
      <w:r>
        <w:rPr>
          <w:rFonts w:hint="eastAsia" w:ascii="宋体" w:hAnsi="宋体"/>
          <w:highlight w:val="none"/>
        </w:rPr>
        <w:t>涉及的</w:t>
      </w:r>
      <w:r>
        <w:rPr>
          <w:rFonts w:hint="eastAsia" w:ascii="宋体" w:hAnsi="宋体" w:eastAsia="宋体" w:cs="宋体"/>
          <w:color w:val="auto"/>
          <w:sz w:val="21"/>
          <w:szCs w:val="21"/>
          <w:highlight w:val="none"/>
          <w:u w:val="single"/>
          <w:lang w:val="en-US" w:eastAsia="zh-CN"/>
        </w:rPr>
        <w:t>包括但不限于绿化景观、给排水、交通设施、道路、标识标牌、照明等</w:t>
      </w:r>
      <w:r>
        <w:rPr>
          <w:rFonts w:hint="eastAsia" w:ascii="宋体" w:hAnsi="宋体"/>
          <w:highlight w:val="none"/>
        </w:rPr>
        <w:t>及发包人要求的其他应保修部分。</w:t>
      </w:r>
    </w:p>
    <w:p w14:paraId="47AD0659">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bookmarkStart w:id="1737" w:name="_Toc208056686"/>
      <w:bookmarkStart w:id="1738" w:name="_Toc29876_WPSOffice_Level2"/>
      <w:bookmarkStart w:id="1739" w:name="_Toc224697253"/>
      <w:bookmarkStart w:id="1740" w:name="_Toc31747_WPSOffice_Level2"/>
      <w:r>
        <w:rPr>
          <w:rFonts w:hint="eastAsia" w:ascii="宋体" w:hAnsi="宋体"/>
          <w:highlight w:val="none"/>
        </w:rPr>
        <w:t>二、质量保修期</w:t>
      </w:r>
      <w:bookmarkEnd w:id="1737"/>
      <w:bookmarkEnd w:id="1738"/>
      <w:bookmarkEnd w:id="1739"/>
      <w:bookmarkEnd w:id="1740"/>
    </w:p>
    <w:p w14:paraId="4EA99CDE">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r>
        <w:rPr>
          <w:rFonts w:hint="eastAsia" w:ascii="宋体" w:hAnsi="宋体"/>
          <w:highlight w:val="none"/>
        </w:rPr>
        <w:t>质量保修期从工程竣工验收合格之日起开始之日起算。</w:t>
      </w:r>
    </w:p>
    <w:p w14:paraId="686B11B3">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r>
        <w:rPr>
          <w:rFonts w:hint="eastAsia" w:ascii="宋体" w:hAnsi="宋体"/>
          <w:highlight w:val="none"/>
        </w:rPr>
        <w:t>双方根据《建设工程质量管理条例》及国家有关规定，结合本工程约定具体质量保修期如下：</w:t>
      </w:r>
    </w:p>
    <w:p w14:paraId="7B2A862C">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u w:val="single"/>
        </w:rPr>
      </w:pPr>
      <w:r>
        <w:rPr>
          <w:rFonts w:hint="eastAsia" w:ascii="宋体" w:hAnsi="宋体"/>
          <w:highlight w:val="none"/>
          <w:u w:val="single"/>
        </w:rPr>
        <w:t>基础及主体、附属结构工程质量保证期限为工程的设计寿命；</w:t>
      </w:r>
    </w:p>
    <w:p w14:paraId="22BFEA68">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hint="eastAsia" w:ascii="宋体" w:hAnsi="宋体"/>
          <w:highlight w:val="none"/>
          <w:u w:val="single"/>
        </w:rPr>
      </w:pPr>
      <w:r>
        <w:rPr>
          <w:rFonts w:hint="eastAsia" w:ascii="宋体" w:hAnsi="宋体"/>
          <w:highlight w:val="none"/>
          <w:u w:val="single"/>
        </w:rPr>
        <w:t>有防水要求的工程质量保证期限为5年。</w:t>
      </w:r>
    </w:p>
    <w:p w14:paraId="378A8A28">
      <w:pPr>
        <w:pStyle w:val="7"/>
        <w:keepNext w:val="0"/>
        <w:keepLines w:val="0"/>
        <w:pageBreakBefore w:val="0"/>
        <w:widowControl w:val="0"/>
        <w:kinsoku/>
        <w:wordWrap/>
        <w:overflowPunct/>
        <w:topLinePunct w:val="0"/>
        <w:autoSpaceDE/>
        <w:autoSpaceDN/>
        <w:bidi w:val="0"/>
        <w:adjustRightInd/>
        <w:snapToGrid w:val="0"/>
        <w:spacing w:line="360" w:lineRule="auto"/>
        <w:ind w:right="0" w:rightChars="0"/>
        <w:textAlignment w:val="auto"/>
        <w:rPr>
          <w:rFonts w:hint="default" w:eastAsia="宋体"/>
          <w:highlight w:val="none"/>
          <w:lang w:val="en-US" w:eastAsia="zh-CN"/>
        </w:rPr>
      </w:pPr>
      <w:r>
        <w:rPr>
          <w:rFonts w:hint="eastAsia" w:ascii="宋体" w:hAnsi="宋体"/>
          <w:highlight w:val="none"/>
          <w:u w:val="single"/>
          <w:lang w:eastAsia="zh-CN"/>
        </w:rPr>
        <w:t>绿化养护期为</w:t>
      </w:r>
      <w:r>
        <w:rPr>
          <w:rFonts w:hint="eastAsia" w:ascii="宋体" w:hAnsi="宋体"/>
          <w:highlight w:val="none"/>
          <w:u w:val="single"/>
          <w:lang w:val="en-US" w:eastAsia="zh-CN"/>
        </w:rPr>
        <w:t>1年，一级养护。</w:t>
      </w:r>
    </w:p>
    <w:p w14:paraId="25BA2807">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r>
        <w:rPr>
          <w:rFonts w:hint="eastAsia" w:ascii="宋体" w:hAnsi="宋体"/>
          <w:highlight w:val="none"/>
          <w:u w:val="single"/>
        </w:rPr>
        <w:t>其他工程质量保证期限为2年。</w:t>
      </w:r>
    </w:p>
    <w:p w14:paraId="6EE82887">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bookmarkStart w:id="1741" w:name="_Toc22722_WPSOffice_Level2"/>
      <w:bookmarkStart w:id="1742" w:name="_Toc31058_WPSOffice_Level2"/>
      <w:r>
        <w:rPr>
          <w:rFonts w:hint="eastAsia" w:ascii="宋体" w:hAnsi="宋体"/>
          <w:highlight w:val="none"/>
        </w:rPr>
        <w:t>三.质量保修责任</w:t>
      </w:r>
      <w:bookmarkEnd w:id="1741"/>
      <w:bookmarkEnd w:id="1742"/>
    </w:p>
    <w:p w14:paraId="4C76FFF4">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r>
        <w:rPr>
          <w:rFonts w:hint="eastAsia" w:ascii="宋体" w:hAnsi="宋体"/>
          <w:highlight w:val="none"/>
        </w:rPr>
        <w:t>1、属于保修范围、内容的项目，承包人应当在接到保修通知之日起48小时内派人保修。承包人不在约定期限内派人保修的，发包人可以委托他人修理，发生的费用从质量保修金内扣除。</w:t>
      </w:r>
    </w:p>
    <w:p w14:paraId="4563C41E">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r>
        <w:rPr>
          <w:rFonts w:hint="eastAsia" w:ascii="宋体" w:hAnsi="宋体"/>
          <w:highlight w:val="none"/>
        </w:rPr>
        <w:t>2、发生紧急事故的，承包人在接到事故通知后，应在24小时内到达事故现场抢修。非承包方施工质量引起的事故，抢修费用由发包人承担。</w:t>
      </w:r>
    </w:p>
    <w:p w14:paraId="32FC86A6">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r>
        <w:rPr>
          <w:rFonts w:hint="eastAsia" w:ascii="宋体" w:hAnsi="宋体"/>
          <w:highlight w:val="none"/>
        </w:rPr>
        <w:t>3、在国家规定的工程合理使用期限内，承包人应当确保地基基础工程和主体结构的质量。因承包人原因致使工程在合理使用期限内造成人身和财产损害的，承包人应承担损害赔偿责任。</w:t>
      </w:r>
    </w:p>
    <w:p w14:paraId="7A977382">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bookmarkStart w:id="1743" w:name="_Toc22046_WPSOffice_Level2"/>
      <w:bookmarkStart w:id="1744" w:name="_Toc9629_WPSOffice_Level2"/>
      <w:bookmarkStart w:id="1745" w:name="_Toc208056687"/>
      <w:bookmarkStart w:id="1746" w:name="_Toc224697254"/>
      <w:r>
        <w:rPr>
          <w:rFonts w:hint="eastAsia" w:ascii="宋体" w:hAnsi="宋体"/>
          <w:highlight w:val="none"/>
        </w:rPr>
        <w:t>四、质量保修金的总额</w:t>
      </w:r>
      <w:bookmarkEnd w:id="1743"/>
      <w:bookmarkEnd w:id="1744"/>
      <w:bookmarkEnd w:id="1745"/>
      <w:bookmarkEnd w:id="1746"/>
    </w:p>
    <w:p w14:paraId="46EDA0A1">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r>
        <w:rPr>
          <w:rFonts w:hint="eastAsia" w:ascii="宋体" w:hAnsi="宋体"/>
          <w:highlight w:val="none"/>
        </w:rPr>
        <w:t>本工程约定的工程质量保修金总额为竣工结算价款的3%。</w:t>
      </w:r>
    </w:p>
    <w:p w14:paraId="4BCB8ED2">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r>
        <w:rPr>
          <w:rFonts w:ascii="宋体" w:hAnsi="宋体"/>
          <w:highlight w:val="none"/>
        </w:rPr>
        <w:t>质量保证金银行利率为：0。</w:t>
      </w:r>
    </w:p>
    <w:p w14:paraId="0041B00F">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bookmarkStart w:id="1747" w:name="_Toc224697255"/>
      <w:bookmarkStart w:id="1748" w:name="_Toc28272_WPSOffice_Level2"/>
      <w:bookmarkStart w:id="1749" w:name="_Toc14652_WPSOffice_Level2"/>
      <w:bookmarkStart w:id="1750" w:name="_Toc208056688"/>
      <w:r>
        <w:rPr>
          <w:rFonts w:hint="eastAsia" w:ascii="宋体" w:hAnsi="宋体"/>
          <w:highlight w:val="none"/>
        </w:rPr>
        <w:t>五、质量保修金的返还</w:t>
      </w:r>
      <w:bookmarkEnd w:id="1747"/>
      <w:bookmarkEnd w:id="1748"/>
      <w:bookmarkEnd w:id="1749"/>
      <w:bookmarkEnd w:id="1750"/>
    </w:p>
    <w:p w14:paraId="72A415C0">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textAlignment w:val="auto"/>
        <w:rPr>
          <w:rFonts w:ascii="宋体" w:hAnsi="宋体"/>
          <w:highlight w:val="none"/>
        </w:rPr>
      </w:pPr>
      <w:r>
        <w:rPr>
          <w:rFonts w:hint="eastAsia" w:ascii="宋体" w:hAnsi="宋体"/>
          <w:highlight w:val="none"/>
        </w:rPr>
        <w:t>在工程保修期满后30天内，办理相关结算手续，予以结清。</w:t>
      </w:r>
    </w:p>
    <w:p w14:paraId="4B6929C2">
      <w:pPr>
        <w:keepNext w:val="0"/>
        <w:keepLines w:val="0"/>
        <w:pageBreakBefore w:val="0"/>
        <w:widowControl w:val="0"/>
        <w:kinsoku/>
        <w:wordWrap/>
        <w:overflowPunct/>
        <w:topLinePunct w:val="0"/>
        <w:autoSpaceDE/>
        <w:autoSpaceDN/>
        <w:bidi w:val="0"/>
        <w:adjustRightInd/>
        <w:snapToGrid/>
        <w:spacing w:line="360" w:lineRule="auto"/>
        <w:ind w:right="-733" w:rightChars="-349"/>
        <w:textAlignment w:val="auto"/>
        <w:rPr>
          <w:rFonts w:ascii="宋体" w:hAnsi="宋体"/>
          <w:highlight w:val="none"/>
        </w:rPr>
      </w:pPr>
    </w:p>
    <w:p w14:paraId="3E23D527">
      <w:pPr>
        <w:pStyle w:val="7"/>
        <w:rPr>
          <w:rFonts w:ascii="宋体" w:hAnsi="宋体"/>
          <w:highlight w:val="none"/>
        </w:rPr>
      </w:pPr>
    </w:p>
    <w:p w14:paraId="7BEB57CC">
      <w:pPr>
        <w:pStyle w:val="7"/>
        <w:rPr>
          <w:rFonts w:ascii="宋体" w:hAnsi="宋体"/>
          <w:highlight w:val="none"/>
        </w:rPr>
      </w:pPr>
    </w:p>
    <w:p w14:paraId="5E946396">
      <w:pPr>
        <w:pStyle w:val="7"/>
        <w:rPr>
          <w:rFonts w:ascii="宋体" w:hAnsi="宋体"/>
          <w:highlight w:val="none"/>
        </w:rPr>
      </w:pPr>
    </w:p>
    <w:p w14:paraId="6A29ECD2">
      <w:pPr>
        <w:keepNext w:val="0"/>
        <w:keepLines w:val="0"/>
        <w:pageBreakBefore w:val="0"/>
        <w:widowControl w:val="0"/>
        <w:kinsoku/>
        <w:wordWrap/>
        <w:overflowPunct/>
        <w:topLinePunct w:val="0"/>
        <w:autoSpaceDE/>
        <w:autoSpaceDN/>
        <w:bidi w:val="0"/>
        <w:adjustRightInd/>
        <w:snapToGrid/>
        <w:spacing w:line="360" w:lineRule="auto"/>
        <w:ind w:right="-733" w:rightChars="-349" w:firstLine="420" w:firstLineChars="200"/>
        <w:textAlignment w:val="auto"/>
        <w:rPr>
          <w:rFonts w:ascii="宋体" w:hAnsi="宋体" w:cs="宋体"/>
          <w:highlight w:val="none"/>
        </w:rPr>
      </w:pPr>
      <w:r>
        <w:rPr>
          <w:rFonts w:hint="eastAsia" w:ascii="宋体" w:hAnsi="宋体" w:cs="宋体"/>
          <w:highlight w:val="none"/>
        </w:rPr>
        <w:t>发包人：（盖章）                       承包人：（盖章）</w:t>
      </w:r>
    </w:p>
    <w:p w14:paraId="79A77354">
      <w:pPr>
        <w:keepNext w:val="0"/>
        <w:keepLines w:val="0"/>
        <w:pageBreakBefore w:val="0"/>
        <w:widowControl w:val="0"/>
        <w:kinsoku/>
        <w:wordWrap/>
        <w:overflowPunct/>
        <w:topLinePunct w:val="0"/>
        <w:autoSpaceDE/>
        <w:autoSpaceDN/>
        <w:bidi w:val="0"/>
        <w:adjustRightInd/>
        <w:snapToGrid/>
        <w:spacing w:line="360" w:lineRule="auto"/>
        <w:ind w:right="-733" w:rightChars="-349" w:firstLine="420" w:firstLineChars="200"/>
        <w:textAlignment w:val="auto"/>
        <w:rPr>
          <w:rFonts w:ascii="宋体" w:hAnsi="宋体" w:cs="宋体"/>
          <w:highlight w:val="none"/>
        </w:rPr>
      </w:pPr>
    </w:p>
    <w:p w14:paraId="4712CFFD">
      <w:pPr>
        <w:keepNext w:val="0"/>
        <w:keepLines w:val="0"/>
        <w:pageBreakBefore w:val="0"/>
        <w:widowControl w:val="0"/>
        <w:kinsoku/>
        <w:wordWrap/>
        <w:overflowPunct/>
        <w:topLinePunct w:val="0"/>
        <w:autoSpaceDE/>
        <w:autoSpaceDN/>
        <w:bidi w:val="0"/>
        <w:adjustRightInd/>
        <w:snapToGrid/>
        <w:spacing w:line="360" w:lineRule="auto"/>
        <w:ind w:right="-733" w:rightChars="-349" w:firstLine="420" w:firstLineChars="200"/>
        <w:textAlignment w:val="auto"/>
        <w:rPr>
          <w:rFonts w:ascii="宋体" w:hAnsi="宋体" w:cs="宋体"/>
          <w:highlight w:val="none"/>
        </w:rPr>
      </w:pPr>
      <w:r>
        <w:rPr>
          <w:rFonts w:hint="eastAsia" w:ascii="宋体" w:hAnsi="宋体" w:cs="宋体"/>
          <w:highlight w:val="none"/>
        </w:rPr>
        <w:t>法定代表人                             法定代表人</w:t>
      </w:r>
    </w:p>
    <w:p w14:paraId="440D6D0A">
      <w:pPr>
        <w:keepNext w:val="0"/>
        <w:keepLines w:val="0"/>
        <w:pageBreakBefore w:val="0"/>
        <w:widowControl w:val="0"/>
        <w:kinsoku/>
        <w:wordWrap/>
        <w:overflowPunct/>
        <w:topLinePunct w:val="0"/>
        <w:autoSpaceDE/>
        <w:autoSpaceDN/>
        <w:bidi w:val="0"/>
        <w:adjustRightInd/>
        <w:snapToGrid/>
        <w:spacing w:line="360" w:lineRule="auto"/>
        <w:ind w:right="-733" w:rightChars="-349" w:firstLine="420" w:firstLineChars="200"/>
        <w:textAlignment w:val="auto"/>
        <w:rPr>
          <w:rFonts w:ascii="宋体" w:hAnsi="宋体" w:cs="宋体"/>
          <w:highlight w:val="none"/>
        </w:rPr>
      </w:pPr>
      <w:r>
        <w:rPr>
          <w:rFonts w:hint="eastAsia" w:ascii="宋体" w:hAnsi="宋体" w:cs="宋体"/>
          <w:highlight w:val="none"/>
        </w:rPr>
        <w:t>或其授权代理人：                       或其授权代理人：</w:t>
      </w:r>
    </w:p>
    <w:p w14:paraId="1B8092C5">
      <w:pPr>
        <w:spacing w:before="156" w:beforeLines="50" w:after="156" w:afterLines="50"/>
        <w:ind w:right="-733" w:rightChars="-349"/>
        <w:outlineLvl w:val="0"/>
        <w:rPr>
          <w:rFonts w:ascii="宋体" w:hAnsi="宋体" w:cs="宋体"/>
          <w:highlight w:val="none"/>
        </w:rPr>
      </w:pPr>
      <w:bookmarkStart w:id="1751" w:name="_Toc11490"/>
      <w:bookmarkStart w:id="1752" w:name="_Toc13190"/>
      <w:bookmarkStart w:id="1753" w:name="_Toc69909988"/>
      <w:bookmarkStart w:id="1754" w:name="_Toc18075"/>
      <w:bookmarkStart w:id="1755" w:name="_Toc39"/>
      <w:bookmarkStart w:id="1756" w:name="_Toc547"/>
      <w:bookmarkStart w:id="1757" w:name="_Toc69891498"/>
      <w:r>
        <w:rPr>
          <w:rFonts w:hint="eastAsia" w:ascii="宋体" w:hAnsi="宋体" w:cs="宋体"/>
          <w:highlight w:val="none"/>
        </w:rPr>
        <w:br w:type="page"/>
      </w:r>
      <w:r>
        <w:rPr>
          <w:rFonts w:hint="eastAsia" w:ascii="宋体" w:hAnsi="宋体" w:eastAsia="宋体" w:cs="宋体"/>
          <w:highlight w:val="none"/>
        </w:rPr>
        <w:t>附件4：</w:t>
      </w:r>
      <w:bookmarkEnd w:id="1751"/>
      <w:bookmarkEnd w:id="1752"/>
      <w:r>
        <w:rPr>
          <w:rFonts w:hint="eastAsia" w:ascii="宋体" w:hAnsi="宋体" w:eastAsia="宋体" w:cs="宋体"/>
          <w:highlight w:val="none"/>
        </w:rPr>
        <w:t>安全生产协议书</w:t>
      </w:r>
      <w:bookmarkEnd w:id="1753"/>
      <w:bookmarkEnd w:id="1754"/>
      <w:bookmarkEnd w:id="1755"/>
      <w:bookmarkEnd w:id="1756"/>
      <w:bookmarkEnd w:id="1757"/>
    </w:p>
    <w:p w14:paraId="4EFDC9A7">
      <w:pPr>
        <w:ind w:right="-733" w:rightChars="-349"/>
        <w:jc w:val="center"/>
        <w:rPr>
          <w:rFonts w:ascii="宋体" w:hAnsi="宋体" w:cs="宋体"/>
          <w:b/>
          <w:sz w:val="28"/>
          <w:szCs w:val="28"/>
          <w:highlight w:val="none"/>
        </w:rPr>
      </w:pPr>
      <w:r>
        <w:rPr>
          <w:rFonts w:hint="eastAsia" w:ascii="宋体" w:hAnsi="宋体" w:cs="宋体"/>
          <w:b/>
          <w:sz w:val="28"/>
          <w:szCs w:val="28"/>
          <w:highlight w:val="none"/>
        </w:rPr>
        <w:t>安全生产协议书</w:t>
      </w:r>
    </w:p>
    <w:p w14:paraId="15A403D4">
      <w:pPr>
        <w:ind w:right="-733" w:rightChars="-349"/>
        <w:jc w:val="center"/>
        <w:rPr>
          <w:rFonts w:ascii="宋体" w:hAnsi="宋体" w:cs="宋体"/>
          <w:b/>
          <w:sz w:val="24"/>
          <w:highlight w:val="none"/>
        </w:rPr>
      </w:pPr>
    </w:p>
    <w:p w14:paraId="20AF7D0B">
      <w:pPr>
        <w:spacing w:line="360" w:lineRule="auto"/>
        <w:ind w:firstLine="420" w:firstLineChars="200"/>
        <w:rPr>
          <w:rFonts w:hint="eastAsia" w:ascii="宋体" w:hAnsi="宋体" w:eastAsia="宋体" w:cs="宋体"/>
          <w:color w:val="auto"/>
          <w:highlight w:val="none"/>
        </w:rPr>
      </w:pPr>
      <w:bookmarkStart w:id="1758" w:name="_Toc28346"/>
      <w:r>
        <w:rPr>
          <w:rFonts w:hint="eastAsia" w:ascii="宋体" w:hAnsi="宋体" w:eastAsia="宋体" w:cs="宋体"/>
          <w:color w:val="auto"/>
          <w:highlight w:val="none"/>
        </w:rPr>
        <w:t>甲方（全称）：</w:t>
      </w:r>
      <w:r>
        <w:rPr>
          <w:rFonts w:hint="eastAsia" w:ascii="宋体" w:hAnsi="宋体" w:eastAsia="宋体" w:cs="宋体"/>
          <w:color w:val="auto"/>
          <w:highlight w:val="none"/>
          <w:u w:val="single"/>
          <w:lang w:eastAsia="zh-CN"/>
        </w:rPr>
        <w:t>南通轨道交通集团有限公司</w:t>
      </w:r>
      <w:r>
        <w:rPr>
          <w:rFonts w:hint="eastAsia" w:ascii="宋体" w:hAnsi="宋体" w:eastAsia="宋体" w:cs="宋体"/>
          <w:color w:val="auto"/>
          <w:highlight w:val="none"/>
          <w:u w:val="single"/>
        </w:rPr>
        <w:t>（以下简称甲方）</w:t>
      </w:r>
    </w:p>
    <w:p w14:paraId="09D1BB0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乙方（全称）：</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u w:val="single"/>
        </w:rPr>
        <w:t>（以下简称乙方）</w:t>
      </w:r>
    </w:p>
    <w:p w14:paraId="3DA455E7">
      <w:pPr>
        <w:spacing w:line="360" w:lineRule="auto"/>
        <w:rPr>
          <w:rFonts w:hint="eastAsia" w:ascii="宋体" w:hAnsi="宋体" w:eastAsia="宋体" w:cs="宋体"/>
          <w:color w:val="auto"/>
          <w:sz w:val="24"/>
          <w:highlight w:val="none"/>
        </w:rPr>
      </w:pPr>
    </w:p>
    <w:p w14:paraId="734D81D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为贯彻“安全第一、预防为主、综合治理”的方针，确保工程的施工安全，依照国家、江苏省及南通市的有关法规和政策，甲、乙双方经充分协商,特签订本安全生产协议书。</w:t>
      </w:r>
    </w:p>
    <w:p w14:paraId="047CDBB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一、本安全生产协议书作为</w:t>
      </w:r>
      <w:r>
        <w:rPr>
          <w:rFonts w:hint="eastAsia" w:ascii="宋体" w:hAnsi="宋体" w:eastAsia="宋体" w:cs="宋体"/>
          <w:color w:val="auto"/>
          <w:highlight w:val="none"/>
          <w:u w:val="single"/>
          <w:lang w:eastAsia="zh-CN"/>
        </w:rPr>
        <w:t>南通轨道交通部分站点非机动车换乘停车优化改造施工项目（第1批次）</w:t>
      </w:r>
      <w:r>
        <w:rPr>
          <w:rFonts w:hint="eastAsia" w:ascii="宋体" w:hAnsi="宋体" w:eastAsia="宋体" w:cs="宋体"/>
          <w:color w:val="auto"/>
          <w:highlight w:val="none"/>
        </w:rPr>
        <w:t>合同的附件，与该合同具有同等效力。</w:t>
      </w:r>
    </w:p>
    <w:p w14:paraId="3F25357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二、乙方严格遵守并贯彻执行国家安全生产的法律法规和方针政策，把安全生产纳入本单位经济发展的总体规划和年度计划，依法履行安全生产主体责任，主要负责人对本单位的安全生产工作全面负责。乙方的法定代表人、项目负责人、安全生产负责人、工地的现场安全员应对本工程安全生产工作各负其责。法人代表作为安全生产管理的第一责任人，明确具体的分管领导联系南通轨道交通工程项目。</w:t>
      </w:r>
    </w:p>
    <w:p w14:paraId="1EAEA06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三、根据南通市建设工程安全文明施工管理有关要求，甲方有权审查乙方安全管理体制是否符合政府及有关主管部门的规定，有权向乙方提出安全施工的要求以及进行日常施工现场的督促检查。</w:t>
      </w:r>
    </w:p>
    <w:p w14:paraId="4BE1F93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四、乙方在承包工程施工中，必须根据设计图纸和施工规范，针对工程特点编制施工组织设计和落实相应的安全措施，健全安全管理体制，组织有关安全知识学习、安全教育等活动，建立各项安全操作规程、安全生产责任制和安全检查制度。乙方单位法定代表人（或授权代表）每季至少召开一次南通轨道交通建设项目安全生产工作会议，主要领导每月至少召开一次安全生产会议。乙方对所有下基坑和隧道的人员必须实行挂牌登记，同时做好统计和点名。</w:t>
      </w:r>
    </w:p>
    <w:p w14:paraId="65CFB38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五、乙方在施工中要认真执行南通市和甲方对工地安全管理的有关规定，甲方将上述各项标准作为施工过程中安全检查和安全奖惩的依据。</w:t>
      </w:r>
    </w:p>
    <w:p w14:paraId="511BF94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六、乙方施工人员中的电工、焊工、等特殊工种必须按国家《特种作业人员安全技术培训考核管理办法》持有有效操作证件上岗，严禁无证、违章操作；施工机具中的受压容器、电气设备必须具有符合安全要求的保护设施。</w:t>
      </w:r>
    </w:p>
    <w:p w14:paraId="61B0104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七、乙方在施工过程中，必须注意对其他专业成品的保护。（如果由于施工原因）在施工过程中造成的损坏，由乙方承担全部责任。</w:t>
      </w:r>
    </w:p>
    <w:p w14:paraId="42D36BF0">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八、乙方在施工过程中，应认真组织审核甲方下发的施工图纸，并严格按审核后的施工图纸及相应的国家有关标准施工，不允许随意改变施工工艺和方法，否则出现的任何施工质量和安全问题都将由乙方承担全部法律责任。</w:t>
      </w:r>
    </w:p>
    <w:p w14:paraId="3760EB9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九、若在施工过程中发生人员伤亡（含刑事案件）、火灾、爆炸等事故，乙方必须立即按有关规定及时上报甲方及政府主管部门，事故责任以及损失赔偿按有关规定执行。</w:t>
      </w:r>
    </w:p>
    <w:p w14:paraId="24FDCB8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十、乙方对施工现场的安全生产负总责，对分包工程的安全生产承担连带责任。</w:t>
      </w:r>
    </w:p>
    <w:p w14:paraId="7034DB90">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十一、乙方在合同签订之后，应尽快自觉配合甲方到有关部门办理开工报告手续。</w:t>
      </w:r>
    </w:p>
    <w:p w14:paraId="4305288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十二、切实加强重大危险源监测预警，依法登记建档，进行定期检测、评估、监控，并制定应急预案，建立应急救援体系，每半年至少开展一次应急演练。正确使用安全生产电子管理台账，按要求及时更新企业信息。</w:t>
      </w:r>
    </w:p>
    <w:p w14:paraId="43307F7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十三、甲、乙双方严格执行《建设工程安全生产管理条例》有关责任规定。</w:t>
      </w:r>
    </w:p>
    <w:p w14:paraId="3642214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十四、本协议未尽事宜，依据有关法规、规章处理，法规、规章没有明确规定的，经双方协商处理解决。</w:t>
      </w:r>
    </w:p>
    <w:p w14:paraId="125C4A7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十五、本协议自签订之日起生效。</w:t>
      </w:r>
    </w:p>
    <w:p w14:paraId="6E888EEA">
      <w:pPr>
        <w:spacing w:line="360" w:lineRule="auto"/>
        <w:ind w:firstLine="420" w:firstLineChars="200"/>
        <w:rPr>
          <w:rFonts w:hint="eastAsia" w:ascii="宋体" w:hAnsi="宋体" w:eastAsia="宋体" w:cs="宋体"/>
          <w:color w:val="auto"/>
          <w:highlight w:val="none"/>
        </w:rPr>
      </w:pPr>
    </w:p>
    <w:p w14:paraId="3BA7823F">
      <w:pPr>
        <w:spacing w:line="360" w:lineRule="auto"/>
        <w:ind w:firstLine="420" w:firstLineChars="200"/>
        <w:rPr>
          <w:rFonts w:hint="eastAsia" w:ascii="宋体" w:hAnsi="宋体" w:eastAsia="宋体" w:cs="宋体"/>
          <w:color w:val="auto"/>
          <w:highlight w:val="none"/>
        </w:rPr>
      </w:pPr>
    </w:p>
    <w:p w14:paraId="43E226F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甲方：（盖章）                         乙方：（盖章）</w:t>
      </w:r>
    </w:p>
    <w:p w14:paraId="556057CE">
      <w:pPr>
        <w:spacing w:line="360" w:lineRule="auto"/>
        <w:ind w:firstLine="420" w:firstLineChars="200"/>
        <w:rPr>
          <w:rFonts w:hint="eastAsia" w:ascii="宋体" w:hAnsi="宋体" w:eastAsia="宋体" w:cs="宋体"/>
          <w:color w:val="auto"/>
          <w:highlight w:val="none"/>
        </w:rPr>
      </w:pPr>
    </w:p>
    <w:p w14:paraId="74A2417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法定代表人                             法定代表人</w:t>
      </w:r>
    </w:p>
    <w:p w14:paraId="1B28485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或其授权代理人：                       或其授权代理人：</w:t>
      </w:r>
    </w:p>
    <w:p w14:paraId="5766B0EB">
      <w:pPr>
        <w:spacing w:before="156" w:beforeLines="50" w:after="156" w:afterLines="50"/>
        <w:outlineLvl w:val="0"/>
        <w:rPr>
          <w:rFonts w:ascii="宋体" w:hAnsi="宋体" w:cs="宋体"/>
          <w:highlight w:val="none"/>
        </w:rPr>
      </w:pPr>
      <w:r>
        <w:rPr>
          <w:rFonts w:hint="eastAsia" w:ascii="宋体" w:hAnsi="宋体" w:cs="宋体"/>
          <w:highlight w:val="none"/>
        </w:rPr>
        <w:br w:type="page"/>
      </w:r>
      <w:bookmarkEnd w:id="1758"/>
      <w:bookmarkStart w:id="1759" w:name="_Toc25742"/>
      <w:bookmarkStart w:id="1760" w:name="_Toc15559"/>
      <w:bookmarkStart w:id="1761" w:name="_Toc21834"/>
      <w:bookmarkStart w:id="1762" w:name="_Toc69909993"/>
      <w:bookmarkStart w:id="1763" w:name="_Toc69891503"/>
      <w:bookmarkStart w:id="1764" w:name="_Toc2619"/>
      <w:bookmarkStart w:id="1765" w:name="_Toc11019"/>
      <w:bookmarkStart w:id="1766" w:name="_Toc15279"/>
      <w:r>
        <w:rPr>
          <w:rFonts w:hint="eastAsia" w:ascii="宋体" w:hAnsi="宋体" w:cs="宋体"/>
          <w:highlight w:val="none"/>
        </w:rPr>
        <w:t>附</w:t>
      </w:r>
      <w:bookmarkStart w:id="1767" w:name="_Toc296347226"/>
      <w:bookmarkStart w:id="1768" w:name="_Toc296503227"/>
      <w:bookmarkStart w:id="1769" w:name="_Toc296891055"/>
      <w:bookmarkStart w:id="1770" w:name="_Toc296891267"/>
      <w:bookmarkStart w:id="1771" w:name="_Toc296944566"/>
      <w:bookmarkStart w:id="1772" w:name="_Toc267261698"/>
      <w:bookmarkStart w:id="1773" w:name="_Toc296346728"/>
      <w:r>
        <w:rPr>
          <w:rFonts w:hint="eastAsia" w:ascii="宋体" w:hAnsi="宋体" w:cs="宋体"/>
          <w:highlight w:val="none"/>
        </w:rPr>
        <w:t>件</w:t>
      </w:r>
      <w:r>
        <w:rPr>
          <w:rFonts w:hint="eastAsia" w:ascii="宋体" w:hAnsi="宋体" w:cs="宋体"/>
          <w:highlight w:val="none"/>
          <w:lang w:val="en-US" w:eastAsia="zh-CN"/>
        </w:rPr>
        <w:t>5</w:t>
      </w:r>
      <w:r>
        <w:rPr>
          <w:rFonts w:hint="eastAsia" w:ascii="宋体" w:hAnsi="宋体" w:cs="宋体"/>
          <w:highlight w:val="none"/>
        </w:rPr>
        <w:t>：</w:t>
      </w:r>
      <w:bookmarkEnd w:id="1759"/>
      <w:bookmarkEnd w:id="1760"/>
      <w:r>
        <w:rPr>
          <w:rFonts w:hint="eastAsia" w:ascii="宋体" w:hAnsi="宋体" w:cs="宋体"/>
          <w:highlight w:val="none"/>
        </w:rPr>
        <w:t>承包人用于本工程施工的机械设备表</w:t>
      </w:r>
      <w:bookmarkEnd w:id="1761"/>
      <w:bookmarkEnd w:id="1762"/>
      <w:bookmarkEnd w:id="1763"/>
      <w:bookmarkEnd w:id="1764"/>
      <w:bookmarkEnd w:id="1765"/>
      <w:bookmarkEnd w:id="1766"/>
    </w:p>
    <w:bookmarkEnd w:id="1767"/>
    <w:bookmarkEnd w:id="1768"/>
    <w:bookmarkEnd w:id="1769"/>
    <w:bookmarkEnd w:id="1770"/>
    <w:bookmarkEnd w:id="1771"/>
    <w:bookmarkEnd w:id="1772"/>
    <w:bookmarkEnd w:id="1773"/>
    <w:p w14:paraId="3DAB531B">
      <w:pPr>
        <w:jc w:val="center"/>
        <w:rPr>
          <w:rFonts w:ascii="宋体" w:hAnsi="宋体" w:cs="宋体"/>
          <w:b/>
          <w:sz w:val="30"/>
          <w:szCs w:val="30"/>
          <w:highlight w:val="none"/>
        </w:rPr>
      </w:pPr>
      <w:bookmarkStart w:id="1774" w:name="_Toc26262"/>
      <w:r>
        <w:rPr>
          <w:rFonts w:hint="eastAsia" w:ascii="宋体" w:hAnsi="宋体" w:cs="宋体"/>
          <w:b/>
          <w:sz w:val="30"/>
          <w:szCs w:val="30"/>
          <w:highlight w:val="none"/>
        </w:rPr>
        <w:t>承包人用于本工程施工的机械设备表</w:t>
      </w:r>
      <w:bookmarkEnd w:id="1774"/>
    </w:p>
    <w:tbl>
      <w:tblPr>
        <w:tblStyle w:val="22"/>
        <w:tblW w:w="9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
        <w:gridCol w:w="1336"/>
        <w:gridCol w:w="1321"/>
        <w:gridCol w:w="590"/>
        <w:gridCol w:w="850"/>
        <w:gridCol w:w="920"/>
        <w:gridCol w:w="1065"/>
        <w:gridCol w:w="708"/>
        <w:gridCol w:w="1276"/>
        <w:gridCol w:w="1112"/>
      </w:tblGrid>
      <w:tr w14:paraId="0587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blHeader/>
          <w:jc w:val="center"/>
        </w:trPr>
        <w:tc>
          <w:tcPr>
            <w:tcW w:w="499" w:type="dxa"/>
            <w:noWrap w:val="0"/>
            <w:vAlign w:val="center"/>
          </w:tcPr>
          <w:p w14:paraId="5FFBA839">
            <w:pPr>
              <w:jc w:val="center"/>
              <w:rPr>
                <w:rFonts w:ascii="宋体" w:hAnsi="宋体"/>
                <w:b/>
                <w:bCs/>
                <w:highlight w:val="none"/>
              </w:rPr>
            </w:pPr>
            <w:r>
              <w:rPr>
                <w:rFonts w:hint="eastAsia" w:ascii="宋体" w:hAnsi="宋体"/>
                <w:b/>
                <w:bCs/>
                <w:highlight w:val="none"/>
              </w:rPr>
              <w:t>序号</w:t>
            </w:r>
          </w:p>
        </w:tc>
        <w:tc>
          <w:tcPr>
            <w:tcW w:w="1336" w:type="dxa"/>
            <w:noWrap w:val="0"/>
            <w:vAlign w:val="center"/>
          </w:tcPr>
          <w:p w14:paraId="42815BC3">
            <w:pPr>
              <w:jc w:val="center"/>
              <w:rPr>
                <w:rFonts w:ascii="宋体" w:hAnsi="宋体"/>
                <w:b/>
                <w:bCs/>
                <w:highlight w:val="none"/>
              </w:rPr>
            </w:pPr>
            <w:r>
              <w:rPr>
                <w:rFonts w:hint="eastAsia" w:ascii="宋体" w:hAnsi="宋体"/>
                <w:b/>
                <w:bCs/>
                <w:highlight w:val="none"/>
              </w:rPr>
              <w:t>设备名称</w:t>
            </w:r>
          </w:p>
        </w:tc>
        <w:tc>
          <w:tcPr>
            <w:tcW w:w="1321" w:type="dxa"/>
            <w:noWrap w:val="0"/>
            <w:vAlign w:val="center"/>
          </w:tcPr>
          <w:p w14:paraId="262552C0">
            <w:pPr>
              <w:jc w:val="center"/>
              <w:rPr>
                <w:rFonts w:ascii="宋体" w:hAnsi="宋体"/>
                <w:b/>
                <w:bCs/>
                <w:highlight w:val="none"/>
              </w:rPr>
            </w:pPr>
            <w:r>
              <w:rPr>
                <w:rFonts w:hint="eastAsia" w:ascii="宋体" w:hAnsi="宋体"/>
                <w:b/>
                <w:bCs/>
                <w:highlight w:val="none"/>
              </w:rPr>
              <w:t>型号</w:t>
            </w:r>
          </w:p>
          <w:p w14:paraId="3CB1B0E3">
            <w:pPr>
              <w:jc w:val="center"/>
              <w:rPr>
                <w:rFonts w:ascii="宋体" w:hAnsi="宋体"/>
                <w:b/>
                <w:bCs/>
                <w:highlight w:val="none"/>
              </w:rPr>
            </w:pPr>
            <w:r>
              <w:rPr>
                <w:rFonts w:hint="eastAsia" w:ascii="宋体" w:hAnsi="宋体"/>
                <w:b/>
                <w:bCs/>
                <w:highlight w:val="none"/>
              </w:rPr>
              <w:t>规格</w:t>
            </w:r>
          </w:p>
        </w:tc>
        <w:tc>
          <w:tcPr>
            <w:tcW w:w="590" w:type="dxa"/>
            <w:noWrap w:val="0"/>
            <w:vAlign w:val="center"/>
          </w:tcPr>
          <w:p w14:paraId="6376708B">
            <w:pPr>
              <w:jc w:val="center"/>
              <w:rPr>
                <w:rFonts w:ascii="宋体" w:hAnsi="宋体"/>
                <w:b/>
                <w:bCs/>
                <w:highlight w:val="none"/>
              </w:rPr>
            </w:pPr>
            <w:r>
              <w:rPr>
                <w:rFonts w:hint="eastAsia" w:ascii="宋体" w:hAnsi="宋体"/>
                <w:b/>
                <w:bCs/>
                <w:highlight w:val="none"/>
              </w:rPr>
              <w:t>数量</w:t>
            </w:r>
          </w:p>
        </w:tc>
        <w:tc>
          <w:tcPr>
            <w:tcW w:w="850" w:type="dxa"/>
            <w:noWrap w:val="0"/>
            <w:vAlign w:val="center"/>
          </w:tcPr>
          <w:p w14:paraId="68F4EA09">
            <w:pPr>
              <w:jc w:val="center"/>
              <w:rPr>
                <w:rFonts w:ascii="宋体" w:hAnsi="宋体"/>
                <w:b/>
                <w:bCs/>
                <w:highlight w:val="none"/>
              </w:rPr>
            </w:pPr>
            <w:r>
              <w:rPr>
                <w:rFonts w:hint="eastAsia" w:ascii="宋体" w:hAnsi="宋体"/>
                <w:b/>
                <w:bCs/>
                <w:highlight w:val="none"/>
              </w:rPr>
              <w:t>国别</w:t>
            </w:r>
          </w:p>
          <w:p w14:paraId="5F29F564">
            <w:pPr>
              <w:jc w:val="center"/>
              <w:rPr>
                <w:rFonts w:ascii="宋体" w:hAnsi="宋体"/>
                <w:b/>
                <w:bCs/>
                <w:highlight w:val="none"/>
              </w:rPr>
            </w:pPr>
            <w:r>
              <w:rPr>
                <w:rFonts w:hint="eastAsia" w:ascii="宋体" w:hAnsi="宋体"/>
                <w:b/>
                <w:bCs/>
                <w:highlight w:val="none"/>
              </w:rPr>
              <w:t>产地</w:t>
            </w:r>
          </w:p>
        </w:tc>
        <w:tc>
          <w:tcPr>
            <w:tcW w:w="920" w:type="dxa"/>
            <w:noWrap w:val="0"/>
            <w:vAlign w:val="center"/>
          </w:tcPr>
          <w:p w14:paraId="103D6ACA">
            <w:pPr>
              <w:jc w:val="center"/>
              <w:rPr>
                <w:rFonts w:ascii="宋体" w:hAnsi="宋体"/>
                <w:b/>
                <w:bCs/>
                <w:highlight w:val="none"/>
              </w:rPr>
            </w:pPr>
            <w:r>
              <w:rPr>
                <w:rFonts w:hint="eastAsia" w:ascii="宋体" w:hAnsi="宋体"/>
                <w:b/>
                <w:bCs/>
                <w:highlight w:val="none"/>
              </w:rPr>
              <w:t>制造</w:t>
            </w:r>
          </w:p>
          <w:p w14:paraId="7206860F">
            <w:pPr>
              <w:jc w:val="center"/>
              <w:rPr>
                <w:rFonts w:ascii="宋体" w:hAnsi="宋体"/>
                <w:b/>
                <w:bCs/>
                <w:highlight w:val="none"/>
              </w:rPr>
            </w:pPr>
            <w:r>
              <w:rPr>
                <w:rFonts w:hint="eastAsia" w:ascii="宋体" w:hAnsi="宋体"/>
                <w:b/>
                <w:bCs/>
                <w:highlight w:val="none"/>
              </w:rPr>
              <w:t>年份</w:t>
            </w:r>
          </w:p>
        </w:tc>
        <w:tc>
          <w:tcPr>
            <w:tcW w:w="1065" w:type="dxa"/>
            <w:noWrap w:val="0"/>
            <w:vAlign w:val="center"/>
          </w:tcPr>
          <w:p w14:paraId="43F05D92">
            <w:pPr>
              <w:jc w:val="center"/>
              <w:rPr>
                <w:rFonts w:ascii="宋体" w:hAnsi="宋体"/>
                <w:b/>
                <w:bCs/>
                <w:highlight w:val="none"/>
              </w:rPr>
            </w:pPr>
            <w:r>
              <w:rPr>
                <w:rFonts w:hint="eastAsia" w:ascii="宋体" w:hAnsi="宋体"/>
                <w:b/>
                <w:bCs/>
                <w:highlight w:val="none"/>
              </w:rPr>
              <w:t>额定功率</w:t>
            </w:r>
          </w:p>
          <w:p w14:paraId="1F5ACDEC">
            <w:pPr>
              <w:jc w:val="center"/>
              <w:rPr>
                <w:rFonts w:ascii="宋体" w:hAnsi="宋体"/>
                <w:b/>
                <w:bCs/>
                <w:highlight w:val="none"/>
              </w:rPr>
            </w:pPr>
            <w:r>
              <w:rPr>
                <w:rFonts w:hint="eastAsia" w:ascii="宋体" w:hAnsi="宋体"/>
                <w:b/>
                <w:bCs/>
                <w:highlight w:val="none"/>
              </w:rPr>
              <w:t>（KW）</w:t>
            </w:r>
          </w:p>
        </w:tc>
        <w:tc>
          <w:tcPr>
            <w:tcW w:w="708" w:type="dxa"/>
            <w:noWrap w:val="0"/>
            <w:vAlign w:val="center"/>
          </w:tcPr>
          <w:p w14:paraId="09D2B0CF">
            <w:pPr>
              <w:jc w:val="center"/>
              <w:rPr>
                <w:rFonts w:ascii="宋体" w:hAnsi="宋体"/>
                <w:b/>
                <w:bCs/>
                <w:highlight w:val="none"/>
              </w:rPr>
            </w:pPr>
            <w:r>
              <w:rPr>
                <w:rFonts w:hint="eastAsia" w:ascii="宋体" w:hAnsi="宋体"/>
                <w:b/>
                <w:bCs/>
                <w:highlight w:val="none"/>
              </w:rPr>
              <w:t>生产</w:t>
            </w:r>
          </w:p>
          <w:p w14:paraId="1F7A9E6E">
            <w:pPr>
              <w:jc w:val="center"/>
              <w:rPr>
                <w:rFonts w:ascii="宋体" w:hAnsi="宋体"/>
                <w:b/>
                <w:bCs/>
                <w:highlight w:val="none"/>
              </w:rPr>
            </w:pPr>
            <w:r>
              <w:rPr>
                <w:rFonts w:hint="eastAsia" w:ascii="宋体" w:hAnsi="宋体"/>
                <w:b/>
                <w:bCs/>
                <w:highlight w:val="none"/>
              </w:rPr>
              <w:t>能力</w:t>
            </w:r>
          </w:p>
        </w:tc>
        <w:tc>
          <w:tcPr>
            <w:tcW w:w="1276" w:type="dxa"/>
            <w:noWrap w:val="0"/>
            <w:vAlign w:val="center"/>
          </w:tcPr>
          <w:p w14:paraId="5CC81864">
            <w:pPr>
              <w:jc w:val="center"/>
              <w:rPr>
                <w:rFonts w:ascii="宋体" w:hAnsi="宋体"/>
                <w:b/>
                <w:bCs/>
                <w:highlight w:val="none"/>
              </w:rPr>
            </w:pPr>
            <w:r>
              <w:rPr>
                <w:rFonts w:hint="eastAsia" w:ascii="宋体" w:hAnsi="宋体"/>
                <w:b/>
                <w:bCs/>
                <w:highlight w:val="none"/>
              </w:rPr>
              <w:t>用于施</w:t>
            </w:r>
          </w:p>
          <w:p w14:paraId="7B42C3B8">
            <w:pPr>
              <w:jc w:val="center"/>
              <w:rPr>
                <w:rFonts w:ascii="宋体" w:hAnsi="宋体"/>
                <w:b/>
                <w:bCs/>
                <w:highlight w:val="none"/>
              </w:rPr>
            </w:pPr>
            <w:r>
              <w:rPr>
                <w:rFonts w:hint="eastAsia" w:ascii="宋体" w:hAnsi="宋体"/>
                <w:b/>
                <w:bCs/>
                <w:highlight w:val="none"/>
              </w:rPr>
              <w:t>工部位</w:t>
            </w:r>
          </w:p>
        </w:tc>
        <w:tc>
          <w:tcPr>
            <w:tcW w:w="1112" w:type="dxa"/>
            <w:noWrap w:val="0"/>
            <w:vAlign w:val="center"/>
          </w:tcPr>
          <w:p w14:paraId="42F4374E">
            <w:pPr>
              <w:jc w:val="center"/>
              <w:rPr>
                <w:rFonts w:ascii="宋体" w:hAnsi="宋体"/>
                <w:b/>
                <w:bCs/>
                <w:highlight w:val="none"/>
              </w:rPr>
            </w:pPr>
            <w:r>
              <w:rPr>
                <w:rFonts w:hint="eastAsia" w:ascii="宋体" w:hAnsi="宋体"/>
                <w:b/>
                <w:bCs/>
                <w:highlight w:val="none"/>
              </w:rPr>
              <w:t>备注</w:t>
            </w:r>
          </w:p>
        </w:tc>
      </w:tr>
      <w:tr w14:paraId="5445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22B1D0F3">
            <w:pPr>
              <w:jc w:val="center"/>
              <w:rPr>
                <w:rFonts w:ascii="宋体" w:hAnsi="宋体"/>
                <w:bCs/>
                <w:highlight w:val="none"/>
              </w:rPr>
            </w:pPr>
          </w:p>
        </w:tc>
        <w:tc>
          <w:tcPr>
            <w:tcW w:w="1336" w:type="dxa"/>
            <w:noWrap w:val="0"/>
            <w:vAlign w:val="center"/>
          </w:tcPr>
          <w:p w14:paraId="4ED08E62">
            <w:pPr>
              <w:jc w:val="center"/>
              <w:rPr>
                <w:rFonts w:ascii="宋体" w:hAnsi="宋体"/>
                <w:bCs/>
                <w:highlight w:val="none"/>
              </w:rPr>
            </w:pPr>
          </w:p>
        </w:tc>
        <w:tc>
          <w:tcPr>
            <w:tcW w:w="1321" w:type="dxa"/>
            <w:noWrap w:val="0"/>
            <w:vAlign w:val="center"/>
          </w:tcPr>
          <w:p w14:paraId="106C3F01">
            <w:pPr>
              <w:jc w:val="center"/>
              <w:rPr>
                <w:rFonts w:ascii="宋体" w:hAnsi="宋体"/>
                <w:bCs/>
                <w:highlight w:val="none"/>
              </w:rPr>
            </w:pPr>
          </w:p>
        </w:tc>
        <w:tc>
          <w:tcPr>
            <w:tcW w:w="590" w:type="dxa"/>
            <w:noWrap w:val="0"/>
            <w:vAlign w:val="center"/>
          </w:tcPr>
          <w:p w14:paraId="063B3A42">
            <w:pPr>
              <w:jc w:val="center"/>
              <w:rPr>
                <w:rFonts w:ascii="宋体" w:hAnsi="宋体"/>
                <w:bCs/>
                <w:highlight w:val="none"/>
              </w:rPr>
            </w:pPr>
          </w:p>
        </w:tc>
        <w:tc>
          <w:tcPr>
            <w:tcW w:w="850" w:type="dxa"/>
            <w:noWrap w:val="0"/>
            <w:vAlign w:val="center"/>
          </w:tcPr>
          <w:p w14:paraId="7CE01A92">
            <w:pPr>
              <w:jc w:val="center"/>
              <w:rPr>
                <w:rFonts w:ascii="宋体" w:hAnsi="宋体"/>
                <w:bCs/>
                <w:highlight w:val="none"/>
              </w:rPr>
            </w:pPr>
          </w:p>
        </w:tc>
        <w:tc>
          <w:tcPr>
            <w:tcW w:w="920" w:type="dxa"/>
            <w:noWrap w:val="0"/>
            <w:vAlign w:val="center"/>
          </w:tcPr>
          <w:p w14:paraId="5257335D">
            <w:pPr>
              <w:jc w:val="center"/>
              <w:rPr>
                <w:rFonts w:ascii="宋体" w:hAnsi="宋体"/>
                <w:bCs/>
                <w:highlight w:val="none"/>
              </w:rPr>
            </w:pPr>
          </w:p>
        </w:tc>
        <w:tc>
          <w:tcPr>
            <w:tcW w:w="1065" w:type="dxa"/>
            <w:noWrap w:val="0"/>
            <w:vAlign w:val="center"/>
          </w:tcPr>
          <w:p w14:paraId="7398F8F9">
            <w:pPr>
              <w:jc w:val="center"/>
              <w:rPr>
                <w:rFonts w:ascii="宋体" w:hAnsi="宋体"/>
                <w:bCs/>
                <w:highlight w:val="none"/>
              </w:rPr>
            </w:pPr>
          </w:p>
        </w:tc>
        <w:tc>
          <w:tcPr>
            <w:tcW w:w="708" w:type="dxa"/>
            <w:noWrap w:val="0"/>
            <w:vAlign w:val="center"/>
          </w:tcPr>
          <w:p w14:paraId="382E9D4C">
            <w:pPr>
              <w:jc w:val="center"/>
              <w:rPr>
                <w:rFonts w:ascii="宋体" w:hAnsi="宋体"/>
                <w:bCs/>
                <w:highlight w:val="none"/>
              </w:rPr>
            </w:pPr>
          </w:p>
        </w:tc>
        <w:tc>
          <w:tcPr>
            <w:tcW w:w="1276" w:type="dxa"/>
            <w:noWrap w:val="0"/>
            <w:vAlign w:val="center"/>
          </w:tcPr>
          <w:p w14:paraId="5384F59B">
            <w:pPr>
              <w:jc w:val="center"/>
              <w:rPr>
                <w:rFonts w:ascii="宋体" w:hAnsi="宋体"/>
                <w:bCs/>
                <w:highlight w:val="none"/>
              </w:rPr>
            </w:pPr>
          </w:p>
        </w:tc>
        <w:tc>
          <w:tcPr>
            <w:tcW w:w="1112" w:type="dxa"/>
            <w:noWrap w:val="0"/>
            <w:vAlign w:val="center"/>
          </w:tcPr>
          <w:p w14:paraId="62966EAB">
            <w:pPr>
              <w:jc w:val="center"/>
              <w:rPr>
                <w:rFonts w:ascii="宋体" w:hAnsi="宋体"/>
                <w:bCs/>
                <w:highlight w:val="none"/>
              </w:rPr>
            </w:pPr>
          </w:p>
        </w:tc>
      </w:tr>
      <w:tr w14:paraId="2FF1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5886346D">
            <w:pPr>
              <w:jc w:val="center"/>
              <w:rPr>
                <w:rFonts w:ascii="宋体" w:hAnsi="宋体"/>
                <w:bCs/>
                <w:highlight w:val="none"/>
              </w:rPr>
            </w:pPr>
          </w:p>
        </w:tc>
        <w:tc>
          <w:tcPr>
            <w:tcW w:w="1336" w:type="dxa"/>
            <w:noWrap w:val="0"/>
            <w:vAlign w:val="center"/>
          </w:tcPr>
          <w:p w14:paraId="67E62DD5">
            <w:pPr>
              <w:jc w:val="center"/>
              <w:rPr>
                <w:rFonts w:ascii="宋体" w:hAnsi="宋体"/>
                <w:bCs/>
                <w:highlight w:val="none"/>
              </w:rPr>
            </w:pPr>
          </w:p>
        </w:tc>
        <w:tc>
          <w:tcPr>
            <w:tcW w:w="1321" w:type="dxa"/>
            <w:noWrap w:val="0"/>
            <w:vAlign w:val="center"/>
          </w:tcPr>
          <w:p w14:paraId="093F5CF7">
            <w:pPr>
              <w:jc w:val="center"/>
              <w:rPr>
                <w:rFonts w:ascii="宋体" w:hAnsi="宋体"/>
                <w:bCs/>
                <w:highlight w:val="none"/>
              </w:rPr>
            </w:pPr>
          </w:p>
        </w:tc>
        <w:tc>
          <w:tcPr>
            <w:tcW w:w="590" w:type="dxa"/>
            <w:noWrap w:val="0"/>
            <w:vAlign w:val="center"/>
          </w:tcPr>
          <w:p w14:paraId="591C0D1B">
            <w:pPr>
              <w:jc w:val="center"/>
              <w:rPr>
                <w:rFonts w:ascii="宋体" w:hAnsi="宋体"/>
                <w:bCs/>
                <w:highlight w:val="none"/>
              </w:rPr>
            </w:pPr>
          </w:p>
        </w:tc>
        <w:tc>
          <w:tcPr>
            <w:tcW w:w="850" w:type="dxa"/>
            <w:noWrap w:val="0"/>
            <w:vAlign w:val="center"/>
          </w:tcPr>
          <w:p w14:paraId="09023AAC">
            <w:pPr>
              <w:jc w:val="center"/>
              <w:rPr>
                <w:rFonts w:ascii="宋体" w:hAnsi="宋体"/>
                <w:bCs/>
                <w:highlight w:val="none"/>
              </w:rPr>
            </w:pPr>
          </w:p>
        </w:tc>
        <w:tc>
          <w:tcPr>
            <w:tcW w:w="920" w:type="dxa"/>
            <w:noWrap w:val="0"/>
            <w:vAlign w:val="center"/>
          </w:tcPr>
          <w:p w14:paraId="50498BD5">
            <w:pPr>
              <w:jc w:val="center"/>
              <w:rPr>
                <w:rFonts w:ascii="宋体" w:hAnsi="宋体"/>
                <w:bCs/>
                <w:highlight w:val="none"/>
              </w:rPr>
            </w:pPr>
          </w:p>
        </w:tc>
        <w:tc>
          <w:tcPr>
            <w:tcW w:w="1065" w:type="dxa"/>
            <w:noWrap w:val="0"/>
            <w:vAlign w:val="center"/>
          </w:tcPr>
          <w:p w14:paraId="5519F233">
            <w:pPr>
              <w:jc w:val="center"/>
              <w:rPr>
                <w:rFonts w:ascii="宋体" w:hAnsi="宋体"/>
                <w:bCs/>
                <w:highlight w:val="none"/>
              </w:rPr>
            </w:pPr>
          </w:p>
        </w:tc>
        <w:tc>
          <w:tcPr>
            <w:tcW w:w="708" w:type="dxa"/>
            <w:noWrap w:val="0"/>
            <w:vAlign w:val="center"/>
          </w:tcPr>
          <w:p w14:paraId="297E08D0">
            <w:pPr>
              <w:jc w:val="center"/>
              <w:rPr>
                <w:rFonts w:ascii="宋体" w:hAnsi="宋体"/>
                <w:bCs/>
                <w:highlight w:val="none"/>
              </w:rPr>
            </w:pPr>
          </w:p>
        </w:tc>
        <w:tc>
          <w:tcPr>
            <w:tcW w:w="1276" w:type="dxa"/>
            <w:noWrap w:val="0"/>
            <w:vAlign w:val="center"/>
          </w:tcPr>
          <w:p w14:paraId="62697476">
            <w:pPr>
              <w:jc w:val="center"/>
              <w:rPr>
                <w:rFonts w:ascii="宋体" w:hAnsi="宋体"/>
                <w:bCs/>
                <w:highlight w:val="none"/>
              </w:rPr>
            </w:pPr>
          </w:p>
        </w:tc>
        <w:tc>
          <w:tcPr>
            <w:tcW w:w="1112" w:type="dxa"/>
            <w:noWrap w:val="0"/>
            <w:vAlign w:val="center"/>
          </w:tcPr>
          <w:p w14:paraId="0EF61C98">
            <w:pPr>
              <w:jc w:val="center"/>
              <w:rPr>
                <w:rFonts w:ascii="宋体" w:hAnsi="宋体"/>
                <w:bCs/>
                <w:highlight w:val="none"/>
              </w:rPr>
            </w:pPr>
          </w:p>
        </w:tc>
      </w:tr>
      <w:tr w14:paraId="1316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3E304E00">
            <w:pPr>
              <w:jc w:val="center"/>
              <w:rPr>
                <w:rFonts w:ascii="宋体" w:hAnsi="宋体"/>
                <w:bCs/>
                <w:highlight w:val="none"/>
              </w:rPr>
            </w:pPr>
          </w:p>
        </w:tc>
        <w:tc>
          <w:tcPr>
            <w:tcW w:w="1336" w:type="dxa"/>
            <w:noWrap w:val="0"/>
            <w:vAlign w:val="center"/>
          </w:tcPr>
          <w:p w14:paraId="19349542">
            <w:pPr>
              <w:jc w:val="center"/>
              <w:rPr>
                <w:rFonts w:ascii="宋体" w:hAnsi="宋体"/>
                <w:bCs/>
                <w:highlight w:val="none"/>
              </w:rPr>
            </w:pPr>
          </w:p>
        </w:tc>
        <w:tc>
          <w:tcPr>
            <w:tcW w:w="1321" w:type="dxa"/>
            <w:noWrap w:val="0"/>
            <w:vAlign w:val="center"/>
          </w:tcPr>
          <w:p w14:paraId="58856612">
            <w:pPr>
              <w:jc w:val="center"/>
              <w:rPr>
                <w:rFonts w:ascii="宋体" w:hAnsi="宋体"/>
                <w:bCs/>
                <w:highlight w:val="none"/>
              </w:rPr>
            </w:pPr>
          </w:p>
        </w:tc>
        <w:tc>
          <w:tcPr>
            <w:tcW w:w="590" w:type="dxa"/>
            <w:noWrap w:val="0"/>
            <w:vAlign w:val="center"/>
          </w:tcPr>
          <w:p w14:paraId="59731518">
            <w:pPr>
              <w:jc w:val="center"/>
              <w:rPr>
                <w:rFonts w:ascii="宋体" w:hAnsi="宋体"/>
                <w:bCs/>
                <w:highlight w:val="none"/>
              </w:rPr>
            </w:pPr>
          </w:p>
        </w:tc>
        <w:tc>
          <w:tcPr>
            <w:tcW w:w="850" w:type="dxa"/>
            <w:noWrap w:val="0"/>
            <w:vAlign w:val="center"/>
          </w:tcPr>
          <w:p w14:paraId="3DE9CE88">
            <w:pPr>
              <w:jc w:val="center"/>
              <w:rPr>
                <w:rFonts w:ascii="宋体" w:hAnsi="宋体"/>
                <w:bCs/>
                <w:highlight w:val="none"/>
              </w:rPr>
            </w:pPr>
          </w:p>
        </w:tc>
        <w:tc>
          <w:tcPr>
            <w:tcW w:w="920" w:type="dxa"/>
            <w:noWrap w:val="0"/>
            <w:vAlign w:val="center"/>
          </w:tcPr>
          <w:p w14:paraId="6550B324">
            <w:pPr>
              <w:jc w:val="center"/>
              <w:rPr>
                <w:rFonts w:ascii="宋体" w:hAnsi="宋体"/>
                <w:bCs/>
                <w:highlight w:val="none"/>
              </w:rPr>
            </w:pPr>
          </w:p>
        </w:tc>
        <w:tc>
          <w:tcPr>
            <w:tcW w:w="1065" w:type="dxa"/>
            <w:noWrap w:val="0"/>
            <w:vAlign w:val="center"/>
          </w:tcPr>
          <w:p w14:paraId="090B869C">
            <w:pPr>
              <w:jc w:val="center"/>
              <w:rPr>
                <w:rFonts w:ascii="宋体" w:hAnsi="宋体"/>
                <w:bCs/>
                <w:highlight w:val="none"/>
              </w:rPr>
            </w:pPr>
          </w:p>
        </w:tc>
        <w:tc>
          <w:tcPr>
            <w:tcW w:w="708" w:type="dxa"/>
            <w:noWrap w:val="0"/>
            <w:vAlign w:val="center"/>
          </w:tcPr>
          <w:p w14:paraId="5BA6C42A">
            <w:pPr>
              <w:jc w:val="center"/>
              <w:rPr>
                <w:rFonts w:ascii="宋体" w:hAnsi="宋体"/>
                <w:bCs/>
                <w:highlight w:val="none"/>
              </w:rPr>
            </w:pPr>
          </w:p>
        </w:tc>
        <w:tc>
          <w:tcPr>
            <w:tcW w:w="1276" w:type="dxa"/>
            <w:noWrap w:val="0"/>
            <w:vAlign w:val="center"/>
          </w:tcPr>
          <w:p w14:paraId="7C8F7FD8">
            <w:pPr>
              <w:jc w:val="center"/>
              <w:rPr>
                <w:rFonts w:ascii="宋体" w:hAnsi="宋体"/>
                <w:bCs/>
                <w:highlight w:val="none"/>
              </w:rPr>
            </w:pPr>
          </w:p>
        </w:tc>
        <w:tc>
          <w:tcPr>
            <w:tcW w:w="1112" w:type="dxa"/>
            <w:noWrap w:val="0"/>
            <w:vAlign w:val="center"/>
          </w:tcPr>
          <w:p w14:paraId="053E8796">
            <w:pPr>
              <w:jc w:val="center"/>
              <w:rPr>
                <w:rFonts w:ascii="宋体" w:hAnsi="宋体"/>
                <w:bCs/>
                <w:highlight w:val="none"/>
              </w:rPr>
            </w:pPr>
          </w:p>
        </w:tc>
      </w:tr>
      <w:tr w14:paraId="6BC2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3AC41CCE">
            <w:pPr>
              <w:jc w:val="center"/>
              <w:rPr>
                <w:rFonts w:ascii="宋体" w:hAnsi="宋体"/>
                <w:bCs/>
                <w:highlight w:val="none"/>
              </w:rPr>
            </w:pPr>
          </w:p>
        </w:tc>
        <w:tc>
          <w:tcPr>
            <w:tcW w:w="1336" w:type="dxa"/>
            <w:noWrap w:val="0"/>
            <w:vAlign w:val="center"/>
          </w:tcPr>
          <w:p w14:paraId="66DCE8C7">
            <w:pPr>
              <w:jc w:val="center"/>
              <w:rPr>
                <w:rFonts w:ascii="宋体" w:hAnsi="宋体"/>
                <w:bCs/>
                <w:highlight w:val="none"/>
              </w:rPr>
            </w:pPr>
          </w:p>
        </w:tc>
        <w:tc>
          <w:tcPr>
            <w:tcW w:w="1321" w:type="dxa"/>
            <w:noWrap w:val="0"/>
            <w:vAlign w:val="center"/>
          </w:tcPr>
          <w:p w14:paraId="41FA4DE4">
            <w:pPr>
              <w:jc w:val="center"/>
              <w:rPr>
                <w:rFonts w:ascii="宋体" w:hAnsi="宋体"/>
                <w:bCs/>
                <w:highlight w:val="none"/>
              </w:rPr>
            </w:pPr>
          </w:p>
        </w:tc>
        <w:tc>
          <w:tcPr>
            <w:tcW w:w="590" w:type="dxa"/>
            <w:noWrap w:val="0"/>
            <w:vAlign w:val="center"/>
          </w:tcPr>
          <w:p w14:paraId="7E9D10F6">
            <w:pPr>
              <w:jc w:val="center"/>
              <w:rPr>
                <w:rFonts w:ascii="宋体" w:hAnsi="宋体"/>
                <w:bCs/>
                <w:highlight w:val="none"/>
              </w:rPr>
            </w:pPr>
          </w:p>
        </w:tc>
        <w:tc>
          <w:tcPr>
            <w:tcW w:w="850" w:type="dxa"/>
            <w:noWrap w:val="0"/>
            <w:vAlign w:val="center"/>
          </w:tcPr>
          <w:p w14:paraId="61033972">
            <w:pPr>
              <w:jc w:val="center"/>
              <w:rPr>
                <w:rFonts w:ascii="宋体" w:hAnsi="宋体"/>
                <w:bCs/>
                <w:highlight w:val="none"/>
              </w:rPr>
            </w:pPr>
          </w:p>
        </w:tc>
        <w:tc>
          <w:tcPr>
            <w:tcW w:w="920" w:type="dxa"/>
            <w:noWrap w:val="0"/>
            <w:vAlign w:val="center"/>
          </w:tcPr>
          <w:p w14:paraId="0C1DF2DC">
            <w:pPr>
              <w:jc w:val="center"/>
              <w:rPr>
                <w:rFonts w:ascii="宋体" w:hAnsi="宋体"/>
                <w:bCs/>
                <w:highlight w:val="none"/>
              </w:rPr>
            </w:pPr>
          </w:p>
        </w:tc>
        <w:tc>
          <w:tcPr>
            <w:tcW w:w="1065" w:type="dxa"/>
            <w:noWrap w:val="0"/>
            <w:vAlign w:val="center"/>
          </w:tcPr>
          <w:p w14:paraId="6F7BB545">
            <w:pPr>
              <w:jc w:val="center"/>
              <w:rPr>
                <w:rFonts w:ascii="宋体" w:hAnsi="宋体"/>
                <w:bCs/>
                <w:highlight w:val="none"/>
              </w:rPr>
            </w:pPr>
          </w:p>
        </w:tc>
        <w:tc>
          <w:tcPr>
            <w:tcW w:w="708" w:type="dxa"/>
            <w:noWrap w:val="0"/>
            <w:vAlign w:val="center"/>
          </w:tcPr>
          <w:p w14:paraId="22148250">
            <w:pPr>
              <w:jc w:val="center"/>
              <w:rPr>
                <w:rFonts w:ascii="宋体" w:hAnsi="宋体"/>
                <w:bCs/>
                <w:highlight w:val="none"/>
              </w:rPr>
            </w:pPr>
          </w:p>
        </w:tc>
        <w:tc>
          <w:tcPr>
            <w:tcW w:w="1276" w:type="dxa"/>
            <w:noWrap w:val="0"/>
            <w:vAlign w:val="center"/>
          </w:tcPr>
          <w:p w14:paraId="77817E74">
            <w:pPr>
              <w:jc w:val="center"/>
              <w:rPr>
                <w:rFonts w:ascii="宋体" w:hAnsi="宋体"/>
                <w:bCs/>
                <w:highlight w:val="none"/>
              </w:rPr>
            </w:pPr>
          </w:p>
        </w:tc>
        <w:tc>
          <w:tcPr>
            <w:tcW w:w="1112" w:type="dxa"/>
            <w:noWrap w:val="0"/>
            <w:vAlign w:val="center"/>
          </w:tcPr>
          <w:p w14:paraId="33BD2326">
            <w:pPr>
              <w:jc w:val="center"/>
              <w:rPr>
                <w:rFonts w:ascii="宋体" w:hAnsi="宋体"/>
                <w:bCs/>
                <w:highlight w:val="none"/>
              </w:rPr>
            </w:pPr>
          </w:p>
        </w:tc>
      </w:tr>
      <w:tr w14:paraId="726AE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1444CABB">
            <w:pPr>
              <w:jc w:val="center"/>
              <w:rPr>
                <w:rFonts w:ascii="宋体" w:hAnsi="宋体"/>
                <w:bCs/>
                <w:highlight w:val="none"/>
              </w:rPr>
            </w:pPr>
          </w:p>
        </w:tc>
        <w:tc>
          <w:tcPr>
            <w:tcW w:w="1336" w:type="dxa"/>
            <w:noWrap w:val="0"/>
            <w:vAlign w:val="center"/>
          </w:tcPr>
          <w:p w14:paraId="3C0F2605">
            <w:pPr>
              <w:jc w:val="center"/>
              <w:rPr>
                <w:rFonts w:ascii="宋体" w:hAnsi="宋体"/>
                <w:bCs/>
                <w:highlight w:val="none"/>
              </w:rPr>
            </w:pPr>
          </w:p>
        </w:tc>
        <w:tc>
          <w:tcPr>
            <w:tcW w:w="1321" w:type="dxa"/>
            <w:noWrap w:val="0"/>
            <w:vAlign w:val="center"/>
          </w:tcPr>
          <w:p w14:paraId="3E93678A">
            <w:pPr>
              <w:jc w:val="center"/>
              <w:rPr>
                <w:rFonts w:ascii="宋体" w:hAnsi="宋体"/>
                <w:bCs/>
                <w:highlight w:val="none"/>
              </w:rPr>
            </w:pPr>
          </w:p>
        </w:tc>
        <w:tc>
          <w:tcPr>
            <w:tcW w:w="590" w:type="dxa"/>
            <w:noWrap w:val="0"/>
            <w:vAlign w:val="center"/>
          </w:tcPr>
          <w:p w14:paraId="060BDD3A">
            <w:pPr>
              <w:jc w:val="center"/>
              <w:rPr>
                <w:rFonts w:ascii="宋体" w:hAnsi="宋体"/>
                <w:bCs/>
                <w:highlight w:val="none"/>
              </w:rPr>
            </w:pPr>
          </w:p>
        </w:tc>
        <w:tc>
          <w:tcPr>
            <w:tcW w:w="850" w:type="dxa"/>
            <w:noWrap w:val="0"/>
            <w:vAlign w:val="center"/>
          </w:tcPr>
          <w:p w14:paraId="51A3961D">
            <w:pPr>
              <w:jc w:val="center"/>
              <w:rPr>
                <w:rFonts w:ascii="宋体" w:hAnsi="宋体"/>
                <w:bCs/>
                <w:highlight w:val="none"/>
              </w:rPr>
            </w:pPr>
          </w:p>
        </w:tc>
        <w:tc>
          <w:tcPr>
            <w:tcW w:w="920" w:type="dxa"/>
            <w:noWrap w:val="0"/>
            <w:vAlign w:val="center"/>
          </w:tcPr>
          <w:p w14:paraId="00EC9DD9">
            <w:pPr>
              <w:jc w:val="center"/>
              <w:rPr>
                <w:rFonts w:ascii="宋体" w:hAnsi="宋体"/>
                <w:bCs/>
                <w:highlight w:val="none"/>
              </w:rPr>
            </w:pPr>
          </w:p>
        </w:tc>
        <w:tc>
          <w:tcPr>
            <w:tcW w:w="1065" w:type="dxa"/>
            <w:noWrap w:val="0"/>
            <w:vAlign w:val="center"/>
          </w:tcPr>
          <w:p w14:paraId="52C6E124">
            <w:pPr>
              <w:jc w:val="center"/>
              <w:rPr>
                <w:rFonts w:ascii="宋体" w:hAnsi="宋体"/>
                <w:bCs/>
                <w:highlight w:val="none"/>
              </w:rPr>
            </w:pPr>
          </w:p>
        </w:tc>
        <w:tc>
          <w:tcPr>
            <w:tcW w:w="708" w:type="dxa"/>
            <w:noWrap w:val="0"/>
            <w:vAlign w:val="center"/>
          </w:tcPr>
          <w:p w14:paraId="772F0DEE">
            <w:pPr>
              <w:jc w:val="center"/>
              <w:rPr>
                <w:rFonts w:ascii="宋体" w:hAnsi="宋体"/>
                <w:bCs/>
                <w:highlight w:val="none"/>
              </w:rPr>
            </w:pPr>
          </w:p>
        </w:tc>
        <w:tc>
          <w:tcPr>
            <w:tcW w:w="1276" w:type="dxa"/>
            <w:noWrap w:val="0"/>
            <w:vAlign w:val="center"/>
          </w:tcPr>
          <w:p w14:paraId="666F7178">
            <w:pPr>
              <w:jc w:val="center"/>
              <w:rPr>
                <w:rFonts w:ascii="宋体" w:hAnsi="宋体"/>
                <w:bCs/>
                <w:highlight w:val="none"/>
              </w:rPr>
            </w:pPr>
          </w:p>
        </w:tc>
        <w:tc>
          <w:tcPr>
            <w:tcW w:w="1112" w:type="dxa"/>
            <w:noWrap w:val="0"/>
            <w:vAlign w:val="center"/>
          </w:tcPr>
          <w:p w14:paraId="0AD54FAA">
            <w:pPr>
              <w:jc w:val="center"/>
              <w:rPr>
                <w:rFonts w:ascii="宋体" w:hAnsi="宋体"/>
                <w:bCs/>
                <w:highlight w:val="none"/>
              </w:rPr>
            </w:pPr>
          </w:p>
        </w:tc>
      </w:tr>
      <w:tr w14:paraId="27AE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20CC93F4">
            <w:pPr>
              <w:jc w:val="center"/>
              <w:rPr>
                <w:rFonts w:ascii="宋体" w:hAnsi="宋体"/>
                <w:bCs/>
                <w:highlight w:val="none"/>
              </w:rPr>
            </w:pPr>
          </w:p>
        </w:tc>
        <w:tc>
          <w:tcPr>
            <w:tcW w:w="1336" w:type="dxa"/>
            <w:noWrap w:val="0"/>
            <w:vAlign w:val="center"/>
          </w:tcPr>
          <w:p w14:paraId="4E202BEE">
            <w:pPr>
              <w:jc w:val="center"/>
              <w:rPr>
                <w:rFonts w:ascii="宋体" w:hAnsi="宋体"/>
                <w:bCs/>
                <w:highlight w:val="none"/>
              </w:rPr>
            </w:pPr>
          </w:p>
        </w:tc>
        <w:tc>
          <w:tcPr>
            <w:tcW w:w="1321" w:type="dxa"/>
            <w:noWrap w:val="0"/>
            <w:vAlign w:val="center"/>
          </w:tcPr>
          <w:p w14:paraId="2A6A364D">
            <w:pPr>
              <w:jc w:val="center"/>
              <w:rPr>
                <w:rFonts w:ascii="宋体" w:hAnsi="宋体"/>
                <w:bCs/>
                <w:highlight w:val="none"/>
              </w:rPr>
            </w:pPr>
          </w:p>
        </w:tc>
        <w:tc>
          <w:tcPr>
            <w:tcW w:w="590" w:type="dxa"/>
            <w:noWrap w:val="0"/>
            <w:vAlign w:val="center"/>
          </w:tcPr>
          <w:p w14:paraId="5694697D">
            <w:pPr>
              <w:jc w:val="center"/>
              <w:rPr>
                <w:rFonts w:ascii="宋体" w:hAnsi="宋体"/>
                <w:bCs/>
                <w:highlight w:val="none"/>
              </w:rPr>
            </w:pPr>
          </w:p>
        </w:tc>
        <w:tc>
          <w:tcPr>
            <w:tcW w:w="850" w:type="dxa"/>
            <w:noWrap w:val="0"/>
            <w:vAlign w:val="center"/>
          </w:tcPr>
          <w:p w14:paraId="4B359326">
            <w:pPr>
              <w:jc w:val="center"/>
              <w:rPr>
                <w:rFonts w:ascii="宋体" w:hAnsi="宋体"/>
                <w:bCs/>
                <w:highlight w:val="none"/>
              </w:rPr>
            </w:pPr>
          </w:p>
        </w:tc>
        <w:tc>
          <w:tcPr>
            <w:tcW w:w="920" w:type="dxa"/>
            <w:noWrap w:val="0"/>
            <w:vAlign w:val="center"/>
          </w:tcPr>
          <w:p w14:paraId="390DE1E4">
            <w:pPr>
              <w:jc w:val="center"/>
              <w:rPr>
                <w:rFonts w:ascii="宋体" w:hAnsi="宋体"/>
                <w:bCs/>
                <w:highlight w:val="none"/>
              </w:rPr>
            </w:pPr>
          </w:p>
        </w:tc>
        <w:tc>
          <w:tcPr>
            <w:tcW w:w="1065" w:type="dxa"/>
            <w:noWrap w:val="0"/>
            <w:vAlign w:val="center"/>
          </w:tcPr>
          <w:p w14:paraId="7CF99B2E">
            <w:pPr>
              <w:jc w:val="center"/>
              <w:rPr>
                <w:rFonts w:ascii="宋体" w:hAnsi="宋体"/>
                <w:bCs/>
                <w:highlight w:val="none"/>
              </w:rPr>
            </w:pPr>
          </w:p>
        </w:tc>
        <w:tc>
          <w:tcPr>
            <w:tcW w:w="708" w:type="dxa"/>
            <w:noWrap w:val="0"/>
            <w:vAlign w:val="center"/>
          </w:tcPr>
          <w:p w14:paraId="0AF98D15">
            <w:pPr>
              <w:jc w:val="center"/>
              <w:rPr>
                <w:rFonts w:ascii="宋体" w:hAnsi="宋体"/>
                <w:bCs/>
                <w:highlight w:val="none"/>
              </w:rPr>
            </w:pPr>
          </w:p>
        </w:tc>
        <w:tc>
          <w:tcPr>
            <w:tcW w:w="1276" w:type="dxa"/>
            <w:noWrap w:val="0"/>
            <w:vAlign w:val="center"/>
          </w:tcPr>
          <w:p w14:paraId="317300E1">
            <w:pPr>
              <w:jc w:val="center"/>
              <w:rPr>
                <w:rFonts w:ascii="宋体" w:hAnsi="宋体"/>
                <w:bCs/>
                <w:highlight w:val="none"/>
              </w:rPr>
            </w:pPr>
          </w:p>
        </w:tc>
        <w:tc>
          <w:tcPr>
            <w:tcW w:w="1112" w:type="dxa"/>
            <w:noWrap w:val="0"/>
            <w:vAlign w:val="center"/>
          </w:tcPr>
          <w:p w14:paraId="3DE34732">
            <w:pPr>
              <w:jc w:val="center"/>
              <w:rPr>
                <w:rFonts w:ascii="宋体" w:hAnsi="宋体"/>
                <w:bCs/>
                <w:highlight w:val="none"/>
              </w:rPr>
            </w:pPr>
          </w:p>
        </w:tc>
      </w:tr>
      <w:tr w14:paraId="591A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55A18C70">
            <w:pPr>
              <w:jc w:val="center"/>
              <w:rPr>
                <w:rFonts w:ascii="宋体" w:hAnsi="宋体"/>
                <w:bCs/>
                <w:highlight w:val="none"/>
              </w:rPr>
            </w:pPr>
          </w:p>
        </w:tc>
        <w:tc>
          <w:tcPr>
            <w:tcW w:w="1336" w:type="dxa"/>
            <w:noWrap w:val="0"/>
            <w:vAlign w:val="center"/>
          </w:tcPr>
          <w:p w14:paraId="5ED94CC1">
            <w:pPr>
              <w:jc w:val="center"/>
              <w:rPr>
                <w:rFonts w:ascii="宋体" w:hAnsi="宋体"/>
                <w:bCs/>
                <w:highlight w:val="none"/>
              </w:rPr>
            </w:pPr>
          </w:p>
        </w:tc>
        <w:tc>
          <w:tcPr>
            <w:tcW w:w="1321" w:type="dxa"/>
            <w:noWrap w:val="0"/>
            <w:vAlign w:val="center"/>
          </w:tcPr>
          <w:p w14:paraId="6FAA1B0B">
            <w:pPr>
              <w:jc w:val="center"/>
              <w:rPr>
                <w:rFonts w:ascii="宋体" w:hAnsi="宋体"/>
                <w:bCs/>
                <w:highlight w:val="none"/>
              </w:rPr>
            </w:pPr>
          </w:p>
        </w:tc>
        <w:tc>
          <w:tcPr>
            <w:tcW w:w="590" w:type="dxa"/>
            <w:noWrap w:val="0"/>
            <w:vAlign w:val="center"/>
          </w:tcPr>
          <w:p w14:paraId="585CE6D7">
            <w:pPr>
              <w:jc w:val="center"/>
              <w:rPr>
                <w:rFonts w:ascii="宋体" w:hAnsi="宋体"/>
                <w:bCs/>
                <w:highlight w:val="none"/>
              </w:rPr>
            </w:pPr>
          </w:p>
        </w:tc>
        <w:tc>
          <w:tcPr>
            <w:tcW w:w="850" w:type="dxa"/>
            <w:noWrap w:val="0"/>
            <w:vAlign w:val="center"/>
          </w:tcPr>
          <w:p w14:paraId="1744603B">
            <w:pPr>
              <w:jc w:val="center"/>
              <w:rPr>
                <w:rFonts w:ascii="宋体" w:hAnsi="宋体"/>
                <w:bCs/>
                <w:highlight w:val="none"/>
              </w:rPr>
            </w:pPr>
          </w:p>
        </w:tc>
        <w:tc>
          <w:tcPr>
            <w:tcW w:w="920" w:type="dxa"/>
            <w:noWrap w:val="0"/>
            <w:vAlign w:val="center"/>
          </w:tcPr>
          <w:p w14:paraId="4776B468">
            <w:pPr>
              <w:jc w:val="center"/>
              <w:rPr>
                <w:rFonts w:ascii="宋体" w:hAnsi="宋体"/>
                <w:bCs/>
                <w:highlight w:val="none"/>
              </w:rPr>
            </w:pPr>
          </w:p>
        </w:tc>
        <w:tc>
          <w:tcPr>
            <w:tcW w:w="1065" w:type="dxa"/>
            <w:noWrap w:val="0"/>
            <w:vAlign w:val="center"/>
          </w:tcPr>
          <w:p w14:paraId="2C9FE213">
            <w:pPr>
              <w:jc w:val="center"/>
              <w:rPr>
                <w:rFonts w:ascii="宋体" w:hAnsi="宋体"/>
                <w:bCs/>
                <w:highlight w:val="none"/>
              </w:rPr>
            </w:pPr>
          </w:p>
        </w:tc>
        <w:tc>
          <w:tcPr>
            <w:tcW w:w="708" w:type="dxa"/>
            <w:noWrap w:val="0"/>
            <w:vAlign w:val="center"/>
          </w:tcPr>
          <w:p w14:paraId="1F20678E">
            <w:pPr>
              <w:jc w:val="center"/>
              <w:rPr>
                <w:rFonts w:ascii="宋体" w:hAnsi="宋体"/>
                <w:bCs/>
                <w:highlight w:val="none"/>
              </w:rPr>
            </w:pPr>
          </w:p>
        </w:tc>
        <w:tc>
          <w:tcPr>
            <w:tcW w:w="1276" w:type="dxa"/>
            <w:noWrap w:val="0"/>
            <w:vAlign w:val="center"/>
          </w:tcPr>
          <w:p w14:paraId="3DC9BCC6">
            <w:pPr>
              <w:jc w:val="center"/>
              <w:rPr>
                <w:rFonts w:ascii="宋体" w:hAnsi="宋体"/>
                <w:bCs/>
                <w:highlight w:val="none"/>
              </w:rPr>
            </w:pPr>
          </w:p>
        </w:tc>
        <w:tc>
          <w:tcPr>
            <w:tcW w:w="1112" w:type="dxa"/>
            <w:noWrap w:val="0"/>
            <w:vAlign w:val="center"/>
          </w:tcPr>
          <w:p w14:paraId="6D45E703">
            <w:pPr>
              <w:jc w:val="center"/>
              <w:rPr>
                <w:rFonts w:ascii="宋体" w:hAnsi="宋体"/>
                <w:bCs/>
                <w:highlight w:val="none"/>
              </w:rPr>
            </w:pPr>
          </w:p>
        </w:tc>
      </w:tr>
      <w:tr w14:paraId="297F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1520CB3F">
            <w:pPr>
              <w:jc w:val="center"/>
              <w:rPr>
                <w:rFonts w:ascii="宋体" w:hAnsi="宋体"/>
                <w:bCs/>
                <w:highlight w:val="none"/>
              </w:rPr>
            </w:pPr>
          </w:p>
        </w:tc>
        <w:tc>
          <w:tcPr>
            <w:tcW w:w="1336" w:type="dxa"/>
            <w:noWrap w:val="0"/>
            <w:vAlign w:val="center"/>
          </w:tcPr>
          <w:p w14:paraId="3F93EA56">
            <w:pPr>
              <w:jc w:val="center"/>
              <w:rPr>
                <w:rFonts w:ascii="宋体" w:hAnsi="宋体"/>
                <w:bCs/>
                <w:highlight w:val="none"/>
              </w:rPr>
            </w:pPr>
          </w:p>
        </w:tc>
        <w:tc>
          <w:tcPr>
            <w:tcW w:w="1321" w:type="dxa"/>
            <w:noWrap w:val="0"/>
            <w:vAlign w:val="center"/>
          </w:tcPr>
          <w:p w14:paraId="3F69552A">
            <w:pPr>
              <w:jc w:val="center"/>
              <w:rPr>
                <w:rFonts w:ascii="宋体" w:hAnsi="宋体"/>
                <w:bCs/>
                <w:highlight w:val="none"/>
              </w:rPr>
            </w:pPr>
          </w:p>
        </w:tc>
        <w:tc>
          <w:tcPr>
            <w:tcW w:w="590" w:type="dxa"/>
            <w:noWrap w:val="0"/>
            <w:vAlign w:val="center"/>
          </w:tcPr>
          <w:p w14:paraId="524B0BE9">
            <w:pPr>
              <w:jc w:val="center"/>
              <w:rPr>
                <w:rFonts w:ascii="宋体" w:hAnsi="宋体"/>
                <w:bCs/>
                <w:highlight w:val="none"/>
              </w:rPr>
            </w:pPr>
          </w:p>
        </w:tc>
        <w:tc>
          <w:tcPr>
            <w:tcW w:w="850" w:type="dxa"/>
            <w:noWrap w:val="0"/>
            <w:vAlign w:val="center"/>
          </w:tcPr>
          <w:p w14:paraId="6AE649DD">
            <w:pPr>
              <w:jc w:val="center"/>
              <w:rPr>
                <w:rFonts w:ascii="宋体" w:hAnsi="宋体"/>
                <w:bCs/>
                <w:highlight w:val="none"/>
              </w:rPr>
            </w:pPr>
          </w:p>
        </w:tc>
        <w:tc>
          <w:tcPr>
            <w:tcW w:w="920" w:type="dxa"/>
            <w:noWrap w:val="0"/>
            <w:vAlign w:val="center"/>
          </w:tcPr>
          <w:p w14:paraId="2C48F249">
            <w:pPr>
              <w:jc w:val="center"/>
              <w:rPr>
                <w:rFonts w:ascii="宋体" w:hAnsi="宋体"/>
                <w:bCs/>
                <w:highlight w:val="none"/>
              </w:rPr>
            </w:pPr>
          </w:p>
        </w:tc>
        <w:tc>
          <w:tcPr>
            <w:tcW w:w="1065" w:type="dxa"/>
            <w:noWrap w:val="0"/>
            <w:vAlign w:val="center"/>
          </w:tcPr>
          <w:p w14:paraId="19A5F3F3">
            <w:pPr>
              <w:jc w:val="center"/>
              <w:rPr>
                <w:rFonts w:ascii="宋体" w:hAnsi="宋体"/>
                <w:bCs/>
                <w:highlight w:val="none"/>
              </w:rPr>
            </w:pPr>
          </w:p>
        </w:tc>
        <w:tc>
          <w:tcPr>
            <w:tcW w:w="708" w:type="dxa"/>
            <w:noWrap w:val="0"/>
            <w:vAlign w:val="center"/>
          </w:tcPr>
          <w:p w14:paraId="275DED65">
            <w:pPr>
              <w:jc w:val="center"/>
              <w:rPr>
                <w:rFonts w:ascii="宋体" w:hAnsi="宋体"/>
                <w:bCs/>
                <w:highlight w:val="none"/>
              </w:rPr>
            </w:pPr>
          </w:p>
        </w:tc>
        <w:tc>
          <w:tcPr>
            <w:tcW w:w="1276" w:type="dxa"/>
            <w:noWrap w:val="0"/>
            <w:vAlign w:val="center"/>
          </w:tcPr>
          <w:p w14:paraId="44F53D1C">
            <w:pPr>
              <w:jc w:val="center"/>
              <w:rPr>
                <w:rFonts w:ascii="宋体" w:hAnsi="宋体"/>
                <w:bCs/>
                <w:highlight w:val="none"/>
              </w:rPr>
            </w:pPr>
          </w:p>
        </w:tc>
        <w:tc>
          <w:tcPr>
            <w:tcW w:w="1112" w:type="dxa"/>
            <w:noWrap w:val="0"/>
            <w:vAlign w:val="center"/>
          </w:tcPr>
          <w:p w14:paraId="4C0678A9">
            <w:pPr>
              <w:jc w:val="center"/>
              <w:rPr>
                <w:rFonts w:ascii="宋体" w:hAnsi="宋体"/>
                <w:bCs/>
                <w:highlight w:val="none"/>
              </w:rPr>
            </w:pPr>
          </w:p>
        </w:tc>
      </w:tr>
      <w:tr w14:paraId="1075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35BFEADD">
            <w:pPr>
              <w:jc w:val="center"/>
              <w:rPr>
                <w:rFonts w:ascii="宋体" w:hAnsi="宋体"/>
                <w:bCs/>
                <w:highlight w:val="none"/>
              </w:rPr>
            </w:pPr>
          </w:p>
        </w:tc>
        <w:tc>
          <w:tcPr>
            <w:tcW w:w="1336" w:type="dxa"/>
            <w:noWrap w:val="0"/>
            <w:vAlign w:val="center"/>
          </w:tcPr>
          <w:p w14:paraId="52D0D6C3">
            <w:pPr>
              <w:jc w:val="center"/>
              <w:rPr>
                <w:rFonts w:ascii="宋体" w:hAnsi="宋体"/>
                <w:bCs/>
                <w:highlight w:val="none"/>
              </w:rPr>
            </w:pPr>
          </w:p>
        </w:tc>
        <w:tc>
          <w:tcPr>
            <w:tcW w:w="1321" w:type="dxa"/>
            <w:noWrap w:val="0"/>
            <w:vAlign w:val="center"/>
          </w:tcPr>
          <w:p w14:paraId="4218AEF6">
            <w:pPr>
              <w:jc w:val="center"/>
              <w:rPr>
                <w:rFonts w:ascii="宋体" w:hAnsi="宋体"/>
                <w:bCs/>
                <w:highlight w:val="none"/>
              </w:rPr>
            </w:pPr>
          </w:p>
        </w:tc>
        <w:tc>
          <w:tcPr>
            <w:tcW w:w="590" w:type="dxa"/>
            <w:noWrap w:val="0"/>
            <w:vAlign w:val="center"/>
          </w:tcPr>
          <w:p w14:paraId="588E33BD">
            <w:pPr>
              <w:jc w:val="center"/>
              <w:rPr>
                <w:rFonts w:ascii="宋体" w:hAnsi="宋体"/>
                <w:bCs/>
                <w:highlight w:val="none"/>
              </w:rPr>
            </w:pPr>
          </w:p>
        </w:tc>
        <w:tc>
          <w:tcPr>
            <w:tcW w:w="850" w:type="dxa"/>
            <w:noWrap w:val="0"/>
            <w:vAlign w:val="center"/>
          </w:tcPr>
          <w:p w14:paraId="4ED390D0">
            <w:pPr>
              <w:jc w:val="center"/>
              <w:rPr>
                <w:rFonts w:ascii="宋体" w:hAnsi="宋体"/>
                <w:bCs/>
                <w:highlight w:val="none"/>
              </w:rPr>
            </w:pPr>
          </w:p>
        </w:tc>
        <w:tc>
          <w:tcPr>
            <w:tcW w:w="920" w:type="dxa"/>
            <w:noWrap w:val="0"/>
            <w:vAlign w:val="center"/>
          </w:tcPr>
          <w:p w14:paraId="5B51D62E">
            <w:pPr>
              <w:jc w:val="center"/>
              <w:rPr>
                <w:rFonts w:ascii="宋体" w:hAnsi="宋体"/>
                <w:bCs/>
                <w:highlight w:val="none"/>
              </w:rPr>
            </w:pPr>
          </w:p>
        </w:tc>
        <w:tc>
          <w:tcPr>
            <w:tcW w:w="1065" w:type="dxa"/>
            <w:noWrap w:val="0"/>
            <w:vAlign w:val="center"/>
          </w:tcPr>
          <w:p w14:paraId="2D7A40B0">
            <w:pPr>
              <w:jc w:val="center"/>
              <w:rPr>
                <w:rFonts w:ascii="宋体" w:hAnsi="宋体"/>
                <w:bCs/>
                <w:highlight w:val="none"/>
              </w:rPr>
            </w:pPr>
          </w:p>
        </w:tc>
        <w:tc>
          <w:tcPr>
            <w:tcW w:w="708" w:type="dxa"/>
            <w:noWrap w:val="0"/>
            <w:vAlign w:val="center"/>
          </w:tcPr>
          <w:p w14:paraId="01B5A312">
            <w:pPr>
              <w:jc w:val="center"/>
              <w:rPr>
                <w:rFonts w:ascii="宋体" w:hAnsi="宋体"/>
                <w:bCs/>
                <w:highlight w:val="none"/>
              </w:rPr>
            </w:pPr>
          </w:p>
        </w:tc>
        <w:tc>
          <w:tcPr>
            <w:tcW w:w="1276" w:type="dxa"/>
            <w:noWrap w:val="0"/>
            <w:vAlign w:val="center"/>
          </w:tcPr>
          <w:p w14:paraId="7BC13A7F">
            <w:pPr>
              <w:jc w:val="center"/>
              <w:rPr>
                <w:rFonts w:ascii="宋体" w:hAnsi="宋体"/>
                <w:bCs/>
                <w:highlight w:val="none"/>
              </w:rPr>
            </w:pPr>
          </w:p>
        </w:tc>
        <w:tc>
          <w:tcPr>
            <w:tcW w:w="1112" w:type="dxa"/>
            <w:noWrap w:val="0"/>
            <w:vAlign w:val="center"/>
          </w:tcPr>
          <w:p w14:paraId="227F7C1D">
            <w:pPr>
              <w:jc w:val="center"/>
              <w:rPr>
                <w:rFonts w:ascii="宋体" w:hAnsi="宋体"/>
                <w:bCs/>
                <w:highlight w:val="none"/>
              </w:rPr>
            </w:pPr>
          </w:p>
        </w:tc>
      </w:tr>
      <w:tr w14:paraId="68AF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3F917D45">
            <w:pPr>
              <w:jc w:val="center"/>
              <w:rPr>
                <w:rFonts w:ascii="宋体" w:hAnsi="宋体"/>
                <w:bCs/>
                <w:highlight w:val="none"/>
              </w:rPr>
            </w:pPr>
          </w:p>
        </w:tc>
        <w:tc>
          <w:tcPr>
            <w:tcW w:w="1336" w:type="dxa"/>
            <w:noWrap w:val="0"/>
            <w:vAlign w:val="center"/>
          </w:tcPr>
          <w:p w14:paraId="36F07EA2">
            <w:pPr>
              <w:jc w:val="center"/>
              <w:rPr>
                <w:rFonts w:ascii="宋体" w:hAnsi="宋体"/>
                <w:bCs/>
                <w:highlight w:val="none"/>
              </w:rPr>
            </w:pPr>
          </w:p>
        </w:tc>
        <w:tc>
          <w:tcPr>
            <w:tcW w:w="1321" w:type="dxa"/>
            <w:noWrap w:val="0"/>
            <w:vAlign w:val="center"/>
          </w:tcPr>
          <w:p w14:paraId="536B950E">
            <w:pPr>
              <w:jc w:val="center"/>
              <w:rPr>
                <w:rFonts w:ascii="宋体" w:hAnsi="宋体"/>
                <w:bCs/>
                <w:highlight w:val="none"/>
              </w:rPr>
            </w:pPr>
          </w:p>
        </w:tc>
        <w:tc>
          <w:tcPr>
            <w:tcW w:w="590" w:type="dxa"/>
            <w:noWrap w:val="0"/>
            <w:vAlign w:val="center"/>
          </w:tcPr>
          <w:p w14:paraId="228F602A">
            <w:pPr>
              <w:jc w:val="center"/>
              <w:rPr>
                <w:rFonts w:ascii="宋体" w:hAnsi="宋体"/>
                <w:bCs/>
                <w:highlight w:val="none"/>
              </w:rPr>
            </w:pPr>
          </w:p>
        </w:tc>
        <w:tc>
          <w:tcPr>
            <w:tcW w:w="850" w:type="dxa"/>
            <w:noWrap w:val="0"/>
            <w:vAlign w:val="center"/>
          </w:tcPr>
          <w:p w14:paraId="374B2302">
            <w:pPr>
              <w:jc w:val="center"/>
              <w:rPr>
                <w:rFonts w:ascii="宋体" w:hAnsi="宋体"/>
                <w:bCs/>
                <w:highlight w:val="none"/>
              </w:rPr>
            </w:pPr>
          </w:p>
        </w:tc>
        <w:tc>
          <w:tcPr>
            <w:tcW w:w="920" w:type="dxa"/>
            <w:noWrap w:val="0"/>
            <w:vAlign w:val="center"/>
          </w:tcPr>
          <w:p w14:paraId="74831541">
            <w:pPr>
              <w:jc w:val="center"/>
              <w:rPr>
                <w:rFonts w:ascii="宋体" w:hAnsi="宋体"/>
                <w:bCs/>
                <w:highlight w:val="none"/>
              </w:rPr>
            </w:pPr>
          </w:p>
        </w:tc>
        <w:tc>
          <w:tcPr>
            <w:tcW w:w="1065" w:type="dxa"/>
            <w:noWrap w:val="0"/>
            <w:vAlign w:val="center"/>
          </w:tcPr>
          <w:p w14:paraId="02105D7B">
            <w:pPr>
              <w:jc w:val="center"/>
              <w:rPr>
                <w:rFonts w:ascii="宋体" w:hAnsi="宋体"/>
                <w:bCs/>
                <w:highlight w:val="none"/>
              </w:rPr>
            </w:pPr>
          </w:p>
        </w:tc>
        <w:tc>
          <w:tcPr>
            <w:tcW w:w="708" w:type="dxa"/>
            <w:noWrap w:val="0"/>
            <w:vAlign w:val="center"/>
          </w:tcPr>
          <w:p w14:paraId="45FD97EB">
            <w:pPr>
              <w:jc w:val="center"/>
              <w:rPr>
                <w:rFonts w:ascii="宋体" w:hAnsi="宋体"/>
                <w:bCs/>
                <w:highlight w:val="none"/>
              </w:rPr>
            </w:pPr>
          </w:p>
        </w:tc>
        <w:tc>
          <w:tcPr>
            <w:tcW w:w="1276" w:type="dxa"/>
            <w:noWrap w:val="0"/>
            <w:vAlign w:val="center"/>
          </w:tcPr>
          <w:p w14:paraId="2705269E">
            <w:pPr>
              <w:jc w:val="center"/>
              <w:rPr>
                <w:rFonts w:ascii="宋体" w:hAnsi="宋体"/>
                <w:bCs/>
                <w:highlight w:val="none"/>
              </w:rPr>
            </w:pPr>
          </w:p>
        </w:tc>
        <w:tc>
          <w:tcPr>
            <w:tcW w:w="1112" w:type="dxa"/>
            <w:noWrap w:val="0"/>
            <w:vAlign w:val="center"/>
          </w:tcPr>
          <w:p w14:paraId="6CC27B70">
            <w:pPr>
              <w:jc w:val="center"/>
              <w:rPr>
                <w:rFonts w:ascii="宋体" w:hAnsi="宋体"/>
                <w:bCs/>
                <w:highlight w:val="none"/>
              </w:rPr>
            </w:pPr>
          </w:p>
        </w:tc>
      </w:tr>
      <w:tr w14:paraId="170E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1C686477">
            <w:pPr>
              <w:jc w:val="center"/>
              <w:rPr>
                <w:rFonts w:ascii="宋体" w:hAnsi="宋体"/>
                <w:bCs/>
                <w:highlight w:val="none"/>
              </w:rPr>
            </w:pPr>
          </w:p>
        </w:tc>
        <w:tc>
          <w:tcPr>
            <w:tcW w:w="1336" w:type="dxa"/>
            <w:noWrap w:val="0"/>
            <w:vAlign w:val="center"/>
          </w:tcPr>
          <w:p w14:paraId="468C3696">
            <w:pPr>
              <w:jc w:val="center"/>
              <w:rPr>
                <w:rFonts w:ascii="宋体" w:hAnsi="宋体"/>
                <w:bCs/>
                <w:highlight w:val="none"/>
              </w:rPr>
            </w:pPr>
          </w:p>
        </w:tc>
        <w:tc>
          <w:tcPr>
            <w:tcW w:w="1321" w:type="dxa"/>
            <w:noWrap w:val="0"/>
            <w:vAlign w:val="center"/>
          </w:tcPr>
          <w:p w14:paraId="6E96BCB8">
            <w:pPr>
              <w:jc w:val="center"/>
              <w:rPr>
                <w:rFonts w:ascii="宋体" w:hAnsi="宋体"/>
                <w:bCs/>
                <w:highlight w:val="none"/>
              </w:rPr>
            </w:pPr>
          </w:p>
        </w:tc>
        <w:tc>
          <w:tcPr>
            <w:tcW w:w="590" w:type="dxa"/>
            <w:noWrap w:val="0"/>
            <w:vAlign w:val="center"/>
          </w:tcPr>
          <w:p w14:paraId="62C0E674">
            <w:pPr>
              <w:jc w:val="center"/>
              <w:rPr>
                <w:rFonts w:ascii="宋体" w:hAnsi="宋体"/>
                <w:bCs/>
                <w:highlight w:val="none"/>
              </w:rPr>
            </w:pPr>
          </w:p>
        </w:tc>
        <w:tc>
          <w:tcPr>
            <w:tcW w:w="850" w:type="dxa"/>
            <w:noWrap w:val="0"/>
            <w:vAlign w:val="center"/>
          </w:tcPr>
          <w:p w14:paraId="64777CC0">
            <w:pPr>
              <w:jc w:val="center"/>
              <w:rPr>
                <w:rFonts w:ascii="宋体" w:hAnsi="宋体"/>
                <w:bCs/>
                <w:highlight w:val="none"/>
              </w:rPr>
            </w:pPr>
          </w:p>
        </w:tc>
        <w:tc>
          <w:tcPr>
            <w:tcW w:w="920" w:type="dxa"/>
            <w:noWrap w:val="0"/>
            <w:vAlign w:val="center"/>
          </w:tcPr>
          <w:p w14:paraId="5945E5CF">
            <w:pPr>
              <w:jc w:val="center"/>
              <w:rPr>
                <w:rFonts w:ascii="宋体" w:hAnsi="宋体"/>
                <w:bCs/>
                <w:highlight w:val="none"/>
              </w:rPr>
            </w:pPr>
          </w:p>
        </w:tc>
        <w:tc>
          <w:tcPr>
            <w:tcW w:w="1065" w:type="dxa"/>
            <w:noWrap w:val="0"/>
            <w:vAlign w:val="center"/>
          </w:tcPr>
          <w:p w14:paraId="77BBFF28">
            <w:pPr>
              <w:jc w:val="center"/>
              <w:rPr>
                <w:rFonts w:ascii="宋体" w:hAnsi="宋体"/>
                <w:bCs/>
                <w:highlight w:val="none"/>
              </w:rPr>
            </w:pPr>
          </w:p>
        </w:tc>
        <w:tc>
          <w:tcPr>
            <w:tcW w:w="708" w:type="dxa"/>
            <w:noWrap w:val="0"/>
            <w:vAlign w:val="center"/>
          </w:tcPr>
          <w:p w14:paraId="3922780A">
            <w:pPr>
              <w:jc w:val="center"/>
              <w:rPr>
                <w:rFonts w:ascii="宋体" w:hAnsi="宋体"/>
                <w:bCs/>
                <w:highlight w:val="none"/>
              </w:rPr>
            </w:pPr>
          </w:p>
        </w:tc>
        <w:tc>
          <w:tcPr>
            <w:tcW w:w="1276" w:type="dxa"/>
            <w:noWrap w:val="0"/>
            <w:vAlign w:val="center"/>
          </w:tcPr>
          <w:p w14:paraId="3DC4CBFC">
            <w:pPr>
              <w:jc w:val="center"/>
              <w:rPr>
                <w:rFonts w:ascii="宋体" w:hAnsi="宋体"/>
                <w:bCs/>
                <w:highlight w:val="none"/>
              </w:rPr>
            </w:pPr>
          </w:p>
        </w:tc>
        <w:tc>
          <w:tcPr>
            <w:tcW w:w="1112" w:type="dxa"/>
            <w:noWrap w:val="0"/>
            <w:vAlign w:val="center"/>
          </w:tcPr>
          <w:p w14:paraId="15C22053">
            <w:pPr>
              <w:jc w:val="center"/>
              <w:rPr>
                <w:rFonts w:ascii="宋体" w:hAnsi="宋体"/>
                <w:bCs/>
                <w:highlight w:val="none"/>
              </w:rPr>
            </w:pPr>
          </w:p>
        </w:tc>
      </w:tr>
      <w:tr w14:paraId="1F570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0E52764F">
            <w:pPr>
              <w:jc w:val="center"/>
              <w:rPr>
                <w:rFonts w:ascii="宋体" w:hAnsi="宋体"/>
                <w:bCs/>
                <w:highlight w:val="none"/>
              </w:rPr>
            </w:pPr>
          </w:p>
        </w:tc>
        <w:tc>
          <w:tcPr>
            <w:tcW w:w="1336" w:type="dxa"/>
            <w:noWrap w:val="0"/>
            <w:vAlign w:val="center"/>
          </w:tcPr>
          <w:p w14:paraId="35C5E171">
            <w:pPr>
              <w:jc w:val="center"/>
              <w:rPr>
                <w:rFonts w:ascii="宋体" w:hAnsi="宋体"/>
                <w:bCs/>
                <w:highlight w:val="none"/>
              </w:rPr>
            </w:pPr>
          </w:p>
        </w:tc>
        <w:tc>
          <w:tcPr>
            <w:tcW w:w="1321" w:type="dxa"/>
            <w:noWrap w:val="0"/>
            <w:vAlign w:val="center"/>
          </w:tcPr>
          <w:p w14:paraId="718E429E">
            <w:pPr>
              <w:jc w:val="center"/>
              <w:rPr>
                <w:rFonts w:ascii="宋体" w:hAnsi="宋体"/>
                <w:bCs/>
                <w:highlight w:val="none"/>
              </w:rPr>
            </w:pPr>
          </w:p>
        </w:tc>
        <w:tc>
          <w:tcPr>
            <w:tcW w:w="590" w:type="dxa"/>
            <w:noWrap w:val="0"/>
            <w:vAlign w:val="center"/>
          </w:tcPr>
          <w:p w14:paraId="1179BB99">
            <w:pPr>
              <w:jc w:val="center"/>
              <w:rPr>
                <w:rFonts w:ascii="宋体" w:hAnsi="宋体"/>
                <w:bCs/>
                <w:highlight w:val="none"/>
              </w:rPr>
            </w:pPr>
          </w:p>
        </w:tc>
        <w:tc>
          <w:tcPr>
            <w:tcW w:w="850" w:type="dxa"/>
            <w:noWrap w:val="0"/>
            <w:vAlign w:val="center"/>
          </w:tcPr>
          <w:p w14:paraId="53C0A856">
            <w:pPr>
              <w:jc w:val="center"/>
              <w:rPr>
                <w:rFonts w:ascii="宋体" w:hAnsi="宋体"/>
                <w:bCs/>
                <w:highlight w:val="none"/>
              </w:rPr>
            </w:pPr>
          </w:p>
        </w:tc>
        <w:tc>
          <w:tcPr>
            <w:tcW w:w="920" w:type="dxa"/>
            <w:noWrap w:val="0"/>
            <w:vAlign w:val="center"/>
          </w:tcPr>
          <w:p w14:paraId="757E67D1">
            <w:pPr>
              <w:jc w:val="center"/>
              <w:rPr>
                <w:rFonts w:ascii="宋体" w:hAnsi="宋体"/>
                <w:bCs/>
                <w:highlight w:val="none"/>
              </w:rPr>
            </w:pPr>
          </w:p>
        </w:tc>
        <w:tc>
          <w:tcPr>
            <w:tcW w:w="1065" w:type="dxa"/>
            <w:noWrap w:val="0"/>
            <w:vAlign w:val="center"/>
          </w:tcPr>
          <w:p w14:paraId="28679636">
            <w:pPr>
              <w:jc w:val="center"/>
              <w:rPr>
                <w:rFonts w:ascii="宋体" w:hAnsi="宋体"/>
                <w:bCs/>
                <w:highlight w:val="none"/>
              </w:rPr>
            </w:pPr>
          </w:p>
        </w:tc>
        <w:tc>
          <w:tcPr>
            <w:tcW w:w="708" w:type="dxa"/>
            <w:noWrap w:val="0"/>
            <w:vAlign w:val="center"/>
          </w:tcPr>
          <w:p w14:paraId="05C19248">
            <w:pPr>
              <w:jc w:val="center"/>
              <w:rPr>
                <w:rFonts w:ascii="宋体" w:hAnsi="宋体"/>
                <w:bCs/>
                <w:highlight w:val="none"/>
              </w:rPr>
            </w:pPr>
          </w:p>
        </w:tc>
        <w:tc>
          <w:tcPr>
            <w:tcW w:w="1276" w:type="dxa"/>
            <w:noWrap w:val="0"/>
            <w:vAlign w:val="center"/>
          </w:tcPr>
          <w:p w14:paraId="3BF42A6D">
            <w:pPr>
              <w:jc w:val="center"/>
              <w:rPr>
                <w:rFonts w:ascii="宋体" w:hAnsi="宋体"/>
                <w:bCs/>
                <w:highlight w:val="none"/>
              </w:rPr>
            </w:pPr>
          </w:p>
        </w:tc>
        <w:tc>
          <w:tcPr>
            <w:tcW w:w="1112" w:type="dxa"/>
            <w:noWrap w:val="0"/>
            <w:vAlign w:val="center"/>
          </w:tcPr>
          <w:p w14:paraId="75B09C9E">
            <w:pPr>
              <w:jc w:val="center"/>
              <w:rPr>
                <w:rFonts w:ascii="宋体" w:hAnsi="宋体"/>
                <w:bCs/>
                <w:highlight w:val="none"/>
              </w:rPr>
            </w:pPr>
          </w:p>
        </w:tc>
      </w:tr>
      <w:tr w14:paraId="1FE4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49F8A696">
            <w:pPr>
              <w:jc w:val="center"/>
              <w:rPr>
                <w:rFonts w:ascii="宋体" w:hAnsi="宋体"/>
                <w:bCs/>
                <w:highlight w:val="none"/>
              </w:rPr>
            </w:pPr>
          </w:p>
        </w:tc>
        <w:tc>
          <w:tcPr>
            <w:tcW w:w="1336" w:type="dxa"/>
            <w:noWrap w:val="0"/>
            <w:vAlign w:val="center"/>
          </w:tcPr>
          <w:p w14:paraId="581412B6">
            <w:pPr>
              <w:jc w:val="center"/>
              <w:rPr>
                <w:rFonts w:ascii="宋体" w:hAnsi="宋体"/>
                <w:bCs/>
                <w:highlight w:val="none"/>
              </w:rPr>
            </w:pPr>
          </w:p>
        </w:tc>
        <w:tc>
          <w:tcPr>
            <w:tcW w:w="1321" w:type="dxa"/>
            <w:noWrap w:val="0"/>
            <w:vAlign w:val="center"/>
          </w:tcPr>
          <w:p w14:paraId="31E507DB">
            <w:pPr>
              <w:jc w:val="center"/>
              <w:rPr>
                <w:rFonts w:ascii="宋体" w:hAnsi="宋体"/>
                <w:bCs/>
                <w:highlight w:val="none"/>
              </w:rPr>
            </w:pPr>
          </w:p>
        </w:tc>
        <w:tc>
          <w:tcPr>
            <w:tcW w:w="590" w:type="dxa"/>
            <w:noWrap w:val="0"/>
            <w:vAlign w:val="center"/>
          </w:tcPr>
          <w:p w14:paraId="7C7017BE">
            <w:pPr>
              <w:jc w:val="center"/>
              <w:rPr>
                <w:rFonts w:ascii="宋体" w:hAnsi="宋体"/>
                <w:bCs/>
                <w:highlight w:val="none"/>
              </w:rPr>
            </w:pPr>
          </w:p>
        </w:tc>
        <w:tc>
          <w:tcPr>
            <w:tcW w:w="850" w:type="dxa"/>
            <w:noWrap w:val="0"/>
            <w:vAlign w:val="center"/>
          </w:tcPr>
          <w:p w14:paraId="4FFE95A3">
            <w:pPr>
              <w:jc w:val="center"/>
              <w:rPr>
                <w:rFonts w:ascii="宋体" w:hAnsi="宋体"/>
                <w:bCs/>
                <w:highlight w:val="none"/>
              </w:rPr>
            </w:pPr>
          </w:p>
        </w:tc>
        <w:tc>
          <w:tcPr>
            <w:tcW w:w="920" w:type="dxa"/>
            <w:noWrap w:val="0"/>
            <w:vAlign w:val="center"/>
          </w:tcPr>
          <w:p w14:paraId="7A806342">
            <w:pPr>
              <w:jc w:val="center"/>
              <w:rPr>
                <w:rFonts w:ascii="宋体" w:hAnsi="宋体"/>
                <w:bCs/>
                <w:highlight w:val="none"/>
              </w:rPr>
            </w:pPr>
          </w:p>
        </w:tc>
        <w:tc>
          <w:tcPr>
            <w:tcW w:w="1065" w:type="dxa"/>
            <w:noWrap w:val="0"/>
            <w:vAlign w:val="center"/>
          </w:tcPr>
          <w:p w14:paraId="63471BD5">
            <w:pPr>
              <w:jc w:val="center"/>
              <w:rPr>
                <w:rFonts w:ascii="宋体" w:hAnsi="宋体"/>
                <w:bCs/>
                <w:highlight w:val="none"/>
              </w:rPr>
            </w:pPr>
          </w:p>
        </w:tc>
        <w:tc>
          <w:tcPr>
            <w:tcW w:w="708" w:type="dxa"/>
            <w:noWrap w:val="0"/>
            <w:vAlign w:val="center"/>
          </w:tcPr>
          <w:p w14:paraId="25787F04">
            <w:pPr>
              <w:jc w:val="center"/>
              <w:rPr>
                <w:rFonts w:ascii="宋体" w:hAnsi="宋体"/>
                <w:bCs/>
                <w:highlight w:val="none"/>
              </w:rPr>
            </w:pPr>
          </w:p>
        </w:tc>
        <w:tc>
          <w:tcPr>
            <w:tcW w:w="1276" w:type="dxa"/>
            <w:noWrap w:val="0"/>
            <w:vAlign w:val="center"/>
          </w:tcPr>
          <w:p w14:paraId="06AF6471">
            <w:pPr>
              <w:jc w:val="center"/>
              <w:rPr>
                <w:rFonts w:ascii="宋体" w:hAnsi="宋体"/>
                <w:bCs/>
                <w:highlight w:val="none"/>
              </w:rPr>
            </w:pPr>
          </w:p>
        </w:tc>
        <w:tc>
          <w:tcPr>
            <w:tcW w:w="1112" w:type="dxa"/>
            <w:noWrap w:val="0"/>
            <w:vAlign w:val="center"/>
          </w:tcPr>
          <w:p w14:paraId="7661603E">
            <w:pPr>
              <w:jc w:val="center"/>
              <w:rPr>
                <w:rFonts w:ascii="宋体" w:hAnsi="宋体"/>
                <w:bCs/>
                <w:highlight w:val="none"/>
              </w:rPr>
            </w:pPr>
          </w:p>
        </w:tc>
      </w:tr>
      <w:tr w14:paraId="1363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5C79DE7A">
            <w:pPr>
              <w:jc w:val="center"/>
              <w:rPr>
                <w:rFonts w:ascii="宋体" w:hAnsi="宋体"/>
                <w:bCs/>
                <w:highlight w:val="none"/>
              </w:rPr>
            </w:pPr>
          </w:p>
        </w:tc>
        <w:tc>
          <w:tcPr>
            <w:tcW w:w="1336" w:type="dxa"/>
            <w:noWrap w:val="0"/>
            <w:vAlign w:val="center"/>
          </w:tcPr>
          <w:p w14:paraId="4564AB5C">
            <w:pPr>
              <w:jc w:val="center"/>
              <w:rPr>
                <w:rFonts w:ascii="宋体" w:hAnsi="宋体"/>
                <w:bCs/>
                <w:highlight w:val="none"/>
              </w:rPr>
            </w:pPr>
          </w:p>
        </w:tc>
        <w:tc>
          <w:tcPr>
            <w:tcW w:w="1321" w:type="dxa"/>
            <w:noWrap w:val="0"/>
            <w:vAlign w:val="center"/>
          </w:tcPr>
          <w:p w14:paraId="7065FADB">
            <w:pPr>
              <w:jc w:val="center"/>
              <w:rPr>
                <w:rFonts w:ascii="宋体" w:hAnsi="宋体"/>
                <w:bCs/>
                <w:highlight w:val="none"/>
              </w:rPr>
            </w:pPr>
          </w:p>
        </w:tc>
        <w:tc>
          <w:tcPr>
            <w:tcW w:w="590" w:type="dxa"/>
            <w:noWrap w:val="0"/>
            <w:vAlign w:val="center"/>
          </w:tcPr>
          <w:p w14:paraId="7ABFF3C1">
            <w:pPr>
              <w:jc w:val="center"/>
              <w:rPr>
                <w:rFonts w:ascii="宋体" w:hAnsi="宋体"/>
                <w:bCs/>
                <w:highlight w:val="none"/>
              </w:rPr>
            </w:pPr>
          </w:p>
        </w:tc>
        <w:tc>
          <w:tcPr>
            <w:tcW w:w="850" w:type="dxa"/>
            <w:noWrap w:val="0"/>
            <w:vAlign w:val="center"/>
          </w:tcPr>
          <w:p w14:paraId="7B5306D9">
            <w:pPr>
              <w:jc w:val="center"/>
              <w:rPr>
                <w:rFonts w:ascii="宋体" w:hAnsi="宋体"/>
                <w:bCs/>
                <w:highlight w:val="none"/>
              </w:rPr>
            </w:pPr>
          </w:p>
        </w:tc>
        <w:tc>
          <w:tcPr>
            <w:tcW w:w="920" w:type="dxa"/>
            <w:noWrap w:val="0"/>
            <w:vAlign w:val="center"/>
          </w:tcPr>
          <w:p w14:paraId="6F3C717C">
            <w:pPr>
              <w:jc w:val="center"/>
              <w:rPr>
                <w:rFonts w:ascii="宋体" w:hAnsi="宋体"/>
                <w:bCs/>
                <w:highlight w:val="none"/>
              </w:rPr>
            </w:pPr>
          </w:p>
        </w:tc>
        <w:tc>
          <w:tcPr>
            <w:tcW w:w="1065" w:type="dxa"/>
            <w:noWrap w:val="0"/>
            <w:vAlign w:val="center"/>
          </w:tcPr>
          <w:p w14:paraId="76F098F0">
            <w:pPr>
              <w:jc w:val="center"/>
              <w:rPr>
                <w:rFonts w:ascii="宋体" w:hAnsi="宋体"/>
                <w:bCs/>
                <w:highlight w:val="none"/>
              </w:rPr>
            </w:pPr>
          </w:p>
        </w:tc>
        <w:tc>
          <w:tcPr>
            <w:tcW w:w="708" w:type="dxa"/>
            <w:noWrap w:val="0"/>
            <w:vAlign w:val="center"/>
          </w:tcPr>
          <w:p w14:paraId="48E9B16A">
            <w:pPr>
              <w:jc w:val="center"/>
              <w:rPr>
                <w:rFonts w:ascii="宋体" w:hAnsi="宋体"/>
                <w:bCs/>
                <w:highlight w:val="none"/>
              </w:rPr>
            </w:pPr>
          </w:p>
        </w:tc>
        <w:tc>
          <w:tcPr>
            <w:tcW w:w="1276" w:type="dxa"/>
            <w:noWrap w:val="0"/>
            <w:vAlign w:val="center"/>
          </w:tcPr>
          <w:p w14:paraId="0CCAFBD5">
            <w:pPr>
              <w:jc w:val="center"/>
              <w:rPr>
                <w:rFonts w:ascii="宋体" w:hAnsi="宋体"/>
                <w:bCs/>
                <w:highlight w:val="none"/>
              </w:rPr>
            </w:pPr>
          </w:p>
        </w:tc>
        <w:tc>
          <w:tcPr>
            <w:tcW w:w="1112" w:type="dxa"/>
            <w:noWrap w:val="0"/>
            <w:vAlign w:val="center"/>
          </w:tcPr>
          <w:p w14:paraId="19AF1BDB">
            <w:pPr>
              <w:jc w:val="center"/>
              <w:rPr>
                <w:rFonts w:ascii="宋体" w:hAnsi="宋体"/>
                <w:bCs/>
                <w:highlight w:val="none"/>
              </w:rPr>
            </w:pPr>
          </w:p>
        </w:tc>
      </w:tr>
      <w:tr w14:paraId="0940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2CEA7AAE">
            <w:pPr>
              <w:jc w:val="center"/>
              <w:rPr>
                <w:rFonts w:ascii="宋体" w:hAnsi="宋体"/>
                <w:bCs/>
                <w:highlight w:val="none"/>
              </w:rPr>
            </w:pPr>
          </w:p>
        </w:tc>
        <w:tc>
          <w:tcPr>
            <w:tcW w:w="1336" w:type="dxa"/>
            <w:noWrap w:val="0"/>
            <w:vAlign w:val="center"/>
          </w:tcPr>
          <w:p w14:paraId="5AC53F2C">
            <w:pPr>
              <w:jc w:val="center"/>
              <w:rPr>
                <w:rFonts w:ascii="宋体" w:hAnsi="宋体"/>
                <w:bCs/>
                <w:highlight w:val="none"/>
              </w:rPr>
            </w:pPr>
          </w:p>
        </w:tc>
        <w:tc>
          <w:tcPr>
            <w:tcW w:w="1321" w:type="dxa"/>
            <w:noWrap w:val="0"/>
            <w:vAlign w:val="center"/>
          </w:tcPr>
          <w:p w14:paraId="47DFCCAB">
            <w:pPr>
              <w:jc w:val="center"/>
              <w:rPr>
                <w:rFonts w:ascii="宋体" w:hAnsi="宋体"/>
                <w:bCs/>
                <w:highlight w:val="none"/>
              </w:rPr>
            </w:pPr>
          </w:p>
        </w:tc>
        <w:tc>
          <w:tcPr>
            <w:tcW w:w="590" w:type="dxa"/>
            <w:noWrap w:val="0"/>
            <w:vAlign w:val="center"/>
          </w:tcPr>
          <w:p w14:paraId="49389FE5">
            <w:pPr>
              <w:jc w:val="center"/>
              <w:rPr>
                <w:rFonts w:ascii="宋体" w:hAnsi="宋体"/>
                <w:bCs/>
                <w:highlight w:val="none"/>
              </w:rPr>
            </w:pPr>
          </w:p>
        </w:tc>
        <w:tc>
          <w:tcPr>
            <w:tcW w:w="850" w:type="dxa"/>
            <w:noWrap w:val="0"/>
            <w:vAlign w:val="center"/>
          </w:tcPr>
          <w:p w14:paraId="6D448979">
            <w:pPr>
              <w:jc w:val="center"/>
              <w:rPr>
                <w:rFonts w:ascii="宋体" w:hAnsi="宋体"/>
                <w:bCs/>
                <w:highlight w:val="none"/>
              </w:rPr>
            </w:pPr>
          </w:p>
        </w:tc>
        <w:tc>
          <w:tcPr>
            <w:tcW w:w="920" w:type="dxa"/>
            <w:noWrap w:val="0"/>
            <w:vAlign w:val="center"/>
          </w:tcPr>
          <w:p w14:paraId="5CA290D0">
            <w:pPr>
              <w:jc w:val="center"/>
              <w:rPr>
                <w:rFonts w:ascii="宋体" w:hAnsi="宋体"/>
                <w:bCs/>
                <w:highlight w:val="none"/>
              </w:rPr>
            </w:pPr>
          </w:p>
        </w:tc>
        <w:tc>
          <w:tcPr>
            <w:tcW w:w="1065" w:type="dxa"/>
            <w:noWrap w:val="0"/>
            <w:vAlign w:val="center"/>
          </w:tcPr>
          <w:p w14:paraId="288B0862">
            <w:pPr>
              <w:jc w:val="center"/>
              <w:rPr>
                <w:rFonts w:ascii="宋体" w:hAnsi="宋体"/>
                <w:bCs/>
                <w:highlight w:val="none"/>
              </w:rPr>
            </w:pPr>
          </w:p>
        </w:tc>
        <w:tc>
          <w:tcPr>
            <w:tcW w:w="708" w:type="dxa"/>
            <w:noWrap w:val="0"/>
            <w:vAlign w:val="center"/>
          </w:tcPr>
          <w:p w14:paraId="1C044CF5">
            <w:pPr>
              <w:jc w:val="center"/>
              <w:rPr>
                <w:rFonts w:ascii="宋体" w:hAnsi="宋体"/>
                <w:bCs/>
                <w:highlight w:val="none"/>
              </w:rPr>
            </w:pPr>
          </w:p>
        </w:tc>
        <w:tc>
          <w:tcPr>
            <w:tcW w:w="1276" w:type="dxa"/>
            <w:noWrap w:val="0"/>
            <w:vAlign w:val="center"/>
          </w:tcPr>
          <w:p w14:paraId="5D7013F1">
            <w:pPr>
              <w:jc w:val="center"/>
              <w:rPr>
                <w:rFonts w:ascii="宋体" w:hAnsi="宋体"/>
                <w:bCs/>
                <w:highlight w:val="none"/>
              </w:rPr>
            </w:pPr>
          </w:p>
        </w:tc>
        <w:tc>
          <w:tcPr>
            <w:tcW w:w="1112" w:type="dxa"/>
            <w:noWrap w:val="0"/>
            <w:vAlign w:val="center"/>
          </w:tcPr>
          <w:p w14:paraId="2AC7EF47">
            <w:pPr>
              <w:jc w:val="center"/>
              <w:rPr>
                <w:rFonts w:ascii="宋体" w:hAnsi="宋体"/>
                <w:bCs/>
                <w:highlight w:val="none"/>
              </w:rPr>
            </w:pPr>
          </w:p>
        </w:tc>
      </w:tr>
      <w:tr w14:paraId="08AD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4340FC37">
            <w:pPr>
              <w:jc w:val="center"/>
              <w:rPr>
                <w:rFonts w:ascii="宋体" w:hAnsi="宋体"/>
                <w:bCs/>
                <w:highlight w:val="none"/>
              </w:rPr>
            </w:pPr>
          </w:p>
        </w:tc>
        <w:tc>
          <w:tcPr>
            <w:tcW w:w="1336" w:type="dxa"/>
            <w:noWrap w:val="0"/>
            <w:vAlign w:val="center"/>
          </w:tcPr>
          <w:p w14:paraId="0BE6F4C5">
            <w:pPr>
              <w:jc w:val="center"/>
              <w:rPr>
                <w:rFonts w:ascii="宋体" w:hAnsi="宋体"/>
                <w:bCs/>
                <w:highlight w:val="none"/>
              </w:rPr>
            </w:pPr>
          </w:p>
        </w:tc>
        <w:tc>
          <w:tcPr>
            <w:tcW w:w="1321" w:type="dxa"/>
            <w:noWrap w:val="0"/>
            <w:vAlign w:val="center"/>
          </w:tcPr>
          <w:p w14:paraId="43B934C3">
            <w:pPr>
              <w:jc w:val="center"/>
              <w:rPr>
                <w:rFonts w:ascii="宋体" w:hAnsi="宋体"/>
                <w:bCs/>
                <w:highlight w:val="none"/>
              </w:rPr>
            </w:pPr>
          </w:p>
        </w:tc>
        <w:tc>
          <w:tcPr>
            <w:tcW w:w="590" w:type="dxa"/>
            <w:noWrap w:val="0"/>
            <w:vAlign w:val="center"/>
          </w:tcPr>
          <w:p w14:paraId="7B950F6C">
            <w:pPr>
              <w:jc w:val="center"/>
              <w:rPr>
                <w:rFonts w:ascii="宋体" w:hAnsi="宋体"/>
                <w:bCs/>
                <w:highlight w:val="none"/>
              </w:rPr>
            </w:pPr>
          </w:p>
        </w:tc>
        <w:tc>
          <w:tcPr>
            <w:tcW w:w="850" w:type="dxa"/>
            <w:noWrap w:val="0"/>
            <w:vAlign w:val="center"/>
          </w:tcPr>
          <w:p w14:paraId="4A292F2E">
            <w:pPr>
              <w:jc w:val="center"/>
              <w:rPr>
                <w:rFonts w:ascii="宋体" w:hAnsi="宋体"/>
                <w:bCs/>
                <w:highlight w:val="none"/>
              </w:rPr>
            </w:pPr>
          </w:p>
        </w:tc>
        <w:tc>
          <w:tcPr>
            <w:tcW w:w="920" w:type="dxa"/>
            <w:noWrap w:val="0"/>
            <w:vAlign w:val="center"/>
          </w:tcPr>
          <w:p w14:paraId="7F140CA0">
            <w:pPr>
              <w:jc w:val="center"/>
              <w:rPr>
                <w:rFonts w:ascii="宋体" w:hAnsi="宋体"/>
                <w:bCs/>
                <w:highlight w:val="none"/>
              </w:rPr>
            </w:pPr>
          </w:p>
        </w:tc>
        <w:tc>
          <w:tcPr>
            <w:tcW w:w="1065" w:type="dxa"/>
            <w:noWrap w:val="0"/>
            <w:vAlign w:val="center"/>
          </w:tcPr>
          <w:p w14:paraId="580C09D6">
            <w:pPr>
              <w:jc w:val="center"/>
              <w:rPr>
                <w:rFonts w:ascii="宋体" w:hAnsi="宋体"/>
                <w:bCs/>
                <w:highlight w:val="none"/>
              </w:rPr>
            </w:pPr>
          </w:p>
        </w:tc>
        <w:tc>
          <w:tcPr>
            <w:tcW w:w="708" w:type="dxa"/>
            <w:noWrap w:val="0"/>
            <w:vAlign w:val="center"/>
          </w:tcPr>
          <w:p w14:paraId="6BF96B11">
            <w:pPr>
              <w:jc w:val="center"/>
              <w:rPr>
                <w:rFonts w:ascii="宋体" w:hAnsi="宋体"/>
                <w:bCs/>
                <w:highlight w:val="none"/>
              </w:rPr>
            </w:pPr>
          </w:p>
        </w:tc>
        <w:tc>
          <w:tcPr>
            <w:tcW w:w="1276" w:type="dxa"/>
            <w:noWrap w:val="0"/>
            <w:vAlign w:val="center"/>
          </w:tcPr>
          <w:p w14:paraId="4CDE9484">
            <w:pPr>
              <w:jc w:val="center"/>
              <w:rPr>
                <w:rFonts w:ascii="宋体" w:hAnsi="宋体"/>
                <w:bCs/>
                <w:highlight w:val="none"/>
              </w:rPr>
            </w:pPr>
          </w:p>
        </w:tc>
        <w:tc>
          <w:tcPr>
            <w:tcW w:w="1112" w:type="dxa"/>
            <w:noWrap w:val="0"/>
            <w:vAlign w:val="center"/>
          </w:tcPr>
          <w:p w14:paraId="4FF2B239">
            <w:pPr>
              <w:jc w:val="center"/>
              <w:rPr>
                <w:rFonts w:ascii="宋体" w:hAnsi="宋体"/>
                <w:bCs/>
                <w:highlight w:val="none"/>
              </w:rPr>
            </w:pPr>
          </w:p>
        </w:tc>
      </w:tr>
      <w:tr w14:paraId="713B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02D21C8B">
            <w:pPr>
              <w:jc w:val="center"/>
              <w:rPr>
                <w:rFonts w:ascii="宋体" w:hAnsi="宋体"/>
                <w:bCs/>
                <w:highlight w:val="none"/>
              </w:rPr>
            </w:pPr>
          </w:p>
        </w:tc>
        <w:tc>
          <w:tcPr>
            <w:tcW w:w="1336" w:type="dxa"/>
            <w:noWrap w:val="0"/>
            <w:vAlign w:val="center"/>
          </w:tcPr>
          <w:p w14:paraId="7D54AC29">
            <w:pPr>
              <w:jc w:val="center"/>
              <w:rPr>
                <w:rFonts w:ascii="宋体" w:hAnsi="宋体"/>
                <w:bCs/>
                <w:highlight w:val="none"/>
              </w:rPr>
            </w:pPr>
          </w:p>
        </w:tc>
        <w:tc>
          <w:tcPr>
            <w:tcW w:w="1321" w:type="dxa"/>
            <w:noWrap w:val="0"/>
            <w:vAlign w:val="center"/>
          </w:tcPr>
          <w:p w14:paraId="1E48648A">
            <w:pPr>
              <w:jc w:val="center"/>
              <w:rPr>
                <w:rFonts w:ascii="宋体" w:hAnsi="宋体"/>
                <w:bCs/>
                <w:highlight w:val="none"/>
              </w:rPr>
            </w:pPr>
          </w:p>
        </w:tc>
        <w:tc>
          <w:tcPr>
            <w:tcW w:w="590" w:type="dxa"/>
            <w:noWrap w:val="0"/>
            <w:vAlign w:val="center"/>
          </w:tcPr>
          <w:p w14:paraId="4B63D86B">
            <w:pPr>
              <w:jc w:val="center"/>
              <w:rPr>
                <w:rFonts w:ascii="宋体" w:hAnsi="宋体"/>
                <w:bCs/>
                <w:highlight w:val="none"/>
              </w:rPr>
            </w:pPr>
          </w:p>
        </w:tc>
        <w:tc>
          <w:tcPr>
            <w:tcW w:w="850" w:type="dxa"/>
            <w:noWrap w:val="0"/>
            <w:vAlign w:val="center"/>
          </w:tcPr>
          <w:p w14:paraId="427DD488">
            <w:pPr>
              <w:jc w:val="center"/>
              <w:rPr>
                <w:rFonts w:ascii="宋体" w:hAnsi="宋体"/>
                <w:bCs/>
                <w:highlight w:val="none"/>
              </w:rPr>
            </w:pPr>
          </w:p>
        </w:tc>
        <w:tc>
          <w:tcPr>
            <w:tcW w:w="920" w:type="dxa"/>
            <w:noWrap w:val="0"/>
            <w:vAlign w:val="center"/>
          </w:tcPr>
          <w:p w14:paraId="03D3869E">
            <w:pPr>
              <w:jc w:val="center"/>
              <w:rPr>
                <w:rFonts w:ascii="宋体" w:hAnsi="宋体"/>
                <w:bCs/>
                <w:highlight w:val="none"/>
              </w:rPr>
            </w:pPr>
          </w:p>
        </w:tc>
        <w:tc>
          <w:tcPr>
            <w:tcW w:w="1065" w:type="dxa"/>
            <w:noWrap w:val="0"/>
            <w:vAlign w:val="center"/>
          </w:tcPr>
          <w:p w14:paraId="7B01C8F6">
            <w:pPr>
              <w:jc w:val="center"/>
              <w:rPr>
                <w:rFonts w:ascii="宋体" w:hAnsi="宋体"/>
                <w:bCs/>
                <w:highlight w:val="none"/>
              </w:rPr>
            </w:pPr>
          </w:p>
        </w:tc>
        <w:tc>
          <w:tcPr>
            <w:tcW w:w="708" w:type="dxa"/>
            <w:noWrap w:val="0"/>
            <w:vAlign w:val="center"/>
          </w:tcPr>
          <w:p w14:paraId="4317B82F">
            <w:pPr>
              <w:jc w:val="center"/>
              <w:rPr>
                <w:rFonts w:ascii="宋体" w:hAnsi="宋体"/>
                <w:bCs/>
                <w:highlight w:val="none"/>
              </w:rPr>
            </w:pPr>
          </w:p>
        </w:tc>
        <w:tc>
          <w:tcPr>
            <w:tcW w:w="1276" w:type="dxa"/>
            <w:noWrap w:val="0"/>
            <w:vAlign w:val="center"/>
          </w:tcPr>
          <w:p w14:paraId="01E12445">
            <w:pPr>
              <w:jc w:val="center"/>
              <w:rPr>
                <w:rFonts w:ascii="宋体" w:hAnsi="宋体"/>
                <w:bCs/>
                <w:highlight w:val="none"/>
              </w:rPr>
            </w:pPr>
          </w:p>
        </w:tc>
        <w:tc>
          <w:tcPr>
            <w:tcW w:w="1112" w:type="dxa"/>
            <w:noWrap w:val="0"/>
            <w:vAlign w:val="center"/>
          </w:tcPr>
          <w:p w14:paraId="7FF2BE8C">
            <w:pPr>
              <w:jc w:val="center"/>
              <w:rPr>
                <w:rFonts w:ascii="宋体" w:hAnsi="宋体"/>
                <w:bCs/>
                <w:highlight w:val="none"/>
              </w:rPr>
            </w:pPr>
          </w:p>
        </w:tc>
      </w:tr>
      <w:tr w14:paraId="4C21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45158754">
            <w:pPr>
              <w:jc w:val="center"/>
              <w:rPr>
                <w:rFonts w:ascii="宋体" w:hAnsi="宋体"/>
                <w:bCs/>
                <w:highlight w:val="none"/>
              </w:rPr>
            </w:pPr>
          </w:p>
        </w:tc>
        <w:tc>
          <w:tcPr>
            <w:tcW w:w="1336" w:type="dxa"/>
            <w:noWrap w:val="0"/>
            <w:vAlign w:val="center"/>
          </w:tcPr>
          <w:p w14:paraId="225D1D29">
            <w:pPr>
              <w:jc w:val="center"/>
              <w:rPr>
                <w:rFonts w:ascii="宋体" w:hAnsi="宋体"/>
                <w:bCs/>
                <w:highlight w:val="none"/>
              </w:rPr>
            </w:pPr>
          </w:p>
        </w:tc>
        <w:tc>
          <w:tcPr>
            <w:tcW w:w="1321" w:type="dxa"/>
            <w:noWrap w:val="0"/>
            <w:vAlign w:val="center"/>
          </w:tcPr>
          <w:p w14:paraId="343EEB45">
            <w:pPr>
              <w:jc w:val="center"/>
              <w:rPr>
                <w:rFonts w:ascii="宋体" w:hAnsi="宋体"/>
                <w:bCs/>
                <w:highlight w:val="none"/>
              </w:rPr>
            </w:pPr>
          </w:p>
        </w:tc>
        <w:tc>
          <w:tcPr>
            <w:tcW w:w="590" w:type="dxa"/>
            <w:noWrap w:val="0"/>
            <w:vAlign w:val="center"/>
          </w:tcPr>
          <w:p w14:paraId="30F72E0F">
            <w:pPr>
              <w:jc w:val="center"/>
              <w:rPr>
                <w:rFonts w:ascii="宋体" w:hAnsi="宋体"/>
                <w:bCs/>
                <w:highlight w:val="none"/>
              </w:rPr>
            </w:pPr>
          </w:p>
        </w:tc>
        <w:tc>
          <w:tcPr>
            <w:tcW w:w="850" w:type="dxa"/>
            <w:noWrap w:val="0"/>
            <w:vAlign w:val="center"/>
          </w:tcPr>
          <w:p w14:paraId="7673B4E8">
            <w:pPr>
              <w:jc w:val="center"/>
              <w:rPr>
                <w:rFonts w:ascii="宋体" w:hAnsi="宋体"/>
                <w:bCs/>
                <w:highlight w:val="none"/>
              </w:rPr>
            </w:pPr>
          </w:p>
        </w:tc>
        <w:tc>
          <w:tcPr>
            <w:tcW w:w="920" w:type="dxa"/>
            <w:noWrap w:val="0"/>
            <w:vAlign w:val="center"/>
          </w:tcPr>
          <w:p w14:paraId="7097BD0A">
            <w:pPr>
              <w:jc w:val="center"/>
              <w:rPr>
                <w:rFonts w:ascii="宋体" w:hAnsi="宋体"/>
                <w:bCs/>
                <w:highlight w:val="none"/>
              </w:rPr>
            </w:pPr>
          </w:p>
        </w:tc>
        <w:tc>
          <w:tcPr>
            <w:tcW w:w="1065" w:type="dxa"/>
            <w:noWrap w:val="0"/>
            <w:vAlign w:val="center"/>
          </w:tcPr>
          <w:p w14:paraId="6B309B2C">
            <w:pPr>
              <w:jc w:val="center"/>
              <w:rPr>
                <w:rFonts w:ascii="宋体" w:hAnsi="宋体"/>
                <w:bCs/>
                <w:highlight w:val="none"/>
              </w:rPr>
            </w:pPr>
          </w:p>
        </w:tc>
        <w:tc>
          <w:tcPr>
            <w:tcW w:w="708" w:type="dxa"/>
            <w:noWrap w:val="0"/>
            <w:vAlign w:val="center"/>
          </w:tcPr>
          <w:p w14:paraId="26E20355">
            <w:pPr>
              <w:jc w:val="center"/>
              <w:rPr>
                <w:rFonts w:ascii="宋体" w:hAnsi="宋体"/>
                <w:bCs/>
                <w:highlight w:val="none"/>
              </w:rPr>
            </w:pPr>
          </w:p>
        </w:tc>
        <w:tc>
          <w:tcPr>
            <w:tcW w:w="1276" w:type="dxa"/>
            <w:noWrap w:val="0"/>
            <w:vAlign w:val="center"/>
          </w:tcPr>
          <w:p w14:paraId="615CB648">
            <w:pPr>
              <w:jc w:val="center"/>
              <w:rPr>
                <w:rFonts w:ascii="宋体" w:hAnsi="宋体"/>
                <w:bCs/>
                <w:highlight w:val="none"/>
              </w:rPr>
            </w:pPr>
          </w:p>
        </w:tc>
        <w:tc>
          <w:tcPr>
            <w:tcW w:w="1112" w:type="dxa"/>
            <w:noWrap w:val="0"/>
            <w:vAlign w:val="center"/>
          </w:tcPr>
          <w:p w14:paraId="56B0C7EC">
            <w:pPr>
              <w:jc w:val="center"/>
              <w:rPr>
                <w:rFonts w:ascii="宋体" w:hAnsi="宋体"/>
                <w:bCs/>
                <w:highlight w:val="none"/>
              </w:rPr>
            </w:pPr>
          </w:p>
        </w:tc>
      </w:tr>
      <w:tr w14:paraId="39A4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359FDF42">
            <w:pPr>
              <w:jc w:val="center"/>
              <w:rPr>
                <w:rFonts w:ascii="宋体" w:hAnsi="宋体"/>
                <w:bCs/>
                <w:highlight w:val="none"/>
              </w:rPr>
            </w:pPr>
          </w:p>
        </w:tc>
        <w:tc>
          <w:tcPr>
            <w:tcW w:w="1336" w:type="dxa"/>
            <w:noWrap w:val="0"/>
            <w:vAlign w:val="center"/>
          </w:tcPr>
          <w:p w14:paraId="06A966C2">
            <w:pPr>
              <w:jc w:val="center"/>
              <w:rPr>
                <w:rFonts w:ascii="宋体" w:hAnsi="宋体"/>
                <w:bCs/>
                <w:highlight w:val="none"/>
              </w:rPr>
            </w:pPr>
          </w:p>
        </w:tc>
        <w:tc>
          <w:tcPr>
            <w:tcW w:w="1321" w:type="dxa"/>
            <w:noWrap w:val="0"/>
            <w:vAlign w:val="center"/>
          </w:tcPr>
          <w:p w14:paraId="49026D67">
            <w:pPr>
              <w:jc w:val="center"/>
              <w:rPr>
                <w:rFonts w:ascii="宋体" w:hAnsi="宋体"/>
                <w:bCs/>
                <w:highlight w:val="none"/>
              </w:rPr>
            </w:pPr>
          </w:p>
        </w:tc>
        <w:tc>
          <w:tcPr>
            <w:tcW w:w="590" w:type="dxa"/>
            <w:noWrap w:val="0"/>
            <w:vAlign w:val="center"/>
          </w:tcPr>
          <w:p w14:paraId="07F59308">
            <w:pPr>
              <w:jc w:val="center"/>
              <w:rPr>
                <w:rFonts w:ascii="宋体" w:hAnsi="宋体"/>
                <w:bCs/>
                <w:highlight w:val="none"/>
              </w:rPr>
            </w:pPr>
          </w:p>
        </w:tc>
        <w:tc>
          <w:tcPr>
            <w:tcW w:w="850" w:type="dxa"/>
            <w:noWrap w:val="0"/>
            <w:vAlign w:val="center"/>
          </w:tcPr>
          <w:p w14:paraId="58886E85">
            <w:pPr>
              <w:jc w:val="center"/>
              <w:rPr>
                <w:rFonts w:ascii="宋体" w:hAnsi="宋体"/>
                <w:bCs/>
                <w:highlight w:val="none"/>
              </w:rPr>
            </w:pPr>
          </w:p>
        </w:tc>
        <w:tc>
          <w:tcPr>
            <w:tcW w:w="920" w:type="dxa"/>
            <w:noWrap w:val="0"/>
            <w:vAlign w:val="center"/>
          </w:tcPr>
          <w:p w14:paraId="27067A40">
            <w:pPr>
              <w:jc w:val="center"/>
              <w:rPr>
                <w:rFonts w:ascii="宋体" w:hAnsi="宋体"/>
                <w:bCs/>
                <w:highlight w:val="none"/>
              </w:rPr>
            </w:pPr>
          </w:p>
        </w:tc>
        <w:tc>
          <w:tcPr>
            <w:tcW w:w="1065" w:type="dxa"/>
            <w:noWrap w:val="0"/>
            <w:vAlign w:val="center"/>
          </w:tcPr>
          <w:p w14:paraId="67340E27">
            <w:pPr>
              <w:jc w:val="center"/>
              <w:rPr>
                <w:rFonts w:ascii="宋体" w:hAnsi="宋体"/>
                <w:bCs/>
                <w:highlight w:val="none"/>
              </w:rPr>
            </w:pPr>
          </w:p>
        </w:tc>
        <w:tc>
          <w:tcPr>
            <w:tcW w:w="708" w:type="dxa"/>
            <w:noWrap w:val="0"/>
            <w:vAlign w:val="center"/>
          </w:tcPr>
          <w:p w14:paraId="7BBCFA5D">
            <w:pPr>
              <w:jc w:val="center"/>
              <w:rPr>
                <w:rFonts w:ascii="宋体" w:hAnsi="宋体"/>
                <w:bCs/>
                <w:highlight w:val="none"/>
              </w:rPr>
            </w:pPr>
          </w:p>
        </w:tc>
        <w:tc>
          <w:tcPr>
            <w:tcW w:w="1276" w:type="dxa"/>
            <w:noWrap w:val="0"/>
            <w:vAlign w:val="center"/>
          </w:tcPr>
          <w:p w14:paraId="718FBD77">
            <w:pPr>
              <w:jc w:val="center"/>
              <w:rPr>
                <w:rFonts w:ascii="宋体" w:hAnsi="宋体"/>
                <w:bCs/>
                <w:highlight w:val="none"/>
              </w:rPr>
            </w:pPr>
          </w:p>
        </w:tc>
        <w:tc>
          <w:tcPr>
            <w:tcW w:w="1112" w:type="dxa"/>
            <w:noWrap w:val="0"/>
            <w:vAlign w:val="center"/>
          </w:tcPr>
          <w:p w14:paraId="0732B257">
            <w:pPr>
              <w:jc w:val="center"/>
              <w:rPr>
                <w:rFonts w:ascii="宋体" w:hAnsi="宋体"/>
                <w:bCs/>
                <w:highlight w:val="none"/>
              </w:rPr>
            </w:pPr>
          </w:p>
        </w:tc>
      </w:tr>
      <w:tr w14:paraId="7FE0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5B2DC8D3">
            <w:pPr>
              <w:jc w:val="center"/>
              <w:rPr>
                <w:rFonts w:ascii="宋体" w:hAnsi="宋体"/>
                <w:bCs/>
                <w:highlight w:val="none"/>
              </w:rPr>
            </w:pPr>
          </w:p>
        </w:tc>
        <w:tc>
          <w:tcPr>
            <w:tcW w:w="1336" w:type="dxa"/>
            <w:noWrap w:val="0"/>
            <w:vAlign w:val="center"/>
          </w:tcPr>
          <w:p w14:paraId="230E98C5">
            <w:pPr>
              <w:jc w:val="center"/>
              <w:rPr>
                <w:rFonts w:ascii="宋体" w:hAnsi="宋体"/>
                <w:bCs/>
                <w:highlight w:val="none"/>
              </w:rPr>
            </w:pPr>
          </w:p>
        </w:tc>
        <w:tc>
          <w:tcPr>
            <w:tcW w:w="1321" w:type="dxa"/>
            <w:noWrap w:val="0"/>
            <w:vAlign w:val="center"/>
          </w:tcPr>
          <w:p w14:paraId="6974CB92">
            <w:pPr>
              <w:jc w:val="center"/>
              <w:rPr>
                <w:rFonts w:ascii="宋体" w:hAnsi="宋体"/>
                <w:bCs/>
                <w:highlight w:val="none"/>
              </w:rPr>
            </w:pPr>
          </w:p>
        </w:tc>
        <w:tc>
          <w:tcPr>
            <w:tcW w:w="590" w:type="dxa"/>
            <w:noWrap w:val="0"/>
            <w:vAlign w:val="center"/>
          </w:tcPr>
          <w:p w14:paraId="6165A106">
            <w:pPr>
              <w:jc w:val="center"/>
              <w:rPr>
                <w:rFonts w:ascii="宋体" w:hAnsi="宋体"/>
                <w:bCs/>
                <w:highlight w:val="none"/>
              </w:rPr>
            </w:pPr>
          </w:p>
        </w:tc>
        <w:tc>
          <w:tcPr>
            <w:tcW w:w="850" w:type="dxa"/>
            <w:noWrap w:val="0"/>
            <w:vAlign w:val="center"/>
          </w:tcPr>
          <w:p w14:paraId="60156B79">
            <w:pPr>
              <w:jc w:val="center"/>
              <w:rPr>
                <w:rFonts w:ascii="宋体" w:hAnsi="宋体"/>
                <w:bCs/>
                <w:highlight w:val="none"/>
              </w:rPr>
            </w:pPr>
          </w:p>
        </w:tc>
        <w:tc>
          <w:tcPr>
            <w:tcW w:w="920" w:type="dxa"/>
            <w:noWrap w:val="0"/>
            <w:vAlign w:val="center"/>
          </w:tcPr>
          <w:p w14:paraId="7CFCA1B9">
            <w:pPr>
              <w:jc w:val="center"/>
              <w:rPr>
                <w:rFonts w:ascii="宋体" w:hAnsi="宋体"/>
                <w:bCs/>
                <w:highlight w:val="none"/>
              </w:rPr>
            </w:pPr>
          </w:p>
        </w:tc>
        <w:tc>
          <w:tcPr>
            <w:tcW w:w="1065" w:type="dxa"/>
            <w:noWrap w:val="0"/>
            <w:vAlign w:val="center"/>
          </w:tcPr>
          <w:p w14:paraId="4306FBF6">
            <w:pPr>
              <w:jc w:val="center"/>
              <w:rPr>
                <w:rFonts w:ascii="宋体" w:hAnsi="宋体"/>
                <w:bCs/>
                <w:highlight w:val="none"/>
              </w:rPr>
            </w:pPr>
          </w:p>
        </w:tc>
        <w:tc>
          <w:tcPr>
            <w:tcW w:w="708" w:type="dxa"/>
            <w:noWrap w:val="0"/>
            <w:vAlign w:val="center"/>
          </w:tcPr>
          <w:p w14:paraId="4CC6D3A4">
            <w:pPr>
              <w:jc w:val="center"/>
              <w:rPr>
                <w:rFonts w:ascii="宋体" w:hAnsi="宋体"/>
                <w:bCs/>
                <w:highlight w:val="none"/>
              </w:rPr>
            </w:pPr>
          </w:p>
        </w:tc>
        <w:tc>
          <w:tcPr>
            <w:tcW w:w="1276" w:type="dxa"/>
            <w:noWrap w:val="0"/>
            <w:vAlign w:val="center"/>
          </w:tcPr>
          <w:p w14:paraId="6DF0896A">
            <w:pPr>
              <w:jc w:val="center"/>
              <w:rPr>
                <w:rFonts w:ascii="宋体" w:hAnsi="宋体"/>
                <w:bCs/>
                <w:highlight w:val="none"/>
              </w:rPr>
            </w:pPr>
          </w:p>
        </w:tc>
        <w:tc>
          <w:tcPr>
            <w:tcW w:w="1112" w:type="dxa"/>
            <w:noWrap w:val="0"/>
            <w:vAlign w:val="center"/>
          </w:tcPr>
          <w:p w14:paraId="5C50CCDD">
            <w:pPr>
              <w:jc w:val="center"/>
              <w:rPr>
                <w:rFonts w:ascii="宋体" w:hAnsi="宋体"/>
                <w:bCs/>
                <w:highlight w:val="none"/>
              </w:rPr>
            </w:pPr>
          </w:p>
        </w:tc>
      </w:tr>
      <w:tr w14:paraId="6BDA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740B4E71">
            <w:pPr>
              <w:jc w:val="center"/>
              <w:rPr>
                <w:rFonts w:ascii="宋体" w:hAnsi="宋体"/>
                <w:bCs/>
                <w:highlight w:val="none"/>
              </w:rPr>
            </w:pPr>
          </w:p>
        </w:tc>
        <w:tc>
          <w:tcPr>
            <w:tcW w:w="1336" w:type="dxa"/>
            <w:noWrap w:val="0"/>
            <w:vAlign w:val="center"/>
          </w:tcPr>
          <w:p w14:paraId="09092276">
            <w:pPr>
              <w:jc w:val="center"/>
              <w:rPr>
                <w:rFonts w:ascii="宋体" w:hAnsi="宋体"/>
                <w:bCs/>
                <w:highlight w:val="none"/>
              </w:rPr>
            </w:pPr>
          </w:p>
        </w:tc>
        <w:tc>
          <w:tcPr>
            <w:tcW w:w="1321" w:type="dxa"/>
            <w:noWrap w:val="0"/>
            <w:vAlign w:val="center"/>
          </w:tcPr>
          <w:p w14:paraId="77861E5F">
            <w:pPr>
              <w:jc w:val="center"/>
              <w:rPr>
                <w:rFonts w:ascii="宋体" w:hAnsi="宋体"/>
                <w:bCs/>
                <w:highlight w:val="none"/>
              </w:rPr>
            </w:pPr>
          </w:p>
        </w:tc>
        <w:tc>
          <w:tcPr>
            <w:tcW w:w="590" w:type="dxa"/>
            <w:noWrap w:val="0"/>
            <w:vAlign w:val="center"/>
          </w:tcPr>
          <w:p w14:paraId="12B00553">
            <w:pPr>
              <w:jc w:val="center"/>
              <w:rPr>
                <w:rFonts w:ascii="宋体" w:hAnsi="宋体"/>
                <w:bCs/>
                <w:highlight w:val="none"/>
              </w:rPr>
            </w:pPr>
          </w:p>
        </w:tc>
        <w:tc>
          <w:tcPr>
            <w:tcW w:w="850" w:type="dxa"/>
            <w:noWrap w:val="0"/>
            <w:vAlign w:val="center"/>
          </w:tcPr>
          <w:p w14:paraId="4622EAA3">
            <w:pPr>
              <w:jc w:val="center"/>
              <w:rPr>
                <w:rFonts w:ascii="宋体" w:hAnsi="宋体"/>
                <w:bCs/>
                <w:highlight w:val="none"/>
              </w:rPr>
            </w:pPr>
          </w:p>
        </w:tc>
        <w:tc>
          <w:tcPr>
            <w:tcW w:w="920" w:type="dxa"/>
            <w:noWrap w:val="0"/>
            <w:vAlign w:val="center"/>
          </w:tcPr>
          <w:p w14:paraId="6EADA77E">
            <w:pPr>
              <w:jc w:val="center"/>
              <w:rPr>
                <w:rFonts w:ascii="宋体" w:hAnsi="宋体"/>
                <w:bCs/>
                <w:highlight w:val="none"/>
              </w:rPr>
            </w:pPr>
          </w:p>
        </w:tc>
        <w:tc>
          <w:tcPr>
            <w:tcW w:w="1065" w:type="dxa"/>
            <w:noWrap w:val="0"/>
            <w:vAlign w:val="center"/>
          </w:tcPr>
          <w:p w14:paraId="0188DD40">
            <w:pPr>
              <w:jc w:val="center"/>
              <w:rPr>
                <w:rFonts w:ascii="宋体" w:hAnsi="宋体"/>
                <w:bCs/>
                <w:highlight w:val="none"/>
              </w:rPr>
            </w:pPr>
          </w:p>
        </w:tc>
        <w:tc>
          <w:tcPr>
            <w:tcW w:w="708" w:type="dxa"/>
            <w:noWrap w:val="0"/>
            <w:vAlign w:val="center"/>
          </w:tcPr>
          <w:p w14:paraId="73EA8FB3">
            <w:pPr>
              <w:jc w:val="center"/>
              <w:rPr>
                <w:rFonts w:ascii="宋体" w:hAnsi="宋体"/>
                <w:bCs/>
                <w:highlight w:val="none"/>
              </w:rPr>
            </w:pPr>
          </w:p>
        </w:tc>
        <w:tc>
          <w:tcPr>
            <w:tcW w:w="1276" w:type="dxa"/>
            <w:noWrap w:val="0"/>
            <w:vAlign w:val="center"/>
          </w:tcPr>
          <w:p w14:paraId="5872A058">
            <w:pPr>
              <w:jc w:val="center"/>
              <w:rPr>
                <w:rFonts w:ascii="宋体" w:hAnsi="宋体"/>
                <w:bCs/>
                <w:highlight w:val="none"/>
              </w:rPr>
            </w:pPr>
          </w:p>
        </w:tc>
        <w:tc>
          <w:tcPr>
            <w:tcW w:w="1112" w:type="dxa"/>
            <w:noWrap w:val="0"/>
            <w:vAlign w:val="center"/>
          </w:tcPr>
          <w:p w14:paraId="22BF3AF5">
            <w:pPr>
              <w:jc w:val="center"/>
              <w:rPr>
                <w:rFonts w:ascii="宋体" w:hAnsi="宋体"/>
                <w:bCs/>
                <w:highlight w:val="none"/>
              </w:rPr>
            </w:pPr>
          </w:p>
        </w:tc>
      </w:tr>
      <w:tr w14:paraId="03F7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500BEDEB">
            <w:pPr>
              <w:jc w:val="center"/>
              <w:rPr>
                <w:rFonts w:ascii="宋体" w:hAnsi="宋体"/>
                <w:bCs/>
                <w:highlight w:val="none"/>
              </w:rPr>
            </w:pPr>
          </w:p>
        </w:tc>
        <w:tc>
          <w:tcPr>
            <w:tcW w:w="1336" w:type="dxa"/>
            <w:noWrap w:val="0"/>
            <w:vAlign w:val="center"/>
          </w:tcPr>
          <w:p w14:paraId="1EF02C6E">
            <w:pPr>
              <w:jc w:val="center"/>
              <w:rPr>
                <w:rFonts w:ascii="宋体" w:hAnsi="宋体"/>
                <w:bCs/>
                <w:highlight w:val="none"/>
              </w:rPr>
            </w:pPr>
          </w:p>
        </w:tc>
        <w:tc>
          <w:tcPr>
            <w:tcW w:w="1321" w:type="dxa"/>
            <w:noWrap w:val="0"/>
            <w:vAlign w:val="center"/>
          </w:tcPr>
          <w:p w14:paraId="3EABCAFB">
            <w:pPr>
              <w:jc w:val="center"/>
              <w:rPr>
                <w:rFonts w:ascii="宋体" w:hAnsi="宋体"/>
                <w:bCs/>
                <w:highlight w:val="none"/>
              </w:rPr>
            </w:pPr>
          </w:p>
        </w:tc>
        <w:tc>
          <w:tcPr>
            <w:tcW w:w="590" w:type="dxa"/>
            <w:noWrap w:val="0"/>
            <w:vAlign w:val="center"/>
          </w:tcPr>
          <w:p w14:paraId="1062A1C3">
            <w:pPr>
              <w:jc w:val="center"/>
              <w:rPr>
                <w:rFonts w:ascii="宋体" w:hAnsi="宋体"/>
                <w:bCs/>
                <w:highlight w:val="none"/>
              </w:rPr>
            </w:pPr>
          </w:p>
        </w:tc>
        <w:tc>
          <w:tcPr>
            <w:tcW w:w="850" w:type="dxa"/>
            <w:noWrap w:val="0"/>
            <w:vAlign w:val="center"/>
          </w:tcPr>
          <w:p w14:paraId="4CD8C091">
            <w:pPr>
              <w:jc w:val="center"/>
              <w:rPr>
                <w:rFonts w:ascii="宋体" w:hAnsi="宋体"/>
                <w:bCs/>
                <w:highlight w:val="none"/>
              </w:rPr>
            </w:pPr>
          </w:p>
        </w:tc>
        <w:tc>
          <w:tcPr>
            <w:tcW w:w="920" w:type="dxa"/>
            <w:noWrap w:val="0"/>
            <w:vAlign w:val="center"/>
          </w:tcPr>
          <w:p w14:paraId="152EBB69">
            <w:pPr>
              <w:jc w:val="center"/>
              <w:rPr>
                <w:rFonts w:ascii="宋体" w:hAnsi="宋体"/>
                <w:bCs/>
                <w:highlight w:val="none"/>
              </w:rPr>
            </w:pPr>
          </w:p>
        </w:tc>
        <w:tc>
          <w:tcPr>
            <w:tcW w:w="1065" w:type="dxa"/>
            <w:noWrap w:val="0"/>
            <w:vAlign w:val="center"/>
          </w:tcPr>
          <w:p w14:paraId="37041245">
            <w:pPr>
              <w:jc w:val="center"/>
              <w:rPr>
                <w:rFonts w:ascii="宋体" w:hAnsi="宋体"/>
                <w:bCs/>
                <w:highlight w:val="none"/>
              </w:rPr>
            </w:pPr>
          </w:p>
        </w:tc>
        <w:tc>
          <w:tcPr>
            <w:tcW w:w="708" w:type="dxa"/>
            <w:noWrap w:val="0"/>
            <w:vAlign w:val="center"/>
          </w:tcPr>
          <w:p w14:paraId="4173ADBF">
            <w:pPr>
              <w:jc w:val="center"/>
              <w:rPr>
                <w:rFonts w:ascii="宋体" w:hAnsi="宋体"/>
                <w:bCs/>
                <w:highlight w:val="none"/>
              </w:rPr>
            </w:pPr>
          </w:p>
        </w:tc>
        <w:tc>
          <w:tcPr>
            <w:tcW w:w="1276" w:type="dxa"/>
            <w:noWrap w:val="0"/>
            <w:vAlign w:val="center"/>
          </w:tcPr>
          <w:p w14:paraId="410D410D">
            <w:pPr>
              <w:jc w:val="center"/>
              <w:rPr>
                <w:rFonts w:ascii="宋体" w:hAnsi="宋体"/>
                <w:bCs/>
                <w:highlight w:val="none"/>
              </w:rPr>
            </w:pPr>
          </w:p>
        </w:tc>
        <w:tc>
          <w:tcPr>
            <w:tcW w:w="1112" w:type="dxa"/>
            <w:noWrap w:val="0"/>
            <w:vAlign w:val="center"/>
          </w:tcPr>
          <w:p w14:paraId="21009D16">
            <w:pPr>
              <w:jc w:val="center"/>
              <w:rPr>
                <w:rFonts w:ascii="宋体" w:hAnsi="宋体"/>
                <w:bCs/>
                <w:highlight w:val="none"/>
              </w:rPr>
            </w:pPr>
          </w:p>
        </w:tc>
      </w:tr>
      <w:tr w14:paraId="2107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3DB549D2">
            <w:pPr>
              <w:jc w:val="center"/>
              <w:rPr>
                <w:rFonts w:ascii="宋体" w:hAnsi="宋体"/>
                <w:bCs/>
                <w:highlight w:val="none"/>
              </w:rPr>
            </w:pPr>
          </w:p>
        </w:tc>
        <w:tc>
          <w:tcPr>
            <w:tcW w:w="1336" w:type="dxa"/>
            <w:noWrap w:val="0"/>
            <w:vAlign w:val="center"/>
          </w:tcPr>
          <w:p w14:paraId="447CFE0D">
            <w:pPr>
              <w:jc w:val="center"/>
              <w:rPr>
                <w:rFonts w:ascii="宋体" w:hAnsi="宋体"/>
                <w:bCs/>
                <w:highlight w:val="none"/>
              </w:rPr>
            </w:pPr>
          </w:p>
        </w:tc>
        <w:tc>
          <w:tcPr>
            <w:tcW w:w="1321" w:type="dxa"/>
            <w:noWrap w:val="0"/>
            <w:vAlign w:val="center"/>
          </w:tcPr>
          <w:p w14:paraId="1E8D4A3B">
            <w:pPr>
              <w:jc w:val="center"/>
              <w:rPr>
                <w:rFonts w:ascii="宋体" w:hAnsi="宋体"/>
                <w:bCs/>
                <w:highlight w:val="none"/>
              </w:rPr>
            </w:pPr>
          </w:p>
        </w:tc>
        <w:tc>
          <w:tcPr>
            <w:tcW w:w="590" w:type="dxa"/>
            <w:noWrap w:val="0"/>
            <w:vAlign w:val="center"/>
          </w:tcPr>
          <w:p w14:paraId="3305C603">
            <w:pPr>
              <w:jc w:val="center"/>
              <w:rPr>
                <w:rFonts w:ascii="宋体" w:hAnsi="宋体"/>
                <w:bCs/>
                <w:highlight w:val="none"/>
              </w:rPr>
            </w:pPr>
          </w:p>
        </w:tc>
        <w:tc>
          <w:tcPr>
            <w:tcW w:w="850" w:type="dxa"/>
            <w:noWrap w:val="0"/>
            <w:vAlign w:val="center"/>
          </w:tcPr>
          <w:p w14:paraId="55D6535D">
            <w:pPr>
              <w:jc w:val="center"/>
              <w:rPr>
                <w:rFonts w:ascii="宋体" w:hAnsi="宋体"/>
                <w:bCs/>
                <w:highlight w:val="none"/>
              </w:rPr>
            </w:pPr>
          </w:p>
        </w:tc>
        <w:tc>
          <w:tcPr>
            <w:tcW w:w="920" w:type="dxa"/>
            <w:noWrap w:val="0"/>
            <w:vAlign w:val="center"/>
          </w:tcPr>
          <w:p w14:paraId="46B688F8">
            <w:pPr>
              <w:jc w:val="center"/>
              <w:rPr>
                <w:rFonts w:ascii="宋体" w:hAnsi="宋体"/>
                <w:bCs/>
                <w:highlight w:val="none"/>
              </w:rPr>
            </w:pPr>
          </w:p>
        </w:tc>
        <w:tc>
          <w:tcPr>
            <w:tcW w:w="1065" w:type="dxa"/>
            <w:noWrap w:val="0"/>
            <w:vAlign w:val="center"/>
          </w:tcPr>
          <w:p w14:paraId="262212AF">
            <w:pPr>
              <w:jc w:val="center"/>
              <w:rPr>
                <w:rFonts w:ascii="宋体" w:hAnsi="宋体"/>
                <w:bCs/>
                <w:highlight w:val="none"/>
              </w:rPr>
            </w:pPr>
          </w:p>
        </w:tc>
        <w:tc>
          <w:tcPr>
            <w:tcW w:w="708" w:type="dxa"/>
            <w:noWrap w:val="0"/>
            <w:vAlign w:val="center"/>
          </w:tcPr>
          <w:p w14:paraId="0FE50FCA">
            <w:pPr>
              <w:jc w:val="center"/>
              <w:rPr>
                <w:rFonts w:ascii="宋体" w:hAnsi="宋体"/>
                <w:bCs/>
                <w:highlight w:val="none"/>
              </w:rPr>
            </w:pPr>
          </w:p>
        </w:tc>
        <w:tc>
          <w:tcPr>
            <w:tcW w:w="1276" w:type="dxa"/>
            <w:noWrap w:val="0"/>
            <w:vAlign w:val="center"/>
          </w:tcPr>
          <w:p w14:paraId="5F1E401D">
            <w:pPr>
              <w:jc w:val="center"/>
              <w:rPr>
                <w:rFonts w:ascii="宋体" w:hAnsi="宋体"/>
                <w:bCs/>
                <w:highlight w:val="none"/>
              </w:rPr>
            </w:pPr>
          </w:p>
        </w:tc>
        <w:tc>
          <w:tcPr>
            <w:tcW w:w="1112" w:type="dxa"/>
            <w:noWrap w:val="0"/>
            <w:vAlign w:val="center"/>
          </w:tcPr>
          <w:p w14:paraId="0C5D2C2B">
            <w:pPr>
              <w:jc w:val="center"/>
              <w:rPr>
                <w:rFonts w:ascii="宋体" w:hAnsi="宋体"/>
                <w:bCs/>
                <w:highlight w:val="none"/>
              </w:rPr>
            </w:pPr>
          </w:p>
        </w:tc>
      </w:tr>
      <w:tr w14:paraId="41B4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22FB4974">
            <w:pPr>
              <w:jc w:val="center"/>
              <w:rPr>
                <w:rFonts w:ascii="宋体" w:hAnsi="宋体"/>
                <w:bCs/>
                <w:highlight w:val="none"/>
              </w:rPr>
            </w:pPr>
          </w:p>
        </w:tc>
        <w:tc>
          <w:tcPr>
            <w:tcW w:w="1336" w:type="dxa"/>
            <w:noWrap w:val="0"/>
            <w:vAlign w:val="center"/>
          </w:tcPr>
          <w:p w14:paraId="008A38CE">
            <w:pPr>
              <w:jc w:val="center"/>
              <w:rPr>
                <w:rFonts w:ascii="宋体" w:hAnsi="宋体"/>
                <w:bCs/>
                <w:highlight w:val="none"/>
              </w:rPr>
            </w:pPr>
          </w:p>
        </w:tc>
        <w:tc>
          <w:tcPr>
            <w:tcW w:w="1321" w:type="dxa"/>
            <w:noWrap w:val="0"/>
            <w:vAlign w:val="center"/>
          </w:tcPr>
          <w:p w14:paraId="5DECD4BD">
            <w:pPr>
              <w:jc w:val="center"/>
              <w:rPr>
                <w:rFonts w:ascii="宋体" w:hAnsi="宋体"/>
                <w:bCs/>
                <w:highlight w:val="none"/>
              </w:rPr>
            </w:pPr>
          </w:p>
        </w:tc>
        <w:tc>
          <w:tcPr>
            <w:tcW w:w="590" w:type="dxa"/>
            <w:noWrap w:val="0"/>
            <w:vAlign w:val="center"/>
          </w:tcPr>
          <w:p w14:paraId="2A9D38E8">
            <w:pPr>
              <w:jc w:val="center"/>
              <w:rPr>
                <w:rFonts w:ascii="宋体" w:hAnsi="宋体"/>
                <w:bCs/>
                <w:highlight w:val="none"/>
              </w:rPr>
            </w:pPr>
          </w:p>
        </w:tc>
        <w:tc>
          <w:tcPr>
            <w:tcW w:w="850" w:type="dxa"/>
            <w:noWrap w:val="0"/>
            <w:vAlign w:val="center"/>
          </w:tcPr>
          <w:p w14:paraId="29603EEC">
            <w:pPr>
              <w:jc w:val="center"/>
              <w:rPr>
                <w:rFonts w:ascii="宋体" w:hAnsi="宋体"/>
                <w:bCs/>
                <w:highlight w:val="none"/>
              </w:rPr>
            </w:pPr>
          </w:p>
        </w:tc>
        <w:tc>
          <w:tcPr>
            <w:tcW w:w="920" w:type="dxa"/>
            <w:noWrap w:val="0"/>
            <w:vAlign w:val="center"/>
          </w:tcPr>
          <w:p w14:paraId="0216ED88">
            <w:pPr>
              <w:jc w:val="center"/>
              <w:rPr>
                <w:rFonts w:ascii="宋体" w:hAnsi="宋体"/>
                <w:bCs/>
                <w:highlight w:val="none"/>
              </w:rPr>
            </w:pPr>
          </w:p>
        </w:tc>
        <w:tc>
          <w:tcPr>
            <w:tcW w:w="1065" w:type="dxa"/>
            <w:noWrap w:val="0"/>
            <w:vAlign w:val="center"/>
          </w:tcPr>
          <w:p w14:paraId="025F265E">
            <w:pPr>
              <w:jc w:val="center"/>
              <w:rPr>
                <w:rFonts w:ascii="宋体" w:hAnsi="宋体"/>
                <w:bCs/>
                <w:highlight w:val="none"/>
              </w:rPr>
            </w:pPr>
          </w:p>
        </w:tc>
        <w:tc>
          <w:tcPr>
            <w:tcW w:w="708" w:type="dxa"/>
            <w:noWrap w:val="0"/>
            <w:vAlign w:val="center"/>
          </w:tcPr>
          <w:p w14:paraId="08D30934">
            <w:pPr>
              <w:jc w:val="center"/>
              <w:rPr>
                <w:rFonts w:ascii="宋体" w:hAnsi="宋体"/>
                <w:bCs/>
                <w:highlight w:val="none"/>
              </w:rPr>
            </w:pPr>
          </w:p>
        </w:tc>
        <w:tc>
          <w:tcPr>
            <w:tcW w:w="1276" w:type="dxa"/>
            <w:noWrap w:val="0"/>
            <w:vAlign w:val="center"/>
          </w:tcPr>
          <w:p w14:paraId="27210CB7">
            <w:pPr>
              <w:jc w:val="center"/>
              <w:rPr>
                <w:rFonts w:ascii="宋体" w:hAnsi="宋体"/>
                <w:bCs/>
                <w:highlight w:val="none"/>
              </w:rPr>
            </w:pPr>
          </w:p>
        </w:tc>
        <w:tc>
          <w:tcPr>
            <w:tcW w:w="1112" w:type="dxa"/>
            <w:noWrap w:val="0"/>
            <w:vAlign w:val="center"/>
          </w:tcPr>
          <w:p w14:paraId="61A612B1">
            <w:pPr>
              <w:jc w:val="center"/>
              <w:rPr>
                <w:rFonts w:ascii="宋体" w:hAnsi="宋体"/>
                <w:bCs/>
                <w:highlight w:val="none"/>
              </w:rPr>
            </w:pPr>
          </w:p>
        </w:tc>
      </w:tr>
      <w:tr w14:paraId="0ABD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5BEDF980">
            <w:pPr>
              <w:jc w:val="center"/>
              <w:rPr>
                <w:rFonts w:ascii="宋体" w:hAnsi="宋体"/>
                <w:bCs/>
                <w:highlight w:val="none"/>
              </w:rPr>
            </w:pPr>
          </w:p>
        </w:tc>
        <w:tc>
          <w:tcPr>
            <w:tcW w:w="1336" w:type="dxa"/>
            <w:noWrap w:val="0"/>
            <w:vAlign w:val="center"/>
          </w:tcPr>
          <w:p w14:paraId="5F11E979">
            <w:pPr>
              <w:jc w:val="center"/>
              <w:rPr>
                <w:rFonts w:ascii="宋体" w:hAnsi="宋体"/>
                <w:bCs/>
                <w:highlight w:val="none"/>
              </w:rPr>
            </w:pPr>
          </w:p>
        </w:tc>
        <w:tc>
          <w:tcPr>
            <w:tcW w:w="1321" w:type="dxa"/>
            <w:noWrap w:val="0"/>
            <w:vAlign w:val="center"/>
          </w:tcPr>
          <w:p w14:paraId="345A0BBD">
            <w:pPr>
              <w:jc w:val="center"/>
              <w:rPr>
                <w:rFonts w:ascii="宋体" w:hAnsi="宋体"/>
                <w:bCs/>
                <w:highlight w:val="none"/>
              </w:rPr>
            </w:pPr>
          </w:p>
        </w:tc>
        <w:tc>
          <w:tcPr>
            <w:tcW w:w="590" w:type="dxa"/>
            <w:noWrap w:val="0"/>
            <w:vAlign w:val="center"/>
          </w:tcPr>
          <w:p w14:paraId="0DD20943">
            <w:pPr>
              <w:jc w:val="center"/>
              <w:rPr>
                <w:rFonts w:ascii="宋体" w:hAnsi="宋体"/>
                <w:bCs/>
                <w:highlight w:val="none"/>
              </w:rPr>
            </w:pPr>
          </w:p>
        </w:tc>
        <w:tc>
          <w:tcPr>
            <w:tcW w:w="850" w:type="dxa"/>
            <w:noWrap w:val="0"/>
            <w:vAlign w:val="center"/>
          </w:tcPr>
          <w:p w14:paraId="18E6E842">
            <w:pPr>
              <w:jc w:val="center"/>
              <w:rPr>
                <w:rFonts w:ascii="宋体" w:hAnsi="宋体"/>
                <w:bCs/>
                <w:highlight w:val="none"/>
              </w:rPr>
            </w:pPr>
          </w:p>
        </w:tc>
        <w:tc>
          <w:tcPr>
            <w:tcW w:w="920" w:type="dxa"/>
            <w:noWrap w:val="0"/>
            <w:vAlign w:val="center"/>
          </w:tcPr>
          <w:p w14:paraId="036B0317">
            <w:pPr>
              <w:jc w:val="center"/>
              <w:rPr>
                <w:rFonts w:ascii="宋体" w:hAnsi="宋体"/>
                <w:bCs/>
                <w:highlight w:val="none"/>
              </w:rPr>
            </w:pPr>
          </w:p>
        </w:tc>
        <w:tc>
          <w:tcPr>
            <w:tcW w:w="1065" w:type="dxa"/>
            <w:noWrap w:val="0"/>
            <w:vAlign w:val="center"/>
          </w:tcPr>
          <w:p w14:paraId="369E29B8">
            <w:pPr>
              <w:jc w:val="center"/>
              <w:rPr>
                <w:rFonts w:ascii="宋体" w:hAnsi="宋体"/>
                <w:bCs/>
                <w:highlight w:val="none"/>
              </w:rPr>
            </w:pPr>
          </w:p>
        </w:tc>
        <w:tc>
          <w:tcPr>
            <w:tcW w:w="708" w:type="dxa"/>
            <w:noWrap w:val="0"/>
            <w:vAlign w:val="center"/>
          </w:tcPr>
          <w:p w14:paraId="51C5A380">
            <w:pPr>
              <w:jc w:val="center"/>
              <w:rPr>
                <w:rFonts w:ascii="宋体" w:hAnsi="宋体"/>
                <w:bCs/>
                <w:highlight w:val="none"/>
              </w:rPr>
            </w:pPr>
          </w:p>
        </w:tc>
        <w:tc>
          <w:tcPr>
            <w:tcW w:w="1276" w:type="dxa"/>
            <w:noWrap w:val="0"/>
            <w:vAlign w:val="center"/>
          </w:tcPr>
          <w:p w14:paraId="0840CBD2">
            <w:pPr>
              <w:jc w:val="center"/>
              <w:rPr>
                <w:rFonts w:ascii="宋体" w:hAnsi="宋体"/>
                <w:bCs/>
                <w:highlight w:val="none"/>
              </w:rPr>
            </w:pPr>
          </w:p>
        </w:tc>
        <w:tc>
          <w:tcPr>
            <w:tcW w:w="1112" w:type="dxa"/>
            <w:noWrap w:val="0"/>
            <w:vAlign w:val="center"/>
          </w:tcPr>
          <w:p w14:paraId="3353F652">
            <w:pPr>
              <w:jc w:val="center"/>
              <w:rPr>
                <w:rFonts w:ascii="宋体" w:hAnsi="宋体"/>
                <w:bCs/>
                <w:highlight w:val="none"/>
              </w:rPr>
            </w:pPr>
          </w:p>
        </w:tc>
      </w:tr>
      <w:tr w14:paraId="5214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9" w:type="dxa"/>
            <w:noWrap w:val="0"/>
            <w:vAlign w:val="center"/>
          </w:tcPr>
          <w:p w14:paraId="61371D2A">
            <w:pPr>
              <w:jc w:val="center"/>
              <w:rPr>
                <w:rFonts w:ascii="宋体" w:hAnsi="宋体"/>
                <w:bCs/>
                <w:highlight w:val="none"/>
              </w:rPr>
            </w:pPr>
          </w:p>
        </w:tc>
        <w:tc>
          <w:tcPr>
            <w:tcW w:w="1336" w:type="dxa"/>
            <w:noWrap w:val="0"/>
            <w:vAlign w:val="center"/>
          </w:tcPr>
          <w:p w14:paraId="4C30D9C3">
            <w:pPr>
              <w:widowControl/>
              <w:jc w:val="center"/>
              <w:rPr>
                <w:rFonts w:ascii="宋体" w:hAnsi="宋体"/>
                <w:bCs/>
                <w:highlight w:val="none"/>
              </w:rPr>
            </w:pPr>
          </w:p>
        </w:tc>
        <w:tc>
          <w:tcPr>
            <w:tcW w:w="1321" w:type="dxa"/>
            <w:noWrap w:val="0"/>
            <w:vAlign w:val="center"/>
          </w:tcPr>
          <w:p w14:paraId="6E3EC6FB">
            <w:pPr>
              <w:widowControl/>
              <w:jc w:val="center"/>
              <w:rPr>
                <w:rFonts w:ascii="宋体" w:hAnsi="宋体"/>
                <w:bCs/>
                <w:color w:val="000000"/>
                <w:kern w:val="0"/>
                <w:highlight w:val="none"/>
              </w:rPr>
            </w:pPr>
          </w:p>
        </w:tc>
        <w:tc>
          <w:tcPr>
            <w:tcW w:w="590" w:type="dxa"/>
            <w:noWrap w:val="0"/>
            <w:vAlign w:val="center"/>
          </w:tcPr>
          <w:p w14:paraId="6313EBC5">
            <w:pPr>
              <w:widowControl/>
              <w:jc w:val="center"/>
              <w:rPr>
                <w:rFonts w:ascii="宋体" w:hAnsi="宋体"/>
                <w:bCs/>
                <w:color w:val="000000"/>
                <w:kern w:val="0"/>
                <w:highlight w:val="none"/>
              </w:rPr>
            </w:pPr>
          </w:p>
        </w:tc>
        <w:tc>
          <w:tcPr>
            <w:tcW w:w="850" w:type="dxa"/>
            <w:noWrap w:val="0"/>
            <w:vAlign w:val="center"/>
          </w:tcPr>
          <w:p w14:paraId="066EFDF0">
            <w:pPr>
              <w:widowControl/>
              <w:jc w:val="center"/>
              <w:rPr>
                <w:rFonts w:ascii="宋体" w:hAnsi="宋体"/>
                <w:bCs/>
                <w:color w:val="000000"/>
                <w:kern w:val="0"/>
                <w:highlight w:val="none"/>
              </w:rPr>
            </w:pPr>
          </w:p>
        </w:tc>
        <w:tc>
          <w:tcPr>
            <w:tcW w:w="920" w:type="dxa"/>
            <w:noWrap w:val="0"/>
            <w:vAlign w:val="center"/>
          </w:tcPr>
          <w:p w14:paraId="4934DC58">
            <w:pPr>
              <w:widowControl/>
              <w:jc w:val="center"/>
              <w:rPr>
                <w:rFonts w:ascii="宋体" w:hAnsi="宋体"/>
                <w:bCs/>
                <w:color w:val="000000"/>
                <w:kern w:val="0"/>
                <w:highlight w:val="none"/>
              </w:rPr>
            </w:pPr>
          </w:p>
        </w:tc>
        <w:tc>
          <w:tcPr>
            <w:tcW w:w="1065" w:type="dxa"/>
            <w:noWrap w:val="0"/>
            <w:vAlign w:val="center"/>
          </w:tcPr>
          <w:p w14:paraId="71833722">
            <w:pPr>
              <w:widowControl/>
              <w:jc w:val="center"/>
              <w:rPr>
                <w:rFonts w:ascii="宋体" w:hAnsi="宋体"/>
                <w:bCs/>
                <w:color w:val="000000"/>
                <w:kern w:val="0"/>
                <w:highlight w:val="none"/>
              </w:rPr>
            </w:pPr>
          </w:p>
        </w:tc>
        <w:tc>
          <w:tcPr>
            <w:tcW w:w="708" w:type="dxa"/>
            <w:noWrap w:val="0"/>
            <w:vAlign w:val="center"/>
          </w:tcPr>
          <w:p w14:paraId="2612F209">
            <w:pPr>
              <w:widowControl/>
              <w:jc w:val="center"/>
              <w:rPr>
                <w:rFonts w:ascii="宋体" w:hAnsi="宋体"/>
                <w:bCs/>
                <w:color w:val="000000"/>
                <w:kern w:val="0"/>
                <w:highlight w:val="none"/>
              </w:rPr>
            </w:pPr>
          </w:p>
        </w:tc>
        <w:tc>
          <w:tcPr>
            <w:tcW w:w="1276" w:type="dxa"/>
            <w:noWrap w:val="0"/>
            <w:vAlign w:val="center"/>
          </w:tcPr>
          <w:p w14:paraId="08C73271">
            <w:pPr>
              <w:widowControl/>
              <w:jc w:val="center"/>
              <w:rPr>
                <w:rFonts w:ascii="宋体" w:hAnsi="宋体"/>
                <w:bCs/>
                <w:color w:val="000000"/>
                <w:kern w:val="0"/>
                <w:highlight w:val="none"/>
              </w:rPr>
            </w:pPr>
          </w:p>
        </w:tc>
        <w:tc>
          <w:tcPr>
            <w:tcW w:w="1112" w:type="dxa"/>
            <w:noWrap w:val="0"/>
            <w:vAlign w:val="center"/>
          </w:tcPr>
          <w:p w14:paraId="79471DB6">
            <w:pPr>
              <w:widowControl/>
              <w:jc w:val="center"/>
              <w:rPr>
                <w:rFonts w:ascii="宋体" w:hAnsi="宋体"/>
                <w:bCs/>
                <w:color w:val="000000"/>
                <w:kern w:val="0"/>
                <w:highlight w:val="none"/>
              </w:rPr>
            </w:pPr>
          </w:p>
        </w:tc>
      </w:tr>
    </w:tbl>
    <w:p w14:paraId="6F91E463">
      <w:pPr>
        <w:spacing w:before="156" w:beforeLines="50" w:after="156" w:afterLines="50"/>
        <w:outlineLvl w:val="0"/>
        <w:rPr>
          <w:rFonts w:ascii="宋体" w:hAnsi="宋体" w:cs="宋体"/>
          <w:highlight w:val="none"/>
        </w:rPr>
      </w:pPr>
      <w:r>
        <w:rPr>
          <w:rFonts w:hint="eastAsia" w:ascii="宋体" w:hAnsi="宋体" w:cs="宋体"/>
          <w:highlight w:val="none"/>
        </w:rPr>
        <w:br w:type="page"/>
      </w:r>
      <w:bookmarkStart w:id="1775" w:name="_Toc12117"/>
      <w:bookmarkStart w:id="1776" w:name="_Toc11977"/>
      <w:bookmarkStart w:id="1777" w:name="_Toc69891504"/>
      <w:bookmarkStart w:id="1778" w:name="_Toc7020"/>
      <w:bookmarkStart w:id="1779" w:name="_Toc22983"/>
      <w:bookmarkStart w:id="1780" w:name="_Toc69909994"/>
      <w:bookmarkStart w:id="1781" w:name="_Toc31141"/>
      <w:bookmarkStart w:id="1782" w:name="_Toc8052"/>
      <w:r>
        <w:rPr>
          <w:rFonts w:hint="eastAsia" w:ascii="宋体" w:hAnsi="宋体" w:cs="宋体"/>
          <w:highlight w:val="none"/>
        </w:rPr>
        <w:t>附件</w:t>
      </w:r>
      <w:r>
        <w:rPr>
          <w:rFonts w:hint="eastAsia" w:ascii="宋体" w:hAnsi="宋体" w:cs="宋体"/>
          <w:highlight w:val="none"/>
          <w:lang w:val="en-US" w:eastAsia="zh-CN"/>
        </w:rPr>
        <w:t>6</w:t>
      </w:r>
      <w:r>
        <w:rPr>
          <w:rFonts w:hint="eastAsia" w:ascii="宋体" w:hAnsi="宋体" w:cs="宋体"/>
          <w:highlight w:val="none"/>
        </w:rPr>
        <w:t>：</w:t>
      </w:r>
      <w:bookmarkEnd w:id="1775"/>
      <w:r>
        <w:rPr>
          <w:rFonts w:hint="eastAsia" w:ascii="宋体" w:hAnsi="宋体" w:cs="宋体"/>
          <w:highlight w:val="none"/>
        </w:rPr>
        <w:t>承包人主要施工管理人员表</w:t>
      </w:r>
      <w:bookmarkEnd w:id="1776"/>
      <w:bookmarkEnd w:id="1777"/>
      <w:bookmarkEnd w:id="1778"/>
      <w:bookmarkEnd w:id="1779"/>
      <w:bookmarkEnd w:id="1780"/>
      <w:bookmarkEnd w:id="1781"/>
    </w:p>
    <w:p w14:paraId="29329231">
      <w:pPr>
        <w:jc w:val="center"/>
        <w:rPr>
          <w:rFonts w:ascii="宋体" w:hAnsi="宋体" w:cs="宋体"/>
          <w:b/>
          <w:sz w:val="30"/>
          <w:szCs w:val="30"/>
          <w:highlight w:val="none"/>
        </w:rPr>
      </w:pPr>
      <w:r>
        <w:rPr>
          <w:rFonts w:hint="eastAsia" w:ascii="宋体" w:hAnsi="宋体" w:cs="宋体"/>
          <w:b/>
          <w:sz w:val="30"/>
          <w:szCs w:val="30"/>
          <w:highlight w:val="none"/>
        </w:rPr>
        <w:t>承包人主要施工管理人员表</w:t>
      </w:r>
    </w:p>
    <w:tbl>
      <w:tblPr>
        <w:tblStyle w:val="22"/>
        <w:tblW w:w="9580" w:type="dxa"/>
        <w:jc w:val="center"/>
        <w:tblLayout w:type="fixed"/>
        <w:tblCellMar>
          <w:top w:w="0" w:type="dxa"/>
          <w:left w:w="0" w:type="dxa"/>
          <w:bottom w:w="0" w:type="dxa"/>
          <w:right w:w="0" w:type="dxa"/>
        </w:tblCellMar>
      </w:tblPr>
      <w:tblGrid>
        <w:gridCol w:w="799"/>
        <w:gridCol w:w="1659"/>
        <w:gridCol w:w="1348"/>
        <w:gridCol w:w="791"/>
        <w:gridCol w:w="1015"/>
        <w:gridCol w:w="1217"/>
        <w:gridCol w:w="1071"/>
        <w:gridCol w:w="1680"/>
      </w:tblGrid>
      <w:tr w14:paraId="0569B423">
        <w:tblPrEx>
          <w:tblCellMar>
            <w:top w:w="0" w:type="dxa"/>
            <w:left w:w="0" w:type="dxa"/>
            <w:bottom w:w="0" w:type="dxa"/>
            <w:right w:w="0" w:type="dxa"/>
          </w:tblCellMar>
        </w:tblPrEx>
        <w:trPr>
          <w:trHeight w:val="593"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F0B536">
            <w:pPr>
              <w:widowControl/>
              <w:jc w:val="center"/>
              <w:textAlignment w:val="center"/>
              <w:rPr>
                <w:rFonts w:ascii="宋体" w:hAnsi="宋体" w:cs="仿宋"/>
                <w:b/>
                <w:color w:val="000000"/>
                <w:sz w:val="20"/>
                <w:szCs w:val="20"/>
                <w:highlight w:val="none"/>
              </w:rPr>
            </w:pPr>
            <w:r>
              <w:rPr>
                <w:rFonts w:hint="eastAsia" w:ascii="宋体" w:hAnsi="宋体" w:cs="仿宋"/>
                <w:b/>
                <w:color w:val="000000"/>
                <w:kern w:val="0"/>
                <w:sz w:val="20"/>
                <w:szCs w:val="20"/>
                <w:highlight w:val="none"/>
                <w:lang w:bidi="ar"/>
              </w:rPr>
              <w:t>序号</w:t>
            </w:r>
          </w:p>
        </w:tc>
        <w:tc>
          <w:tcPr>
            <w:tcW w:w="165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24D703">
            <w:pPr>
              <w:widowControl/>
              <w:jc w:val="center"/>
              <w:textAlignment w:val="center"/>
              <w:rPr>
                <w:rFonts w:ascii="宋体" w:hAnsi="宋体" w:cs="仿宋"/>
                <w:b/>
                <w:color w:val="000000"/>
                <w:sz w:val="20"/>
                <w:szCs w:val="20"/>
                <w:highlight w:val="none"/>
              </w:rPr>
            </w:pPr>
            <w:r>
              <w:rPr>
                <w:rFonts w:hint="eastAsia" w:ascii="宋体" w:hAnsi="宋体" w:cs="仿宋"/>
                <w:b/>
                <w:color w:val="000000"/>
                <w:kern w:val="0"/>
                <w:sz w:val="20"/>
                <w:szCs w:val="20"/>
                <w:highlight w:val="none"/>
                <w:lang w:bidi="ar"/>
              </w:rPr>
              <w:t>拟任岗位</w:t>
            </w:r>
          </w:p>
        </w:tc>
        <w:tc>
          <w:tcPr>
            <w:tcW w:w="13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52A018">
            <w:pPr>
              <w:widowControl/>
              <w:jc w:val="center"/>
              <w:textAlignment w:val="center"/>
              <w:rPr>
                <w:rFonts w:ascii="宋体" w:hAnsi="宋体" w:cs="仿宋"/>
                <w:b/>
                <w:color w:val="000000"/>
                <w:sz w:val="20"/>
                <w:szCs w:val="20"/>
                <w:highlight w:val="none"/>
              </w:rPr>
            </w:pPr>
            <w:r>
              <w:rPr>
                <w:rFonts w:hint="eastAsia" w:ascii="宋体" w:hAnsi="宋体" w:cs="仿宋"/>
                <w:b/>
                <w:color w:val="000000"/>
                <w:kern w:val="0"/>
                <w:sz w:val="20"/>
                <w:szCs w:val="20"/>
                <w:highlight w:val="none"/>
                <w:lang w:bidi="ar"/>
              </w:rPr>
              <w:t>姓名</w:t>
            </w:r>
          </w:p>
        </w:tc>
        <w:tc>
          <w:tcPr>
            <w:tcW w:w="79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391CA8">
            <w:pPr>
              <w:widowControl/>
              <w:jc w:val="center"/>
              <w:textAlignment w:val="center"/>
              <w:rPr>
                <w:rFonts w:ascii="宋体" w:hAnsi="宋体" w:cs="仿宋"/>
                <w:b/>
                <w:color w:val="000000"/>
                <w:sz w:val="20"/>
                <w:szCs w:val="20"/>
                <w:highlight w:val="none"/>
              </w:rPr>
            </w:pPr>
            <w:r>
              <w:rPr>
                <w:rFonts w:hint="eastAsia" w:ascii="宋体" w:hAnsi="宋体" w:cs="仿宋"/>
                <w:b/>
                <w:color w:val="000000"/>
                <w:kern w:val="0"/>
                <w:sz w:val="20"/>
                <w:szCs w:val="20"/>
                <w:highlight w:val="none"/>
                <w:lang w:bidi="ar"/>
              </w:rPr>
              <w:t>性别</w:t>
            </w:r>
          </w:p>
        </w:tc>
        <w:tc>
          <w:tcPr>
            <w:tcW w:w="101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EF094B">
            <w:pPr>
              <w:widowControl/>
              <w:jc w:val="center"/>
              <w:textAlignment w:val="center"/>
              <w:rPr>
                <w:rFonts w:ascii="宋体" w:hAnsi="宋体" w:cs="仿宋"/>
                <w:b/>
                <w:color w:val="000000"/>
                <w:sz w:val="20"/>
                <w:szCs w:val="20"/>
                <w:highlight w:val="none"/>
              </w:rPr>
            </w:pPr>
            <w:r>
              <w:rPr>
                <w:rFonts w:hint="eastAsia" w:ascii="宋体" w:hAnsi="宋体" w:cs="仿宋"/>
                <w:b/>
                <w:color w:val="000000"/>
                <w:kern w:val="0"/>
                <w:sz w:val="20"/>
                <w:szCs w:val="20"/>
                <w:highlight w:val="none"/>
                <w:lang w:bidi="ar"/>
              </w:rPr>
              <w:t>年龄</w:t>
            </w:r>
          </w:p>
        </w:tc>
        <w:tc>
          <w:tcPr>
            <w:tcW w:w="12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8B88C6">
            <w:pPr>
              <w:widowControl/>
              <w:jc w:val="center"/>
              <w:textAlignment w:val="center"/>
              <w:rPr>
                <w:rFonts w:ascii="宋体" w:hAnsi="宋体" w:cs="仿宋"/>
                <w:b/>
                <w:color w:val="000000"/>
                <w:sz w:val="20"/>
                <w:szCs w:val="20"/>
                <w:highlight w:val="none"/>
              </w:rPr>
            </w:pPr>
            <w:r>
              <w:rPr>
                <w:rFonts w:hint="eastAsia" w:ascii="宋体" w:hAnsi="宋体" w:cs="仿宋"/>
                <w:b/>
                <w:color w:val="000000"/>
                <w:kern w:val="0"/>
                <w:sz w:val="20"/>
                <w:szCs w:val="20"/>
                <w:highlight w:val="none"/>
                <w:lang w:bidi="ar"/>
              </w:rPr>
              <w:t>学历</w:t>
            </w:r>
          </w:p>
        </w:tc>
        <w:tc>
          <w:tcPr>
            <w:tcW w:w="107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C124AB">
            <w:pPr>
              <w:widowControl/>
              <w:jc w:val="center"/>
              <w:textAlignment w:val="center"/>
              <w:rPr>
                <w:rFonts w:ascii="宋体" w:hAnsi="宋体" w:cs="仿宋"/>
                <w:b/>
                <w:color w:val="000000"/>
                <w:sz w:val="20"/>
                <w:szCs w:val="20"/>
                <w:highlight w:val="none"/>
              </w:rPr>
            </w:pPr>
            <w:r>
              <w:rPr>
                <w:rFonts w:hint="eastAsia" w:ascii="宋体" w:hAnsi="宋体" w:cs="仿宋"/>
                <w:b/>
                <w:color w:val="000000"/>
                <w:kern w:val="0"/>
                <w:sz w:val="20"/>
                <w:szCs w:val="20"/>
                <w:highlight w:val="none"/>
                <w:lang w:bidi="ar"/>
              </w:rPr>
              <w:t>职称</w:t>
            </w:r>
          </w:p>
        </w:tc>
        <w:tc>
          <w:tcPr>
            <w:tcW w:w="168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833D89">
            <w:pPr>
              <w:widowControl/>
              <w:jc w:val="center"/>
              <w:textAlignment w:val="center"/>
              <w:rPr>
                <w:rFonts w:ascii="宋体" w:hAnsi="宋体" w:cs="仿宋"/>
                <w:b/>
                <w:color w:val="000000"/>
                <w:sz w:val="20"/>
                <w:szCs w:val="20"/>
                <w:highlight w:val="none"/>
              </w:rPr>
            </w:pPr>
            <w:r>
              <w:rPr>
                <w:rFonts w:hint="eastAsia" w:ascii="宋体" w:hAnsi="宋体" w:cs="仿宋"/>
                <w:b/>
                <w:color w:val="000000"/>
                <w:kern w:val="0"/>
                <w:sz w:val="20"/>
                <w:szCs w:val="20"/>
                <w:highlight w:val="none"/>
                <w:lang w:bidi="ar"/>
              </w:rPr>
              <w:t>专业</w:t>
            </w:r>
          </w:p>
        </w:tc>
      </w:tr>
      <w:tr w14:paraId="592BF285">
        <w:tblPrEx>
          <w:tblCellMar>
            <w:top w:w="0" w:type="dxa"/>
            <w:left w:w="0" w:type="dxa"/>
            <w:bottom w:w="0" w:type="dxa"/>
            <w:right w:w="0" w:type="dxa"/>
          </w:tblCellMar>
        </w:tblPrEx>
        <w:trPr>
          <w:trHeight w:val="794" w:hRule="atLeast"/>
          <w:jc w:val="center"/>
        </w:trPr>
        <w:tc>
          <w:tcPr>
            <w:tcW w:w="79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FDDE5C">
            <w:pPr>
              <w:pStyle w:val="77"/>
              <w:spacing w:line="420" w:lineRule="atLeast"/>
              <w:jc w:val="center"/>
              <w:rPr>
                <w:rFonts w:ascii="宋体" w:hAnsi="宋体" w:cs="宋体"/>
                <w:highlight w:val="none"/>
              </w:rPr>
            </w:pPr>
          </w:p>
        </w:tc>
        <w:tc>
          <w:tcPr>
            <w:tcW w:w="165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403DF9">
            <w:pPr>
              <w:pStyle w:val="77"/>
              <w:spacing w:line="420" w:lineRule="atLeast"/>
              <w:jc w:val="center"/>
              <w:rPr>
                <w:rFonts w:ascii="宋体" w:hAnsi="宋体" w:cs="宋体"/>
                <w:highlight w:val="none"/>
              </w:rPr>
            </w:pPr>
          </w:p>
        </w:tc>
        <w:tc>
          <w:tcPr>
            <w:tcW w:w="13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4ECB74B">
            <w:pPr>
              <w:pStyle w:val="77"/>
              <w:spacing w:line="420" w:lineRule="atLeast"/>
              <w:jc w:val="center"/>
              <w:rPr>
                <w:rFonts w:ascii="宋体" w:hAnsi="宋体" w:cs="宋体"/>
                <w:highlight w:val="none"/>
              </w:rPr>
            </w:pPr>
          </w:p>
        </w:tc>
        <w:tc>
          <w:tcPr>
            <w:tcW w:w="79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BB22092">
            <w:pPr>
              <w:pStyle w:val="77"/>
              <w:spacing w:line="420" w:lineRule="atLeast"/>
              <w:jc w:val="center"/>
              <w:rPr>
                <w:rFonts w:ascii="宋体" w:hAnsi="宋体" w:cs="宋体"/>
                <w:highlight w:val="none"/>
              </w:rPr>
            </w:pPr>
          </w:p>
        </w:tc>
        <w:tc>
          <w:tcPr>
            <w:tcW w:w="101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B5A6E8F">
            <w:pPr>
              <w:pStyle w:val="77"/>
              <w:spacing w:line="420" w:lineRule="atLeast"/>
              <w:jc w:val="center"/>
              <w:rPr>
                <w:rFonts w:ascii="宋体" w:hAnsi="宋体" w:cs="宋体"/>
                <w:highlight w:val="none"/>
              </w:rPr>
            </w:pPr>
          </w:p>
        </w:tc>
        <w:tc>
          <w:tcPr>
            <w:tcW w:w="121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6F3137D">
            <w:pPr>
              <w:pStyle w:val="77"/>
              <w:spacing w:line="420" w:lineRule="atLeast"/>
              <w:jc w:val="center"/>
              <w:rPr>
                <w:rFonts w:ascii="宋体" w:hAnsi="宋体" w:cs="宋体"/>
                <w:highlight w:val="none"/>
              </w:rPr>
            </w:pPr>
          </w:p>
        </w:tc>
        <w:tc>
          <w:tcPr>
            <w:tcW w:w="107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8796E25">
            <w:pPr>
              <w:pStyle w:val="77"/>
              <w:spacing w:line="420" w:lineRule="atLeast"/>
              <w:jc w:val="center"/>
              <w:rPr>
                <w:rFonts w:ascii="宋体" w:hAnsi="宋体" w:cs="宋体"/>
                <w:highlight w:val="none"/>
              </w:rPr>
            </w:pPr>
          </w:p>
        </w:tc>
        <w:tc>
          <w:tcPr>
            <w:tcW w:w="168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388C978">
            <w:pPr>
              <w:pStyle w:val="77"/>
              <w:spacing w:line="420" w:lineRule="atLeast"/>
              <w:jc w:val="center"/>
              <w:rPr>
                <w:rFonts w:ascii="宋体" w:hAnsi="宋体" w:cs="宋体"/>
                <w:highlight w:val="none"/>
              </w:rPr>
            </w:pPr>
          </w:p>
        </w:tc>
      </w:tr>
      <w:tr w14:paraId="5ED3B725">
        <w:tblPrEx>
          <w:tblCellMar>
            <w:top w:w="0" w:type="dxa"/>
            <w:left w:w="0" w:type="dxa"/>
            <w:bottom w:w="0" w:type="dxa"/>
            <w:right w:w="0" w:type="dxa"/>
          </w:tblCellMar>
        </w:tblPrEx>
        <w:trPr>
          <w:trHeight w:val="794" w:hRule="atLeast"/>
          <w:jc w:val="center"/>
        </w:trPr>
        <w:tc>
          <w:tcPr>
            <w:tcW w:w="79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3EBCEA2">
            <w:pPr>
              <w:pStyle w:val="77"/>
              <w:spacing w:line="420" w:lineRule="atLeast"/>
              <w:jc w:val="center"/>
              <w:rPr>
                <w:rFonts w:ascii="宋体" w:hAnsi="宋体" w:cs="宋体"/>
                <w:highlight w:val="none"/>
              </w:rPr>
            </w:pPr>
          </w:p>
        </w:tc>
        <w:tc>
          <w:tcPr>
            <w:tcW w:w="165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227A6C">
            <w:pPr>
              <w:pStyle w:val="77"/>
              <w:spacing w:line="420" w:lineRule="atLeast"/>
              <w:jc w:val="center"/>
              <w:rPr>
                <w:rFonts w:ascii="宋体" w:hAnsi="宋体" w:cs="宋体"/>
                <w:highlight w:val="none"/>
              </w:rPr>
            </w:pPr>
          </w:p>
        </w:tc>
        <w:tc>
          <w:tcPr>
            <w:tcW w:w="13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CB798AF">
            <w:pPr>
              <w:pStyle w:val="77"/>
              <w:spacing w:line="420" w:lineRule="atLeast"/>
              <w:jc w:val="center"/>
              <w:rPr>
                <w:rFonts w:ascii="宋体" w:hAnsi="宋体" w:cs="宋体"/>
                <w:highlight w:val="none"/>
              </w:rPr>
            </w:pPr>
          </w:p>
        </w:tc>
        <w:tc>
          <w:tcPr>
            <w:tcW w:w="79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CC63885">
            <w:pPr>
              <w:pStyle w:val="77"/>
              <w:spacing w:line="420" w:lineRule="atLeast"/>
              <w:jc w:val="center"/>
              <w:rPr>
                <w:rFonts w:ascii="宋体" w:hAnsi="宋体" w:cs="宋体"/>
                <w:highlight w:val="none"/>
              </w:rPr>
            </w:pPr>
          </w:p>
        </w:tc>
        <w:tc>
          <w:tcPr>
            <w:tcW w:w="101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4EE99C0">
            <w:pPr>
              <w:pStyle w:val="77"/>
              <w:spacing w:line="420" w:lineRule="atLeast"/>
              <w:jc w:val="center"/>
              <w:rPr>
                <w:rFonts w:ascii="宋体" w:hAnsi="宋体" w:cs="宋体"/>
                <w:highlight w:val="none"/>
              </w:rPr>
            </w:pPr>
          </w:p>
        </w:tc>
        <w:tc>
          <w:tcPr>
            <w:tcW w:w="121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3B845DE">
            <w:pPr>
              <w:pStyle w:val="77"/>
              <w:spacing w:line="420" w:lineRule="atLeast"/>
              <w:jc w:val="center"/>
              <w:rPr>
                <w:rFonts w:ascii="宋体" w:hAnsi="宋体" w:cs="宋体"/>
                <w:highlight w:val="none"/>
              </w:rPr>
            </w:pPr>
          </w:p>
        </w:tc>
        <w:tc>
          <w:tcPr>
            <w:tcW w:w="107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93F76B4">
            <w:pPr>
              <w:pStyle w:val="77"/>
              <w:spacing w:line="420" w:lineRule="atLeast"/>
              <w:jc w:val="center"/>
              <w:rPr>
                <w:rFonts w:ascii="宋体" w:hAnsi="宋体" w:cs="宋体"/>
                <w:highlight w:val="none"/>
              </w:rPr>
            </w:pPr>
          </w:p>
        </w:tc>
        <w:tc>
          <w:tcPr>
            <w:tcW w:w="168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B568C96">
            <w:pPr>
              <w:pStyle w:val="77"/>
              <w:spacing w:line="420" w:lineRule="atLeast"/>
              <w:jc w:val="center"/>
              <w:rPr>
                <w:rFonts w:ascii="宋体" w:hAnsi="宋体" w:cs="宋体"/>
                <w:highlight w:val="none"/>
              </w:rPr>
            </w:pPr>
          </w:p>
        </w:tc>
      </w:tr>
      <w:tr w14:paraId="127F5402">
        <w:tblPrEx>
          <w:tblCellMar>
            <w:top w:w="0" w:type="dxa"/>
            <w:left w:w="0" w:type="dxa"/>
            <w:bottom w:w="0" w:type="dxa"/>
            <w:right w:w="0" w:type="dxa"/>
          </w:tblCellMar>
        </w:tblPrEx>
        <w:trPr>
          <w:trHeight w:val="794" w:hRule="atLeast"/>
          <w:jc w:val="center"/>
        </w:trPr>
        <w:tc>
          <w:tcPr>
            <w:tcW w:w="79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FFC40E">
            <w:pPr>
              <w:pStyle w:val="77"/>
              <w:spacing w:line="420" w:lineRule="atLeast"/>
              <w:jc w:val="center"/>
              <w:rPr>
                <w:rFonts w:ascii="宋体" w:hAnsi="宋体" w:cs="宋体"/>
                <w:highlight w:val="none"/>
              </w:rPr>
            </w:pPr>
          </w:p>
        </w:tc>
        <w:tc>
          <w:tcPr>
            <w:tcW w:w="165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D946B2">
            <w:pPr>
              <w:pStyle w:val="77"/>
              <w:spacing w:line="420" w:lineRule="atLeast"/>
              <w:jc w:val="center"/>
              <w:rPr>
                <w:rFonts w:ascii="宋体" w:hAnsi="宋体" w:cs="宋体"/>
                <w:highlight w:val="none"/>
              </w:rPr>
            </w:pPr>
          </w:p>
        </w:tc>
        <w:tc>
          <w:tcPr>
            <w:tcW w:w="13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7BB866F">
            <w:pPr>
              <w:pStyle w:val="77"/>
              <w:spacing w:line="420" w:lineRule="atLeast"/>
              <w:jc w:val="center"/>
              <w:rPr>
                <w:rFonts w:ascii="宋体" w:hAnsi="宋体" w:cs="宋体"/>
                <w:highlight w:val="none"/>
              </w:rPr>
            </w:pPr>
          </w:p>
        </w:tc>
        <w:tc>
          <w:tcPr>
            <w:tcW w:w="79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AC6BC36">
            <w:pPr>
              <w:pStyle w:val="77"/>
              <w:spacing w:line="420" w:lineRule="atLeast"/>
              <w:jc w:val="center"/>
              <w:rPr>
                <w:rFonts w:ascii="宋体" w:hAnsi="宋体" w:cs="宋体"/>
                <w:highlight w:val="none"/>
              </w:rPr>
            </w:pPr>
          </w:p>
        </w:tc>
        <w:tc>
          <w:tcPr>
            <w:tcW w:w="101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56C336">
            <w:pPr>
              <w:pStyle w:val="77"/>
              <w:spacing w:line="420" w:lineRule="atLeast"/>
              <w:jc w:val="center"/>
              <w:rPr>
                <w:rFonts w:ascii="宋体" w:hAnsi="宋体" w:cs="宋体"/>
                <w:highlight w:val="none"/>
              </w:rPr>
            </w:pPr>
          </w:p>
        </w:tc>
        <w:tc>
          <w:tcPr>
            <w:tcW w:w="121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30CF437">
            <w:pPr>
              <w:pStyle w:val="77"/>
              <w:spacing w:line="420" w:lineRule="atLeast"/>
              <w:jc w:val="center"/>
              <w:rPr>
                <w:rFonts w:ascii="宋体" w:hAnsi="宋体" w:cs="宋体"/>
                <w:highlight w:val="none"/>
              </w:rPr>
            </w:pPr>
          </w:p>
        </w:tc>
        <w:tc>
          <w:tcPr>
            <w:tcW w:w="107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EDE9854">
            <w:pPr>
              <w:pStyle w:val="77"/>
              <w:spacing w:line="420" w:lineRule="atLeast"/>
              <w:jc w:val="center"/>
              <w:rPr>
                <w:rFonts w:ascii="宋体" w:hAnsi="宋体" w:cs="宋体"/>
                <w:highlight w:val="none"/>
              </w:rPr>
            </w:pPr>
          </w:p>
        </w:tc>
        <w:tc>
          <w:tcPr>
            <w:tcW w:w="168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7E74B02">
            <w:pPr>
              <w:pStyle w:val="77"/>
              <w:spacing w:line="420" w:lineRule="atLeast"/>
              <w:jc w:val="center"/>
              <w:rPr>
                <w:rFonts w:ascii="宋体" w:hAnsi="宋体" w:cs="宋体"/>
                <w:highlight w:val="none"/>
              </w:rPr>
            </w:pPr>
          </w:p>
        </w:tc>
      </w:tr>
      <w:tr w14:paraId="6F8BA9CD">
        <w:tblPrEx>
          <w:tblCellMar>
            <w:top w:w="0" w:type="dxa"/>
            <w:left w:w="0" w:type="dxa"/>
            <w:bottom w:w="0" w:type="dxa"/>
            <w:right w:w="0" w:type="dxa"/>
          </w:tblCellMar>
        </w:tblPrEx>
        <w:trPr>
          <w:trHeight w:val="794" w:hRule="atLeast"/>
          <w:jc w:val="center"/>
        </w:trPr>
        <w:tc>
          <w:tcPr>
            <w:tcW w:w="79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4412005">
            <w:pPr>
              <w:pStyle w:val="77"/>
              <w:spacing w:line="420" w:lineRule="atLeast"/>
              <w:jc w:val="center"/>
              <w:rPr>
                <w:rFonts w:ascii="宋体" w:hAnsi="宋体" w:cs="宋体"/>
                <w:highlight w:val="none"/>
              </w:rPr>
            </w:pPr>
          </w:p>
        </w:tc>
        <w:tc>
          <w:tcPr>
            <w:tcW w:w="165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E15F52">
            <w:pPr>
              <w:pStyle w:val="77"/>
              <w:spacing w:line="420" w:lineRule="atLeast"/>
              <w:jc w:val="center"/>
              <w:rPr>
                <w:rFonts w:ascii="宋体" w:hAnsi="宋体" w:cs="宋体"/>
                <w:highlight w:val="none"/>
              </w:rPr>
            </w:pPr>
          </w:p>
        </w:tc>
        <w:tc>
          <w:tcPr>
            <w:tcW w:w="13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13CA27A">
            <w:pPr>
              <w:pStyle w:val="77"/>
              <w:spacing w:line="420" w:lineRule="atLeast"/>
              <w:jc w:val="center"/>
              <w:rPr>
                <w:rFonts w:ascii="宋体" w:hAnsi="宋体" w:cs="宋体"/>
                <w:highlight w:val="none"/>
              </w:rPr>
            </w:pPr>
          </w:p>
        </w:tc>
        <w:tc>
          <w:tcPr>
            <w:tcW w:w="79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C6B8609">
            <w:pPr>
              <w:pStyle w:val="77"/>
              <w:spacing w:line="420" w:lineRule="atLeast"/>
              <w:jc w:val="center"/>
              <w:rPr>
                <w:rFonts w:ascii="宋体" w:hAnsi="宋体" w:cs="宋体"/>
                <w:highlight w:val="none"/>
              </w:rPr>
            </w:pPr>
          </w:p>
        </w:tc>
        <w:tc>
          <w:tcPr>
            <w:tcW w:w="101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2963C66">
            <w:pPr>
              <w:pStyle w:val="77"/>
              <w:spacing w:line="420" w:lineRule="atLeast"/>
              <w:jc w:val="center"/>
              <w:rPr>
                <w:rFonts w:ascii="宋体" w:hAnsi="宋体" w:cs="宋体"/>
                <w:highlight w:val="none"/>
              </w:rPr>
            </w:pPr>
          </w:p>
        </w:tc>
        <w:tc>
          <w:tcPr>
            <w:tcW w:w="121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1E3BEA6">
            <w:pPr>
              <w:pStyle w:val="77"/>
              <w:spacing w:line="420" w:lineRule="atLeast"/>
              <w:jc w:val="center"/>
              <w:rPr>
                <w:rFonts w:ascii="宋体" w:hAnsi="宋体" w:cs="宋体"/>
                <w:highlight w:val="none"/>
              </w:rPr>
            </w:pPr>
          </w:p>
        </w:tc>
        <w:tc>
          <w:tcPr>
            <w:tcW w:w="107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C3BB04">
            <w:pPr>
              <w:pStyle w:val="77"/>
              <w:spacing w:line="420" w:lineRule="atLeast"/>
              <w:jc w:val="center"/>
              <w:rPr>
                <w:rFonts w:ascii="宋体" w:hAnsi="宋体" w:cs="宋体"/>
                <w:highlight w:val="none"/>
              </w:rPr>
            </w:pPr>
          </w:p>
        </w:tc>
        <w:tc>
          <w:tcPr>
            <w:tcW w:w="168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A99D5E6">
            <w:pPr>
              <w:pStyle w:val="77"/>
              <w:spacing w:line="420" w:lineRule="atLeast"/>
              <w:jc w:val="center"/>
              <w:rPr>
                <w:rFonts w:ascii="宋体" w:hAnsi="宋体" w:cs="宋体"/>
                <w:highlight w:val="none"/>
              </w:rPr>
            </w:pPr>
          </w:p>
        </w:tc>
      </w:tr>
      <w:tr w14:paraId="47CD975E">
        <w:tblPrEx>
          <w:tblCellMar>
            <w:top w:w="0" w:type="dxa"/>
            <w:left w:w="0" w:type="dxa"/>
            <w:bottom w:w="0" w:type="dxa"/>
            <w:right w:w="0" w:type="dxa"/>
          </w:tblCellMar>
        </w:tblPrEx>
        <w:trPr>
          <w:trHeight w:val="794" w:hRule="atLeast"/>
          <w:jc w:val="center"/>
        </w:trPr>
        <w:tc>
          <w:tcPr>
            <w:tcW w:w="79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060137F">
            <w:pPr>
              <w:pStyle w:val="77"/>
              <w:spacing w:line="420" w:lineRule="atLeast"/>
              <w:jc w:val="center"/>
              <w:rPr>
                <w:rFonts w:ascii="宋体" w:hAnsi="宋体" w:cs="宋体"/>
                <w:highlight w:val="none"/>
              </w:rPr>
            </w:pPr>
          </w:p>
        </w:tc>
        <w:tc>
          <w:tcPr>
            <w:tcW w:w="165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100579">
            <w:pPr>
              <w:pStyle w:val="77"/>
              <w:spacing w:line="420" w:lineRule="atLeast"/>
              <w:jc w:val="center"/>
              <w:rPr>
                <w:rFonts w:ascii="宋体" w:hAnsi="宋体" w:cs="宋体"/>
                <w:highlight w:val="none"/>
              </w:rPr>
            </w:pPr>
          </w:p>
        </w:tc>
        <w:tc>
          <w:tcPr>
            <w:tcW w:w="13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ABBBF4D">
            <w:pPr>
              <w:pStyle w:val="77"/>
              <w:spacing w:line="420" w:lineRule="atLeast"/>
              <w:jc w:val="center"/>
              <w:rPr>
                <w:rFonts w:ascii="宋体" w:hAnsi="宋体" w:cs="宋体"/>
                <w:highlight w:val="none"/>
              </w:rPr>
            </w:pPr>
          </w:p>
        </w:tc>
        <w:tc>
          <w:tcPr>
            <w:tcW w:w="79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11CCE3C">
            <w:pPr>
              <w:pStyle w:val="77"/>
              <w:spacing w:line="420" w:lineRule="atLeast"/>
              <w:jc w:val="center"/>
              <w:rPr>
                <w:rFonts w:ascii="宋体" w:hAnsi="宋体" w:cs="宋体"/>
                <w:highlight w:val="none"/>
              </w:rPr>
            </w:pPr>
          </w:p>
        </w:tc>
        <w:tc>
          <w:tcPr>
            <w:tcW w:w="101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050EC40">
            <w:pPr>
              <w:pStyle w:val="77"/>
              <w:spacing w:line="420" w:lineRule="atLeast"/>
              <w:jc w:val="center"/>
              <w:rPr>
                <w:rFonts w:ascii="宋体" w:hAnsi="宋体" w:cs="宋体"/>
                <w:highlight w:val="none"/>
              </w:rPr>
            </w:pPr>
          </w:p>
        </w:tc>
        <w:tc>
          <w:tcPr>
            <w:tcW w:w="121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B566BB2">
            <w:pPr>
              <w:pStyle w:val="77"/>
              <w:spacing w:line="420" w:lineRule="atLeast"/>
              <w:jc w:val="center"/>
              <w:rPr>
                <w:rFonts w:ascii="宋体" w:hAnsi="宋体" w:cs="宋体"/>
                <w:highlight w:val="none"/>
              </w:rPr>
            </w:pPr>
          </w:p>
        </w:tc>
        <w:tc>
          <w:tcPr>
            <w:tcW w:w="107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11780F5">
            <w:pPr>
              <w:pStyle w:val="77"/>
              <w:spacing w:line="420" w:lineRule="atLeast"/>
              <w:jc w:val="center"/>
              <w:rPr>
                <w:rFonts w:ascii="宋体" w:hAnsi="宋体" w:cs="宋体"/>
                <w:highlight w:val="none"/>
              </w:rPr>
            </w:pPr>
          </w:p>
        </w:tc>
        <w:tc>
          <w:tcPr>
            <w:tcW w:w="168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4F04F98">
            <w:pPr>
              <w:pStyle w:val="77"/>
              <w:spacing w:line="420" w:lineRule="atLeast"/>
              <w:jc w:val="center"/>
              <w:rPr>
                <w:rFonts w:ascii="宋体" w:hAnsi="宋体" w:cs="宋体"/>
                <w:highlight w:val="none"/>
              </w:rPr>
            </w:pPr>
          </w:p>
        </w:tc>
      </w:tr>
      <w:tr w14:paraId="058BE356">
        <w:tblPrEx>
          <w:tblCellMar>
            <w:top w:w="0" w:type="dxa"/>
            <w:left w:w="0" w:type="dxa"/>
            <w:bottom w:w="0" w:type="dxa"/>
            <w:right w:w="0" w:type="dxa"/>
          </w:tblCellMar>
        </w:tblPrEx>
        <w:trPr>
          <w:trHeight w:val="961" w:hRule="atLeast"/>
          <w:jc w:val="center"/>
        </w:trPr>
        <w:tc>
          <w:tcPr>
            <w:tcW w:w="79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008DE33">
            <w:pPr>
              <w:pStyle w:val="77"/>
              <w:spacing w:line="420" w:lineRule="atLeast"/>
              <w:jc w:val="center"/>
              <w:rPr>
                <w:rFonts w:ascii="宋体" w:hAnsi="宋体" w:cs="宋体"/>
                <w:highlight w:val="none"/>
              </w:rPr>
            </w:pPr>
          </w:p>
        </w:tc>
        <w:tc>
          <w:tcPr>
            <w:tcW w:w="165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5C9BD1">
            <w:pPr>
              <w:pStyle w:val="77"/>
              <w:spacing w:line="420" w:lineRule="atLeast"/>
              <w:jc w:val="center"/>
              <w:rPr>
                <w:rFonts w:ascii="宋体" w:hAnsi="宋体" w:cs="宋体"/>
                <w:highlight w:val="none"/>
              </w:rPr>
            </w:pPr>
          </w:p>
        </w:tc>
        <w:tc>
          <w:tcPr>
            <w:tcW w:w="13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1EFA82C">
            <w:pPr>
              <w:pStyle w:val="77"/>
              <w:spacing w:line="420" w:lineRule="atLeast"/>
              <w:jc w:val="center"/>
              <w:rPr>
                <w:rFonts w:ascii="宋体" w:hAnsi="宋体" w:cs="宋体"/>
                <w:highlight w:val="none"/>
              </w:rPr>
            </w:pPr>
          </w:p>
        </w:tc>
        <w:tc>
          <w:tcPr>
            <w:tcW w:w="79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3E95E8D">
            <w:pPr>
              <w:pStyle w:val="77"/>
              <w:spacing w:line="420" w:lineRule="atLeast"/>
              <w:jc w:val="center"/>
              <w:rPr>
                <w:rFonts w:ascii="宋体" w:hAnsi="宋体" w:cs="宋体"/>
                <w:highlight w:val="none"/>
              </w:rPr>
            </w:pPr>
          </w:p>
        </w:tc>
        <w:tc>
          <w:tcPr>
            <w:tcW w:w="101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934E2B8">
            <w:pPr>
              <w:pStyle w:val="77"/>
              <w:spacing w:line="420" w:lineRule="atLeast"/>
              <w:jc w:val="center"/>
              <w:rPr>
                <w:rFonts w:ascii="宋体" w:hAnsi="宋体" w:cs="宋体"/>
                <w:highlight w:val="none"/>
              </w:rPr>
            </w:pPr>
          </w:p>
        </w:tc>
        <w:tc>
          <w:tcPr>
            <w:tcW w:w="121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E3DAF17">
            <w:pPr>
              <w:pStyle w:val="77"/>
              <w:spacing w:line="420" w:lineRule="atLeast"/>
              <w:jc w:val="center"/>
              <w:rPr>
                <w:rFonts w:ascii="宋体" w:hAnsi="宋体" w:cs="宋体"/>
                <w:highlight w:val="none"/>
              </w:rPr>
            </w:pPr>
          </w:p>
        </w:tc>
        <w:tc>
          <w:tcPr>
            <w:tcW w:w="107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1AAC6CA">
            <w:pPr>
              <w:pStyle w:val="77"/>
              <w:spacing w:line="420" w:lineRule="atLeast"/>
              <w:jc w:val="center"/>
              <w:rPr>
                <w:rFonts w:ascii="宋体" w:hAnsi="宋体" w:cs="宋体"/>
                <w:highlight w:val="none"/>
              </w:rPr>
            </w:pPr>
          </w:p>
        </w:tc>
        <w:tc>
          <w:tcPr>
            <w:tcW w:w="168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8BCDFBA">
            <w:pPr>
              <w:pStyle w:val="77"/>
              <w:spacing w:line="420" w:lineRule="atLeast"/>
              <w:jc w:val="center"/>
              <w:rPr>
                <w:rFonts w:ascii="宋体" w:hAnsi="宋体" w:cs="宋体"/>
                <w:highlight w:val="none"/>
              </w:rPr>
            </w:pPr>
          </w:p>
        </w:tc>
      </w:tr>
      <w:tr w14:paraId="2F66A4D2">
        <w:tblPrEx>
          <w:tblCellMar>
            <w:top w:w="0" w:type="dxa"/>
            <w:left w:w="0" w:type="dxa"/>
            <w:bottom w:w="0" w:type="dxa"/>
            <w:right w:w="0" w:type="dxa"/>
          </w:tblCellMar>
        </w:tblPrEx>
        <w:trPr>
          <w:trHeight w:val="794" w:hRule="atLeast"/>
          <w:jc w:val="center"/>
        </w:trPr>
        <w:tc>
          <w:tcPr>
            <w:tcW w:w="79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0CD669F">
            <w:pPr>
              <w:pStyle w:val="77"/>
              <w:spacing w:line="420" w:lineRule="atLeast"/>
              <w:jc w:val="center"/>
              <w:rPr>
                <w:rFonts w:ascii="宋体" w:hAnsi="宋体" w:cs="宋体"/>
                <w:highlight w:val="none"/>
              </w:rPr>
            </w:pPr>
          </w:p>
        </w:tc>
        <w:tc>
          <w:tcPr>
            <w:tcW w:w="165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9E7D9A">
            <w:pPr>
              <w:pStyle w:val="77"/>
              <w:spacing w:line="420" w:lineRule="atLeast"/>
              <w:jc w:val="center"/>
              <w:rPr>
                <w:rFonts w:ascii="宋体" w:hAnsi="宋体" w:cs="宋体"/>
                <w:highlight w:val="none"/>
              </w:rPr>
            </w:pPr>
          </w:p>
        </w:tc>
        <w:tc>
          <w:tcPr>
            <w:tcW w:w="13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401159B">
            <w:pPr>
              <w:pStyle w:val="77"/>
              <w:spacing w:line="420" w:lineRule="atLeast"/>
              <w:jc w:val="center"/>
              <w:rPr>
                <w:rFonts w:ascii="宋体" w:hAnsi="宋体" w:cs="宋体"/>
                <w:highlight w:val="none"/>
              </w:rPr>
            </w:pPr>
          </w:p>
        </w:tc>
        <w:tc>
          <w:tcPr>
            <w:tcW w:w="79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D830EEF">
            <w:pPr>
              <w:pStyle w:val="77"/>
              <w:spacing w:line="420" w:lineRule="atLeast"/>
              <w:jc w:val="center"/>
              <w:rPr>
                <w:rFonts w:ascii="宋体" w:hAnsi="宋体" w:cs="宋体"/>
                <w:highlight w:val="none"/>
              </w:rPr>
            </w:pPr>
          </w:p>
        </w:tc>
        <w:tc>
          <w:tcPr>
            <w:tcW w:w="101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04E9445">
            <w:pPr>
              <w:pStyle w:val="77"/>
              <w:spacing w:line="420" w:lineRule="atLeast"/>
              <w:jc w:val="center"/>
              <w:rPr>
                <w:rFonts w:ascii="宋体" w:hAnsi="宋体" w:cs="宋体"/>
                <w:highlight w:val="none"/>
              </w:rPr>
            </w:pPr>
          </w:p>
        </w:tc>
        <w:tc>
          <w:tcPr>
            <w:tcW w:w="121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2C12A6D">
            <w:pPr>
              <w:pStyle w:val="77"/>
              <w:spacing w:line="420" w:lineRule="atLeast"/>
              <w:jc w:val="center"/>
              <w:rPr>
                <w:rFonts w:ascii="宋体" w:hAnsi="宋体" w:cs="宋体"/>
                <w:highlight w:val="none"/>
              </w:rPr>
            </w:pPr>
          </w:p>
        </w:tc>
        <w:tc>
          <w:tcPr>
            <w:tcW w:w="107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12EB54D">
            <w:pPr>
              <w:pStyle w:val="77"/>
              <w:spacing w:line="420" w:lineRule="atLeast"/>
              <w:jc w:val="center"/>
              <w:rPr>
                <w:rFonts w:ascii="宋体" w:hAnsi="宋体" w:cs="宋体"/>
                <w:highlight w:val="none"/>
              </w:rPr>
            </w:pPr>
          </w:p>
        </w:tc>
        <w:tc>
          <w:tcPr>
            <w:tcW w:w="168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57BC313">
            <w:pPr>
              <w:pStyle w:val="77"/>
              <w:spacing w:line="420" w:lineRule="atLeast"/>
              <w:jc w:val="center"/>
              <w:rPr>
                <w:rFonts w:ascii="宋体" w:hAnsi="宋体" w:cs="宋体"/>
                <w:highlight w:val="none"/>
              </w:rPr>
            </w:pPr>
          </w:p>
        </w:tc>
      </w:tr>
      <w:tr w14:paraId="64387822">
        <w:tblPrEx>
          <w:tblCellMar>
            <w:top w:w="0" w:type="dxa"/>
            <w:left w:w="0" w:type="dxa"/>
            <w:bottom w:w="0" w:type="dxa"/>
            <w:right w:w="0" w:type="dxa"/>
          </w:tblCellMar>
        </w:tblPrEx>
        <w:trPr>
          <w:trHeight w:val="794" w:hRule="atLeast"/>
          <w:jc w:val="center"/>
        </w:trPr>
        <w:tc>
          <w:tcPr>
            <w:tcW w:w="79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3EA116D">
            <w:pPr>
              <w:pStyle w:val="77"/>
              <w:spacing w:line="420" w:lineRule="atLeast"/>
              <w:jc w:val="center"/>
              <w:rPr>
                <w:rFonts w:ascii="宋体" w:hAnsi="宋体" w:cs="宋体"/>
                <w:highlight w:val="none"/>
              </w:rPr>
            </w:pPr>
          </w:p>
        </w:tc>
        <w:tc>
          <w:tcPr>
            <w:tcW w:w="165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03B3DB">
            <w:pPr>
              <w:pStyle w:val="77"/>
              <w:spacing w:line="420" w:lineRule="atLeast"/>
              <w:jc w:val="center"/>
              <w:rPr>
                <w:rFonts w:ascii="宋体" w:hAnsi="宋体" w:cs="宋体"/>
                <w:highlight w:val="none"/>
              </w:rPr>
            </w:pPr>
          </w:p>
        </w:tc>
        <w:tc>
          <w:tcPr>
            <w:tcW w:w="13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B734135">
            <w:pPr>
              <w:pStyle w:val="77"/>
              <w:spacing w:line="420" w:lineRule="atLeast"/>
              <w:jc w:val="center"/>
              <w:rPr>
                <w:rFonts w:ascii="宋体" w:hAnsi="宋体" w:cs="宋体"/>
                <w:highlight w:val="none"/>
              </w:rPr>
            </w:pPr>
          </w:p>
        </w:tc>
        <w:tc>
          <w:tcPr>
            <w:tcW w:w="79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AE7B01F">
            <w:pPr>
              <w:pStyle w:val="77"/>
              <w:spacing w:line="420" w:lineRule="atLeast"/>
              <w:jc w:val="center"/>
              <w:rPr>
                <w:rFonts w:ascii="宋体" w:hAnsi="宋体" w:cs="宋体"/>
                <w:highlight w:val="none"/>
              </w:rPr>
            </w:pPr>
          </w:p>
        </w:tc>
        <w:tc>
          <w:tcPr>
            <w:tcW w:w="101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494548C">
            <w:pPr>
              <w:pStyle w:val="77"/>
              <w:spacing w:line="420" w:lineRule="atLeast"/>
              <w:jc w:val="center"/>
              <w:rPr>
                <w:rFonts w:ascii="宋体" w:hAnsi="宋体" w:cs="宋体"/>
                <w:highlight w:val="none"/>
              </w:rPr>
            </w:pPr>
          </w:p>
        </w:tc>
        <w:tc>
          <w:tcPr>
            <w:tcW w:w="121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6ED885A">
            <w:pPr>
              <w:pStyle w:val="77"/>
              <w:spacing w:line="420" w:lineRule="atLeast"/>
              <w:jc w:val="center"/>
              <w:rPr>
                <w:rFonts w:ascii="宋体" w:hAnsi="宋体" w:cs="宋体"/>
                <w:highlight w:val="none"/>
              </w:rPr>
            </w:pPr>
          </w:p>
        </w:tc>
        <w:tc>
          <w:tcPr>
            <w:tcW w:w="107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8A124E0">
            <w:pPr>
              <w:pStyle w:val="77"/>
              <w:spacing w:line="420" w:lineRule="atLeast"/>
              <w:jc w:val="center"/>
              <w:rPr>
                <w:rFonts w:ascii="宋体" w:hAnsi="宋体" w:cs="宋体"/>
                <w:highlight w:val="none"/>
              </w:rPr>
            </w:pPr>
          </w:p>
        </w:tc>
        <w:tc>
          <w:tcPr>
            <w:tcW w:w="168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1B1189F">
            <w:pPr>
              <w:pStyle w:val="77"/>
              <w:spacing w:line="420" w:lineRule="atLeast"/>
              <w:jc w:val="center"/>
              <w:rPr>
                <w:rFonts w:ascii="宋体" w:hAnsi="宋体" w:cs="宋体"/>
                <w:highlight w:val="none"/>
              </w:rPr>
            </w:pPr>
          </w:p>
        </w:tc>
      </w:tr>
      <w:tr w14:paraId="7E4B70AB">
        <w:tblPrEx>
          <w:tblCellMar>
            <w:top w:w="0" w:type="dxa"/>
            <w:left w:w="0" w:type="dxa"/>
            <w:bottom w:w="0" w:type="dxa"/>
            <w:right w:w="0" w:type="dxa"/>
          </w:tblCellMar>
        </w:tblPrEx>
        <w:trPr>
          <w:trHeight w:val="794" w:hRule="atLeast"/>
          <w:jc w:val="center"/>
        </w:trPr>
        <w:tc>
          <w:tcPr>
            <w:tcW w:w="79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FBC38BB">
            <w:pPr>
              <w:widowControl/>
              <w:jc w:val="center"/>
              <w:textAlignment w:val="center"/>
              <w:rPr>
                <w:rFonts w:ascii="宋体" w:hAnsi="宋体" w:cs="宋体"/>
                <w:highlight w:val="none"/>
              </w:rPr>
            </w:pPr>
          </w:p>
        </w:tc>
        <w:tc>
          <w:tcPr>
            <w:tcW w:w="165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0B9843">
            <w:pPr>
              <w:widowControl/>
              <w:jc w:val="center"/>
              <w:textAlignment w:val="center"/>
              <w:rPr>
                <w:rFonts w:ascii="宋体" w:hAnsi="宋体" w:cs="宋体"/>
                <w:highlight w:val="none"/>
              </w:rPr>
            </w:pPr>
          </w:p>
        </w:tc>
        <w:tc>
          <w:tcPr>
            <w:tcW w:w="13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738EA7">
            <w:pPr>
              <w:widowControl/>
              <w:jc w:val="center"/>
              <w:textAlignment w:val="center"/>
              <w:rPr>
                <w:rFonts w:ascii="宋体" w:hAnsi="宋体" w:cs="宋体"/>
                <w:highlight w:val="none"/>
              </w:rPr>
            </w:pPr>
          </w:p>
        </w:tc>
        <w:tc>
          <w:tcPr>
            <w:tcW w:w="79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467BEA0">
            <w:pPr>
              <w:widowControl/>
              <w:jc w:val="center"/>
              <w:textAlignment w:val="center"/>
              <w:rPr>
                <w:rFonts w:ascii="宋体" w:hAnsi="宋体" w:cs="宋体"/>
                <w:highlight w:val="none"/>
              </w:rPr>
            </w:pPr>
          </w:p>
        </w:tc>
        <w:tc>
          <w:tcPr>
            <w:tcW w:w="101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52BBF7F">
            <w:pPr>
              <w:widowControl/>
              <w:jc w:val="center"/>
              <w:textAlignment w:val="center"/>
              <w:rPr>
                <w:rFonts w:ascii="宋体" w:hAnsi="宋体" w:cs="宋体"/>
                <w:highlight w:val="none"/>
              </w:rPr>
            </w:pPr>
          </w:p>
        </w:tc>
        <w:tc>
          <w:tcPr>
            <w:tcW w:w="121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B9FF79F">
            <w:pPr>
              <w:widowControl/>
              <w:jc w:val="center"/>
              <w:textAlignment w:val="center"/>
              <w:rPr>
                <w:rFonts w:ascii="宋体" w:hAnsi="宋体" w:cs="宋体"/>
                <w:highlight w:val="none"/>
              </w:rPr>
            </w:pPr>
          </w:p>
        </w:tc>
        <w:tc>
          <w:tcPr>
            <w:tcW w:w="107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A9EF9A6">
            <w:pPr>
              <w:widowControl/>
              <w:jc w:val="center"/>
              <w:textAlignment w:val="center"/>
              <w:rPr>
                <w:rFonts w:ascii="宋体" w:hAnsi="宋体" w:cs="宋体"/>
                <w:highlight w:val="none"/>
              </w:rPr>
            </w:pPr>
          </w:p>
        </w:tc>
        <w:tc>
          <w:tcPr>
            <w:tcW w:w="168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1366B5C">
            <w:pPr>
              <w:widowControl/>
              <w:jc w:val="center"/>
              <w:textAlignment w:val="center"/>
              <w:rPr>
                <w:rFonts w:ascii="宋体" w:hAnsi="宋体" w:cs="宋体"/>
                <w:highlight w:val="none"/>
              </w:rPr>
            </w:pPr>
          </w:p>
        </w:tc>
      </w:tr>
    </w:tbl>
    <w:p w14:paraId="308410A0">
      <w:pPr>
        <w:spacing w:before="156" w:beforeLines="50" w:after="156" w:afterLines="50"/>
        <w:ind w:right="294" w:rightChars="140"/>
        <w:outlineLvl w:val="0"/>
        <w:rPr>
          <w:rFonts w:hint="eastAsia" w:ascii="宋体" w:hAnsi="宋体" w:eastAsia="宋体" w:cs="宋体"/>
          <w:highlight w:val="none"/>
          <w:lang w:eastAsia="zh-CN"/>
        </w:rPr>
      </w:pPr>
      <w:bookmarkStart w:id="1783" w:name="_Toc69909996"/>
      <w:bookmarkStart w:id="1784" w:name="_Toc20000"/>
      <w:bookmarkStart w:id="1785" w:name="_Toc4670"/>
      <w:bookmarkStart w:id="1786" w:name="_Toc69891506"/>
      <w:r>
        <w:rPr>
          <w:rFonts w:hint="eastAsia" w:ascii="宋体" w:hAnsi="宋体" w:eastAsia="宋体" w:cs="宋体"/>
          <w:color w:val="auto"/>
          <w:highlight w:val="none"/>
        </w:rPr>
        <w:br w:type="page"/>
      </w:r>
      <w:r>
        <w:rPr>
          <w:rFonts w:hint="eastAsia" w:ascii="宋体" w:hAnsi="宋体" w:cs="宋体"/>
          <w:highlight w:val="none"/>
        </w:rPr>
        <w:t>附件</w:t>
      </w:r>
      <w:r>
        <w:rPr>
          <w:rFonts w:hint="eastAsia" w:ascii="宋体" w:hAnsi="宋体" w:cs="宋体"/>
          <w:highlight w:val="none"/>
          <w:lang w:val="en-US" w:eastAsia="zh-CN"/>
        </w:rPr>
        <w:t>7</w:t>
      </w:r>
      <w:r>
        <w:rPr>
          <w:rFonts w:hint="eastAsia" w:ascii="宋体" w:hAnsi="宋体" w:cs="宋体"/>
          <w:highlight w:val="none"/>
        </w:rPr>
        <w:t>：</w:t>
      </w:r>
      <w:r>
        <w:rPr>
          <w:rFonts w:hint="eastAsia" w:ascii="宋体" w:hAnsi="宋体" w:cs="宋体"/>
          <w:highlight w:val="none"/>
          <w:lang w:val="en-US" w:eastAsia="zh-CN"/>
        </w:rPr>
        <w:t>履约担保</w:t>
      </w:r>
    </w:p>
    <w:p w14:paraId="06E04B59">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b/>
          <w:bCs/>
          <w:color w:val="auto"/>
          <w:highlight w:val="none"/>
        </w:rPr>
        <w:t>致：</w:t>
      </w:r>
      <w:r>
        <w:rPr>
          <w:rFonts w:hint="eastAsia" w:ascii="宋体" w:hAnsi="宋体" w:eastAsia="宋体" w:cs="宋体"/>
          <w:color w:val="auto"/>
          <w:highlight w:val="none"/>
          <w:u w:val="single"/>
          <w:lang w:eastAsia="zh-CN"/>
        </w:rPr>
        <w:t>南通轨道交通集团有限公司</w:t>
      </w:r>
      <w:r>
        <w:rPr>
          <w:rFonts w:hint="eastAsia" w:ascii="宋体" w:hAnsi="宋体" w:eastAsia="宋体" w:cs="宋体"/>
          <w:color w:val="auto"/>
          <w:highlight w:val="none"/>
        </w:rPr>
        <w:t xml:space="preserve">          </w:t>
      </w:r>
    </w:p>
    <w:p w14:paraId="75FFEED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鉴于乙方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与</w:t>
      </w:r>
      <w:r>
        <w:rPr>
          <w:rFonts w:hint="eastAsia" w:ascii="宋体" w:hAnsi="宋体" w:eastAsia="宋体" w:cs="宋体"/>
          <w:color w:val="auto"/>
          <w:highlight w:val="none"/>
          <w:u w:val="single"/>
          <w:lang w:eastAsia="zh-CN"/>
        </w:rPr>
        <w:t>南通轨道交通集团有限公司</w:t>
      </w:r>
      <w:r>
        <w:rPr>
          <w:rFonts w:hint="eastAsia" w:ascii="宋体" w:hAnsi="宋体" w:eastAsia="宋体" w:cs="宋体"/>
          <w:color w:val="auto"/>
          <w:highlight w:val="none"/>
        </w:rPr>
        <w:t>（下称“甲方”）签订了</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合同书，并保证按合同规定承担该合同的工作任务，我行愿意出具保函为乙方担保，担保金额为人民币（大写）</w:t>
      </w:r>
      <w:r>
        <w:rPr>
          <w:rFonts w:hint="eastAsia" w:ascii="宋体" w:hAnsi="宋体" w:eastAsia="宋体" w:cs="宋体"/>
          <w:color w:val="auto"/>
          <w:highlight w:val="none"/>
          <w:u w:val="single" w:color="000000"/>
        </w:rPr>
        <w:t xml:space="preserve">         </w:t>
      </w:r>
      <w:r>
        <w:rPr>
          <w:rFonts w:hint="eastAsia" w:ascii="宋体" w:hAnsi="宋体" w:eastAsia="宋体" w:cs="宋体"/>
          <w:color w:val="auto"/>
          <w:highlight w:val="none"/>
        </w:rPr>
        <w:t>元（￥</w:t>
      </w:r>
      <w:r>
        <w:rPr>
          <w:rFonts w:hint="eastAsia" w:ascii="宋体" w:hAnsi="宋体" w:eastAsia="宋体" w:cs="宋体"/>
          <w:color w:val="auto"/>
          <w:highlight w:val="none"/>
          <w:u w:val="single" w:color="000000"/>
        </w:rPr>
        <w:t xml:space="preserve">       </w:t>
      </w:r>
      <w:r>
        <w:rPr>
          <w:rFonts w:hint="eastAsia" w:ascii="宋体" w:hAnsi="宋体" w:eastAsia="宋体" w:cs="宋体"/>
          <w:color w:val="auto"/>
          <w:highlight w:val="none"/>
        </w:rPr>
        <w:t>元）。</w:t>
      </w:r>
    </w:p>
    <w:p w14:paraId="0CD7C5C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本保函的义务是：我行在接到甲方提出的因乙方在履行合同过程中未能履约或违背合同规定的责任和义务而要求索赔的书面通知的 15 天内,在上述担保金额的限额内向甲方支付任何数额的款项，无须甲方出具证明或陈述理由。</w:t>
      </w:r>
    </w:p>
    <w:p w14:paraId="62C3472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在向我行提出要求前，我行将不坚持要求甲方应首先向乙方索要上述款项。我们还同意，任何对合同条款所作的修改或补充都不能免除或减轻我行按本保函所应承担的义务，但法律法规另有规定的除外。</w:t>
      </w:r>
    </w:p>
    <w:p w14:paraId="7173DB4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本保函保证方式为见索即付的连带责任保证，自我行签发之日即有效且不可撤销，直到甲方向乙方颁发工程接收证书后失效；但无论如何,本保函有效期最晚应不迟于202</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月3</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日失效。</w:t>
      </w:r>
    </w:p>
    <w:p w14:paraId="6D7747C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rPr>
      </w:pPr>
    </w:p>
    <w:p w14:paraId="3976C9E5">
      <w:pPr>
        <w:spacing w:line="360" w:lineRule="auto"/>
        <w:rPr>
          <w:rFonts w:hint="eastAsia" w:ascii="宋体" w:hAnsi="宋体" w:eastAsia="宋体" w:cs="宋体"/>
          <w:color w:val="auto"/>
          <w:highlight w:val="none"/>
        </w:rPr>
      </w:pPr>
    </w:p>
    <w:p w14:paraId="4614F4B1">
      <w:pPr>
        <w:spacing w:line="360" w:lineRule="auto"/>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担保银行：</w:t>
      </w:r>
      <w:r>
        <w:rPr>
          <w:rFonts w:hint="eastAsia" w:ascii="宋体" w:hAnsi="宋体" w:eastAsia="宋体" w:cs="宋体"/>
          <w:color w:val="auto"/>
          <w:highlight w:val="none"/>
          <w:u w:val="single"/>
        </w:rPr>
        <w:t>（全称）         （盖章）</w:t>
      </w:r>
    </w:p>
    <w:p w14:paraId="6BB128E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负责人或其授权的代理人：</w:t>
      </w:r>
    </w:p>
    <w:p w14:paraId="123EE000">
      <w:pPr>
        <w:spacing w:line="360" w:lineRule="auto"/>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（职务）  （姓名）        （签字）</w:t>
      </w:r>
    </w:p>
    <w:p w14:paraId="0409B7B6">
      <w:pPr>
        <w:spacing w:line="360" w:lineRule="auto"/>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银行地址：</w:t>
      </w:r>
      <w:r>
        <w:rPr>
          <w:rFonts w:hint="eastAsia" w:ascii="宋体" w:hAnsi="宋体" w:eastAsia="宋体" w:cs="宋体"/>
          <w:color w:val="auto"/>
          <w:highlight w:val="none"/>
          <w:u w:val="single"/>
        </w:rPr>
        <w:t xml:space="preserve">                        </w:t>
      </w:r>
    </w:p>
    <w:p w14:paraId="46EEE12A">
      <w:pPr>
        <w:spacing w:line="360" w:lineRule="auto"/>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邮    编：</w:t>
      </w:r>
      <w:r>
        <w:rPr>
          <w:rFonts w:hint="eastAsia" w:ascii="宋体" w:hAnsi="宋体" w:eastAsia="宋体" w:cs="宋体"/>
          <w:color w:val="auto"/>
          <w:highlight w:val="none"/>
          <w:u w:val="single"/>
        </w:rPr>
        <w:t xml:space="preserve">                        </w:t>
      </w:r>
    </w:p>
    <w:p w14:paraId="4B70125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p>
    <w:p w14:paraId="7B389BAB">
      <w:pPr>
        <w:tabs>
          <w:tab w:val="left" w:pos="1080"/>
        </w:tabs>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传    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7962000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584B21A8">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0D8F69C">
      <w:pPr>
        <w:spacing w:before="156" w:beforeLines="50" w:after="156" w:afterLines="50"/>
        <w:ind w:right="294" w:rightChars="140"/>
        <w:outlineLvl w:val="0"/>
        <w:rPr>
          <w:rFonts w:ascii="宋体" w:hAnsi="宋体" w:cs="宋体"/>
          <w:highlight w:val="none"/>
        </w:rPr>
      </w:pPr>
      <w:bookmarkStart w:id="1787" w:name="_Toc22958"/>
      <w:r>
        <w:rPr>
          <w:rFonts w:hint="eastAsia" w:ascii="宋体" w:hAnsi="宋体" w:cs="宋体"/>
          <w:highlight w:val="none"/>
        </w:rPr>
        <w:t>附件</w:t>
      </w:r>
      <w:r>
        <w:rPr>
          <w:rFonts w:hint="eastAsia" w:ascii="宋体" w:hAnsi="宋体" w:cs="宋体"/>
          <w:highlight w:val="none"/>
          <w:lang w:val="en-US" w:eastAsia="zh-CN"/>
        </w:rPr>
        <w:t>8</w:t>
      </w:r>
      <w:r>
        <w:rPr>
          <w:rFonts w:hint="eastAsia" w:ascii="宋体" w:hAnsi="宋体" w:cs="宋体"/>
          <w:highlight w:val="none"/>
        </w:rPr>
        <w:t>：暂估价一览表</w:t>
      </w:r>
      <w:bookmarkEnd w:id="1783"/>
      <w:bookmarkEnd w:id="1784"/>
      <w:bookmarkEnd w:id="1785"/>
      <w:bookmarkEnd w:id="1786"/>
      <w:bookmarkEnd w:id="1787"/>
    </w:p>
    <w:p w14:paraId="69020AC3">
      <w:pPr>
        <w:jc w:val="center"/>
        <w:rPr>
          <w:rFonts w:ascii="宋体" w:hAnsi="宋体" w:cs="宋体"/>
          <w:b/>
          <w:sz w:val="30"/>
          <w:szCs w:val="30"/>
          <w:highlight w:val="none"/>
        </w:rPr>
      </w:pPr>
      <w:r>
        <w:rPr>
          <w:rFonts w:hint="eastAsia" w:ascii="宋体" w:hAnsi="宋体" w:cs="宋体"/>
          <w:b/>
          <w:sz w:val="30"/>
          <w:szCs w:val="30"/>
          <w:highlight w:val="none"/>
          <w:lang w:val="en-US" w:eastAsia="zh-CN"/>
        </w:rPr>
        <w:t>8</w:t>
      </w:r>
      <w:r>
        <w:rPr>
          <w:rFonts w:hint="eastAsia" w:ascii="宋体" w:hAnsi="宋体" w:cs="宋体"/>
          <w:b/>
          <w:sz w:val="30"/>
          <w:szCs w:val="30"/>
          <w:highlight w:val="none"/>
        </w:rPr>
        <w:t>-1：材料暂估价表</w:t>
      </w:r>
    </w:p>
    <w:tbl>
      <w:tblPr>
        <w:tblStyle w:val="22"/>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3FDBB7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1312332F">
            <w:pPr>
              <w:pStyle w:val="11"/>
              <w:keepNext/>
              <w:ind w:left="63" w:right="63"/>
              <w:jc w:val="center"/>
              <w:rPr>
                <w:rFonts w:hint="eastAsia" w:ascii="宋体" w:hAnsi="宋体" w:cs="宋体"/>
                <w:highlight w:val="none"/>
              </w:rPr>
            </w:pPr>
            <w:r>
              <w:rPr>
                <w:rFonts w:hint="eastAsia" w:ascii="宋体" w:hAnsi="宋体" w:cs="宋体"/>
                <w:highlight w:val="none"/>
              </w:rPr>
              <w:t>序号</w:t>
            </w:r>
          </w:p>
        </w:tc>
        <w:tc>
          <w:tcPr>
            <w:tcW w:w="1984" w:type="dxa"/>
            <w:tcBorders>
              <w:top w:val="single" w:color="auto" w:sz="12" w:space="0"/>
              <w:bottom w:val="double" w:color="auto" w:sz="6" w:space="0"/>
            </w:tcBorders>
            <w:noWrap w:val="0"/>
            <w:vAlign w:val="top"/>
          </w:tcPr>
          <w:p w14:paraId="4A527F24">
            <w:pPr>
              <w:pStyle w:val="11"/>
              <w:keepNext/>
              <w:ind w:left="63" w:right="63"/>
              <w:jc w:val="center"/>
              <w:rPr>
                <w:rFonts w:hint="eastAsia" w:ascii="宋体" w:hAnsi="宋体" w:cs="宋体"/>
                <w:highlight w:val="none"/>
              </w:rPr>
            </w:pPr>
            <w:r>
              <w:rPr>
                <w:rFonts w:hint="eastAsia" w:ascii="宋体" w:hAnsi="宋体" w:cs="宋体"/>
                <w:highlight w:val="none"/>
              </w:rPr>
              <w:t>名称</w:t>
            </w:r>
          </w:p>
        </w:tc>
        <w:tc>
          <w:tcPr>
            <w:tcW w:w="851" w:type="dxa"/>
            <w:tcBorders>
              <w:top w:val="single" w:color="auto" w:sz="12" w:space="0"/>
              <w:bottom w:val="double" w:color="auto" w:sz="6" w:space="0"/>
            </w:tcBorders>
            <w:noWrap w:val="0"/>
            <w:vAlign w:val="top"/>
          </w:tcPr>
          <w:p w14:paraId="16774A32">
            <w:pPr>
              <w:pStyle w:val="11"/>
              <w:keepNext/>
              <w:ind w:left="63" w:right="63"/>
              <w:jc w:val="center"/>
              <w:rPr>
                <w:rFonts w:hint="eastAsia" w:ascii="宋体" w:hAnsi="宋体" w:cs="宋体"/>
                <w:highlight w:val="none"/>
              </w:rPr>
            </w:pPr>
            <w:r>
              <w:rPr>
                <w:rFonts w:hint="eastAsia" w:ascii="宋体" w:hAnsi="宋体" w:cs="宋体"/>
                <w:highlight w:val="none"/>
              </w:rPr>
              <w:t>单位</w:t>
            </w:r>
          </w:p>
        </w:tc>
        <w:tc>
          <w:tcPr>
            <w:tcW w:w="774" w:type="dxa"/>
            <w:tcBorders>
              <w:top w:val="single" w:color="auto" w:sz="12" w:space="0"/>
              <w:bottom w:val="double" w:color="auto" w:sz="6" w:space="0"/>
            </w:tcBorders>
            <w:noWrap w:val="0"/>
            <w:vAlign w:val="top"/>
          </w:tcPr>
          <w:p w14:paraId="5F00AAA3">
            <w:pPr>
              <w:pStyle w:val="11"/>
              <w:keepNext/>
              <w:ind w:left="63" w:right="63"/>
              <w:jc w:val="center"/>
              <w:rPr>
                <w:rFonts w:hint="eastAsia" w:ascii="宋体" w:hAnsi="宋体" w:cs="宋体"/>
                <w:highlight w:val="none"/>
              </w:rPr>
            </w:pPr>
            <w:r>
              <w:rPr>
                <w:rFonts w:hint="eastAsia" w:ascii="宋体" w:hAnsi="宋体" w:cs="宋体"/>
                <w:highlight w:val="none"/>
              </w:rPr>
              <w:t>数量</w:t>
            </w:r>
          </w:p>
        </w:tc>
        <w:tc>
          <w:tcPr>
            <w:tcW w:w="1352" w:type="dxa"/>
            <w:tcBorders>
              <w:top w:val="single" w:color="auto" w:sz="12" w:space="0"/>
              <w:bottom w:val="double" w:color="auto" w:sz="6" w:space="0"/>
            </w:tcBorders>
            <w:noWrap w:val="0"/>
            <w:vAlign w:val="top"/>
          </w:tcPr>
          <w:p w14:paraId="0C227165">
            <w:pPr>
              <w:pStyle w:val="11"/>
              <w:keepNext/>
              <w:ind w:left="63" w:right="63"/>
              <w:jc w:val="center"/>
              <w:rPr>
                <w:rFonts w:hint="eastAsia" w:ascii="宋体" w:hAnsi="宋体" w:cs="宋体"/>
                <w:highlight w:val="none"/>
              </w:rPr>
            </w:pPr>
            <w:r>
              <w:rPr>
                <w:rFonts w:hint="eastAsia" w:ascii="宋体" w:hAnsi="宋体" w:cs="宋体"/>
                <w:highlight w:val="none"/>
              </w:rPr>
              <w:t>单价（元）</w:t>
            </w:r>
          </w:p>
        </w:tc>
        <w:tc>
          <w:tcPr>
            <w:tcW w:w="1418" w:type="dxa"/>
            <w:tcBorders>
              <w:top w:val="single" w:color="auto" w:sz="12" w:space="0"/>
              <w:bottom w:val="double" w:color="auto" w:sz="6" w:space="0"/>
            </w:tcBorders>
            <w:noWrap w:val="0"/>
            <w:vAlign w:val="top"/>
          </w:tcPr>
          <w:p w14:paraId="1D1C679C">
            <w:pPr>
              <w:pStyle w:val="11"/>
              <w:keepNext/>
              <w:ind w:left="63" w:right="63"/>
              <w:jc w:val="center"/>
              <w:rPr>
                <w:rFonts w:hint="eastAsia" w:ascii="宋体" w:hAnsi="宋体" w:cs="宋体"/>
                <w:highlight w:val="none"/>
              </w:rPr>
            </w:pPr>
            <w:r>
              <w:rPr>
                <w:rFonts w:hint="eastAsia" w:ascii="宋体" w:hAnsi="宋体" w:cs="宋体"/>
                <w:highlight w:val="none"/>
              </w:rPr>
              <w:t>合价（元）</w:t>
            </w:r>
          </w:p>
        </w:tc>
        <w:tc>
          <w:tcPr>
            <w:tcW w:w="1701" w:type="dxa"/>
            <w:tcBorders>
              <w:top w:val="single" w:color="auto" w:sz="12" w:space="0"/>
              <w:bottom w:val="double" w:color="auto" w:sz="6" w:space="0"/>
            </w:tcBorders>
            <w:noWrap w:val="0"/>
            <w:vAlign w:val="top"/>
          </w:tcPr>
          <w:p w14:paraId="5A827381">
            <w:pPr>
              <w:pStyle w:val="11"/>
              <w:keepNext/>
              <w:ind w:left="63" w:right="63"/>
              <w:jc w:val="center"/>
              <w:rPr>
                <w:rFonts w:hint="eastAsia" w:ascii="宋体" w:hAnsi="宋体" w:cs="宋体"/>
                <w:highlight w:val="none"/>
              </w:rPr>
            </w:pPr>
            <w:r>
              <w:rPr>
                <w:rFonts w:hint="eastAsia" w:ascii="宋体" w:hAnsi="宋体" w:cs="宋体"/>
                <w:highlight w:val="none"/>
              </w:rPr>
              <w:t>备注</w:t>
            </w:r>
          </w:p>
        </w:tc>
      </w:tr>
      <w:tr w14:paraId="0DB3B3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top"/>
          </w:tcPr>
          <w:p w14:paraId="1139A393">
            <w:pPr>
              <w:pStyle w:val="11"/>
              <w:keepNext/>
              <w:ind w:left="63" w:right="63"/>
              <w:rPr>
                <w:rFonts w:hint="eastAsia" w:ascii="宋体" w:hAnsi="宋体" w:cs="宋体"/>
                <w:sz w:val="24"/>
                <w:highlight w:val="none"/>
              </w:rPr>
            </w:pPr>
            <w:r>
              <w:rPr>
                <w:rFonts w:hint="eastAsia" w:ascii="宋体" w:hAnsi="宋体" w:cs="宋体"/>
                <w:sz w:val="24"/>
                <w:highlight w:val="none"/>
              </w:rPr>
              <w:t>无</w:t>
            </w:r>
          </w:p>
        </w:tc>
        <w:tc>
          <w:tcPr>
            <w:tcW w:w="1984" w:type="dxa"/>
            <w:tcBorders>
              <w:top w:val="double" w:color="auto" w:sz="6" w:space="0"/>
              <w:bottom w:val="single" w:color="auto" w:sz="6" w:space="0"/>
            </w:tcBorders>
            <w:noWrap w:val="0"/>
            <w:vAlign w:val="top"/>
          </w:tcPr>
          <w:p w14:paraId="22594BC2">
            <w:pPr>
              <w:pStyle w:val="11"/>
              <w:keepNext/>
              <w:ind w:left="63" w:right="63"/>
              <w:rPr>
                <w:rFonts w:hint="eastAsia" w:ascii="宋体" w:hAnsi="宋体" w:cs="宋体"/>
                <w:sz w:val="24"/>
                <w:highlight w:val="none"/>
              </w:rPr>
            </w:pPr>
          </w:p>
        </w:tc>
        <w:tc>
          <w:tcPr>
            <w:tcW w:w="851" w:type="dxa"/>
            <w:tcBorders>
              <w:top w:val="double" w:color="auto" w:sz="6" w:space="0"/>
              <w:bottom w:val="single" w:color="auto" w:sz="6" w:space="0"/>
            </w:tcBorders>
            <w:noWrap w:val="0"/>
            <w:vAlign w:val="top"/>
          </w:tcPr>
          <w:p w14:paraId="7DA49D17">
            <w:pPr>
              <w:pStyle w:val="11"/>
              <w:keepNext/>
              <w:ind w:left="63" w:right="63"/>
              <w:rPr>
                <w:rFonts w:hint="eastAsia" w:ascii="宋体" w:hAnsi="宋体" w:cs="宋体"/>
                <w:sz w:val="24"/>
                <w:highlight w:val="none"/>
              </w:rPr>
            </w:pPr>
          </w:p>
        </w:tc>
        <w:tc>
          <w:tcPr>
            <w:tcW w:w="774" w:type="dxa"/>
            <w:tcBorders>
              <w:top w:val="double" w:color="auto" w:sz="6" w:space="0"/>
              <w:bottom w:val="single" w:color="auto" w:sz="6" w:space="0"/>
            </w:tcBorders>
            <w:noWrap w:val="0"/>
            <w:vAlign w:val="top"/>
          </w:tcPr>
          <w:p w14:paraId="4990829B">
            <w:pPr>
              <w:pStyle w:val="11"/>
              <w:keepNext/>
              <w:ind w:left="63" w:right="63"/>
              <w:rPr>
                <w:rFonts w:hint="eastAsia" w:ascii="宋体" w:hAnsi="宋体" w:cs="宋体"/>
                <w:sz w:val="24"/>
                <w:highlight w:val="none"/>
              </w:rPr>
            </w:pPr>
          </w:p>
        </w:tc>
        <w:tc>
          <w:tcPr>
            <w:tcW w:w="1352" w:type="dxa"/>
            <w:tcBorders>
              <w:top w:val="double" w:color="auto" w:sz="6" w:space="0"/>
              <w:bottom w:val="single" w:color="auto" w:sz="6" w:space="0"/>
            </w:tcBorders>
            <w:noWrap w:val="0"/>
            <w:vAlign w:val="top"/>
          </w:tcPr>
          <w:p w14:paraId="10EA7856">
            <w:pPr>
              <w:pStyle w:val="11"/>
              <w:keepNext/>
              <w:ind w:left="63" w:right="63"/>
              <w:rPr>
                <w:rFonts w:hint="eastAsia" w:ascii="宋体" w:hAnsi="宋体" w:cs="宋体"/>
                <w:sz w:val="24"/>
                <w:highlight w:val="none"/>
              </w:rPr>
            </w:pPr>
          </w:p>
        </w:tc>
        <w:tc>
          <w:tcPr>
            <w:tcW w:w="1418" w:type="dxa"/>
            <w:tcBorders>
              <w:top w:val="double" w:color="auto" w:sz="6" w:space="0"/>
              <w:bottom w:val="single" w:color="auto" w:sz="6" w:space="0"/>
            </w:tcBorders>
            <w:noWrap w:val="0"/>
            <w:vAlign w:val="top"/>
          </w:tcPr>
          <w:p w14:paraId="5B1415C9">
            <w:pPr>
              <w:pStyle w:val="11"/>
              <w:keepNext/>
              <w:ind w:left="63" w:right="63"/>
              <w:rPr>
                <w:rFonts w:hint="eastAsia" w:ascii="宋体" w:hAnsi="宋体" w:cs="宋体"/>
                <w:sz w:val="24"/>
                <w:highlight w:val="none"/>
              </w:rPr>
            </w:pPr>
          </w:p>
        </w:tc>
        <w:tc>
          <w:tcPr>
            <w:tcW w:w="1701" w:type="dxa"/>
            <w:tcBorders>
              <w:top w:val="double" w:color="auto" w:sz="6" w:space="0"/>
              <w:bottom w:val="single" w:color="auto" w:sz="6" w:space="0"/>
            </w:tcBorders>
            <w:noWrap w:val="0"/>
            <w:vAlign w:val="top"/>
          </w:tcPr>
          <w:p w14:paraId="0D3E0C44">
            <w:pPr>
              <w:pStyle w:val="11"/>
              <w:keepNext/>
              <w:ind w:left="63" w:right="63"/>
              <w:rPr>
                <w:rFonts w:hint="eastAsia" w:ascii="宋体" w:hAnsi="宋体" w:cs="宋体"/>
                <w:sz w:val="24"/>
                <w:highlight w:val="none"/>
              </w:rPr>
            </w:pPr>
          </w:p>
        </w:tc>
      </w:tr>
      <w:tr w14:paraId="1774DD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0FAAFFAA">
            <w:pPr>
              <w:pStyle w:val="11"/>
              <w:keepNext/>
              <w:ind w:left="63" w:right="63"/>
              <w:rPr>
                <w:rFonts w:ascii="宋体" w:hAnsi="宋体" w:cs="宋体"/>
                <w:sz w:val="24"/>
                <w:highlight w:val="none"/>
              </w:rPr>
            </w:pPr>
          </w:p>
        </w:tc>
        <w:tc>
          <w:tcPr>
            <w:tcW w:w="1984" w:type="dxa"/>
            <w:tcBorders>
              <w:top w:val="nil"/>
            </w:tcBorders>
            <w:noWrap w:val="0"/>
            <w:vAlign w:val="top"/>
          </w:tcPr>
          <w:p w14:paraId="6CA29874">
            <w:pPr>
              <w:pStyle w:val="11"/>
              <w:keepNext/>
              <w:ind w:left="63" w:right="63"/>
              <w:rPr>
                <w:rFonts w:ascii="宋体" w:hAnsi="宋体" w:cs="宋体"/>
                <w:sz w:val="24"/>
                <w:highlight w:val="none"/>
              </w:rPr>
            </w:pPr>
          </w:p>
        </w:tc>
        <w:tc>
          <w:tcPr>
            <w:tcW w:w="851" w:type="dxa"/>
            <w:tcBorders>
              <w:top w:val="nil"/>
            </w:tcBorders>
            <w:noWrap w:val="0"/>
            <w:vAlign w:val="top"/>
          </w:tcPr>
          <w:p w14:paraId="726BA1D4">
            <w:pPr>
              <w:pStyle w:val="11"/>
              <w:keepNext/>
              <w:ind w:left="63" w:right="63"/>
              <w:rPr>
                <w:rFonts w:ascii="宋体" w:hAnsi="宋体" w:cs="宋体"/>
                <w:sz w:val="24"/>
                <w:highlight w:val="none"/>
              </w:rPr>
            </w:pPr>
          </w:p>
        </w:tc>
        <w:tc>
          <w:tcPr>
            <w:tcW w:w="774" w:type="dxa"/>
            <w:tcBorders>
              <w:top w:val="nil"/>
            </w:tcBorders>
            <w:noWrap w:val="0"/>
            <w:vAlign w:val="top"/>
          </w:tcPr>
          <w:p w14:paraId="54800C63">
            <w:pPr>
              <w:pStyle w:val="11"/>
              <w:keepNext/>
              <w:ind w:left="63" w:right="63"/>
              <w:rPr>
                <w:rFonts w:ascii="宋体" w:hAnsi="宋体" w:cs="宋体"/>
                <w:sz w:val="24"/>
                <w:highlight w:val="none"/>
              </w:rPr>
            </w:pPr>
          </w:p>
        </w:tc>
        <w:tc>
          <w:tcPr>
            <w:tcW w:w="1352" w:type="dxa"/>
            <w:tcBorders>
              <w:top w:val="nil"/>
            </w:tcBorders>
            <w:noWrap w:val="0"/>
            <w:vAlign w:val="top"/>
          </w:tcPr>
          <w:p w14:paraId="1230D4D2">
            <w:pPr>
              <w:pStyle w:val="11"/>
              <w:keepNext/>
              <w:ind w:left="63" w:right="63"/>
              <w:rPr>
                <w:rFonts w:ascii="宋体" w:hAnsi="宋体" w:cs="宋体"/>
                <w:sz w:val="24"/>
                <w:highlight w:val="none"/>
              </w:rPr>
            </w:pPr>
          </w:p>
        </w:tc>
        <w:tc>
          <w:tcPr>
            <w:tcW w:w="1418" w:type="dxa"/>
            <w:tcBorders>
              <w:top w:val="nil"/>
            </w:tcBorders>
            <w:noWrap w:val="0"/>
            <w:vAlign w:val="top"/>
          </w:tcPr>
          <w:p w14:paraId="115DD279">
            <w:pPr>
              <w:pStyle w:val="11"/>
              <w:keepNext/>
              <w:ind w:left="63" w:right="63"/>
              <w:rPr>
                <w:rFonts w:ascii="宋体" w:hAnsi="宋体" w:cs="宋体"/>
                <w:sz w:val="24"/>
                <w:highlight w:val="none"/>
              </w:rPr>
            </w:pPr>
          </w:p>
        </w:tc>
        <w:tc>
          <w:tcPr>
            <w:tcW w:w="1701" w:type="dxa"/>
            <w:tcBorders>
              <w:top w:val="nil"/>
            </w:tcBorders>
            <w:noWrap w:val="0"/>
            <w:vAlign w:val="top"/>
          </w:tcPr>
          <w:p w14:paraId="656AD7DF">
            <w:pPr>
              <w:pStyle w:val="11"/>
              <w:keepNext/>
              <w:ind w:left="63" w:right="63"/>
              <w:rPr>
                <w:rFonts w:ascii="宋体" w:hAnsi="宋体" w:cs="宋体"/>
                <w:sz w:val="24"/>
                <w:highlight w:val="none"/>
              </w:rPr>
            </w:pPr>
          </w:p>
        </w:tc>
      </w:tr>
      <w:tr w14:paraId="0DB404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D2E3944">
            <w:pPr>
              <w:pStyle w:val="11"/>
              <w:keepNext/>
              <w:ind w:left="63" w:right="63"/>
              <w:rPr>
                <w:rFonts w:ascii="宋体" w:hAnsi="宋体" w:cs="宋体"/>
                <w:sz w:val="24"/>
                <w:highlight w:val="none"/>
              </w:rPr>
            </w:pPr>
          </w:p>
        </w:tc>
        <w:tc>
          <w:tcPr>
            <w:tcW w:w="1984" w:type="dxa"/>
            <w:noWrap w:val="0"/>
            <w:vAlign w:val="top"/>
          </w:tcPr>
          <w:p w14:paraId="03F50EFE">
            <w:pPr>
              <w:pStyle w:val="11"/>
              <w:keepNext/>
              <w:ind w:left="63" w:right="63"/>
              <w:rPr>
                <w:rFonts w:ascii="宋体" w:hAnsi="宋体" w:cs="宋体"/>
                <w:sz w:val="24"/>
                <w:highlight w:val="none"/>
              </w:rPr>
            </w:pPr>
          </w:p>
        </w:tc>
        <w:tc>
          <w:tcPr>
            <w:tcW w:w="851" w:type="dxa"/>
            <w:noWrap w:val="0"/>
            <w:vAlign w:val="top"/>
          </w:tcPr>
          <w:p w14:paraId="2BB8F44E">
            <w:pPr>
              <w:pStyle w:val="11"/>
              <w:keepNext/>
              <w:ind w:left="63" w:right="63"/>
              <w:rPr>
                <w:rFonts w:ascii="宋体" w:hAnsi="宋体" w:cs="宋体"/>
                <w:sz w:val="24"/>
                <w:highlight w:val="none"/>
              </w:rPr>
            </w:pPr>
          </w:p>
        </w:tc>
        <w:tc>
          <w:tcPr>
            <w:tcW w:w="774" w:type="dxa"/>
            <w:noWrap w:val="0"/>
            <w:vAlign w:val="top"/>
          </w:tcPr>
          <w:p w14:paraId="28EB582F">
            <w:pPr>
              <w:pStyle w:val="11"/>
              <w:keepNext/>
              <w:ind w:left="63" w:right="63"/>
              <w:rPr>
                <w:rFonts w:ascii="宋体" w:hAnsi="宋体" w:cs="宋体"/>
                <w:sz w:val="24"/>
                <w:highlight w:val="none"/>
              </w:rPr>
            </w:pPr>
          </w:p>
        </w:tc>
        <w:tc>
          <w:tcPr>
            <w:tcW w:w="1352" w:type="dxa"/>
            <w:noWrap w:val="0"/>
            <w:vAlign w:val="top"/>
          </w:tcPr>
          <w:p w14:paraId="61A2379E">
            <w:pPr>
              <w:pStyle w:val="11"/>
              <w:keepNext/>
              <w:ind w:left="63" w:right="63"/>
              <w:rPr>
                <w:rFonts w:ascii="宋体" w:hAnsi="宋体" w:cs="宋体"/>
                <w:sz w:val="24"/>
                <w:highlight w:val="none"/>
              </w:rPr>
            </w:pPr>
          </w:p>
        </w:tc>
        <w:tc>
          <w:tcPr>
            <w:tcW w:w="1418" w:type="dxa"/>
            <w:noWrap w:val="0"/>
            <w:vAlign w:val="top"/>
          </w:tcPr>
          <w:p w14:paraId="5E95C1E0">
            <w:pPr>
              <w:pStyle w:val="11"/>
              <w:keepNext/>
              <w:ind w:left="63" w:right="63"/>
              <w:rPr>
                <w:rFonts w:ascii="宋体" w:hAnsi="宋体" w:cs="宋体"/>
                <w:sz w:val="24"/>
                <w:highlight w:val="none"/>
              </w:rPr>
            </w:pPr>
          </w:p>
        </w:tc>
        <w:tc>
          <w:tcPr>
            <w:tcW w:w="1701" w:type="dxa"/>
            <w:noWrap w:val="0"/>
            <w:vAlign w:val="top"/>
          </w:tcPr>
          <w:p w14:paraId="016942AF">
            <w:pPr>
              <w:pStyle w:val="11"/>
              <w:keepNext/>
              <w:ind w:left="63" w:right="63"/>
              <w:rPr>
                <w:rFonts w:ascii="宋体" w:hAnsi="宋体" w:cs="宋体"/>
                <w:sz w:val="24"/>
                <w:highlight w:val="none"/>
              </w:rPr>
            </w:pPr>
          </w:p>
        </w:tc>
      </w:tr>
      <w:tr w14:paraId="0083FB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0C6CD69">
            <w:pPr>
              <w:pStyle w:val="11"/>
              <w:keepNext/>
              <w:ind w:left="63" w:right="63"/>
              <w:rPr>
                <w:rFonts w:ascii="宋体" w:hAnsi="宋体" w:cs="宋体"/>
                <w:sz w:val="24"/>
                <w:highlight w:val="none"/>
              </w:rPr>
            </w:pPr>
          </w:p>
        </w:tc>
        <w:tc>
          <w:tcPr>
            <w:tcW w:w="1984" w:type="dxa"/>
            <w:noWrap w:val="0"/>
            <w:vAlign w:val="top"/>
          </w:tcPr>
          <w:p w14:paraId="3E66F440">
            <w:pPr>
              <w:pStyle w:val="11"/>
              <w:keepNext/>
              <w:ind w:left="63" w:right="63"/>
              <w:rPr>
                <w:rFonts w:ascii="宋体" w:hAnsi="宋体" w:cs="宋体"/>
                <w:sz w:val="24"/>
                <w:highlight w:val="none"/>
              </w:rPr>
            </w:pPr>
          </w:p>
        </w:tc>
        <w:tc>
          <w:tcPr>
            <w:tcW w:w="851" w:type="dxa"/>
            <w:noWrap w:val="0"/>
            <w:vAlign w:val="top"/>
          </w:tcPr>
          <w:p w14:paraId="7FDD14AE">
            <w:pPr>
              <w:pStyle w:val="11"/>
              <w:keepNext/>
              <w:ind w:left="63" w:right="63"/>
              <w:rPr>
                <w:rFonts w:ascii="宋体" w:hAnsi="宋体" w:cs="宋体"/>
                <w:sz w:val="24"/>
                <w:highlight w:val="none"/>
              </w:rPr>
            </w:pPr>
          </w:p>
        </w:tc>
        <w:tc>
          <w:tcPr>
            <w:tcW w:w="774" w:type="dxa"/>
            <w:noWrap w:val="0"/>
            <w:vAlign w:val="top"/>
          </w:tcPr>
          <w:p w14:paraId="14C7A294">
            <w:pPr>
              <w:pStyle w:val="11"/>
              <w:keepNext/>
              <w:ind w:left="63" w:right="63"/>
              <w:rPr>
                <w:rFonts w:ascii="宋体" w:hAnsi="宋体" w:cs="宋体"/>
                <w:sz w:val="24"/>
                <w:highlight w:val="none"/>
              </w:rPr>
            </w:pPr>
          </w:p>
        </w:tc>
        <w:tc>
          <w:tcPr>
            <w:tcW w:w="1352" w:type="dxa"/>
            <w:noWrap w:val="0"/>
            <w:vAlign w:val="top"/>
          </w:tcPr>
          <w:p w14:paraId="180AA02F">
            <w:pPr>
              <w:pStyle w:val="11"/>
              <w:keepNext/>
              <w:ind w:left="63" w:right="63"/>
              <w:rPr>
                <w:rFonts w:ascii="宋体" w:hAnsi="宋体" w:cs="宋体"/>
                <w:sz w:val="24"/>
                <w:highlight w:val="none"/>
              </w:rPr>
            </w:pPr>
          </w:p>
        </w:tc>
        <w:tc>
          <w:tcPr>
            <w:tcW w:w="1418" w:type="dxa"/>
            <w:noWrap w:val="0"/>
            <w:vAlign w:val="top"/>
          </w:tcPr>
          <w:p w14:paraId="232E9E93">
            <w:pPr>
              <w:pStyle w:val="11"/>
              <w:keepNext/>
              <w:ind w:left="63" w:right="63"/>
              <w:rPr>
                <w:rFonts w:ascii="宋体" w:hAnsi="宋体" w:cs="宋体"/>
                <w:sz w:val="24"/>
                <w:highlight w:val="none"/>
              </w:rPr>
            </w:pPr>
          </w:p>
        </w:tc>
        <w:tc>
          <w:tcPr>
            <w:tcW w:w="1701" w:type="dxa"/>
            <w:noWrap w:val="0"/>
            <w:vAlign w:val="top"/>
          </w:tcPr>
          <w:p w14:paraId="4BA3118D">
            <w:pPr>
              <w:pStyle w:val="11"/>
              <w:keepNext/>
              <w:ind w:left="63" w:right="63"/>
              <w:rPr>
                <w:rFonts w:ascii="宋体" w:hAnsi="宋体" w:cs="宋体"/>
                <w:sz w:val="24"/>
                <w:highlight w:val="none"/>
              </w:rPr>
            </w:pPr>
          </w:p>
        </w:tc>
      </w:tr>
      <w:tr w14:paraId="7A3904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CCCFDE8">
            <w:pPr>
              <w:pStyle w:val="11"/>
              <w:keepNext/>
              <w:ind w:left="63" w:right="63"/>
              <w:rPr>
                <w:rFonts w:ascii="宋体" w:hAnsi="宋体" w:cs="宋体"/>
                <w:sz w:val="24"/>
                <w:highlight w:val="none"/>
              </w:rPr>
            </w:pPr>
          </w:p>
        </w:tc>
        <w:tc>
          <w:tcPr>
            <w:tcW w:w="1984" w:type="dxa"/>
            <w:noWrap w:val="0"/>
            <w:vAlign w:val="top"/>
          </w:tcPr>
          <w:p w14:paraId="6C41337E">
            <w:pPr>
              <w:pStyle w:val="11"/>
              <w:keepNext/>
              <w:ind w:left="63" w:right="63"/>
              <w:rPr>
                <w:rFonts w:ascii="宋体" w:hAnsi="宋体" w:cs="宋体"/>
                <w:sz w:val="24"/>
                <w:highlight w:val="none"/>
              </w:rPr>
            </w:pPr>
          </w:p>
        </w:tc>
        <w:tc>
          <w:tcPr>
            <w:tcW w:w="851" w:type="dxa"/>
            <w:noWrap w:val="0"/>
            <w:vAlign w:val="top"/>
          </w:tcPr>
          <w:p w14:paraId="3CCB4FB0">
            <w:pPr>
              <w:pStyle w:val="11"/>
              <w:keepNext/>
              <w:ind w:left="63" w:right="63"/>
              <w:rPr>
                <w:rFonts w:ascii="宋体" w:hAnsi="宋体" w:cs="宋体"/>
                <w:sz w:val="24"/>
                <w:highlight w:val="none"/>
              </w:rPr>
            </w:pPr>
          </w:p>
        </w:tc>
        <w:tc>
          <w:tcPr>
            <w:tcW w:w="774" w:type="dxa"/>
            <w:noWrap w:val="0"/>
            <w:vAlign w:val="top"/>
          </w:tcPr>
          <w:p w14:paraId="3BDF30D7">
            <w:pPr>
              <w:pStyle w:val="11"/>
              <w:keepNext/>
              <w:ind w:left="63" w:right="63"/>
              <w:rPr>
                <w:rFonts w:ascii="宋体" w:hAnsi="宋体" w:cs="宋体"/>
                <w:sz w:val="24"/>
                <w:highlight w:val="none"/>
              </w:rPr>
            </w:pPr>
          </w:p>
        </w:tc>
        <w:tc>
          <w:tcPr>
            <w:tcW w:w="1352" w:type="dxa"/>
            <w:noWrap w:val="0"/>
            <w:vAlign w:val="top"/>
          </w:tcPr>
          <w:p w14:paraId="738B11AE">
            <w:pPr>
              <w:pStyle w:val="11"/>
              <w:keepNext/>
              <w:ind w:left="63" w:right="63"/>
              <w:rPr>
                <w:rFonts w:ascii="宋体" w:hAnsi="宋体" w:cs="宋体"/>
                <w:sz w:val="24"/>
                <w:highlight w:val="none"/>
              </w:rPr>
            </w:pPr>
          </w:p>
        </w:tc>
        <w:tc>
          <w:tcPr>
            <w:tcW w:w="1418" w:type="dxa"/>
            <w:noWrap w:val="0"/>
            <w:vAlign w:val="top"/>
          </w:tcPr>
          <w:p w14:paraId="413E0507">
            <w:pPr>
              <w:pStyle w:val="11"/>
              <w:keepNext/>
              <w:ind w:left="63" w:right="63"/>
              <w:rPr>
                <w:rFonts w:ascii="宋体" w:hAnsi="宋体" w:cs="宋体"/>
                <w:sz w:val="24"/>
                <w:highlight w:val="none"/>
              </w:rPr>
            </w:pPr>
          </w:p>
        </w:tc>
        <w:tc>
          <w:tcPr>
            <w:tcW w:w="1701" w:type="dxa"/>
            <w:noWrap w:val="0"/>
            <w:vAlign w:val="top"/>
          </w:tcPr>
          <w:p w14:paraId="21D25EDA">
            <w:pPr>
              <w:pStyle w:val="11"/>
              <w:keepNext/>
              <w:ind w:left="63" w:right="63"/>
              <w:rPr>
                <w:rFonts w:ascii="宋体" w:hAnsi="宋体" w:cs="宋体"/>
                <w:sz w:val="24"/>
                <w:highlight w:val="none"/>
              </w:rPr>
            </w:pPr>
          </w:p>
        </w:tc>
      </w:tr>
      <w:tr w14:paraId="3918CB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B992968">
            <w:pPr>
              <w:pStyle w:val="11"/>
              <w:keepNext/>
              <w:ind w:left="63" w:right="63"/>
              <w:rPr>
                <w:rFonts w:ascii="宋体" w:hAnsi="宋体" w:cs="宋体"/>
                <w:sz w:val="24"/>
                <w:highlight w:val="none"/>
              </w:rPr>
            </w:pPr>
          </w:p>
        </w:tc>
        <w:tc>
          <w:tcPr>
            <w:tcW w:w="1984" w:type="dxa"/>
            <w:noWrap w:val="0"/>
            <w:vAlign w:val="top"/>
          </w:tcPr>
          <w:p w14:paraId="33214F80">
            <w:pPr>
              <w:pStyle w:val="11"/>
              <w:keepNext/>
              <w:ind w:left="63" w:right="63"/>
              <w:rPr>
                <w:rFonts w:ascii="宋体" w:hAnsi="宋体" w:cs="宋体"/>
                <w:sz w:val="24"/>
                <w:highlight w:val="none"/>
              </w:rPr>
            </w:pPr>
          </w:p>
        </w:tc>
        <w:tc>
          <w:tcPr>
            <w:tcW w:w="851" w:type="dxa"/>
            <w:noWrap w:val="0"/>
            <w:vAlign w:val="top"/>
          </w:tcPr>
          <w:p w14:paraId="365DB6EF">
            <w:pPr>
              <w:pStyle w:val="11"/>
              <w:keepNext/>
              <w:ind w:left="63" w:right="63"/>
              <w:rPr>
                <w:rFonts w:ascii="宋体" w:hAnsi="宋体" w:cs="宋体"/>
                <w:sz w:val="24"/>
                <w:highlight w:val="none"/>
              </w:rPr>
            </w:pPr>
          </w:p>
        </w:tc>
        <w:tc>
          <w:tcPr>
            <w:tcW w:w="774" w:type="dxa"/>
            <w:noWrap w:val="0"/>
            <w:vAlign w:val="top"/>
          </w:tcPr>
          <w:p w14:paraId="68F5813D">
            <w:pPr>
              <w:pStyle w:val="11"/>
              <w:keepNext/>
              <w:ind w:left="63" w:right="63"/>
              <w:rPr>
                <w:rFonts w:ascii="宋体" w:hAnsi="宋体" w:cs="宋体"/>
                <w:sz w:val="24"/>
                <w:highlight w:val="none"/>
              </w:rPr>
            </w:pPr>
          </w:p>
        </w:tc>
        <w:tc>
          <w:tcPr>
            <w:tcW w:w="1352" w:type="dxa"/>
            <w:noWrap w:val="0"/>
            <w:vAlign w:val="top"/>
          </w:tcPr>
          <w:p w14:paraId="31C914DA">
            <w:pPr>
              <w:pStyle w:val="11"/>
              <w:keepNext/>
              <w:ind w:left="63" w:right="63"/>
              <w:rPr>
                <w:rFonts w:ascii="宋体" w:hAnsi="宋体" w:cs="宋体"/>
                <w:sz w:val="24"/>
                <w:highlight w:val="none"/>
              </w:rPr>
            </w:pPr>
          </w:p>
        </w:tc>
        <w:tc>
          <w:tcPr>
            <w:tcW w:w="1418" w:type="dxa"/>
            <w:noWrap w:val="0"/>
            <w:vAlign w:val="top"/>
          </w:tcPr>
          <w:p w14:paraId="31DC4BFA">
            <w:pPr>
              <w:pStyle w:val="11"/>
              <w:keepNext/>
              <w:ind w:left="63" w:right="63"/>
              <w:rPr>
                <w:rFonts w:ascii="宋体" w:hAnsi="宋体" w:cs="宋体"/>
                <w:sz w:val="24"/>
                <w:highlight w:val="none"/>
              </w:rPr>
            </w:pPr>
          </w:p>
        </w:tc>
        <w:tc>
          <w:tcPr>
            <w:tcW w:w="1701" w:type="dxa"/>
            <w:noWrap w:val="0"/>
            <w:vAlign w:val="top"/>
          </w:tcPr>
          <w:p w14:paraId="0C4FFD8F">
            <w:pPr>
              <w:pStyle w:val="11"/>
              <w:keepNext/>
              <w:ind w:left="63" w:right="63"/>
              <w:rPr>
                <w:rFonts w:ascii="宋体" w:hAnsi="宋体" w:cs="宋体"/>
                <w:sz w:val="24"/>
                <w:highlight w:val="none"/>
              </w:rPr>
            </w:pPr>
          </w:p>
        </w:tc>
      </w:tr>
      <w:tr w14:paraId="207114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3B48C8E">
            <w:pPr>
              <w:pStyle w:val="11"/>
              <w:keepNext/>
              <w:ind w:left="63" w:right="63"/>
              <w:rPr>
                <w:rFonts w:ascii="宋体" w:hAnsi="宋体" w:cs="宋体"/>
                <w:sz w:val="24"/>
                <w:highlight w:val="none"/>
              </w:rPr>
            </w:pPr>
          </w:p>
        </w:tc>
        <w:tc>
          <w:tcPr>
            <w:tcW w:w="1984" w:type="dxa"/>
            <w:noWrap w:val="0"/>
            <w:vAlign w:val="top"/>
          </w:tcPr>
          <w:p w14:paraId="12C5FA40">
            <w:pPr>
              <w:pStyle w:val="11"/>
              <w:keepNext/>
              <w:ind w:left="63" w:right="63"/>
              <w:rPr>
                <w:rFonts w:ascii="宋体" w:hAnsi="宋体" w:cs="宋体"/>
                <w:sz w:val="24"/>
                <w:highlight w:val="none"/>
              </w:rPr>
            </w:pPr>
          </w:p>
        </w:tc>
        <w:tc>
          <w:tcPr>
            <w:tcW w:w="851" w:type="dxa"/>
            <w:noWrap w:val="0"/>
            <w:vAlign w:val="top"/>
          </w:tcPr>
          <w:p w14:paraId="65C35AAE">
            <w:pPr>
              <w:pStyle w:val="11"/>
              <w:keepNext/>
              <w:ind w:left="63" w:right="63"/>
              <w:rPr>
                <w:rFonts w:ascii="宋体" w:hAnsi="宋体" w:cs="宋体"/>
                <w:sz w:val="24"/>
                <w:highlight w:val="none"/>
              </w:rPr>
            </w:pPr>
          </w:p>
        </w:tc>
        <w:tc>
          <w:tcPr>
            <w:tcW w:w="774" w:type="dxa"/>
            <w:noWrap w:val="0"/>
            <w:vAlign w:val="top"/>
          </w:tcPr>
          <w:p w14:paraId="2D0E86F1">
            <w:pPr>
              <w:pStyle w:val="11"/>
              <w:keepNext/>
              <w:ind w:left="63" w:right="63"/>
              <w:rPr>
                <w:rFonts w:ascii="宋体" w:hAnsi="宋体" w:cs="宋体"/>
                <w:sz w:val="24"/>
                <w:highlight w:val="none"/>
              </w:rPr>
            </w:pPr>
          </w:p>
        </w:tc>
        <w:tc>
          <w:tcPr>
            <w:tcW w:w="1352" w:type="dxa"/>
            <w:noWrap w:val="0"/>
            <w:vAlign w:val="top"/>
          </w:tcPr>
          <w:p w14:paraId="190FCC15">
            <w:pPr>
              <w:pStyle w:val="11"/>
              <w:keepNext/>
              <w:ind w:left="63" w:right="63"/>
              <w:rPr>
                <w:rFonts w:ascii="宋体" w:hAnsi="宋体" w:cs="宋体"/>
                <w:sz w:val="24"/>
                <w:highlight w:val="none"/>
              </w:rPr>
            </w:pPr>
          </w:p>
        </w:tc>
        <w:tc>
          <w:tcPr>
            <w:tcW w:w="1418" w:type="dxa"/>
            <w:noWrap w:val="0"/>
            <w:vAlign w:val="top"/>
          </w:tcPr>
          <w:p w14:paraId="53761553">
            <w:pPr>
              <w:pStyle w:val="11"/>
              <w:keepNext/>
              <w:ind w:left="63" w:right="63"/>
              <w:rPr>
                <w:rFonts w:ascii="宋体" w:hAnsi="宋体" w:cs="宋体"/>
                <w:sz w:val="24"/>
                <w:highlight w:val="none"/>
              </w:rPr>
            </w:pPr>
          </w:p>
        </w:tc>
        <w:tc>
          <w:tcPr>
            <w:tcW w:w="1701" w:type="dxa"/>
            <w:noWrap w:val="0"/>
            <w:vAlign w:val="top"/>
          </w:tcPr>
          <w:p w14:paraId="55FB32B6">
            <w:pPr>
              <w:pStyle w:val="11"/>
              <w:keepNext/>
              <w:ind w:left="63" w:right="63"/>
              <w:rPr>
                <w:rFonts w:ascii="宋体" w:hAnsi="宋体" w:cs="宋体"/>
                <w:sz w:val="24"/>
                <w:highlight w:val="none"/>
              </w:rPr>
            </w:pPr>
          </w:p>
        </w:tc>
      </w:tr>
      <w:tr w14:paraId="2B658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1AFB14A">
            <w:pPr>
              <w:pStyle w:val="11"/>
              <w:keepNext/>
              <w:ind w:left="63" w:right="63"/>
              <w:rPr>
                <w:rFonts w:ascii="宋体" w:hAnsi="宋体" w:cs="宋体"/>
                <w:sz w:val="24"/>
                <w:highlight w:val="none"/>
              </w:rPr>
            </w:pPr>
          </w:p>
        </w:tc>
        <w:tc>
          <w:tcPr>
            <w:tcW w:w="1984" w:type="dxa"/>
            <w:noWrap w:val="0"/>
            <w:vAlign w:val="top"/>
          </w:tcPr>
          <w:p w14:paraId="37C89DBA">
            <w:pPr>
              <w:pStyle w:val="11"/>
              <w:keepNext/>
              <w:ind w:left="63" w:right="63"/>
              <w:rPr>
                <w:rFonts w:ascii="宋体" w:hAnsi="宋体" w:cs="宋体"/>
                <w:sz w:val="24"/>
                <w:highlight w:val="none"/>
              </w:rPr>
            </w:pPr>
          </w:p>
        </w:tc>
        <w:tc>
          <w:tcPr>
            <w:tcW w:w="851" w:type="dxa"/>
            <w:noWrap w:val="0"/>
            <w:vAlign w:val="top"/>
          </w:tcPr>
          <w:p w14:paraId="0039EC51">
            <w:pPr>
              <w:pStyle w:val="11"/>
              <w:keepNext/>
              <w:ind w:left="63" w:right="63"/>
              <w:rPr>
                <w:rFonts w:ascii="宋体" w:hAnsi="宋体" w:cs="宋体"/>
                <w:sz w:val="24"/>
                <w:highlight w:val="none"/>
              </w:rPr>
            </w:pPr>
          </w:p>
        </w:tc>
        <w:tc>
          <w:tcPr>
            <w:tcW w:w="774" w:type="dxa"/>
            <w:noWrap w:val="0"/>
            <w:vAlign w:val="top"/>
          </w:tcPr>
          <w:p w14:paraId="23230168">
            <w:pPr>
              <w:pStyle w:val="11"/>
              <w:keepNext/>
              <w:ind w:left="63" w:right="63"/>
              <w:rPr>
                <w:rFonts w:ascii="宋体" w:hAnsi="宋体" w:cs="宋体"/>
                <w:sz w:val="24"/>
                <w:highlight w:val="none"/>
              </w:rPr>
            </w:pPr>
          </w:p>
        </w:tc>
        <w:tc>
          <w:tcPr>
            <w:tcW w:w="1352" w:type="dxa"/>
            <w:noWrap w:val="0"/>
            <w:vAlign w:val="top"/>
          </w:tcPr>
          <w:p w14:paraId="1FA249FB">
            <w:pPr>
              <w:pStyle w:val="11"/>
              <w:keepNext/>
              <w:ind w:left="63" w:right="63"/>
              <w:rPr>
                <w:rFonts w:ascii="宋体" w:hAnsi="宋体" w:cs="宋体"/>
                <w:sz w:val="24"/>
                <w:highlight w:val="none"/>
              </w:rPr>
            </w:pPr>
          </w:p>
        </w:tc>
        <w:tc>
          <w:tcPr>
            <w:tcW w:w="1418" w:type="dxa"/>
            <w:noWrap w:val="0"/>
            <w:vAlign w:val="top"/>
          </w:tcPr>
          <w:p w14:paraId="14E77866">
            <w:pPr>
              <w:pStyle w:val="11"/>
              <w:keepNext/>
              <w:ind w:left="63" w:right="63"/>
              <w:rPr>
                <w:rFonts w:ascii="宋体" w:hAnsi="宋体" w:cs="宋体"/>
                <w:sz w:val="24"/>
                <w:highlight w:val="none"/>
              </w:rPr>
            </w:pPr>
          </w:p>
        </w:tc>
        <w:tc>
          <w:tcPr>
            <w:tcW w:w="1701" w:type="dxa"/>
            <w:noWrap w:val="0"/>
            <w:vAlign w:val="top"/>
          </w:tcPr>
          <w:p w14:paraId="11B0698F">
            <w:pPr>
              <w:pStyle w:val="11"/>
              <w:keepNext/>
              <w:ind w:left="63" w:right="63"/>
              <w:rPr>
                <w:rFonts w:ascii="宋体" w:hAnsi="宋体" w:cs="宋体"/>
                <w:sz w:val="24"/>
                <w:highlight w:val="none"/>
              </w:rPr>
            </w:pPr>
          </w:p>
        </w:tc>
      </w:tr>
    </w:tbl>
    <w:p w14:paraId="3BB3B723">
      <w:pPr>
        <w:spacing w:before="156" w:beforeLines="50" w:after="156" w:afterLines="50"/>
        <w:rPr>
          <w:rFonts w:ascii="宋体" w:hAnsi="宋体" w:cs="宋体"/>
          <w:sz w:val="24"/>
          <w:highlight w:val="none"/>
        </w:rPr>
      </w:pPr>
    </w:p>
    <w:p w14:paraId="09997DC0">
      <w:pPr>
        <w:spacing w:before="156" w:beforeLines="50" w:after="156" w:afterLines="50"/>
        <w:jc w:val="center"/>
        <w:rPr>
          <w:rFonts w:ascii="宋体" w:hAnsi="宋体" w:cs="宋体"/>
          <w:b/>
          <w:sz w:val="30"/>
          <w:szCs w:val="30"/>
          <w:highlight w:val="none"/>
        </w:rPr>
      </w:pPr>
      <w:r>
        <w:rPr>
          <w:rFonts w:hint="eastAsia" w:ascii="宋体" w:hAnsi="宋体" w:cs="宋体"/>
          <w:sz w:val="24"/>
          <w:highlight w:val="none"/>
        </w:rPr>
        <w:br w:type="page"/>
      </w:r>
      <w:r>
        <w:rPr>
          <w:rFonts w:hint="eastAsia" w:ascii="宋体" w:hAnsi="宋体" w:cs="宋体"/>
          <w:b/>
          <w:sz w:val="30"/>
          <w:szCs w:val="30"/>
          <w:highlight w:val="none"/>
          <w:lang w:val="en-US" w:eastAsia="zh-CN"/>
        </w:rPr>
        <w:t>8</w:t>
      </w:r>
      <w:r>
        <w:rPr>
          <w:rFonts w:hint="eastAsia" w:ascii="宋体" w:hAnsi="宋体" w:cs="宋体"/>
          <w:b/>
          <w:sz w:val="30"/>
          <w:szCs w:val="30"/>
          <w:highlight w:val="none"/>
        </w:rPr>
        <w:t>-2：工程设备暂估价表</w:t>
      </w:r>
    </w:p>
    <w:tbl>
      <w:tblPr>
        <w:tblStyle w:val="22"/>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641197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4F2AF5BD">
            <w:pPr>
              <w:pStyle w:val="11"/>
              <w:keepNext/>
              <w:ind w:left="63" w:right="63"/>
              <w:jc w:val="center"/>
              <w:rPr>
                <w:rFonts w:hint="eastAsia" w:ascii="宋体" w:hAnsi="宋体" w:cs="宋体"/>
                <w:highlight w:val="none"/>
              </w:rPr>
            </w:pPr>
            <w:r>
              <w:rPr>
                <w:rFonts w:hint="eastAsia" w:ascii="宋体" w:hAnsi="宋体" w:cs="宋体"/>
                <w:highlight w:val="none"/>
              </w:rPr>
              <w:t>序号</w:t>
            </w:r>
          </w:p>
        </w:tc>
        <w:tc>
          <w:tcPr>
            <w:tcW w:w="1984" w:type="dxa"/>
            <w:tcBorders>
              <w:top w:val="single" w:color="auto" w:sz="12" w:space="0"/>
              <w:bottom w:val="double" w:color="auto" w:sz="6" w:space="0"/>
            </w:tcBorders>
            <w:noWrap w:val="0"/>
            <w:vAlign w:val="top"/>
          </w:tcPr>
          <w:p w14:paraId="66B4B435">
            <w:pPr>
              <w:pStyle w:val="11"/>
              <w:keepNext/>
              <w:ind w:left="63" w:right="63"/>
              <w:jc w:val="center"/>
              <w:rPr>
                <w:rFonts w:hint="eastAsia" w:ascii="宋体" w:hAnsi="宋体" w:cs="宋体"/>
                <w:highlight w:val="none"/>
              </w:rPr>
            </w:pPr>
            <w:r>
              <w:rPr>
                <w:rFonts w:hint="eastAsia" w:ascii="宋体" w:hAnsi="宋体" w:cs="宋体"/>
                <w:highlight w:val="none"/>
              </w:rPr>
              <w:t>名称</w:t>
            </w:r>
          </w:p>
        </w:tc>
        <w:tc>
          <w:tcPr>
            <w:tcW w:w="851" w:type="dxa"/>
            <w:tcBorders>
              <w:top w:val="single" w:color="auto" w:sz="12" w:space="0"/>
              <w:bottom w:val="double" w:color="auto" w:sz="6" w:space="0"/>
            </w:tcBorders>
            <w:noWrap w:val="0"/>
            <w:vAlign w:val="top"/>
          </w:tcPr>
          <w:p w14:paraId="33C62C73">
            <w:pPr>
              <w:pStyle w:val="11"/>
              <w:keepNext/>
              <w:ind w:left="63" w:right="63"/>
              <w:jc w:val="center"/>
              <w:rPr>
                <w:rFonts w:hint="eastAsia" w:ascii="宋体" w:hAnsi="宋体" w:cs="宋体"/>
                <w:highlight w:val="none"/>
              </w:rPr>
            </w:pPr>
            <w:r>
              <w:rPr>
                <w:rFonts w:hint="eastAsia" w:ascii="宋体" w:hAnsi="宋体" w:cs="宋体"/>
                <w:highlight w:val="none"/>
              </w:rPr>
              <w:t>单位</w:t>
            </w:r>
          </w:p>
        </w:tc>
        <w:tc>
          <w:tcPr>
            <w:tcW w:w="774" w:type="dxa"/>
            <w:tcBorders>
              <w:top w:val="single" w:color="auto" w:sz="12" w:space="0"/>
              <w:bottom w:val="double" w:color="auto" w:sz="6" w:space="0"/>
            </w:tcBorders>
            <w:noWrap w:val="0"/>
            <w:vAlign w:val="top"/>
          </w:tcPr>
          <w:p w14:paraId="3B6AAE37">
            <w:pPr>
              <w:pStyle w:val="11"/>
              <w:keepNext/>
              <w:ind w:left="63" w:right="63"/>
              <w:jc w:val="center"/>
              <w:rPr>
                <w:rFonts w:hint="eastAsia" w:ascii="宋体" w:hAnsi="宋体" w:cs="宋体"/>
                <w:highlight w:val="none"/>
              </w:rPr>
            </w:pPr>
            <w:r>
              <w:rPr>
                <w:rFonts w:hint="eastAsia" w:ascii="宋体" w:hAnsi="宋体" w:cs="宋体"/>
                <w:highlight w:val="none"/>
              </w:rPr>
              <w:t>数量</w:t>
            </w:r>
          </w:p>
        </w:tc>
        <w:tc>
          <w:tcPr>
            <w:tcW w:w="1352" w:type="dxa"/>
            <w:tcBorders>
              <w:top w:val="single" w:color="auto" w:sz="12" w:space="0"/>
              <w:bottom w:val="double" w:color="auto" w:sz="6" w:space="0"/>
            </w:tcBorders>
            <w:noWrap w:val="0"/>
            <w:vAlign w:val="top"/>
          </w:tcPr>
          <w:p w14:paraId="74D1A4EE">
            <w:pPr>
              <w:pStyle w:val="11"/>
              <w:keepNext/>
              <w:ind w:left="63" w:right="63"/>
              <w:jc w:val="center"/>
              <w:rPr>
                <w:rFonts w:hint="eastAsia" w:ascii="宋体" w:hAnsi="宋体" w:cs="宋体"/>
                <w:highlight w:val="none"/>
              </w:rPr>
            </w:pPr>
            <w:r>
              <w:rPr>
                <w:rFonts w:hint="eastAsia" w:ascii="宋体" w:hAnsi="宋体" w:cs="宋体"/>
                <w:highlight w:val="none"/>
              </w:rPr>
              <w:t>单价（元）</w:t>
            </w:r>
          </w:p>
        </w:tc>
        <w:tc>
          <w:tcPr>
            <w:tcW w:w="1418" w:type="dxa"/>
            <w:tcBorders>
              <w:top w:val="single" w:color="auto" w:sz="12" w:space="0"/>
              <w:bottom w:val="double" w:color="auto" w:sz="6" w:space="0"/>
            </w:tcBorders>
            <w:noWrap w:val="0"/>
            <w:vAlign w:val="top"/>
          </w:tcPr>
          <w:p w14:paraId="09A340B8">
            <w:pPr>
              <w:pStyle w:val="11"/>
              <w:keepNext/>
              <w:ind w:left="63" w:right="63"/>
              <w:jc w:val="center"/>
              <w:rPr>
                <w:rFonts w:hint="eastAsia" w:ascii="宋体" w:hAnsi="宋体" w:cs="宋体"/>
                <w:highlight w:val="none"/>
              </w:rPr>
            </w:pPr>
            <w:r>
              <w:rPr>
                <w:rFonts w:hint="eastAsia" w:ascii="宋体" w:hAnsi="宋体" w:cs="宋体"/>
                <w:highlight w:val="none"/>
              </w:rPr>
              <w:t>合价（元）</w:t>
            </w:r>
          </w:p>
        </w:tc>
        <w:tc>
          <w:tcPr>
            <w:tcW w:w="1701" w:type="dxa"/>
            <w:tcBorders>
              <w:top w:val="single" w:color="auto" w:sz="12" w:space="0"/>
              <w:bottom w:val="double" w:color="auto" w:sz="6" w:space="0"/>
            </w:tcBorders>
            <w:noWrap w:val="0"/>
            <w:vAlign w:val="top"/>
          </w:tcPr>
          <w:p w14:paraId="0ED3BD90">
            <w:pPr>
              <w:pStyle w:val="11"/>
              <w:keepNext/>
              <w:ind w:left="63" w:right="63"/>
              <w:jc w:val="center"/>
              <w:rPr>
                <w:rFonts w:hint="eastAsia" w:ascii="宋体" w:hAnsi="宋体" w:cs="宋体"/>
                <w:highlight w:val="none"/>
              </w:rPr>
            </w:pPr>
            <w:r>
              <w:rPr>
                <w:rFonts w:hint="eastAsia" w:ascii="宋体" w:hAnsi="宋体" w:cs="宋体"/>
                <w:highlight w:val="none"/>
              </w:rPr>
              <w:t>备注</w:t>
            </w:r>
          </w:p>
        </w:tc>
      </w:tr>
      <w:tr w14:paraId="16DA1F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top"/>
          </w:tcPr>
          <w:p w14:paraId="318FCA8B">
            <w:pPr>
              <w:pStyle w:val="11"/>
              <w:keepNext/>
              <w:ind w:left="63" w:right="63"/>
              <w:rPr>
                <w:rFonts w:hint="eastAsia" w:ascii="宋体" w:hAnsi="宋体" w:cs="宋体"/>
                <w:sz w:val="24"/>
                <w:highlight w:val="none"/>
              </w:rPr>
            </w:pPr>
            <w:r>
              <w:rPr>
                <w:rFonts w:hint="eastAsia" w:ascii="宋体" w:hAnsi="宋体" w:cs="宋体"/>
                <w:sz w:val="24"/>
                <w:highlight w:val="none"/>
              </w:rPr>
              <w:t>无</w:t>
            </w:r>
          </w:p>
        </w:tc>
        <w:tc>
          <w:tcPr>
            <w:tcW w:w="1984" w:type="dxa"/>
            <w:tcBorders>
              <w:top w:val="double" w:color="auto" w:sz="6" w:space="0"/>
              <w:bottom w:val="single" w:color="auto" w:sz="6" w:space="0"/>
            </w:tcBorders>
            <w:noWrap w:val="0"/>
            <w:vAlign w:val="top"/>
          </w:tcPr>
          <w:p w14:paraId="6AB8B3A6">
            <w:pPr>
              <w:pStyle w:val="11"/>
              <w:keepNext/>
              <w:ind w:left="63" w:right="63"/>
              <w:rPr>
                <w:rFonts w:hint="eastAsia" w:ascii="宋体" w:hAnsi="宋体" w:cs="宋体"/>
                <w:sz w:val="24"/>
                <w:highlight w:val="none"/>
              </w:rPr>
            </w:pPr>
          </w:p>
        </w:tc>
        <w:tc>
          <w:tcPr>
            <w:tcW w:w="851" w:type="dxa"/>
            <w:tcBorders>
              <w:top w:val="double" w:color="auto" w:sz="6" w:space="0"/>
              <w:bottom w:val="single" w:color="auto" w:sz="6" w:space="0"/>
            </w:tcBorders>
            <w:noWrap w:val="0"/>
            <w:vAlign w:val="top"/>
          </w:tcPr>
          <w:p w14:paraId="737E03C8">
            <w:pPr>
              <w:pStyle w:val="11"/>
              <w:keepNext/>
              <w:ind w:left="63" w:right="63"/>
              <w:rPr>
                <w:rFonts w:hint="eastAsia" w:ascii="宋体" w:hAnsi="宋体" w:cs="宋体"/>
                <w:sz w:val="24"/>
                <w:highlight w:val="none"/>
              </w:rPr>
            </w:pPr>
          </w:p>
        </w:tc>
        <w:tc>
          <w:tcPr>
            <w:tcW w:w="774" w:type="dxa"/>
            <w:tcBorders>
              <w:top w:val="double" w:color="auto" w:sz="6" w:space="0"/>
              <w:bottom w:val="single" w:color="auto" w:sz="6" w:space="0"/>
            </w:tcBorders>
            <w:noWrap w:val="0"/>
            <w:vAlign w:val="top"/>
          </w:tcPr>
          <w:p w14:paraId="53FCDA9F">
            <w:pPr>
              <w:pStyle w:val="11"/>
              <w:keepNext/>
              <w:ind w:left="63" w:right="63"/>
              <w:rPr>
                <w:rFonts w:hint="eastAsia" w:ascii="宋体" w:hAnsi="宋体" w:cs="宋体"/>
                <w:sz w:val="24"/>
                <w:highlight w:val="none"/>
              </w:rPr>
            </w:pPr>
          </w:p>
        </w:tc>
        <w:tc>
          <w:tcPr>
            <w:tcW w:w="1352" w:type="dxa"/>
            <w:tcBorders>
              <w:top w:val="double" w:color="auto" w:sz="6" w:space="0"/>
              <w:bottom w:val="single" w:color="auto" w:sz="6" w:space="0"/>
            </w:tcBorders>
            <w:noWrap w:val="0"/>
            <w:vAlign w:val="top"/>
          </w:tcPr>
          <w:p w14:paraId="728EADEF">
            <w:pPr>
              <w:pStyle w:val="11"/>
              <w:keepNext/>
              <w:ind w:left="63" w:right="63"/>
              <w:rPr>
                <w:rFonts w:hint="eastAsia" w:ascii="宋体" w:hAnsi="宋体" w:cs="宋体"/>
                <w:sz w:val="24"/>
                <w:highlight w:val="none"/>
              </w:rPr>
            </w:pPr>
          </w:p>
        </w:tc>
        <w:tc>
          <w:tcPr>
            <w:tcW w:w="1418" w:type="dxa"/>
            <w:tcBorders>
              <w:top w:val="double" w:color="auto" w:sz="6" w:space="0"/>
              <w:bottom w:val="single" w:color="auto" w:sz="6" w:space="0"/>
            </w:tcBorders>
            <w:noWrap w:val="0"/>
            <w:vAlign w:val="top"/>
          </w:tcPr>
          <w:p w14:paraId="29830EB8">
            <w:pPr>
              <w:pStyle w:val="11"/>
              <w:keepNext/>
              <w:ind w:left="63" w:right="63"/>
              <w:rPr>
                <w:rFonts w:hint="eastAsia" w:ascii="宋体" w:hAnsi="宋体" w:cs="宋体"/>
                <w:sz w:val="24"/>
                <w:highlight w:val="none"/>
              </w:rPr>
            </w:pPr>
          </w:p>
        </w:tc>
        <w:tc>
          <w:tcPr>
            <w:tcW w:w="1701" w:type="dxa"/>
            <w:tcBorders>
              <w:top w:val="double" w:color="auto" w:sz="6" w:space="0"/>
              <w:bottom w:val="single" w:color="auto" w:sz="6" w:space="0"/>
            </w:tcBorders>
            <w:noWrap w:val="0"/>
            <w:vAlign w:val="top"/>
          </w:tcPr>
          <w:p w14:paraId="66A33A1F">
            <w:pPr>
              <w:pStyle w:val="11"/>
              <w:keepNext/>
              <w:ind w:left="63" w:right="63"/>
              <w:rPr>
                <w:rFonts w:hint="eastAsia" w:ascii="宋体" w:hAnsi="宋体" w:cs="宋体"/>
                <w:sz w:val="24"/>
                <w:highlight w:val="none"/>
              </w:rPr>
            </w:pPr>
          </w:p>
        </w:tc>
      </w:tr>
      <w:tr w14:paraId="3DA200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0CE10D66">
            <w:pPr>
              <w:pStyle w:val="11"/>
              <w:keepNext/>
              <w:ind w:left="63" w:right="63"/>
              <w:rPr>
                <w:rFonts w:ascii="宋体" w:hAnsi="宋体" w:cs="宋体"/>
                <w:sz w:val="24"/>
                <w:highlight w:val="none"/>
              </w:rPr>
            </w:pPr>
          </w:p>
        </w:tc>
        <w:tc>
          <w:tcPr>
            <w:tcW w:w="1984" w:type="dxa"/>
            <w:tcBorders>
              <w:top w:val="nil"/>
            </w:tcBorders>
            <w:noWrap w:val="0"/>
            <w:vAlign w:val="top"/>
          </w:tcPr>
          <w:p w14:paraId="2F8DD395">
            <w:pPr>
              <w:pStyle w:val="11"/>
              <w:keepNext/>
              <w:ind w:left="63" w:right="63"/>
              <w:rPr>
                <w:rFonts w:ascii="宋体" w:hAnsi="宋体" w:cs="宋体"/>
                <w:sz w:val="24"/>
                <w:highlight w:val="none"/>
              </w:rPr>
            </w:pPr>
          </w:p>
        </w:tc>
        <w:tc>
          <w:tcPr>
            <w:tcW w:w="851" w:type="dxa"/>
            <w:tcBorders>
              <w:top w:val="nil"/>
            </w:tcBorders>
            <w:noWrap w:val="0"/>
            <w:vAlign w:val="top"/>
          </w:tcPr>
          <w:p w14:paraId="36E747DE">
            <w:pPr>
              <w:pStyle w:val="11"/>
              <w:keepNext/>
              <w:ind w:left="63" w:right="63"/>
              <w:rPr>
                <w:rFonts w:ascii="宋体" w:hAnsi="宋体" w:cs="宋体"/>
                <w:sz w:val="24"/>
                <w:highlight w:val="none"/>
              </w:rPr>
            </w:pPr>
          </w:p>
        </w:tc>
        <w:tc>
          <w:tcPr>
            <w:tcW w:w="774" w:type="dxa"/>
            <w:tcBorders>
              <w:top w:val="nil"/>
            </w:tcBorders>
            <w:noWrap w:val="0"/>
            <w:vAlign w:val="top"/>
          </w:tcPr>
          <w:p w14:paraId="133EDCB0">
            <w:pPr>
              <w:pStyle w:val="11"/>
              <w:keepNext/>
              <w:ind w:left="63" w:right="63"/>
              <w:rPr>
                <w:rFonts w:ascii="宋体" w:hAnsi="宋体" w:cs="宋体"/>
                <w:sz w:val="24"/>
                <w:highlight w:val="none"/>
              </w:rPr>
            </w:pPr>
          </w:p>
        </w:tc>
        <w:tc>
          <w:tcPr>
            <w:tcW w:w="1352" w:type="dxa"/>
            <w:tcBorders>
              <w:top w:val="nil"/>
            </w:tcBorders>
            <w:noWrap w:val="0"/>
            <w:vAlign w:val="top"/>
          </w:tcPr>
          <w:p w14:paraId="3604EAB0">
            <w:pPr>
              <w:pStyle w:val="11"/>
              <w:keepNext/>
              <w:ind w:left="63" w:right="63"/>
              <w:rPr>
                <w:rFonts w:ascii="宋体" w:hAnsi="宋体" w:cs="宋体"/>
                <w:sz w:val="24"/>
                <w:highlight w:val="none"/>
              </w:rPr>
            </w:pPr>
          </w:p>
        </w:tc>
        <w:tc>
          <w:tcPr>
            <w:tcW w:w="1418" w:type="dxa"/>
            <w:tcBorders>
              <w:top w:val="nil"/>
            </w:tcBorders>
            <w:noWrap w:val="0"/>
            <w:vAlign w:val="top"/>
          </w:tcPr>
          <w:p w14:paraId="39574617">
            <w:pPr>
              <w:pStyle w:val="11"/>
              <w:keepNext/>
              <w:ind w:left="63" w:right="63"/>
              <w:rPr>
                <w:rFonts w:ascii="宋体" w:hAnsi="宋体" w:cs="宋体"/>
                <w:sz w:val="24"/>
                <w:highlight w:val="none"/>
              </w:rPr>
            </w:pPr>
          </w:p>
        </w:tc>
        <w:tc>
          <w:tcPr>
            <w:tcW w:w="1701" w:type="dxa"/>
            <w:tcBorders>
              <w:top w:val="nil"/>
            </w:tcBorders>
            <w:noWrap w:val="0"/>
            <w:vAlign w:val="top"/>
          </w:tcPr>
          <w:p w14:paraId="7DFC810B">
            <w:pPr>
              <w:pStyle w:val="11"/>
              <w:keepNext/>
              <w:ind w:left="63" w:right="63"/>
              <w:rPr>
                <w:rFonts w:ascii="宋体" w:hAnsi="宋体" w:cs="宋体"/>
                <w:sz w:val="24"/>
                <w:highlight w:val="none"/>
              </w:rPr>
            </w:pPr>
          </w:p>
        </w:tc>
      </w:tr>
      <w:tr w14:paraId="6F9B53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E4BD63A">
            <w:pPr>
              <w:pStyle w:val="11"/>
              <w:keepNext/>
              <w:ind w:left="63" w:right="63"/>
              <w:rPr>
                <w:rFonts w:ascii="宋体" w:hAnsi="宋体" w:cs="宋体"/>
                <w:sz w:val="24"/>
                <w:highlight w:val="none"/>
              </w:rPr>
            </w:pPr>
          </w:p>
        </w:tc>
        <w:tc>
          <w:tcPr>
            <w:tcW w:w="1984" w:type="dxa"/>
            <w:noWrap w:val="0"/>
            <w:vAlign w:val="top"/>
          </w:tcPr>
          <w:p w14:paraId="3205A696">
            <w:pPr>
              <w:pStyle w:val="11"/>
              <w:keepNext/>
              <w:ind w:left="63" w:right="63"/>
              <w:rPr>
                <w:rFonts w:ascii="宋体" w:hAnsi="宋体" w:cs="宋体"/>
                <w:sz w:val="24"/>
                <w:highlight w:val="none"/>
              </w:rPr>
            </w:pPr>
          </w:p>
        </w:tc>
        <w:tc>
          <w:tcPr>
            <w:tcW w:w="851" w:type="dxa"/>
            <w:noWrap w:val="0"/>
            <w:vAlign w:val="top"/>
          </w:tcPr>
          <w:p w14:paraId="41D176DF">
            <w:pPr>
              <w:pStyle w:val="11"/>
              <w:keepNext/>
              <w:ind w:left="63" w:right="63"/>
              <w:rPr>
                <w:rFonts w:ascii="宋体" w:hAnsi="宋体" w:cs="宋体"/>
                <w:sz w:val="24"/>
                <w:highlight w:val="none"/>
              </w:rPr>
            </w:pPr>
          </w:p>
        </w:tc>
        <w:tc>
          <w:tcPr>
            <w:tcW w:w="774" w:type="dxa"/>
            <w:noWrap w:val="0"/>
            <w:vAlign w:val="top"/>
          </w:tcPr>
          <w:p w14:paraId="25D14A93">
            <w:pPr>
              <w:pStyle w:val="11"/>
              <w:keepNext/>
              <w:ind w:left="63" w:right="63"/>
              <w:rPr>
                <w:rFonts w:ascii="宋体" w:hAnsi="宋体" w:cs="宋体"/>
                <w:sz w:val="24"/>
                <w:highlight w:val="none"/>
              </w:rPr>
            </w:pPr>
          </w:p>
        </w:tc>
        <w:tc>
          <w:tcPr>
            <w:tcW w:w="1352" w:type="dxa"/>
            <w:noWrap w:val="0"/>
            <w:vAlign w:val="top"/>
          </w:tcPr>
          <w:p w14:paraId="5B84060C">
            <w:pPr>
              <w:pStyle w:val="11"/>
              <w:keepNext/>
              <w:ind w:left="63" w:right="63"/>
              <w:rPr>
                <w:rFonts w:ascii="宋体" w:hAnsi="宋体" w:cs="宋体"/>
                <w:sz w:val="24"/>
                <w:highlight w:val="none"/>
              </w:rPr>
            </w:pPr>
          </w:p>
        </w:tc>
        <w:tc>
          <w:tcPr>
            <w:tcW w:w="1418" w:type="dxa"/>
            <w:noWrap w:val="0"/>
            <w:vAlign w:val="top"/>
          </w:tcPr>
          <w:p w14:paraId="5A0F65F4">
            <w:pPr>
              <w:pStyle w:val="11"/>
              <w:keepNext/>
              <w:ind w:left="63" w:right="63"/>
              <w:rPr>
                <w:rFonts w:ascii="宋体" w:hAnsi="宋体" w:cs="宋体"/>
                <w:sz w:val="24"/>
                <w:highlight w:val="none"/>
              </w:rPr>
            </w:pPr>
          </w:p>
        </w:tc>
        <w:tc>
          <w:tcPr>
            <w:tcW w:w="1701" w:type="dxa"/>
            <w:noWrap w:val="0"/>
            <w:vAlign w:val="top"/>
          </w:tcPr>
          <w:p w14:paraId="2C027795">
            <w:pPr>
              <w:pStyle w:val="11"/>
              <w:keepNext/>
              <w:ind w:left="63" w:right="63"/>
              <w:rPr>
                <w:rFonts w:ascii="宋体" w:hAnsi="宋体" w:cs="宋体"/>
                <w:sz w:val="24"/>
                <w:highlight w:val="none"/>
              </w:rPr>
            </w:pPr>
          </w:p>
        </w:tc>
      </w:tr>
      <w:tr w14:paraId="4E1DDB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C0E9E17">
            <w:pPr>
              <w:pStyle w:val="11"/>
              <w:keepNext/>
              <w:ind w:left="63" w:right="63"/>
              <w:rPr>
                <w:rFonts w:ascii="宋体" w:hAnsi="宋体" w:cs="宋体"/>
                <w:sz w:val="24"/>
                <w:highlight w:val="none"/>
              </w:rPr>
            </w:pPr>
          </w:p>
        </w:tc>
        <w:tc>
          <w:tcPr>
            <w:tcW w:w="1984" w:type="dxa"/>
            <w:noWrap w:val="0"/>
            <w:vAlign w:val="top"/>
          </w:tcPr>
          <w:p w14:paraId="1591B2F3">
            <w:pPr>
              <w:pStyle w:val="11"/>
              <w:keepNext/>
              <w:ind w:left="63" w:right="63"/>
              <w:rPr>
                <w:rFonts w:ascii="宋体" w:hAnsi="宋体" w:cs="宋体"/>
                <w:sz w:val="24"/>
                <w:highlight w:val="none"/>
              </w:rPr>
            </w:pPr>
          </w:p>
        </w:tc>
        <w:tc>
          <w:tcPr>
            <w:tcW w:w="851" w:type="dxa"/>
            <w:noWrap w:val="0"/>
            <w:vAlign w:val="top"/>
          </w:tcPr>
          <w:p w14:paraId="0CC3B536">
            <w:pPr>
              <w:pStyle w:val="11"/>
              <w:keepNext/>
              <w:ind w:left="63" w:right="63"/>
              <w:rPr>
                <w:rFonts w:ascii="宋体" w:hAnsi="宋体" w:cs="宋体"/>
                <w:sz w:val="24"/>
                <w:highlight w:val="none"/>
              </w:rPr>
            </w:pPr>
          </w:p>
        </w:tc>
        <w:tc>
          <w:tcPr>
            <w:tcW w:w="774" w:type="dxa"/>
            <w:noWrap w:val="0"/>
            <w:vAlign w:val="top"/>
          </w:tcPr>
          <w:p w14:paraId="42836C26">
            <w:pPr>
              <w:pStyle w:val="11"/>
              <w:keepNext/>
              <w:ind w:left="63" w:right="63"/>
              <w:rPr>
                <w:rFonts w:ascii="宋体" w:hAnsi="宋体" w:cs="宋体"/>
                <w:sz w:val="24"/>
                <w:highlight w:val="none"/>
              </w:rPr>
            </w:pPr>
          </w:p>
        </w:tc>
        <w:tc>
          <w:tcPr>
            <w:tcW w:w="1352" w:type="dxa"/>
            <w:noWrap w:val="0"/>
            <w:vAlign w:val="top"/>
          </w:tcPr>
          <w:p w14:paraId="6384F7BF">
            <w:pPr>
              <w:pStyle w:val="11"/>
              <w:keepNext/>
              <w:ind w:left="63" w:right="63"/>
              <w:rPr>
                <w:rFonts w:ascii="宋体" w:hAnsi="宋体" w:cs="宋体"/>
                <w:sz w:val="24"/>
                <w:highlight w:val="none"/>
              </w:rPr>
            </w:pPr>
          </w:p>
        </w:tc>
        <w:tc>
          <w:tcPr>
            <w:tcW w:w="1418" w:type="dxa"/>
            <w:noWrap w:val="0"/>
            <w:vAlign w:val="top"/>
          </w:tcPr>
          <w:p w14:paraId="7EAAB5EB">
            <w:pPr>
              <w:pStyle w:val="11"/>
              <w:keepNext/>
              <w:ind w:left="63" w:right="63"/>
              <w:rPr>
                <w:rFonts w:ascii="宋体" w:hAnsi="宋体" w:cs="宋体"/>
                <w:sz w:val="24"/>
                <w:highlight w:val="none"/>
              </w:rPr>
            </w:pPr>
          </w:p>
        </w:tc>
        <w:tc>
          <w:tcPr>
            <w:tcW w:w="1701" w:type="dxa"/>
            <w:noWrap w:val="0"/>
            <w:vAlign w:val="top"/>
          </w:tcPr>
          <w:p w14:paraId="211A5B7E">
            <w:pPr>
              <w:pStyle w:val="11"/>
              <w:keepNext/>
              <w:ind w:left="63" w:right="63"/>
              <w:rPr>
                <w:rFonts w:ascii="宋体" w:hAnsi="宋体" w:cs="宋体"/>
                <w:sz w:val="24"/>
                <w:highlight w:val="none"/>
              </w:rPr>
            </w:pPr>
          </w:p>
        </w:tc>
      </w:tr>
      <w:tr w14:paraId="2AF41E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D108C00">
            <w:pPr>
              <w:pStyle w:val="11"/>
              <w:keepNext/>
              <w:ind w:left="63" w:right="63"/>
              <w:rPr>
                <w:rFonts w:ascii="宋体" w:hAnsi="宋体" w:cs="宋体"/>
                <w:sz w:val="24"/>
                <w:highlight w:val="none"/>
              </w:rPr>
            </w:pPr>
          </w:p>
        </w:tc>
        <w:tc>
          <w:tcPr>
            <w:tcW w:w="1984" w:type="dxa"/>
            <w:noWrap w:val="0"/>
            <w:vAlign w:val="top"/>
          </w:tcPr>
          <w:p w14:paraId="4444A067">
            <w:pPr>
              <w:pStyle w:val="11"/>
              <w:keepNext/>
              <w:ind w:left="63" w:right="63"/>
              <w:rPr>
                <w:rFonts w:ascii="宋体" w:hAnsi="宋体" w:cs="宋体"/>
                <w:sz w:val="24"/>
                <w:highlight w:val="none"/>
              </w:rPr>
            </w:pPr>
          </w:p>
        </w:tc>
        <w:tc>
          <w:tcPr>
            <w:tcW w:w="851" w:type="dxa"/>
            <w:noWrap w:val="0"/>
            <w:vAlign w:val="top"/>
          </w:tcPr>
          <w:p w14:paraId="7C8CC892">
            <w:pPr>
              <w:pStyle w:val="11"/>
              <w:keepNext/>
              <w:ind w:left="63" w:right="63"/>
              <w:rPr>
                <w:rFonts w:ascii="宋体" w:hAnsi="宋体" w:cs="宋体"/>
                <w:sz w:val="24"/>
                <w:highlight w:val="none"/>
              </w:rPr>
            </w:pPr>
          </w:p>
        </w:tc>
        <w:tc>
          <w:tcPr>
            <w:tcW w:w="774" w:type="dxa"/>
            <w:noWrap w:val="0"/>
            <w:vAlign w:val="top"/>
          </w:tcPr>
          <w:p w14:paraId="6E0C53D1">
            <w:pPr>
              <w:pStyle w:val="11"/>
              <w:keepNext/>
              <w:ind w:left="63" w:right="63"/>
              <w:rPr>
                <w:rFonts w:ascii="宋体" w:hAnsi="宋体" w:cs="宋体"/>
                <w:sz w:val="24"/>
                <w:highlight w:val="none"/>
              </w:rPr>
            </w:pPr>
          </w:p>
        </w:tc>
        <w:tc>
          <w:tcPr>
            <w:tcW w:w="1352" w:type="dxa"/>
            <w:noWrap w:val="0"/>
            <w:vAlign w:val="top"/>
          </w:tcPr>
          <w:p w14:paraId="56E4A3C1">
            <w:pPr>
              <w:pStyle w:val="11"/>
              <w:keepNext/>
              <w:ind w:left="63" w:right="63"/>
              <w:rPr>
                <w:rFonts w:ascii="宋体" w:hAnsi="宋体" w:cs="宋体"/>
                <w:sz w:val="24"/>
                <w:highlight w:val="none"/>
              </w:rPr>
            </w:pPr>
          </w:p>
        </w:tc>
        <w:tc>
          <w:tcPr>
            <w:tcW w:w="1418" w:type="dxa"/>
            <w:noWrap w:val="0"/>
            <w:vAlign w:val="top"/>
          </w:tcPr>
          <w:p w14:paraId="03FD6FD2">
            <w:pPr>
              <w:pStyle w:val="11"/>
              <w:keepNext/>
              <w:ind w:left="63" w:right="63"/>
              <w:rPr>
                <w:rFonts w:ascii="宋体" w:hAnsi="宋体" w:cs="宋体"/>
                <w:sz w:val="24"/>
                <w:highlight w:val="none"/>
              </w:rPr>
            </w:pPr>
          </w:p>
        </w:tc>
        <w:tc>
          <w:tcPr>
            <w:tcW w:w="1701" w:type="dxa"/>
            <w:noWrap w:val="0"/>
            <w:vAlign w:val="top"/>
          </w:tcPr>
          <w:p w14:paraId="3ABA7060">
            <w:pPr>
              <w:pStyle w:val="11"/>
              <w:keepNext/>
              <w:ind w:left="63" w:right="63"/>
              <w:rPr>
                <w:rFonts w:ascii="宋体" w:hAnsi="宋体" w:cs="宋体"/>
                <w:sz w:val="24"/>
                <w:highlight w:val="none"/>
              </w:rPr>
            </w:pPr>
          </w:p>
        </w:tc>
      </w:tr>
      <w:tr w14:paraId="03FFEC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2038E44">
            <w:pPr>
              <w:pStyle w:val="11"/>
              <w:keepNext/>
              <w:ind w:left="63" w:right="63"/>
              <w:rPr>
                <w:rFonts w:ascii="宋体" w:hAnsi="宋体" w:cs="宋体"/>
                <w:sz w:val="24"/>
                <w:highlight w:val="none"/>
              </w:rPr>
            </w:pPr>
          </w:p>
        </w:tc>
        <w:tc>
          <w:tcPr>
            <w:tcW w:w="1984" w:type="dxa"/>
            <w:noWrap w:val="0"/>
            <w:vAlign w:val="top"/>
          </w:tcPr>
          <w:p w14:paraId="782999C6">
            <w:pPr>
              <w:pStyle w:val="11"/>
              <w:keepNext/>
              <w:ind w:left="63" w:right="63"/>
              <w:rPr>
                <w:rFonts w:ascii="宋体" w:hAnsi="宋体" w:cs="宋体"/>
                <w:sz w:val="24"/>
                <w:highlight w:val="none"/>
              </w:rPr>
            </w:pPr>
          </w:p>
        </w:tc>
        <w:tc>
          <w:tcPr>
            <w:tcW w:w="851" w:type="dxa"/>
            <w:noWrap w:val="0"/>
            <w:vAlign w:val="top"/>
          </w:tcPr>
          <w:p w14:paraId="56B67BE1">
            <w:pPr>
              <w:pStyle w:val="11"/>
              <w:keepNext/>
              <w:ind w:left="63" w:right="63"/>
              <w:rPr>
                <w:rFonts w:ascii="宋体" w:hAnsi="宋体" w:cs="宋体"/>
                <w:sz w:val="24"/>
                <w:highlight w:val="none"/>
              </w:rPr>
            </w:pPr>
          </w:p>
        </w:tc>
        <w:tc>
          <w:tcPr>
            <w:tcW w:w="774" w:type="dxa"/>
            <w:noWrap w:val="0"/>
            <w:vAlign w:val="top"/>
          </w:tcPr>
          <w:p w14:paraId="6F27C790">
            <w:pPr>
              <w:pStyle w:val="11"/>
              <w:keepNext/>
              <w:ind w:left="63" w:right="63"/>
              <w:rPr>
                <w:rFonts w:ascii="宋体" w:hAnsi="宋体" w:cs="宋体"/>
                <w:sz w:val="24"/>
                <w:highlight w:val="none"/>
              </w:rPr>
            </w:pPr>
          </w:p>
        </w:tc>
        <w:tc>
          <w:tcPr>
            <w:tcW w:w="1352" w:type="dxa"/>
            <w:noWrap w:val="0"/>
            <w:vAlign w:val="top"/>
          </w:tcPr>
          <w:p w14:paraId="4E4E1C1C">
            <w:pPr>
              <w:pStyle w:val="11"/>
              <w:keepNext/>
              <w:ind w:left="63" w:right="63"/>
              <w:rPr>
                <w:rFonts w:ascii="宋体" w:hAnsi="宋体" w:cs="宋体"/>
                <w:sz w:val="24"/>
                <w:highlight w:val="none"/>
              </w:rPr>
            </w:pPr>
          </w:p>
        </w:tc>
        <w:tc>
          <w:tcPr>
            <w:tcW w:w="1418" w:type="dxa"/>
            <w:noWrap w:val="0"/>
            <w:vAlign w:val="top"/>
          </w:tcPr>
          <w:p w14:paraId="1C1922C1">
            <w:pPr>
              <w:pStyle w:val="11"/>
              <w:keepNext/>
              <w:ind w:left="63" w:right="63"/>
              <w:rPr>
                <w:rFonts w:ascii="宋体" w:hAnsi="宋体" w:cs="宋体"/>
                <w:sz w:val="24"/>
                <w:highlight w:val="none"/>
              </w:rPr>
            </w:pPr>
          </w:p>
        </w:tc>
        <w:tc>
          <w:tcPr>
            <w:tcW w:w="1701" w:type="dxa"/>
            <w:noWrap w:val="0"/>
            <w:vAlign w:val="top"/>
          </w:tcPr>
          <w:p w14:paraId="1D5232DF">
            <w:pPr>
              <w:pStyle w:val="11"/>
              <w:keepNext/>
              <w:ind w:left="63" w:right="63"/>
              <w:rPr>
                <w:rFonts w:ascii="宋体" w:hAnsi="宋体" w:cs="宋体"/>
                <w:sz w:val="24"/>
                <w:highlight w:val="none"/>
              </w:rPr>
            </w:pPr>
          </w:p>
        </w:tc>
      </w:tr>
      <w:tr w14:paraId="5F5166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FF4E695">
            <w:pPr>
              <w:pStyle w:val="11"/>
              <w:keepNext/>
              <w:ind w:left="63" w:right="63"/>
              <w:rPr>
                <w:rFonts w:ascii="宋体" w:hAnsi="宋体" w:cs="宋体"/>
                <w:sz w:val="24"/>
                <w:highlight w:val="none"/>
              </w:rPr>
            </w:pPr>
          </w:p>
        </w:tc>
        <w:tc>
          <w:tcPr>
            <w:tcW w:w="1984" w:type="dxa"/>
            <w:noWrap w:val="0"/>
            <w:vAlign w:val="top"/>
          </w:tcPr>
          <w:p w14:paraId="6EA86B06">
            <w:pPr>
              <w:pStyle w:val="11"/>
              <w:keepNext/>
              <w:ind w:left="63" w:right="63"/>
              <w:rPr>
                <w:rFonts w:ascii="宋体" w:hAnsi="宋体" w:cs="宋体"/>
                <w:sz w:val="24"/>
                <w:highlight w:val="none"/>
              </w:rPr>
            </w:pPr>
          </w:p>
        </w:tc>
        <w:tc>
          <w:tcPr>
            <w:tcW w:w="851" w:type="dxa"/>
            <w:noWrap w:val="0"/>
            <w:vAlign w:val="top"/>
          </w:tcPr>
          <w:p w14:paraId="58B2BB42">
            <w:pPr>
              <w:pStyle w:val="11"/>
              <w:keepNext/>
              <w:ind w:left="63" w:right="63"/>
              <w:rPr>
                <w:rFonts w:ascii="宋体" w:hAnsi="宋体" w:cs="宋体"/>
                <w:sz w:val="24"/>
                <w:highlight w:val="none"/>
              </w:rPr>
            </w:pPr>
          </w:p>
        </w:tc>
        <w:tc>
          <w:tcPr>
            <w:tcW w:w="774" w:type="dxa"/>
            <w:noWrap w:val="0"/>
            <w:vAlign w:val="top"/>
          </w:tcPr>
          <w:p w14:paraId="25A741AC">
            <w:pPr>
              <w:pStyle w:val="11"/>
              <w:keepNext/>
              <w:ind w:left="63" w:right="63"/>
              <w:rPr>
                <w:rFonts w:ascii="宋体" w:hAnsi="宋体" w:cs="宋体"/>
                <w:sz w:val="24"/>
                <w:highlight w:val="none"/>
              </w:rPr>
            </w:pPr>
          </w:p>
        </w:tc>
        <w:tc>
          <w:tcPr>
            <w:tcW w:w="1352" w:type="dxa"/>
            <w:noWrap w:val="0"/>
            <w:vAlign w:val="top"/>
          </w:tcPr>
          <w:p w14:paraId="6BADA5B8">
            <w:pPr>
              <w:pStyle w:val="11"/>
              <w:keepNext/>
              <w:ind w:left="63" w:right="63"/>
              <w:rPr>
                <w:rFonts w:ascii="宋体" w:hAnsi="宋体" w:cs="宋体"/>
                <w:sz w:val="24"/>
                <w:highlight w:val="none"/>
              </w:rPr>
            </w:pPr>
          </w:p>
        </w:tc>
        <w:tc>
          <w:tcPr>
            <w:tcW w:w="1418" w:type="dxa"/>
            <w:noWrap w:val="0"/>
            <w:vAlign w:val="top"/>
          </w:tcPr>
          <w:p w14:paraId="6AFCA022">
            <w:pPr>
              <w:pStyle w:val="11"/>
              <w:keepNext/>
              <w:ind w:left="63" w:right="63"/>
              <w:rPr>
                <w:rFonts w:ascii="宋体" w:hAnsi="宋体" w:cs="宋体"/>
                <w:sz w:val="24"/>
                <w:highlight w:val="none"/>
              </w:rPr>
            </w:pPr>
          </w:p>
        </w:tc>
        <w:tc>
          <w:tcPr>
            <w:tcW w:w="1701" w:type="dxa"/>
            <w:noWrap w:val="0"/>
            <w:vAlign w:val="top"/>
          </w:tcPr>
          <w:p w14:paraId="7D7E7C7A">
            <w:pPr>
              <w:pStyle w:val="11"/>
              <w:keepNext/>
              <w:ind w:left="63" w:right="63"/>
              <w:rPr>
                <w:rFonts w:ascii="宋体" w:hAnsi="宋体" w:cs="宋体"/>
                <w:sz w:val="24"/>
                <w:highlight w:val="none"/>
              </w:rPr>
            </w:pPr>
          </w:p>
        </w:tc>
      </w:tr>
    </w:tbl>
    <w:p w14:paraId="57796B0B">
      <w:pPr>
        <w:rPr>
          <w:rFonts w:ascii="宋体" w:hAnsi="宋体" w:cs="宋体"/>
          <w:sz w:val="24"/>
          <w:highlight w:val="none"/>
        </w:rPr>
      </w:pPr>
    </w:p>
    <w:p w14:paraId="2DB051B9">
      <w:pPr>
        <w:spacing w:before="156" w:beforeLines="50" w:after="156" w:afterLines="50"/>
        <w:jc w:val="center"/>
        <w:rPr>
          <w:rFonts w:ascii="宋体" w:hAnsi="宋体" w:cs="宋体"/>
          <w:b/>
          <w:sz w:val="30"/>
          <w:szCs w:val="30"/>
          <w:highlight w:val="none"/>
        </w:rPr>
      </w:pPr>
      <w:r>
        <w:rPr>
          <w:rFonts w:hint="eastAsia" w:ascii="宋体" w:hAnsi="宋体" w:cs="宋体"/>
          <w:sz w:val="24"/>
          <w:highlight w:val="none"/>
        </w:rPr>
        <w:br w:type="page"/>
      </w:r>
      <w:r>
        <w:rPr>
          <w:rFonts w:hint="eastAsia" w:ascii="宋体" w:hAnsi="宋体" w:cs="宋体"/>
          <w:b/>
          <w:sz w:val="30"/>
          <w:szCs w:val="30"/>
          <w:highlight w:val="none"/>
          <w:lang w:val="en-US" w:eastAsia="zh-CN"/>
        </w:rPr>
        <w:t>8</w:t>
      </w:r>
      <w:r>
        <w:rPr>
          <w:rFonts w:hint="eastAsia" w:ascii="宋体" w:hAnsi="宋体" w:cs="宋体"/>
          <w:b/>
          <w:sz w:val="30"/>
          <w:szCs w:val="30"/>
          <w:highlight w:val="none"/>
        </w:rPr>
        <w:t>-3：专业工程暂估价表</w:t>
      </w:r>
    </w:p>
    <w:tbl>
      <w:tblPr>
        <w:tblStyle w:val="2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2A6215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noWrap w:val="0"/>
            <w:vAlign w:val="top"/>
          </w:tcPr>
          <w:p w14:paraId="2F5A80AE">
            <w:pPr>
              <w:pStyle w:val="11"/>
              <w:keepNext/>
              <w:ind w:left="63" w:right="63"/>
              <w:jc w:val="center"/>
              <w:rPr>
                <w:rFonts w:hint="eastAsia" w:ascii="宋体" w:hAnsi="宋体" w:cs="宋体"/>
                <w:highlight w:val="none"/>
              </w:rPr>
            </w:pPr>
            <w:r>
              <w:rPr>
                <w:rFonts w:hint="eastAsia" w:ascii="宋体" w:hAnsi="宋体" w:cs="宋体"/>
                <w:highlight w:val="none"/>
              </w:rPr>
              <w:t>序号</w:t>
            </w:r>
          </w:p>
        </w:tc>
        <w:tc>
          <w:tcPr>
            <w:tcW w:w="1984" w:type="dxa"/>
            <w:tcBorders>
              <w:top w:val="single" w:color="auto" w:sz="12" w:space="0"/>
              <w:bottom w:val="double" w:color="auto" w:sz="6" w:space="0"/>
            </w:tcBorders>
            <w:noWrap w:val="0"/>
            <w:vAlign w:val="top"/>
          </w:tcPr>
          <w:p w14:paraId="6558886E">
            <w:pPr>
              <w:pStyle w:val="11"/>
              <w:keepNext/>
              <w:ind w:left="63" w:right="63"/>
              <w:jc w:val="center"/>
              <w:rPr>
                <w:rFonts w:hint="eastAsia" w:ascii="宋体" w:hAnsi="宋体" w:cs="宋体"/>
                <w:highlight w:val="none"/>
              </w:rPr>
            </w:pPr>
            <w:r>
              <w:rPr>
                <w:rFonts w:hint="eastAsia" w:ascii="宋体" w:hAnsi="宋体" w:cs="宋体"/>
                <w:highlight w:val="none"/>
              </w:rPr>
              <w:t>专业工程名称</w:t>
            </w:r>
          </w:p>
        </w:tc>
        <w:tc>
          <w:tcPr>
            <w:tcW w:w="4678" w:type="dxa"/>
            <w:tcBorders>
              <w:top w:val="single" w:color="auto" w:sz="12" w:space="0"/>
              <w:bottom w:val="double" w:color="auto" w:sz="6" w:space="0"/>
            </w:tcBorders>
            <w:noWrap w:val="0"/>
            <w:vAlign w:val="top"/>
          </w:tcPr>
          <w:p w14:paraId="01AC8E94">
            <w:pPr>
              <w:pStyle w:val="11"/>
              <w:keepNext/>
              <w:ind w:left="63" w:right="63"/>
              <w:jc w:val="center"/>
              <w:rPr>
                <w:rFonts w:hint="eastAsia" w:ascii="宋体" w:hAnsi="宋体" w:cs="宋体"/>
                <w:highlight w:val="none"/>
              </w:rPr>
            </w:pPr>
            <w:r>
              <w:rPr>
                <w:rFonts w:hint="eastAsia" w:ascii="宋体" w:hAnsi="宋体" w:cs="宋体"/>
                <w:highlight w:val="none"/>
              </w:rPr>
              <w:t>工程内容</w:t>
            </w:r>
          </w:p>
        </w:tc>
        <w:tc>
          <w:tcPr>
            <w:tcW w:w="1276" w:type="dxa"/>
            <w:tcBorders>
              <w:top w:val="single" w:color="auto" w:sz="12" w:space="0"/>
              <w:bottom w:val="double" w:color="auto" w:sz="6" w:space="0"/>
            </w:tcBorders>
            <w:noWrap w:val="0"/>
            <w:vAlign w:val="top"/>
          </w:tcPr>
          <w:p w14:paraId="343C3BF7">
            <w:pPr>
              <w:pStyle w:val="11"/>
              <w:keepNext/>
              <w:ind w:left="63" w:right="63"/>
              <w:jc w:val="center"/>
              <w:rPr>
                <w:rFonts w:hint="eastAsia" w:ascii="宋体" w:hAnsi="宋体" w:cs="宋体"/>
                <w:highlight w:val="none"/>
              </w:rPr>
            </w:pPr>
            <w:r>
              <w:rPr>
                <w:rFonts w:hint="eastAsia" w:ascii="宋体" w:hAnsi="宋体" w:cs="宋体"/>
                <w:highlight w:val="none"/>
              </w:rPr>
              <w:t>金额</w:t>
            </w:r>
          </w:p>
        </w:tc>
      </w:tr>
      <w:tr w14:paraId="404AFA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noWrap w:val="0"/>
            <w:vAlign w:val="top"/>
          </w:tcPr>
          <w:p w14:paraId="5F64C38E">
            <w:pPr>
              <w:pStyle w:val="11"/>
              <w:keepNext/>
              <w:ind w:left="63" w:right="63"/>
              <w:rPr>
                <w:rFonts w:hint="eastAsia" w:ascii="宋体" w:hAnsi="宋体" w:cs="宋体"/>
                <w:sz w:val="24"/>
                <w:highlight w:val="none"/>
              </w:rPr>
            </w:pPr>
            <w:r>
              <w:rPr>
                <w:rFonts w:hint="eastAsia" w:ascii="宋体" w:hAnsi="宋体" w:cs="宋体"/>
                <w:sz w:val="24"/>
                <w:highlight w:val="none"/>
              </w:rPr>
              <w:t>无</w:t>
            </w:r>
          </w:p>
        </w:tc>
        <w:tc>
          <w:tcPr>
            <w:tcW w:w="1984" w:type="dxa"/>
            <w:tcBorders>
              <w:top w:val="double" w:color="auto" w:sz="6" w:space="0"/>
              <w:bottom w:val="single" w:color="auto" w:sz="6" w:space="0"/>
            </w:tcBorders>
            <w:noWrap w:val="0"/>
            <w:vAlign w:val="top"/>
          </w:tcPr>
          <w:p w14:paraId="7C438735">
            <w:pPr>
              <w:pStyle w:val="11"/>
              <w:keepNext/>
              <w:ind w:left="63" w:right="63"/>
              <w:rPr>
                <w:rFonts w:hint="eastAsia" w:ascii="宋体" w:hAnsi="宋体" w:cs="宋体"/>
                <w:sz w:val="24"/>
                <w:highlight w:val="none"/>
              </w:rPr>
            </w:pPr>
          </w:p>
        </w:tc>
        <w:tc>
          <w:tcPr>
            <w:tcW w:w="4678" w:type="dxa"/>
            <w:tcBorders>
              <w:top w:val="double" w:color="auto" w:sz="6" w:space="0"/>
              <w:bottom w:val="single" w:color="auto" w:sz="6" w:space="0"/>
            </w:tcBorders>
            <w:noWrap w:val="0"/>
            <w:vAlign w:val="top"/>
          </w:tcPr>
          <w:p w14:paraId="510421D9">
            <w:pPr>
              <w:pStyle w:val="11"/>
              <w:keepNext/>
              <w:ind w:left="63" w:right="63"/>
              <w:rPr>
                <w:rFonts w:hint="eastAsia" w:ascii="宋体" w:hAnsi="宋体" w:cs="宋体"/>
                <w:sz w:val="24"/>
                <w:highlight w:val="none"/>
              </w:rPr>
            </w:pPr>
          </w:p>
        </w:tc>
        <w:tc>
          <w:tcPr>
            <w:tcW w:w="1276" w:type="dxa"/>
            <w:tcBorders>
              <w:top w:val="double" w:color="auto" w:sz="6" w:space="0"/>
              <w:bottom w:val="single" w:color="auto" w:sz="6" w:space="0"/>
            </w:tcBorders>
            <w:noWrap w:val="0"/>
            <w:vAlign w:val="top"/>
          </w:tcPr>
          <w:p w14:paraId="6043A04D">
            <w:pPr>
              <w:pStyle w:val="11"/>
              <w:keepNext/>
              <w:ind w:left="63" w:right="63"/>
              <w:rPr>
                <w:rFonts w:hint="eastAsia" w:ascii="宋体" w:hAnsi="宋体" w:cs="宋体"/>
                <w:sz w:val="24"/>
                <w:highlight w:val="none"/>
              </w:rPr>
            </w:pPr>
          </w:p>
        </w:tc>
      </w:tr>
      <w:tr w14:paraId="1661E8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66BDFED1">
            <w:pPr>
              <w:pStyle w:val="11"/>
              <w:keepNext/>
              <w:ind w:left="63" w:right="63"/>
              <w:rPr>
                <w:rFonts w:hint="eastAsia" w:ascii="宋体" w:hAnsi="宋体" w:cs="宋体"/>
                <w:sz w:val="24"/>
                <w:highlight w:val="none"/>
              </w:rPr>
            </w:pPr>
          </w:p>
        </w:tc>
        <w:tc>
          <w:tcPr>
            <w:tcW w:w="1984" w:type="dxa"/>
            <w:tcBorders>
              <w:top w:val="nil"/>
            </w:tcBorders>
            <w:noWrap w:val="0"/>
            <w:vAlign w:val="top"/>
          </w:tcPr>
          <w:p w14:paraId="3C1DFE10">
            <w:pPr>
              <w:pStyle w:val="11"/>
              <w:keepNext/>
              <w:ind w:left="63" w:right="63"/>
              <w:rPr>
                <w:rFonts w:hint="eastAsia" w:ascii="宋体" w:hAnsi="宋体" w:cs="宋体"/>
                <w:sz w:val="24"/>
                <w:highlight w:val="none"/>
              </w:rPr>
            </w:pPr>
          </w:p>
        </w:tc>
        <w:tc>
          <w:tcPr>
            <w:tcW w:w="4678" w:type="dxa"/>
            <w:tcBorders>
              <w:top w:val="nil"/>
            </w:tcBorders>
            <w:noWrap w:val="0"/>
            <w:vAlign w:val="top"/>
          </w:tcPr>
          <w:p w14:paraId="76A7BBD0">
            <w:pPr>
              <w:pStyle w:val="11"/>
              <w:keepNext/>
              <w:ind w:left="63" w:right="63"/>
              <w:rPr>
                <w:rFonts w:hint="eastAsia" w:ascii="宋体" w:hAnsi="宋体" w:cs="宋体"/>
                <w:sz w:val="24"/>
                <w:highlight w:val="none"/>
              </w:rPr>
            </w:pPr>
          </w:p>
        </w:tc>
        <w:tc>
          <w:tcPr>
            <w:tcW w:w="1276" w:type="dxa"/>
            <w:tcBorders>
              <w:top w:val="nil"/>
            </w:tcBorders>
            <w:noWrap w:val="0"/>
            <w:vAlign w:val="top"/>
          </w:tcPr>
          <w:p w14:paraId="1AEE6313">
            <w:pPr>
              <w:pStyle w:val="11"/>
              <w:keepNext/>
              <w:ind w:left="63" w:right="63"/>
              <w:rPr>
                <w:rFonts w:hint="eastAsia" w:ascii="宋体" w:hAnsi="宋体" w:cs="宋体"/>
                <w:sz w:val="24"/>
                <w:highlight w:val="none"/>
              </w:rPr>
            </w:pPr>
          </w:p>
        </w:tc>
      </w:tr>
      <w:tr w14:paraId="59BDB0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1A522DAE">
            <w:pPr>
              <w:pStyle w:val="11"/>
              <w:keepNext/>
              <w:ind w:left="63" w:right="63"/>
              <w:rPr>
                <w:rFonts w:hint="eastAsia" w:ascii="宋体" w:hAnsi="宋体" w:cs="宋体"/>
                <w:sz w:val="24"/>
                <w:highlight w:val="none"/>
              </w:rPr>
            </w:pPr>
          </w:p>
        </w:tc>
        <w:tc>
          <w:tcPr>
            <w:tcW w:w="1984" w:type="dxa"/>
            <w:tcBorders>
              <w:top w:val="nil"/>
            </w:tcBorders>
            <w:noWrap w:val="0"/>
            <w:vAlign w:val="top"/>
          </w:tcPr>
          <w:p w14:paraId="05CADFCD">
            <w:pPr>
              <w:pStyle w:val="11"/>
              <w:keepNext/>
              <w:ind w:left="63" w:right="63"/>
              <w:rPr>
                <w:rFonts w:hint="eastAsia" w:ascii="宋体" w:hAnsi="宋体" w:cs="宋体"/>
                <w:sz w:val="24"/>
                <w:highlight w:val="none"/>
              </w:rPr>
            </w:pPr>
          </w:p>
        </w:tc>
        <w:tc>
          <w:tcPr>
            <w:tcW w:w="4678" w:type="dxa"/>
            <w:tcBorders>
              <w:top w:val="nil"/>
            </w:tcBorders>
            <w:noWrap w:val="0"/>
            <w:vAlign w:val="top"/>
          </w:tcPr>
          <w:p w14:paraId="5B3EAC81">
            <w:pPr>
              <w:pStyle w:val="11"/>
              <w:keepNext/>
              <w:ind w:left="63" w:right="63"/>
              <w:rPr>
                <w:rFonts w:hint="eastAsia" w:ascii="宋体" w:hAnsi="宋体" w:cs="宋体"/>
                <w:sz w:val="24"/>
                <w:highlight w:val="none"/>
              </w:rPr>
            </w:pPr>
          </w:p>
        </w:tc>
        <w:tc>
          <w:tcPr>
            <w:tcW w:w="1276" w:type="dxa"/>
            <w:tcBorders>
              <w:top w:val="nil"/>
            </w:tcBorders>
            <w:noWrap w:val="0"/>
            <w:vAlign w:val="top"/>
          </w:tcPr>
          <w:p w14:paraId="7C99BEA3">
            <w:pPr>
              <w:pStyle w:val="11"/>
              <w:keepNext/>
              <w:ind w:left="63" w:right="63"/>
              <w:rPr>
                <w:rFonts w:hint="eastAsia" w:ascii="宋体" w:hAnsi="宋体" w:cs="宋体"/>
                <w:sz w:val="24"/>
                <w:highlight w:val="none"/>
              </w:rPr>
            </w:pPr>
          </w:p>
        </w:tc>
      </w:tr>
      <w:tr w14:paraId="0E0D75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7AC7419">
            <w:pPr>
              <w:pStyle w:val="11"/>
              <w:keepNext/>
              <w:ind w:left="63" w:right="63"/>
              <w:rPr>
                <w:rFonts w:hint="eastAsia" w:ascii="宋体" w:hAnsi="宋体" w:cs="宋体"/>
                <w:sz w:val="24"/>
                <w:highlight w:val="none"/>
              </w:rPr>
            </w:pPr>
          </w:p>
        </w:tc>
        <w:tc>
          <w:tcPr>
            <w:tcW w:w="1984" w:type="dxa"/>
            <w:noWrap w:val="0"/>
            <w:vAlign w:val="top"/>
          </w:tcPr>
          <w:p w14:paraId="1C26FB04">
            <w:pPr>
              <w:pStyle w:val="11"/>
              <w:keepNext/>
              <w:ind w:left="63" w:right="63"/>
              <w:rPr>
                <w:rFonts w:hint="eastAsia" w:ascii="宋体" w:hAnsi="宋体" w:cs="宋体"/>
                <w:sz w:val="24"/>
                <w:highlight w:val="none"/>
              </w:rPr>
            </w:pPr>
          </w:p>
        </w:tc>
        <w:tc>
          <w:tcPr>
            <w:tcW w:w="4678" w:type="dxa"/>
            <w:noWrap w:val="0"/>
            <w:vAlign w:val="top"/>
          </w:tcPr>
          <w:p w14:paraId="7C603C0C">
            <w:pPr>
              <w:pStyle w:val="11"/>
              <w:keepNext/>
              <w:ind w:left="63" w:right="63"/>
              <w:rPr>
                <w:rFonts w:hint="eastAsia" w:ascii="宋体" w:hAnsi="宋体" w:cs="宋体"/>
                <w:sz w:val="24"/>
                <w:highlight w:val="none"/>
              </w:rPr>
            </w:pPr>
          </w:p>
        </w:tc>
        <w:tc>
          <w:tcPr>
            <w:tcW w:w="1276" w:type="dxa"/>
            <w:noWrap w:val="0"/>
            <w:vAlign w:val="top"/>
          </w:tcPr>
          <w:p w14:paraId="6D13D630">
            <w:pPr>
              <w:pStyle w:val="11"/>
              <w:keepNext/>
              <w:ind w:left="63" w:right="63"/>
              <w:rPr>
                <w:rFonts w:hint="eastAsia" w:ascii="宋体" w:hAnsi="宋体" w:cs="宋体"/>
                <w:sz w:val="24"/>
                <w:highlight w:val="none"/>
              </w:rPr>
            </w:pPr>
          </w:p>
        </w:tc>
      </w:tr>
      <w:tr w14:paraId="37BDCA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37F3234">
            <w:pPr>
              <w:pStyle w:val="11"/>
              <w:keepNext/>
              <w:ind w:left="63" w:right="63"/>
              <w:rPr>
                <w:rFonts w:hint="eastAsia" w:ascii="宋体" w:hAnsi="宋体" w:cs="宋体"/>
                <w:sz w:val="24"/>
                <w:highlight w:val="none"/>
              </w:rPr>
            </w:pPr>
          </w:p>
        </w:tc>
        <w:tc>
          <w:tcPr>
            <w:tcW w:w="1984" w:type="dxa"/>
            <w:noWrap w:val="0"/>
            <w:vAlign w:val="top"/>
          </w:tcPr>
          <w:p w14:paraId="0E47EF32">
            <w:pPr>
              <w:pStyle w:val="11"/>
              <w:keepNext/>
              <w:ind w:left="63" w:right="63"/>
              <w:rPr>
                <w:rFonts w:hint="eastAsia" w:ascii="宋体" w:hAnsi="宋体" w:cs="宋体"/>
                <w:sz w:val="24"/>
                <w:highlight w:val="none"/>
              </w:rPr>
            </w:pPr>
          </w:p>
        </w:tc>
        <w:tc>
          <w:tcPr>
            <w:tcW w:w="4678" w:type="dxa"/>
            <w:noWrap w:val="0"/>
            <w:vAlign w:val="top"/>
          </w:tcPr>
          <w:p w14:paraId="78BDE423">
            <w:pPr>
              <w:pStyle w:val="11"/>
              <w:keepNext/>
              <w:ind w:left="63" w:right="63"/>
              <w:rPr>
                <w:rFonts w:hint="eastAsia" w:ascii="宋体" w:hAnsi="宋体" w:cs="宋体"/>
                <w:sz w:val="24"/>
                <w:highlight w:val="none"/>
              </w:rPr>
            </w:pPr>
          </w:p>
        </w:tc>
        <w:tc>
          <w:tcPr>
            <w:tcW w:w="1276" w:type="dxa"/>
            <w:noWrap w:val="0"/>
            <w:vAlign w:val="top"/>
          </w:tcPr>
          <w:p w14:paraId="32225E58">
            <w:pPr>
              <w:pStyle w:val="11"/>
              <w:keepNext/>
              <w:ind w:left="63" w:right="63"/>
              <w:rPr>
                <w:rFonts w:hint="eastAsia" w:ascii="宋体" w:hAnsi="宋体" w:cs="宋体"/>
                <w:sz w:val="24"/>
                <w:highlight w:val="none"/>
              </w:rPr>
            </w:pPr>
          </w:p>
        </w:tc>
      </w:tr>
      <w:tr w14:paraId="609D98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B6191B4">
            <w:pPr>
              <w:pStyle w:val="11"/>
              <w:keepNext/>
              <w:ind w:left="63" w:right="63"/>
              <w:rPr>
                <w:rFonts w:hint="eastAsia" w:ascii="宋体" w:hAnsi="宋体" w:cs="宋体"/>
                <w:sz w:val="24"/>
                <w:highlight w:val="none"/>
              </w:rPr>
            </w:pPr>
          </w:p>
        </w:tc>
        <w:tc>
          <w:tcPr>
            <w:tcW w:w="1984" w:type="dxa"/>
            <w:noWrap w:val="0"/>
            <w:vAlign w:val="top"/>
          </w:tcPr>
          <w:p w14:paraId="7C72E9D9">
            <w:pPr>
              <w:pStyle w:val="11"/>
              <w:keepNext/>
              <w:ind w:left="63" w:right="63"/>
              <w:rPr>
                <w:rFonts w:hint="eastAsia" w:ascii="宋体" w:hAnsi="宋体" w:cs="宋体"/>
                <w:sz w:val="24"/>
                <w:highlight w:val="none"/>
              </w:rPr>
            </w:pPr>
          </w:p>
        </w:tc>
        <w:tc>
          <w:tcPr>
            <w:tcW w:w="4678" w:type="dxa"/>
            <w:noWrap w:val="0"/>
            <w:vAlign w:val="top"/>
          </w:tcPr>
          <w:p w14:paraId="4D3AA71C">
            <w:pPr>
              <w:pStyle w:val="11"/>
              <w:keepNext/>
              <w:ind w:left="63" w:right="63"/>
              <w:rPr>
                <w:rFonts w:hint="eastAsia" w:ascii="宋体" w:hAnsi="宋体" w:cs="宋体"/>
                <w:sz w:val="24"/>
                <w:highlight w:val="none"/>
              </w:rPr>
            </w:pPr>
          </w:p>
        </w:tc>
        <w:tc>
          <w:tcPr>
            <w:tcW w:w="1276" w:type="dxa"/>
            <w:noWrap w:val="0"/>
            <w:vAlign w:val="top"/>
          </w:tcPr>
          <w:p w14:paraId="6F614334">
            <w:pPr>
              <w:pStyle w:val="11"/>
              <w:keepNext/>
              <w:ind w:left="63" w:right="63"/>
              <w:rPr>
                <w:rFonts w:hint="eastAsia" w:ascii="宋体" w:hAnsi="宋体" w:cs="宋体"/>
                <w:sz w:val="24"/>
                <w:highlight w:val="none"/>
              </w:rPr>
            </w:pPr>
          </w:p>
        </w:tc>
      </w:tr>
      <w:tr w14:paraId="0A2DE4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D278BA9">
            <w:pPr>
              <w:pStyle w:val="11"/>
              <w:keepNext/>
              <w:ind w:left="63" w:right="63"/>
              <w:rPr>
                <w:rFonts w:hint="eastAsia" w:ascii="宋体" w:hAnsi="宋体" w:cs="宋体"/>
                <w:sz w:val="24"/>
                <w:highlight w:val="none"/>
              </w:rPr>
            </w:pPr>
          </w:p>
        </w:tc>
        <w:tc>
          <w:tcPr>
            <w:tcW w:w="1984" w:type="dxa"/>
            <w:noWrap w:val="0"/>
            <w:vAlign w:val="top"/>
          </w:tcPr>
          <w:p w14:paraId="372C1740">
            <w:pPr>
              <w:pStyle w:val="11"/>
              <w:keepNext/>
              <w:ind w:left="63" w:right="63"/>
              <w:rPr>
                <w:rFonts w:hint="eastAsia" w:ascii="宋体" w:hAnsi="宋体" w:cs="宋体"/>
                <w:sz w:val="24"/>
                <w:highlight w:val="none"/>
              </w:rPr>
            </w:pPr>
          </w:p>
        </w:tc>
        <w:tc>
          <w:tcPr>
            <w:tcW w:w="4678" w:type="dxa"/>
            <w:noWrap w:val="0"/>
            <w:vAlign w:val="top"/>
          </w:tcPr>
          <w:p w14:paraId="2D7DDEAD">
            <w:pPr>
              <w:pStyle w:val="11"/>
              <w:keepNext/>
              <w:ind w:left="63" w:right="63"/>
              <w:rPr>
                <w:rFonts w:hint="eastAsia" w:ascii="宋体" w:hAnsi="宋体" w:cs="宋体"/>
                <w:sz w:val="24"/>
                <w:highlight w:val="none"/>
              </w:rPr>
            </w:pPr>
          </w:p>
        </w:tc>
        <w:tc>
          <w:tcPr>
            <w:tcW w:w="1276" w:type="dxa"/>
            <w:noWrap w:val="0"/>
            <w:vAlign w:val="top"/>
          </w:tcPr>
          <w:p w14:paraId="1FB1F8DD">
            <w:pPr>
              <w:pStyle w:val="11"/>
              <w:keepNext/>
              <w:ind w:left="63" w:right="63"/>
              <w:rPr>
                <w:rFonts w:hint="eastAsia" w:ascii="宋体" w:hAnsi="宋体" w:cs="宋体"/>
                <w:sz w:val="24"/>
                <w:highlight w:val="none"/>
              </w:rPr>
            </w:pPr>
          </w:p>
        </w:tc>
      </w:tr>
      <w:tr w14:paraId="3AF7F6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noWrap w:val="0"/>
            <w:vAlign w:val="top"/>
          </w:tcPr>
          <w:p w14:paraId="6D5BFABF">
            <w:pPr>
              <w:pStyle w:val="11"/>
              <w:keepNext/>
              <w:ind w:left="63" w:right="63"/>
              <w:rPr>
                <w:rFonts w:hint="eastAsia" w:ascii="宋体" w:hAnsi="宋体" w:cs="宋体"/>
                <w:sz w:val="24"/>
                <w:highlight w:val="none"/>
              </w:rPr>
            </w:pPr>
            <w:r>
              <w:rPr>
                <w:rFonts w:hint="eastAsia" w:ascii="宋体" w:hAnsi="宋体" w:cs="宋体"/>
                <w:highlight w:val="none"/>
              </w:rPr>
              <w:t>小计：</w:t>
            </w:r>
          </w:p>
        </w:tc>
      </w:tr>
    </w:tbl>
    <w:p w14:paraId="0D5B571E">
      <w:pPr>
        <w:jc w:val="center"/>
        <w:rPr>
          <w:rFonts w:ascii="宋体" w:hAnsi="宋体" w:cs="宋体"/>
          <w:kern w:val="0"/>
          <w:highlight w:val="none"/>
        </w:rPr>
      </w:pPr>
    </w:p>
    <w:p w14:paraId="5B9482D6">
      <w:pPr>
        <w:spacing w:before="156" w:beforeLines="50" w:after="156" w:afterLines="50"/>
        <w:ind w:right="-733" w:rightChars="-349"/>
        <w:outlineLvl w:val="0"/>
        <w:rPr>
          <w:rFonts w:ascii="宋体" w:hAnsi="宋体" w:cs="宋体"/>
          <w:highlight w:val="none"/>
        </w:rPr>
      </w:pPr>
      <w:r>
        <w:rPr>
          <w:rFonts w:hint="eastAsia" w:ascii="宋体" w:hAnsi="宋体" w:cs="宋体"/>
          <w:highlight w:val="none"/>
        </w:rPr>
        <w:br w:type="page"/>
      </w:r>
      <w:bookmarkStart w:id="1788" w:name="_Toc25371"/>
      <w:bookmarkStart w:id="1789" w:name="_Toc11552"/>
      <w:bookmarkStart w:id="1790" w:name="_Toc16116"/>
      <w:bookmarkStart w:id="1791" w:name="_Toc19261"/>
      <w:bookmarkStart w:id="1792" w:name="_Toc69891507"/>
      <w:bookmarkStart w:id="1793" w:name="_Toc69909997"/>
      <w:bookmarkStart w:id="1794" w:name="_Toc28142"/>
      <w:r>
        <w:rPr>
          <w:rFonts w:hint="eastAsia" w:ascii="宋体" w:hAnsi="宋体" w:cs="宋体"/>
          <w:highlight w:val="none"/>
        </w:rPr>
        <w:t>附件</w:t>
      </w:r>
      <w:r>
        <w:rPr>
          <w:rFonts w:hint="eastAsia" w:ascii="宋体" w:hAnsi="宋体" w:cs="宋体"/>
          <w:highlight w:val="none"/>
          <w:lang w:val="en-US" w:eastAsia="zh-CN"/>
        </w:rPr>
        <w:t>9</w:t>
      </w:r>
      <w:r>
        <w:rPr>
          <w:rFonts w:hint="eastAsia" w:ascii="宋体" w:hAnsi="宋体" w:cs="宋体"/>
          <w:highlight w:val="none"/>
        </w:rPr>
        <w:t>：</w:t>
      </w:r>
      <w:bookmarkEnd w:id="1788"/>
      <w:r>
        <w:rPr>
          <w:rFonts w:hint="eastAsia" w:ascii="宋体" w:hAnsi="宋体" w:cs="宋体"/>
          <w:highlight w:val="none"/>
        </w:rPr>
        <w:t>廉政合同格式</w:t>
      </w:r>
      <w:bookmarkEnd w:id="1789"/>
      <w:bookmarkEnd w:id="1790"/>
      <w:bookmarkEnd w:id="1791"/>
      <w:bookmarkEnd w:id="1792"/>
      <w:bookmarkEnd w:id="1793"/>
      <w:bookmarkEnd w:id="1794"/>
    </w:p>
    <w:p w14:paraId="5CDCDFCC">
      <w:pPr>
        <w:ind w:right="-733" w:rightChars="-349"/>
        <w:jc w:val="center"/>
        <w:rPr>
          <w:rFonts w:ascii="宋体" w:hAnsi="宋体" w:cs="宋体"/>
          <w:b/>
          <w:sz w:val="24"/>
          <w:szCs w:val="24"/>
          <w:highlight w:val="none"/>
        </w:rPr>
      </w:pPr>
      <w:r>
        <w:rPr>
          <w:rFonts w:hint="eastAsia" w:ascii="宋体" w:hAnsi="宋体" w:cs="宋体"/>
          <w:b/>
          <w:sz w:val="24"/>
          <w:szCs w:val="24"/>
          <w:highlight w:val="none"/>
        </w:rPr>
        <w:t>廉政合同</w:t>
      </w:r>
    </w:p>
    <w:p w14:paraId="5A7F0239">
      <w:pPr>
        <w:spacing w:line="360" w:lineRule="auto"/>
        <w:ind w:right="-105" w:rightChars="-50" w:firstLine="420" w:firstLineChars="200"/>
        <w:rPr>
          <w:rFonts w:hint="eastAsia" w:ascii="宋体" w:hAnsi="宋体" w:cs="宋体"/>
          <w:highlight w:val="none"/>
        </w:rPr>
      </w:pPr>
    </w:p>
    <w:p w14:paraId="17622F09">
      <w:pPr>
        <w:spacing w:line="360" w:lineRule="auto"/>
        <w:ind w:right="0" w:rightChars="0" w:firstLine="420" w:firstLineChars="200"/>
        <w:rPr>
          <w:rFonts w:ascii="宋体" w:hAnsi="宋体" w:cs="宋体"/>
          <w:highlight w:val="none"/>
        </w:rPr>
      </w:pPr>
      <w:r>
        <w:rPr>
          <w:rFonts w:hint="eastAsia" w:ascii="宋体" w:hAnsi="宋体" w:cs="宋体"/>
          <w:highlight w:val="none"/>
        </w:rPr>
        <w:t>根据国家法律、法规以及有关工程建设、廉政建设的规定，为做好工程建设中的党风廉政建设，保证工程建设高效优质，保证建设资金的安全和有效使用以及投资效益，</w:t>
      </w:r>
      <w:r>
        <w:rPr>
          <w:rFonts w:hint="eastAsia" w:ascii="宋体" w:hAnsi="宋体" w:cs="宋体"/>
          <w:kern w:val="58"/>
          <w:highlight w:val="none"/>
          <w:u w:val="single"/>
          <w:lang w:eastAsia="zh-CN"/>
        </w:rPr>
        <w:t>南通轨道交通部分站点非机动车换乘停车优化改造施工项目（第1批次）</w:t>
      </w:r>
      <w:r>
        <w:rPr>
          <w:rFonts w:hint="eastAsia" w:ascii="宋体" w:hAnsi="宋体" w:cs="宋体"/>
          <w:highlight w:val="none"/>
        </w:rPr>
        <w:t>项目的项目法人</w:t>
      </w:r>
      <w:r>
        <w:rPr>
          <w:rFonts w:hint="eastAsia" w:ascii="宋体" w:hAnsi="宋体" w:cs="宋体"/>
          <w:bCs/>
          <w:highlight w:val="none"/>
          <w:u w:val="single" w:color="000000"/>
          <w:lang w:eastAsia="zh-CN"/>
        </w:rPr>
        <w:t>南通轨道交通集团有限公司</w:t>
      </w:r>
      <w:r>
        <w:rPr>
          <w:rFonts w:hint="eastAsia" w:ascii="宋体" w:hAnsi="宋体" w:cs="宋体"/>
          <w:highlight w:val="none"/>
          <w:u w:val="single"/>
        </w:rPr>
        <w:t>(以下称发包人)</w:t>
      </w:r>
      <w:r>
        <w:rPr>
          <w:rFonts w:hint="eastAsia" w:ascii="宋体" w:hAnsi="宋体" w:cs="宋体"/>
          <w:highlight w:val="none"/>
        </w:rPr>
        <w:t>与</w:t>
      </w:r>
      <w:r>
        <w:rPr>
          <w:rFonts w:hint="eastAsia" w:ascii="宋体" w:hAnsi="宋体" w:cs="宋体"/>
          <w:b w:val="0"/>
          <w:bCs/>
          <w:color w:val="000000"/>
          <w:highlight w:val="none"/>
          <w:u w:val="single"/>
          <w:lang w:val="en-US" w:eastAsia="zh-CN"/>
        </w:rPr>
        <w:t xml:space="preserve">           </w:t>
      </w:r>
      <w:r>
        <w:rPr>
          <w:rFonts w:hint="eastAsia" w:ascii="宋体" w:hAnsi="宋体" w:cs="宋体"/>
          <w:highlight w:val="none"/>
          <w:u w:val="single"/>
        </w:rPr>
        <w:t>（以下称承包人）</w:t>
      </w:r>
      <w:r>
        <w:rPr>
          <w:rFonts w:hint="eastAsia" w:ascii="宋体" w:hAnsi="宋体" w:cs="宋体"/>
          <w:highlight w:val="none"/>
        </w:rPr>
        <w:t>，特订立如下合同。</w:t>
      </w:r>
    </w:p>
    <w:p w14:paraId="0F822944">
      <w:pPr>
        <w:spacing w:line="360" w:lineRule="auto"/>
        <w:ind w:right="0" w:rightChars="0" w:firstLine="422" w:firstLineChars="200"/>
        <w:rPr>
          <w:rFonts w:ascii="宋体" w:hAnsi="宋体" w:cs="宋体"/>
          <w:b/>
          <w:highlight w:val="none"/>
        </w:rPr>
      </w:pPr>
      <w:bookmarkStart w:id="1795" w:name="_Toc59896701"/>
      <w:bookmarkStart w:id="1796" w:name="_Toc59900969"/>
      <w:r>
        <w:rPr>
          <w:rFonts w:hint="eastAsia" w:ascii="宋体" w:hAnsi="宋体" w:cs="宋体"/>
          <w:b/>
          <w:highlight w:val="none"/>
        </w:rPr>
        <w:t xml:space="preserve">第一条 </w:t>
      </w:r>
      <w:r>
        <w:rPr>
          <w:rFonts w:hint="eastAsia" w:ascii="宋体" w:hAnsi="宋体" w:cs="宋体"/>
          <w:b/>
          <w:highlight w:val="none"/>
          <w:lang w:val="en-US" w:eastAsia="zh-CN"/>
        </w:rPr>
        <w:t>发包人和承包人</w:t>
      </w:r>
      <w:r>
        <w:rPr>
          <w:rFonts w:hint="eastAsia" w:ascii="宋体" w:hAnsi="宋体" w:cs="宋体"/>
          <w:b/>
          <w:highlight w:val="none"/>
        </w:rPr>
        <w:t>的权利和义务</w:t>
      </w:r>
      <w:bookmarkEnd w:id="1795"/>
      <w:bookmarkEnd w:id="1796"/>
    </w:p>
    <w:p w14:paraId="2C7A500B">
      <w:pPr>
        <w:tabs>
          <w:tab w:val="left" w:pos="2115"/>
        </w:tabs>
        <w:spacing w:line="360" w:lineRule="auto"/>
        <w:ind w:right="0" w:rightChars="0" w:firstLine="420" w:firstLineChars="200"/>
        <w:rPr>
          <w:rFonts w:ascii="宋体" w:hAnsi="宋体" w:cs="宋体"/>
          <w:highlight w:val="none"/>
        </w:rPr>
      </w:pPr>
      <w:r>
        <w:rPr>
          <w:rFonts w:hint="eastAsia" w:ascii="宋体" w:hAnsi="宋体" w:cs="宋体"/>
          <w:highlight w:val="none"/>
        </w:rPr>
        <w:t>（一）严格遵守党和国家有关法律法规及江苏省、南通市的有关规定，遵守</w:t>
      </w:r>
      <w:r>
        <w:rPr>
          <w:rFonts w:hint="eastAsia" w:ascii="宋体" w:hAnsi="宋体" w:cs="宋体"/>
          <w:highlight w:val="none"/>
          <w:lang w:eastAsia="zh-CN"/>
        </w:rPr>
        <w:t>南通轨道交通集团有限公司</w:t>
      </w:r>
      <w:r>
        <w:rPr>
          <w:rFonts w:hint="eastAsia" w:ascii="宋体" w:hAnsi="宋体" w:cs="宋体"/>
          <w:highlight w:val="none"/>
        </w:rPr>
        <w:t>六不准则。</w:t>
      </w:r>
    </w:p>
    <w:p w14:paraId="739EFCE7">
      <w:pPr>
        <w:tabs>
          <w:tab w:val="left" w:pos="2115"/>
        </w:tabs>
        <w:spacing w:line="360" w:lineRule="auto"/>
        <w:ind w:right="0" w:rightChars="0" w:firstLine="420" w:firstLineChars="200"/>
        <w:rPr>
          <w:rFonts w:ascii="宋体" w:hAnsi="宋体" w:cs="宋体"/>
          <w:highlight w:val="none"/>
        </w:rPr>
      </w:pPr>
      <w:r>
        <w:rPr>
          <w:rFonts w:hint="eastAsia" w:ascii="宋体" w:hAnsi="宋体" w:cs="宋体"/>
          <w:highlight w:val="none"/>
        </w:rPr>
        <w:t>（二）严格执行</w:t>
      </w:r>
      <w:r>
        <w:rPr>
          <w:rFonts w:hint="eastAsia" w:ascii="宋体" w:hAnsi="宋体" w:cs="宋体"/>
          <w:kern w:val="58"/>
          <w:highlight w:val="none"/>
          <w:u w:val="single"/>
          <w:lang w:eastAsia="zh-CN"/>
        </w:rPr>
        <w:t>南通轨道交通部分站点非机动车换乘停车优化改造施工项目（第1批次）</w:t>
      </w:r>
      <w:r>
        <w:rPr>
          <w:rFonts w:hint="eastAsia" w:ascii="宋体" w:hAnsi="宋体" w:cs="宋体"/>
          <w:highlight w:val="none"/>
        </w:rPr>
        <w:t>的合同文件，自觉按合同办事。</w:t>
      </w:r>
    </w:p>
    <w:p w14:paraId="28FAB8F1">
      <w:pPr>
        <w:tabs>
          <w:tab w:val="left" w:pos="2115"/>
        </w:tabs>
        <w:spacing w:line="360" w:lineRule="auto"/>
        <w:ind w:right="0" w:rightChars="0" w:firstLine="420" w:firstLineChars="200"/>
        <w:rPr>
          <w:rFonts w:ascii="宋体" w:hAnsi="宋体" w:cs="宋体"/>
          <w:highlight w:val="none"/>
        </w:rPr>
      </w:pPr>
      <w:r>
        <w:rPr>
          <w:rFonts w:hint="eastAsia" w:ascii="宋体" w:hAnsi="宋体" w:cs="宋体"/>
          <w:highlight w:val="none"/>
        </w:rPr>
        <w:t>（三）双方的业务活动坚持公开、公正、诚信、透明的原则（除法律认定的商业秘密和合同文件另有规定之外），不得损害国家和集体利益，违反工程建设规章制度。</w:t>
      </w:r>
    </w:p>
    <w:p w14:paraId="4A51F589">
      <w:pPr>
        <w:tabs>
          <w:tab w:val="left" w:pos="2115"/>
        </w:tabs>
        <w:spacing w:line="360" w:lineRule="auto"/>
        <w:ind w:right="0" w:rightChars="0" w:firstLine="420" w:firstLineChars="200"/>
        <w:rPr>
          <w:rFonts w:ascii="宋体" w:hAnsi="宋体" w:cs="宋体"/>
          <w:highlight w:val="none"/>
        </w:rPr>
      </w:pPr>
      <w:r>
        <w:rPr>
          <w:rFonts w:hint="eastAsia" w:ascii="宋体" w:hAnsi="宋体" w:cs="宋体"/>
          <w:highlight w:val="none"/>
        </w:rPr>
        <w:t>（四）建立健全廉政制度，开展廉政教育，设立廉政告示牌，公布举报电话，监督并认真查处违法违纪行为。</w:t>
      </w:r>
    </w:p>
    <w:p w14:paraId="65D161E2">
      <w:pPr>
        <w:tabs>
          <w:tab w:val="left" w:pos="2115"/>
        </w:tabs>
        <w:spacing w:line="360" w:lineRule="auto"/>
        <w:ind w:right="0" w:rightChars="0" w:firstLine="420" w:firstLineChars="200"/>
        <w:rPr>
          <w:rFonts w:ascii="宋体" w:hAnsi="宋体" w:cs="宋体"/>
          <w:highlight w:val="none"/>
        </w:rPr>
      </w:pPr>
      <w:r>
        <w:rPr>
          <w:rFonts w:hint="eastAsia" w:ascii="宋体" w:hAnsi="宋体" w:cs="宋体"/>
          <w:highlight w:val="none"/>
        </w:rPr>
        <w:t>（五）发现对方在业务活动中有违反廉政规定的行为，有及时提醒对方纠正的权利和义务。</w:t>
      </w:r>
    </w:p>
    <w:p w14:paraId="066BDA0B">
      <w:pPr>
        <w:tabs>
          <w:tab w:val="left" w:pos="2115"/>
        </w:tabs>
        <w:spacing w:line="360" w:lineRule="auto"/>
        <w:ind w:right="0" w:rightChars="0" w:firstLine="420" w:firstLineChars="200"/>
        <w:rPr>
          <w:rFonts w:ascii="宋体" w:hAnsi="宋体" w:cs="宋体"/>
          <w:highlight w:val="none"/>
        </w:rPr>
      </w:pPr>
      <w:r>
        <w:rPr>
          <w:rFonts w:hint="eastAsia" w:ascii="宋体" w:hAnsi="宋体" w:cs="宋体"/>
          <w:highlight w:val="none"/>
        </w:rPr>
        <w:t>（六）发现对方严重违反本合同义务条款的行为，有向其上级有关部门举报、建议给予处理并要求告知处理结果的权利。</w:t>
      </w:r>
    </w:p>
    <w:p w14:paraId="51E071C5">
      <w:pPr>
        <w:spacing w:line="360" w:lineRule="auto"/>
        <w:ind w:right="0" w:rightChars="0" w:firstLine="422" w:firstLineChars="200"/>
        <w:rPr>
          <w:rFonts w:ascii="宋体" w:hAnsi="宋体" w:cs="宋体"/>
          <w:b/>
          <w:highlight w:val="none"/>
        </w:rPr>
      </w:pPr>
      <w:bookmarkStart w:id="1797" w:name="_Toc59896702"/>
      <w:bookmarkStart w:id="1798" w:name="_Toc59900970"/>
      <w:r>
        <w:rPr>
          <w:rFonts w:hint="eastAsia" w:ascii="宋体" w:hAnsi="宋体" w:cs="宋体"/>
          <w:b/>
          <w:highlight w:val="none"/>
        </w:rPr>
        <w:t>第二条 发包人的义务</w:t>
      </w:r>
      <w:bookmarkEnd w:id="1797"/>
      <w:bookmarkEnd w:id="1798"/>
    </w:p>
    <w:p w14:paraId="34825DF9">
      <w:pPr>
        <w:tabs>
          <w:tab w:val="left" w:pos="0"/>
          <w:tab w:val="left" w:pos="2115"/>
        </w:tabs>
        <w:spacing w:line="360" w:lineRule="auto"/>
        <w:ind w:right="0" w:rightChars="0" w:firstLine="420" w:firstLineChars="200"/>
        <w:rPr>
          <w:rFonts w:ascii="宋体" w:hAnsi="宋体" w:cs="宋体"/>
          <w:highlight w:val="none"/>
        </w:rPr>
      </w:pPr>
      <w:r>
        <w:rPr>
          <w:rFonts w:hint="eastAsia" w:ascii="宋体" w:hAnsi="宋体" w:cs="宋体"/>
          <w:highlight w:val="none"/>
        </w:rPr>
        <w:t>（一）发包人及其工作人员不得索要或接受承包人的礼金、有价证券和贵重物品，不得在承包人报销任何应由发包人或个人支付的费用等。</w:t>
      </w:r>
    </w:p>
    <w:p w14:paraId="5F544D13">
      <w:pPr>
        <w:tabs>
          <w:tab w:val="left" w:pos="0"/>
          <w:tab w:val="left" w:pos="2115"/>
        </w:tabs>
        <w:spacing w:line="360" w:lineRule="auto"/>
        <w:ind w:right="0" w:rightChars="0" w:firstLine="420" w:firstLineChars="200"/>
        <w:rPr>
          <w:rFonts w:ascii="宋体" w:hAnsi="宋体" w:cs="宋体"/>
          <w:highlight w:val="none"/>
        </w:rPr>
      </w:pPr>
      <w:r>
        <w:rPr>
          <w:rFonts w:hint="eastAsia" w:ascii="宋体" w:hAnsi="宋体" w:cs="宋体"/>
          <w:highlight w:val="none"/>
        </w:rPr>
        <w:t>（二）发包人工作人员不得参加承包人安排的超标准宴请和娱乐活动；不得接受承包人提供的通讯工具、交通工具和高档办公用品等。</w:t>
      </w:r>
    </w:p>
    <w:p w14:paraId="3E41B98D">
      <w:pPr>
        <w:tabs>
          <w:tab w:val="left" w:pos="0"/>
          <w:tab w:val="left" w:pos="2115"/>
        </w:tabs>
        <w:spacing w:line="360" w:lineRule="auto"/>
        <w:ind w:right="0" w:rightChars="0" w:firstLine="420" w:firstLineChars="200"/>
        <w:rPr>
          <w:rFonts w:ascii="宋体" w:hAnsi="宋体" w:cs="宋体"/>
          <w:highlight w:val="none"/>
        </w:rPr>
      </w:pPr>
      <w:r>
        <w:rPr>
          <w:rFonts w:hint="eastAsia" w:ascii="宋体" w:hAnsi="宋体" w:cs="宋体"/>
          <w:highlight w:val="none"/>
        </w:rPr>
        <w:t>（三）发包人及其工作人员不得要求或者接受承包人为其住房装修、婚丧嫁娶活动、配偶子女的工作安排以及出国出境、旅游等提供方便等。</w:t>
      </w:r>
    </w:p>
    <w:p w14:paraId="71822354">
      <w:pPr>
        <w:spacing w:line="360" w:lineRule="auto"/>
        <w:ind w:right="0" w:rightChars="0" w:firstLine="422" w:firstLineChars="200"/>
        <w:rPr>
          <w:rFonts w:ascii="宋体" w:hAnsi="宋体" w:cs="宋体"/>
          <w:b/>
          <w:highlight w:val="none"/>
        </w:rPr>
      </w:pPr>
      <w:bookmarkStart w:id="1799" w:name="_Toc59900971"/>
      <w:bookmarkStart w:id="1800" w:name="_Toc59896703"/>
      <w:r>
        <w:rPr>
          <w:rFonts w:hint="eastAsia" w:ascii="宋体" w:hAnsi="宋体" w:cs="宋体"/>
          <w:b/>
          <w:highlight w:val="none"/>
        </w:rPr>
        <w:t>第三条 承包人义务</w:t>
      </w:r>
      <w:bookmarkEnd w:id="1799"/>
      <w:bookmarkEnd w:id="1800"/>
    </w:p>
    <w:p w14:paraId="7BDC5ADF">
      <w:pPr>
        <w:spacing w:line="360" w:lineRule="auto"/>
        <w:ind w:right="0" w:rightChars="0" w:firstLine="420" w:firstLineChars="200"/>
        <w:rPr>
          <w:rFonts w:ascii="宋体" w:hAnsi="宋体" w:cs="宋体"/>
          <w:highlight w:val="none"/>
        </w:rPr>
      </w:pPr>
      <w:r>
        <w:rPr>
          <w:rFonts w:hint="eastAsia" w:ascii="宋体" w:hAnsi="宋体" w:cs="宋体"/>
          <w:highlight w:val="none"/>
        </w:rPr>
        <w:t>（一）承包人不得以任何理由向发包人及其工作人员行贿或馈赠礼金、有价证券、贵重礼品。</w:t>
      </w:r>
    </w:p>
    <w:p w14:paraId="48ADFDAF">
      <w:pPr>
        <w:spacing w:line="360" w:lineRule="auto"/>
        <w:ind w:right="0" w:rightChars="0" w:firstLine="420" w:firstLineChars="200"/>
        <w:rPr>
          <w:rFonts w:ascii="宋体" w:hAnsi="宋体" w:cs="宋体"/>
          <w:highlight w:val="none"/>
        </w:rPr>
      </w:pPr>
      <w:r>
        <w:rPr>
          <w:rFonts w:hint="eastAsia" w:ascii="宋体" w:hAnsi="宋体" w:cs="宋体"/>
          <w:highlight w:val="none"/>
        </w:rPr>
        <w:t>（二）承包人不得以任何名义为发包人及其工作人员报销应由发包人单位或个人支付的任何费用。</w:t>
      </w:r>
    </w:p>
    <w:p w14:paraId="08F159F7">
      <w:pPr>
        <w:spacing w:line="360" w:lineRule="auto"/>
        <w:ind w:right="0" w:rightChars="0" w:firstLine="420" w:firstLineChars="200"/>
        <w:rPr>
          <w:rFonts w:ascii="宋体" w:hAnsi="宋体" w:cs="宋体"/>
          <w:highlight w:val="none"/>
        </w:rPr>
      </w:pPr>
      <w:r>
        <w:rPr>
          <w:rFonts w:hint="eastAsia" w:ascii="宋体" w:hAnsi="宋体" w:cs="宋体"/>
          <w:highlight w:val="none"/>
        </w:rPr>
        <w:t>（三）承包人不得以任何理由安排发包人工作人员参加超标准宴请及娱乐活动。</w:t>
      </w:r>
    </w:p>
    <w:p w14:paraId="32BE06DE">
      <w:pPr>
        <w:spacing w:line="360" w:lineRule="auto"/>
        <w:ind w:right="0" w:rightChars="0" w:firstLine="420" w:firstLineChars="200"/>
        <w:rPr>
          <w:rFonts w:ascii="宋体" w:hAnsi="宋体" w:cs="宋体"/>
          <w:highlight w:val="none"/>
        </w:rPr>
      </w:pPr>
      <w:r>
        <w:rPr>
          <w:rFonts w:hint="eastAsia" w:ascii="宋体" w:hAnsi="宋体" w:cs="宋体"/>
          <w:highlight w:val="none"/>
        </w:rPr>
        <w:t>（四）承包人不得为发包人单位和个人购置或提供通讯工具、交通工具和高档办公用品等。</w:t>
      </w:r>
    </w:p>
    <w:p w14:paraId="0A219349">
      <w:pPr>
        <w:spacing w:line="360" w:lineRule="auto"/>
        <w:ind w:right="0" w:rightChars="0" w:firstLine="422" w:firstLineChars="200"/>
        <w:rPr>
          <w:rFonts w:ascii="宋体" w:hAnsi="宋体" w:cs="宋体"/>
          <w:b/>
          <w:highlight w:val="none"/>
        </w:rPr>
      </w:pPr>
      <w:r>
        <w:rPr>
          <w:rFonts w:hint="eastAsia" w:ascii="宋体" w:hAnsi="宋体" w:cs="宋体"/>
          <w:b/>
          <w:highlight w:val="none"/>
        </w:rPr>
        <w:t>第四条 违约责任</w:t>
      </w:r>
    </w:p>
    <w:p w14:paraId="037257B3">
      <w:pPr>
        <w:spacing w:line="360" w:lineRule="auto"/>
        <w:ind w:right="0" w:rightChars="0" w:firstLine="420" w:firstLineChars="200"/>
        <w:rPr>
          <w:rFonts w:ascii="宋体" w:hAnsi="宋体" w:cs="宋体"/>
          <w:highlight w:val="none"/>
        </w:rPr>
      </w:pPr>
      <w:r>
        <w:rPr>
          <w:rFonts w:hint="eastAsia" w:ascii="宋体" w:hAnsi="宋体" w:cs="宋体"/>
          <w:highlight w:val="none"/>
        </w:rPr>
        <w:t>（一）发包人及其工作人员违反本合同第一、二条，按管理权限，依据有关规定给予党纪、政纪或组织处理，调离其工作岗位；涉嫌犯罪的，移交司法机关追究刑事责任；给承包人单位造成经济损失的，应予以赔偿。</w:t>
      </w:r>
    </w:p>
    <w:p w14:paraId="38E88AE6">
      <w:pPr>
        <w:spacing w:line="360" w:lineRule="auto"/>
        <w:ind w:right="0" w:rightChars="0" w:firstLine="420" w:firstLineChars="200"/>
        <w:rPr>
          <w:rFonts w:ascii="宋体" w:hAnsi="宋体" w:cs="宋体"/>
          <w:highlight w:val="none"/>
        </w:rPr>
      </w:pPr>
      <w:r>
        <w:rPr>
          <w:rFonts w:hint="eastAsia" w:ascii="宋体" w:hAnsi="宋体" w:cs="宋体"/>
          <w:highlight w:val="none"/>
        </w:rPr>
        <w:t>（二）承包人及其工作人员违反本合同第一、三条，按管理权限，依据有关规定，给予党纪、政纪或组织处理；给发包人单位造成经济损失的，应予以赔偿；情节严重的，发包人可以单方终止与承包人的合同，并给予承包人三年内不得对发包人组织建设的工程项目进行投标的处罚。</w:t>
      </w:r>
    </w:p>
    <w:p w14:paraId="3B757D4E">
      <w:pPr>
        <w:spacing w:line="360" w:lineRule="auto"/>
        <w:ind w:right="0" w:rightChars="0" w:firstLine="422" w:firstLineChars="200"/>
        <w:rPr>
          <w:rFonts w:ascii="宋体" w:hAnsi="宋体" w:cs="宋体"/>
          <w:highlight w:val="none"/>
        </w:rPr>
      </w:pPr>
      <w:r>
        <w:rPr>
          <w:rFonts w:hint="eastAsia" w:ascii="宋体" w:hAnsi="宋体" w:cs="宋体"/>
          <w:b/>
          <w:highlight w:val="none"/>
        </w:rPr>
        <w:t>第五条</w:t>
      </w:r>
      <w:r>
        <w:rPr>
          <w:rFonts w:hint="eastAsia" w:ascii="宋体" w:hAnsi="宋体" w:cs="宋体"/>
          <w:highlight w:val="none"/>
        </w:rPr>
        <w:t xml:space="preserve"> 双方约定：本合同由双方或双方上级单位的纪检监察机关负责监督执行。由发包人或发包人上级单位的纪检监察机关约请承包人或承包人上级单位纪检监察机关对本合同执行情况进行检查；提出在本合同约定范围内的裁定意见。</w:t>
      </w:r>
    </w:p>
    <w:p w14:paraId="232204A5">
      <w:pPr>
        <w:spacing w:line="360" w:lineRule="auto"/>
        <w:ind w:right="0" w:rightChars="0" w:firstLine="422" w:firstLineChars="200"/>
        <w:rPr>
          <w:rFonts w:ascii="宋体" w:hAnsi="宋体" w:cs="宋体"/>
          <w:highlight w:val="none"/>
        </w:rPr>
      </w:pPr>
      <w:r>
        <w:rPr>
          <w:rFonts w:hint="eastAsia" w:ascii="宋体" w:hAnsi="宋体" w:cs="宋体"/>
          <w:b/>
          <w:highlight w:val="none"/>
        </w:rPr>
        <w:t>第六条</w:t>
      </w:r>
      <w:r>
        <w:rPr>
          <w:rFonts w:hint="eastAsia" w:ascii="宋体" w:hAnsi="宋体" w:cs="宋体"/>
          <w:highlight w:val="none"/>
        </w:rPr>
        <w:t xml:space="preserve"> 本合同有效期为甲乙双方签署之日起至该工程项目竣工验收合格之日止。</w:t>
      </w:r>
    </w:p>
    <w:p w14:paraId="182106FD">
      <w:pPr>
        <w:spacing w:line="360" w:lineRule="auto"/>
        <w:ind w:right="0" w:rightChars="0" w:firstLine="422" w:firstLineChars="200"/>
        <w:rPr>
          <w:rFonts w:ascii="宋体" w:hAnsi="宋体" w:cs="宋体"/>
          <w:highlight w:val="none"/>
        </w:rPr>
      </w:pPr>
      <w:r>
        <w:rPr>
          <w:rFonts w:hint="eastAsia" w:ascii="宋体" w:hAnsi="宋体" w:cs="宋体"/>
          <w:b/>
          <w:highlight w:val="none"/>
        </w:rPr>
        <w:t>第七条</w:t>
      </w:r>
      <w:r>
        <w:rPr>
          <w:rFonts w:hint="eastAsia" w:ascii="宋体" w:hAnsi="宋体" w:cs="宋体"/>
          <w:highlight w:val="none"/>
        </w:rPr>
        <w:t xml:space="preserve"> 本合同作为</w:t>
      </w:r>
      <w:r>
        <w:rPr>
          <w:rFonts w:hint="eastAsia" w:ascii="宋体" w:hAnsi="宋体" w:cs="宋体"/>
          <w:kern w:val="58"/>
          <w:highlight w:val="none"/>
          <w:u w:val="single"/>
          <w:lang w:eastAsia="zh-CN"/>
        </w:rPr>
        <w:t>南通轨道交通部分站点非机动车换乘停车优化改造施工项目（第1批次）施工项目</w:t>
      </w:r>
      <w:r>
        <w:rPr>
          <w:rFonts w:hint="eastAsia" w:ascii="宋体" w:hAnsi="宋体" w:cs="宋体"/>
          <w:highlight w:val="none"/>
        </w:rPr>
        <w:t>合同的附件，与主合同具有同等法律效力。经合同双方签署立即生效。</w:t>
      </w:r>
    </w:p>
    <w:p w14:paraId="4C4B52C8">
      <w:pPr>
        <w:spacing w:line="360" w:lineRule="auto"/>
        <w:ind w:right="-105" w:rightChars="-50" w:firstLine="420" w:firstLineChars="200"/>
        <w:rPr>
          <w:rFonts w:ascii="宋体" w:hAnsi="宋体" w:cs="宋体"/>
          <w:highlight w:val="none"/>
        </w:rPr>
      </w:pPr>
    </w:p>
    <w:p w14:paraId="571F4CEA">
      <w:pPr>
        <w:spacing w:line="360" w:lineRule="auto"/>
        <w:ind w:right="-105" w:rightChars="-50" w:firstLine="420" w:firstLineChars="200"/>
        <w:rPr>
          <w:rFonts w:ascii="宋体" w:hAnsi="宋体" w:cs="宋体"/>
          <w:highlight w:val="none"/>
        </w:rPr>
      </w:pPr>
      <w:r>
        <w:rPr>
          <w:rFonts w:hint="eastAsia" w:ascii="宋体" w:hAnsi="宋体" w:cs="宋体"/>
          <w:highlight w:val="none"/>
        </w:rPr>
        <w:t>发包人：（盖章）                       承包人：（盖章）</w:t>
      </w:r>
    </w:p>
    <w:p w14:paraId="477B0BBF">
      <w:pPr>
        <w:spacing w:line="360" w:lineRule="auto"/>
        <w:ind w:right="-105" w:rightChars="-50" w:firstLine="420" w:firstLineChars="200"/>
        <w:rPr>
          <w:rFonts w:ascii="宋体" w:hAnsi="宋体" w:cs="宋体"/>
          <w:highlight w:val="none"/>
        </w:rPr>
      </w:pPr>
    </w:p>
    <w:p w14:paraId="0C4FC4C9">
      <w:pPr>
        <w:spacing w:line="360" w:lineRule="auto"/>
        <w:ind w:right="-105" w:rightChars="-50" w:firstLine="420" w:firstLineChars="200"/>
        <w:rPr>
          <w:rFonts w:ascii="宋体" w:hAnsi="宋体" w:cs="宋体"/>
          <w:highlight w:val="none"/>
        </w:rPr>
      </w:pPr>
      <w:r>
        <w:rPr>
          <w:rFonts w:hint="eastAsia" w:ascii="宋体" w:hAnsi="宋体" w:cs="宋体"/>
          <w:highlight w:val="none"/>
        </w:rPr>
        <w:t>法定代表人                             法定代表人</w:t>
      </w:r>
    </w:p>
    <w:p w14:paraId="475DA8F6">
      <w:pPr>
        <w:spacing w:line="360" w:lineRule="auto"/>
        <w:ind w:right="-105" w:rightChars="-50" w:firstLine="420" w:firstLineChars="200"/>
        <w:rPr>
          <w:rFonts w:ascii="宋体" w:hAnsi="宋体" w:cs="宋体"/>
          <w:highlight w:val="none"/>
        </w:rPr>
      </w:pPr>
      <w:r>
        <w:rPr>
          <w:rFonts w:hint="eastAsia" w:ascii="宋体" w:hAnsi="宋体" w:cs="宋体"/>
          <w:highlight w:val="none"/>
        </w:rPr>
        <w:t>或其授权代理人：                       或其授权代理人：</w:t>
      </w:r>
    </w:p>
    <w:p w14:paraId="23437B0B">
      <w:pPr>
        <w:ind w:right="-733" w:rightChars="-349" w:firstLine="420" w:firstLineChars="200"/>
        <w:rPr>
          <w:highlight w:val="none"/>
        </w:rPr>
      </w:pPr>
    </w:p>
    <w:p w14:paraId="11CCB7F5">
      <w:pPr>
        <w:ind w:right="-733" w:rightChars="-349" w:firstLine="420" w:firstLineChars="200"/>
        <w:rPr>
          <w:rFonts w:ascii="宋体" w:hAnsi="宋体" w:cs="宋体"/>
          <w:highlight w:val="none"/>
        </w:rPr>
      </w:pPr>
    </w:p>
    <w:p w14:paraId="0A471B2E">
      <w:pPr>
        <w:spacing w:before="156" w:beforeLines="50" w:after="156" w:afterLines="50"/>
        <w:ind w:right="-733" w:rightChars="-349"/>
        <w:outlineLvl w:val="0"/>
        <w:rPr>
          <w:rFonts w:hint="eastAsia" w:ascii="宋体" w:hAnsi="宋体" w:cs="宋体"/>
          <w:highlight w:val="none"/>
        </w:rPr>
      </w:pPr>
      <w:r>
        <w:rPr>
          <w:rFonts w:ascii="宋体" w:hAnsi="宋体" w:cs="宋体"/>
          <w:highlight w:val="none"/>
        </w:rPr>
        <w:br w:type="page"/>
      </w:r>
      <w:bookmarkStart w:id="1801" w:name="_Toc69909999"/>
      <w:bookmarkStart w:id="1802" w:name="_Toc69891509"/>
      <w:bookmarkStart w:id="1803" w:name="_Toc5418"/>
      <w:bookmarkStart w:id="1804" w:name="_Toc2575"/>
      <w:bookmarkStart w:id="1805" w:name="_Toc21105"/>
      <w:bookmarkStart w:id="1806" w:name="_Toc20496"/>
      <w:bookmarkStart w:id="1807" w:name="_Toc14186"/>
      <w:r>
        <w:rPr>
          <w:rFonts w:hint="eastAsia" w:ascii="宋体" w:hAnsi="宋体" w:eastAsia="宋体" w:cs="宋体"/>
          <w:highlight w:val="none"/>
        </w:rPr>
        <w:t>附件</w:t>
      </w:r>
      <w:r>
        <w:rPr>
          <w:rFonts w:hint="eastAsia" w:ascii="宋体" w:hAnsi="宋体" w:eastAsia="宋体" w:cs="宋体"/>
          <w:highlight w:val="none"/>
          <w:lang w:val="en-US" w:eastAsia="zh-CN"/>
        </w:rPr>
        <w:t>10</w:t>
      </w:r>
      <w:r>
        <w:rPr>
          <w:rFonts w:hint="eastAsia" w:ascii="宋体" w:hAnsi="宋体" w:eastAsia="宋体" w:cs="宋体"/>
          <w:highlight w:val="none"/>
        </w:rPr>
        <w:t>：</w:t>
      </w:r>
      <w:bookmarkEnd w:id="1782"/>
      <w:bookmarkEnd w:id="1801"/>
      <w:bookmarkEnd w:id="1802"/>
      <w:bookmarkEnd w:id="1803"/>
      <w:bookmarkEnd w:id="1804"/>
      <w:bookmarkEnd w:id="1805"/>
      <w:bookmarkEnd w:id="1806"/>
      <w:bookmarkEnd w:id="1807"/>
      <w:bookmarkStart w:id="1808" w:name="_Toc24193"/>
      <w:r>
        <w:rPr>
          <w:rFonts w:hint="eastAsia" w:ascii="宋体" w:hAnsi="宋体" w:eastAsia="宋体" w:cs="宋体"/>
          <w:highlight w:val="none"/>
        </w:rPr>
        <w:t>工程管理要求及技术说明</w:t>
      </w:r>
      <w:bookmarkEnd w:id="1808"/>
    </w:p>
    <w:p w14:paraId="74E5CA6F">
      <w:pPr>
        <w:spacing w:line="590" w:lineRule="exact"/>
        <w:jc w:val="center"/>
        <w:rPr>
          <w:rFonts w:ascii="方正小标宋_GBK" w:hAnsi="方正小标宋_GBK" w:eastAsia="方正小标宋_GBK" w:cs="方正小标宋_GBK"/>
          <w:sz w:val="28"/>
          <w:szCs w:val="28"/>
          <w:highlight w:val="none"/>
        </w:rPr>
      </w:pPr>
      <w:bookmarkStart w:id="1809" w:name="_Toc15018"/>
    </w:p>
    <w:p w14:paraId="775F8E94">
      <w:pPr>
        <w:numPr>
          <w:ilvl w:val="0"/>
          <w:numId w:val="9"/>
        </w:numPr>
        <w:spacing w:line="520" w:lineRule="exact"/>
        <w:ind w:firstLine="560" w:firstLineChars="200"/>
        <w:rPr>
          <w:rFonts w:ascii="方正黑体_GBK" w:hAnsi="方正黑体_GBK" w:eastAsia="方正黑体_GBK" w:cs="方正黑体_GBK"/>
          <w:sz w:val="28"/>
          <w:szCs w:val="28"/>
          <w:highlight w:val="none"/>
        </w:rPr>
      </w:pPr>
      <w:r>
        <w:rPr>
          <w:rFonts w:hint="eastAsia" w:ascii="方正黑体_GBK" w:hAnsi="方正黑体_GBK" w:eastAsia="方正黑体_GBK" w:cs="方正黑体_GBK"/>
          <w:sz w:val="28"/>
          <w:szCs w:val="28"/>
          <w:highlight w:val="none"/>
        </w:rPr>
        <w:t>人员配备</w:t>
      </w:r>
    </w:p>
    <w:tbl>
      <w:tblPr>
        <w:tblStyle w:val="22"/>
        <w:tblW w:w="960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788"/>
        <w:gridCol w:w="5318"/>
        <w:gridCol w:w="851"/>
        <w:gridCol w:w="974"/>
      </w:tblGrid>
      <w:tr w14:paraId="43F745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06" w:type="dxa"/>
            <w:gridSpan w:val="5"/>
            <w:noWrap w:val="0"/>
            <w:vAlign w:val="center"/>
          </w:tcPr>
          <w:p w14:paraId="4F11E8FE">
            <w:pPr>
              <w:snapToGrid w:val="0"/>
              <w:spacing w:line="400" w:lineRule="exact"/>
              <w:ind w:firstLine="420" w:firstLineChars="200"/>
              <w:jc w:val="center"/>
              <w:rPr>
                <w:rFonts w:ascii="宋体" w:hAnsi="宋体" w:cs="宋体"/>
                <w:highlight w:val="none"/>
              </w:rPr>
            </w:pPr>
            <w:r>
              <w:rPr>
                <w:rFonts w:hint="eastAsia" w:ascii="宋体" w:hAnsi="宋体" w:cs="宋体"/>
                <w:highlight w:val="none"/>
              </w:rPr>
              <w:t>拟投入各标段项目人员最低要求</w:t>
            </w:r>
          </w:p>
        </w:tc>
      </w:tr>
      <w:tr w14:paraId="1596D1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75" w:type="dxa"/>
            <w:noWrap w:val="0"/>
            <w:vAlign w:val="center"/>
          </w:tcPr>
          <w:p w14:paraId="36FFA9C7">
            <w:pPr>
              <w:spacing w:line="400" w:lineRule="exact"/>
              <w:jc w:val="center"/>
              <w:rPr>
                <w:rFonts w:ascii="宋体" w:hAnsi="宋体" w:cs="宋体"/>
                <w:highlight w:val="none"/>
              </w:rPr>
            </w:pPr>
            <w:r>
              <w:rPr>
                <w:rFonts w:hint="eastAsia" w:ascii="宋体" w:hAnsi="宋体" w:cs="宋体"/>
                <w:highlight w:val="none"/>
              </w:rPr>
              <w:t>序号</w:t>
            </w:r>
          </w:p>
        </w:tc>
        <w:tc>
          <w:tcPr>
            <w:tcW w:w="1788" w:type="dxa"/>
            <w:noWrap w:val="0"/>
            <w:vAlign w:val="center"/>
          </w:tcPr>
          <w:p w14:paraId="16476925">
            <w:pPr>
              <w:spacing w:line="400" w:lineRule="exact"/>
              <w:jc w:val="center"/>
              <w:rPr>
                <w:rFonts w:ascii="宋体" w:hAnsi="宋体" w:cs="宋体"/>
                <w:highlight w:val="none"/>
              </w:rPr>
            </w:pPr>
            <w:r>
              <w:rPr>
                <w:rFonts w:hint="eastAsia" w:ascii="宋体" w:hAnsi="宋体" w:cs="宋体"/>
                <w:highlight w:val="none"/>
              </w:rPr>
              <w:t>人员</w:t>
            </w:r>
          </w:p>
        </w:tc>
        <w:tc>
          <w:tcPr>
            <w:tcW w:w="5318" w:type="dxa"/>
            <w:noWrap w:val="0"/>
            <w:vAlign w:val="center"/>
          </w:tcPr>
          <w:p w14:paraId="15D98103">
            <w:pPr>
              <w:spacing w:line="400" w:lineRule="exact"/>
              <w:jc w:val="center"/>
              <w:rPr>
                <w:rFonts w:ascii="宋体" w:hAnsi="宋体" w:cs="宋体"/>
                <w:highlight w:val="none"/>
              </w:rPr>
            </w:pPr>
            <w:r>
              <w:rPr>
                <w:rFonts w:hint="eastAsia" w:ascii="宋体" w:hAnsi="宋体" w:cs="宋体"/>
                <w:highlight w:val="none"/>
              </w:rPr>
              <w:t>要求</w:t>
            </w:r>
          </w:p>
        </w:tc>
        <w:tc>
          <w:tcPr>
            <w:tcW w:w="851" w:type="dxa"/>
            <w:noWrap w:val="0"/>
            <w:vAlign w:val="center"/>
          </w:tcPr>
          <w:p w14:paraId="34929F6C">
            <w:pPr>
              <w:spacing w:line="400" w:lineRule="exact"/>
              <w:jc w:val="center"/>
              <w:rPr>
                <w:rFonts w:ascii="宋体" w:hAnsi="宋体" w:cs="宋体"/>
                <w:highlight w:val="none"/>
              </w:rPr>
            </w:pPr>
            <w:r>
              <w:rPr>
                <w:rFonts w:hint="eastAsia" w:ascii="宋体" w:hAnsi="宋体" w:cs="宋体"/>
                <w:highlight w:val="none"/>
              </w:rPr>
              <w:t>人数</w:t>
            </w:r>
          </w:p>
        </w:tc>
        <w:tc>
          <w:tcPr>
            <w:tcW w:w="974" w:type="dxa"/>
            <w:noWrap w:val="0"/>
            <w:vAlign w:val="center"/>
          </w:tcPr>
          <w:p w14:paraId="7F12157D">
            <w:pPr>
              <w:spacing w:line="400" w:lineRule="exact"/>
              <w:jc w:val="center"/>
              <w:rPr>
                <w:rFonts w:ascii="宋体" w:hAnsi="宋体" w:cs="宋体"/>
                <w:highlight w:val="none"/>
              </w:rPr>
            </w:pPr>
            <w:r>
              <w:rPr>
                <w:rFonts w:hint="eastAsia" w:ascii="宋体" w:hAnsi="宋体" w:cs="宋体"/>
                <w:highlight w:val="none"/>
              </w:rPr>
              <w:t>备注</w:t>
            </w:r>
          </w:p>
        </w:tc>
      </w:tr>
      <w:tr w14:paraId="5475BD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675" w:type="dxa"/>
            <w:noWrap w:val="0"/>
            <w:vAlign w:val="center"/>
          </w:tcPr>
          <w:p w14:paraId="2367D46F">
            <w:pPr>
              <w:spacing w:line="400" w:lineRule="exact"/>
              <w:jc w:val="center"/>
              <w:rPr>
                <w:rFonts w:ascii="宋体" w:hAnsi="宋体" w:cs="宋体"/>
                <w:highlight w:val="none"/>
              </w:rPr>
            </w:pPr>
            <w:r>
              <w:rPr>
                <w:rFonts w:hint="eastAsia" w:ascii="宋体" w:hAnsi="宋体" w:cs="宋体"/>
                <w:highlight w:val="none"/>
              </w:rPr>
              <w:t>1</w:t>
            </w:r>
          </w:p>
        </w:tc>
        <w:tc>
          <w:tcPr>
            <w:tcW w:w="1788" w:type="dxa"/>
            <w:noWrap w:val="0"/>
            <w:vAlign w:val="center"/>
          </w:tcPr>
          <w:p w14:paraId="28E4585B">
            <w:pPr>
              <w:spacing w:line="400" w:lineRule="exact"/>
              <w:jc w:val="center"/>
              <w:rPr>
                <w:rFonts w:ascii="宋体" w:hAnsi="宋体" w:cs="宋体"/>
                <w:highlight w:val="none"/>
              </w:rPr>
            </w:pPr>
            <w:r>
              <w:rPr>
                <w:rFonts w:hint="eastAsia" w:ascii="宋体" w:hAnsi="宋体" w:cs="宋体"/>
                <w:highlight w:val="none"/>
              </w:rPr>
              <w:t>项目负责人</w:t>
            </w:r>
          </w:p>
        </w:tc>
        <w:tc>
          <w:tcPr>
            <w:tcW w:w="5318" w:type="dxa"/>
            <w:noWrap w:val="0"/>
            <w:vAlign w:val="center"/>
          </w:tcPr>
          <w:p w14:paraId="108DDB75">
            <w:pPr>
              <w:spacing w:line="400" w:lineRule="exact"/>
              <w:rPr>
                <w:rFonts w:ascii="宋体" w:hAnsi="宋体" w:cs="宋体"/>
                <w:highlight w:val="none"/>
              </w:rPr>
            </w:pPr>
            <w:r>
              <w:rPr>
                <w:rFonts w:hint="eastAsia" w:ascii="宋体" w:hAnsi="宋体" w:cs="宋体"/>
                <w:highlight w:val="none"/>
              </w:rPr>
              <w:t>满足招标文件要求</w:t>
            </w:r>
          </w:p>
        </w:tc>
        <w:tc>
          <w:tcPr>
            <w:tcW w:w="851" w:type="dxa"/>
            <w:noWrap w:val="0"/>
            <w:vAlign w:val="center"/>
          </w:tcPr>
          <w:p w14:paraId="5CEE0713">
            <w:pPr>
              <w:spacing w:line="400" w:lineRule="exact"/>
              <w:jc w:val="center"/>
              <w:rPr>
                <w:rFonts w:ascii="宋体" w:hAnsi="宋体" w:cs="宋体"/>
                <w:highlight w:val="none"/>
              </w:rPr>
            </w:pPr>
            <w:r>
              <w:rPr>
                <w:rFonts w:hint="eastAsia" w:ascii="宋体" w:hAnsi="宋体" w:cs="宋体"/>
                <w:highlight w:val="none"/>
              </w:rPr>
              <w:t>1人</w:t>
            </w:r>
          </w:p>
        </w:tc>
        <w:tc>
          <w:tcPr>
            <w:tcW w:w="974" w:type="dxa"/>
            <w:noWrap w:val="0"/>
            <w:vAlign w:val="top"/>
          </w:tcPr>
          <w:p w14:paraId="6EFEC9D5">
            <w:pPr>
              <w:spacing w:line="400" w:lineRule="exact"/>
              <w:rPr>
                <w:rFonts w:ascii="宋体" w:hAnsi="宋体" w:cs="宋体"/>
                <w:highlight w:val="none"/>
              </w:rPr>
            </w:pPr>
          </w:p>
        </w:tc>
      </w:tr>
      <w:tr w14:paraId="0A118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75" w:type="dxa"/>
            <w:noWrap w:val="0"/>
            <w:vAlign w:val="center"/>
          </w:tcPr>
          <w:p w14:paraId="01E6BDF2">
            <w:pPr>
              <w:spacing w:line="400" w:lineRule="exact"/>
              <w:jc w:val="center"/>
              <w:rPr>
                <w:rFonts w:ascii="宋体" w:hAnsi="宋体" w:cs="宋体"/>
                <w:highlight w:val="none"/>
              </w:rPr>
            </w:pPr>
            <w:r>
              <w:rPr>
                <w:rFonts w:hint="eastAsia" w:ascii="宋体" w:hAnsi="宋体" w:cs="宋体"/>
                <w:highlight w:val="none"/>
              </w:rPr>
              <w:t>2</w:t>
            </w:r>
          </w:p>
        </w:tc>
        <w:tc>
          <w:tcPr>
            <w:tcW w:w="1788" w:type="dxa"/>
            <w:noWrap w:val="0"/>
            <w:vAlign w:val="center"/>
          </w:tcPr>
          <w:p w14:paraId="07A66CE9">
            <w:pPr>
              <w:spacing w:line="400" w:lineRule="exact"/>
              <w:jc w:val="center"/>
              <w:rPr>
                <w:rFonts w:ascii="宋体" w:hAnsi="宋体" w:cs="宋体"/>
                <w:highlight w:val="none"/>
              </w:rPr>
            </w:pPr>
            <w:r>
              <w:rPr>
                <w:rFonts w:hint="eastAsia" w:ascii="宋体" w:hAnsi="宋体" w:cs="宋体"/>
                <w:highlight w:val="none"/>
              </w:rPr>
              <w:t>项目技术负责人</w:t>
            </w:r>
          </w:p>
        </w:tc>
        <w:tc>
          <w:tcPr>
            <w:tcW w:w="5318" w:type="dxa"/>
            <w:noWrap w:val="0"/>
            <w:vAlign w:val="center"/>
          </w:tcPr>
          <w:p w14:paraId="3B5AC542">
            <w:pPr>
              <w:spacing w:line="400" w:lineRule="exact"/>
              <w:rPr>
                <w:rFonts w:ascii="宋体" w:hAnsi="宋体" w:cs="宋体"/>
                <w:highlight w:val="none"/>
              </w:rPr>
            </w:pPr>
            <w:r>
              <w:rPr>
                <w:rFonts w:hint="eastAsia" w:ascii="宋体" w:hAnsi="宋体" w:cs="宋体"/>
                <w:highlight w:val="none"/>
              </w:rPr>
              <w:t>1.具有中级工程师（含）以上职称；</w:t>
            </w:r>
          </w:p>
          <w:p w14:paraId="4B1F7996">
            <w:pPr>
              <w:spacing w:line="400" w:lineRule="exact"/>
              <w:rPr>
                <w:rFonts w:ascii="宋体" w:hAnsi="宋体" w:cs="宋体"/>
                <w:highlight w:val="none"/>
              </w:rPr>
            </w:pPr>
            <w:r>
              <w:rPr>
                <w:rFonts w:hint="eastAsia" w:ascii="宋体" w:hAnsi="宋体" w:cs="宋体"/>
                <w:highlight w:val="none"/>
              </w:rPr>
              <w:t>2.5年及以上市政工程工作经验。</w:t>
            </w:r>
          </w:p>
        </w:tc>
        <w:tc>
          <w:tcPr>
            <w:tcW w:w="851" w:type="dxa"/>
            <w:noWrap w:val="0"/>
            <w:vAlign w:val="center"/>
          </w:tcPr>
          <w:p w14:paraId="652DFC4A">
            <w:pPr>
              <w:spacing w:line="400" w:lineRule="exact"/>
              <w:jc w:val="center"/>
              <w:rPr>
                <w:rFonts w:ascii="宋体" w:hAnsi="宋体" w:cs="宋体"/>
                <w:highlight w:val="none"/>
              </w:rPr>
            </w:pPr>
            <w:r>
              <w:rPr>
                <w:rFonts w:hint="eastAsia" w:ascii="宋体" w:hAnsi="宋体" w:cs="宋体"/>
                <w:highlight w:val="none"/>
              </w:rPr>
              <w:t>1人</w:t>
            </w:r>
          </w:p>
        </w:tc>
        <w:tc>
          <w:tcPr>
            <w:tcW w:w="974" w:type="dxa"/>
            <w:noWrap w:val="0"/>
            <w:vAlign w:val="top"/>
          </w:tcPr>
          <w:p w14:paraId="48C5A9E6">
            <w:pPr>
              <w:spacing w:line="400" w:lineRule="exact"/>
              <w:ind w:firstLine="420" w:firstLineChars="200"/>
              <w:rPr>
                <w:rFonts w:ascii="宋体" w:hAnsi="宋体" w:cs="宋体"/>
                <w:highlight w:val="none"/>
              </w:rPr>
            </w:pPr>
          </w:p>
        </w:tc>
      </w:tr>
      <w:tr w14:paraId="01A04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noWrap w:val="0"/>
            <w:vAlign w:val="center"/>
          </w:tcPr>
          <w:p w14:paraId="0FCB9C0F">
            <w:pPr>
              <w:spacing w:line="400" w:lineRule="exact"/>
              <w:jc w:val="center"/>
              <w:rPr>
                <w:rFonts w:ascii="宋体" w:hAnsi="宋体" w:cs="宋体"/>
                <w:highlight w:val="none"/>
              </w:rPr>
            </w:pPr>
            <w:r>
              <w:rPr>
                <w:rFonts w:hint="eastAsia" w:ascii="宋体" w:hAnsi="宋体" w:cs="宋体"/>
                <w:highlight w:val="none"/>
              </w:rPr>
              <w:t>3</w:t>
            </w:r>
          </w:p>
        </w:tc>
        <w:tc>
          <w:tcPr>
            <w:tcW w:w="1788" w:type="dxa"/>
            <w:noWrap w:val="0"/>
            <w:vAlign w:val="center"/>
          </w:tcPr>
          <w:p w14:paraId="5C897F05">
            <w:pPr>
              <w:spacing w:line="400" w:lineRule="exact"/>
              <w:jc w:val="center"/>
              <w:rPr>
                <w:rFonts w:ascii="宋体" w:hAnsi="宋体" w:cs="宋体"/>
                <w:highlight w:val="none"/>
              </w:rPr>
            </w:pPr>
            <w:r>
              <w:rPr>
                <w:rFonts w:hint="eastAsia" w:ascii="宋体" w:hAnsi="宋体" w:cs="宋体"/>
                <w:highlight w:val="none"/>
              </w:rPr>
              <w:t>安全员</w:t>
            </w:r>
          </w:p>
        </w:tc>
        <w:tc>
          <w:tcPr>
            <w:tcW w:w="5318" w:type="dxa"/>
            <w:noWrap w:val="0"/>
            <w:vAlign w:val="center"/>
          </w:tcPr>
          <w:p w14:paraId="2F1428B1">
            <w:pPr>
              <w:spacing w:line="400" w:lineRule="exact"/>
              <w:rPr>
                <w:rFonts w:ascii="宋体" w:hAnsi="宋体" w:cs="宋体"/>
                <w:highlight w:val="none"/>
              </w:rPr>
            </w:pPr>
            <w:r>
              <w:rPr>
                <w:rFonts w:hint="eastAsia" w:ascii="宋体" w:hAnsi="宋体" w:cs="宋体"/>
                <w:highlight w:val="none"/>
              </w:rPr>
              <w:t>1.具有初级(含)以上专业技术职称；</w:t>
            </w:r>
          </w:p>
          <w:p w14:paraId="440F51BC">
            <w:pPr>
              <w:spacing w:line="400" w:lineRule="exact"/>
              <w:rPr>
                <w:rFonts w:ascii="宋体" w:hAnsi="宋体" w:cs="宋体"/>
                <w:highlight w:val="none"/>
              </w:rPr>
            </w:pPr>
            <w:r>
              <w:rPr>
                <w:rFonts w:hint="eastAsia" w:ascii="宋体" w:hAnsi="宋体" w:cs="宋体"/>
                <w:highlight w:val="none"/>
              </w:rPr>
              <w:t>2.持有安全资格C证；</w:t>
            </w:r>
          </w:p>
          <w:p w14:paraId="5C3FF396">
            <w:pPr>
              <w:spacing w:line="400" w:lineRule="exact"/>
              <w:rPr>
                <w:rFonts w:ascii="宋体" w:hAnsi="宋体" w:cs="宋体"/>
                <w:highlight w:val="none"/>
              </w:rPr>
            </w:pPr>
            <w:r>
              <w:rPr>
                <w:rFonts w:hint="eastAsia" w:ascii="宋体" w:hAnsi="宋体" w:cs="宋体"/>
                <w:highlight w:val="none"/>
              </w:rPr>
              <w:t>3.3年及以上市政工程工作经验。</w:t>
            </w:r>
          </w:p>
        </w:tc>
        <w:tc>
          <w:tcPr>
            <w:tcW w:w="851" w:type="dxa"/>
            <w:noWrap w:val="0"/>
            <w:vAlign w:val="center"/>
          </w:tcPr>
          <w:p w14:paraId="37583748">
            <w:pPr>
              <w:spacing w:line="400" w:lineRule="exact"/>
              <w:jc w:val="center"/>
              <w:rPr>
                <w:rFonts w:ascii="宋体" w:hAnsi="宋体" w:cs="宋体"/>
                <w:highlight w:val="none"/>
              </w:rPr>
            </w:pPr>
            <w:r>
              <w:rPr>
                <w:rFonts w:hint="eastAsia" w:ascii="宋体" w:hAnsi="宋体" w:cs="宋体"/>
                <w:highlight w:val="none"/>
              </w:rPr>
              <w:t>1人</w:t>
            </w:r>
          </w:p>
        </w:tc>
        <w:tc>
          <w:tcPr>
            <w:tcW w:w="974" w:type="dxa"/>
            <w:noWrap w:val="0"/>
            <w:vAlign w:val="top"/>
          </w:tcPr>
          <w:p w14:paraId="27E15C62">
            <w:pPr>
              <w:spacing w:line="400" w:lineRule="exact"/>
              <w:jc w:val="center"/>
              <w:rPr>
                <w:rFonts w:ascii="宋体" w:hAnsi="宋体" w:cs="宋体"/>
                <w:highlight w:val="none"/>
              </w:rPr>
            </w:pPr>
            <w:r>
              <w:rPr>
                <w:rFonts w:hint="eastAsia" w:ascii="宋体" w:hAnsi="宋体" w:cs="宋体"/>
                <w:highlight w:val="none"/>
              </w:rPr>
              <w:t>需满足现场实际需求</w:t>
            </w:r>
          </w:p>
        </w:tc>
      </w:tr>
      <w:tr w14:paraId="1D5962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noWrap w:val="0"/>
            <w:vAlign w:val="center"/>
          </w:tcPr>
          <w:p w14:paraId="70914225">
            <w:pPr>
              <w:spacing w:line="400" w:lineRule="exact"/>
              <w:jc w:val="center"/>
              <w:rPr>
                <w:rFonts w:ascii="宋体" w:hAnsi="宋体" w:cs="宋体"/>
                <w:highlight w:val="none"/>
              </w:rPr>
            </w:pPr>
            <w:r>
              <w:rPr>
                <w:rFonts w:hint="eastAsia" w:ascii="宋体" w:hAnsi="宋体" w:cs="宋体"/>
                <w:highlight w:val="none"/>
              </w:rPr>
              <w:t>4</w:t>
            </w:r>
          </w:p>
        </w:tc>
        <w:tc>
          <w:tcPr>
            <w:tcW w:w="1788" w:type="dxa"/>
            <w:noWrap w:val="0"/>
            <w:vAlign w:val="center"/>
          </w:tcPr>
          <w:p w14:paraId="40336651">
            <w:pPr>
              <w:spacing w:line="400" w:lineRule="exact"/>
              <w:jc w:val="center"/>
              <w:rPr>
                <w:rFonts w:ascii="宋体" w:hAnsi="宋体" w:cs="宋体"/>
                <w:highlight w:val="none"/>
              </w:rPr>
            </w:pPr>
            <w:r>
              <w:rPr>
                <w:rFonts w:hint="eastAsia" w:ascii="宋体" w:hAnsi="宋体" w:cs="宋体"/>
                <w:highlight w:val="none"/>
              </w:rPr>
              <w:t>质量员</w:t>
            </w:r>
          </w:p>
        </w:tc>
        <w:tc>
          <w:tcPr>
            <w:tcW w:w="5318" w:type="dxa"/>
            <w:noWrap w:val="0"/>
            <w:vAlign w:val="center"/>
          </w:tcPr>
          <w:p w14:paraId="4573DB1A">
            <w:pPr>
              <w:spacing w:line="400" w:lineRule="exact"/>
              <w:rPr>
                <w:rFonts w:ascii="宋体" w:hAnsi="宋体" w:cs="宋体"/>
                <w:highlight w:val="none"/>
              </w:rPr>
            </w:pPr>
            <w:r>
              <w:rPr>
                <w:rFonts w:hint="eastAsia" w:ascii="宋体" w:hAnsi="宋体" w:cs="宋体"/>
                <w:highlight w:val="none"/>
              </w:rPr>
              <w:t>1.具有初级(含)以上专业技术职称；</w:t>
            </w:r>
          </w:p>
          <w:p w14:paraId="249E4BF8">
            <w:pPr>
              <w:spacing w:line="400" w:lineRule="exact"/>
              <w:rPr>
                <w:rFonts w:ascii="宋体" w:hAnsi="宋体" w:cs="宋体"/>
                <w:highlight w:val="none"/>
              </w:rPr>
            </w:pPr>
            <w:r>
              <w:rPr>
                <w:rFonts w:hint="eastAsia" w:ascii="宋体" w:hAnsi="宋体" w:cs="宋体"/>
                <w:highlight w:val="none"/>
              </w:rPr>
              <w:t>2.3年及以上市政工程工作经验。</w:t>
            </w:r>
          </w:p>
        </w:tc>
        <w:tc>
          <w:tcPr>
            <w:tcW w:w="851" w:type="dxa"/>
            <w:noWrap w:val="0"/>
            <w:vAlign w:val="center"/>
          </w:tcPr>
          <w:p w14:paraId="71A49036">
            <w:pPr>
              <w:spacing w:line="400" w:lineRule="exact"/>
              <w:jc w:val="center"/>
              <w:rPr>
                <w:rFonts w:ascii="宋体" w:hAnsi="宋体" w:cs="宋体"/>
                <w:highlight w:val="none"/>
              </w:rPr>
            </w:pPr>
            <w:r>
              <w:rPr>
                <w:rFonts w:hint="eastAsia" w:ascii="宋体" w:hAnsi="宋体" w:cs="宋体"/>
                <w:highlight w:val="none"/>
              </w:rPr>
              <w:t>1人</w:t>
            </w:r>
          </w:p>
        </w:tc>
        <w:tc>
          <w:tcPr>
            <w:tcW w:w="974" w:type="dxa"/>
            <w:noWrap w:val="0"/>
            <w:vAlign w:val="top"/>
          </w:tcPr>
          <w:p w14:paraId="1BDE4810">
            <w:pPr>
              <w:spacing w:line="400" w:lineRule="exact"/>
              <w:jc w:val="center"/>
              <w:rPr>
                <w:rFonts w:ascii="宋体" w:hAnsi="宋体" w:cs="宋体"/>
                <w:highlight w:val="none"/>
              </w:rPr>
            </w:pPr>
          </w:p>
        </w:tc>
      </w:tr>
      <w:tr w14:paraId="5DDD8B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75" w:type="dxa"/>
            <w:noWrap w:val="0"/>
            <w:vAlign w:val="center"/>
          </w:tcPr>
          <w:p w14:paraId="1AA53B87">
            <w:pPr>
              <w:spacing w:line="400" w:lineRule="exact"/>
              <w:jc w:val="center"/>
              <w:rPr>
                <w:rFonts w:ascii="宋体" w:hAnsi="宋体" w:cs="宋体"/>
                <w:highlight w:val="none"/>
              </w:rPr>
            </w:pPr>
            <w:r>
              <w:rPr>
                <w:rFonts w:hint="eastAsia" w:ascii="宋体" w:hAnsi="宋体" w:cs="宋体"/>
                <w:highlight w:val="none"/>
              </w:rPr>
              <w:t>5</w:t>
            </w:r>
          </w:p>
        </w:tc>
        <w:tc>
          <w:tcPr>
            <w:tcW w:w="1788" w:type="dxa"/>
            <w:noWrap w:val="0"/>
            <w:vAlign w:val="center"/>
          </w:tcPr>
          <w:p w14:paraId="34CFEB5A">
            <w:pPr>
              <w:spacing w:line="400" w:lineRule="exact"/>
              <w:jc w:val="center"/>
              <w:rPr>
                <w:rFonts w:ascii="宋体" w:hAnsi="宋体" w:cs="宋体"/>
                <w:highlight w:val="none"/>
              </w:rPr>
            </w:pPr>
            <w:r>
              <w:rPr>
                <w:rFonts w:hint="eastAsia" w:ascii="宋体" w:hAnsi="宋体" w:cs="宋体"/>
                <w:highlight w:val="none"/>
              </w:rPr>
              <w:t>施工员</w:t>
            </w:r>
          </w:p>
        </w:tc>
        <w:tc>
          <w:tcPr>
            <w:tcW w:w="5318" w:type="dxa"/>
            <w:noWrap w:val="0"/>
            <w:vAlign w:val="center"/>
          </w:tcPr>
          <w:p w14:paraId="78D69E74">
            <w:pPr>
              <w:spacing w:line="400" w:lineRule="exact"/>
              <w:rPr>
                <w:rFonts w:ascii="宋体" w:hAnsi="宋体" w:cs="宋体"/>
                <w:highlight w:val="none"/>
              </w:rPr>
            </w:pPr>
            <w:r>
              <w:rPr>
                <w:rFonts w:hint="eastAsia" w:ascii="宋体" w:hAnsi="宋体" w:cs="宋体"/>
                <w:highlight w:val="none"/>
              </w:rPr>
              <w:t>1.具有初级（含）以上专业技术职称；</w:t>
            </w:r>
          </w:p>
          <w:p w14:paraId="2E0B2AB1">
            <w:pPr>
              <w:spacing w:line="400" w:lineRule="exact"/>
              <w:rPr>
                <w:rFonts w:ascii="宋体" w:hAnsi="宋体" w:cs="宋体"/>
                <w:highlight w:val="none"/>
              </w:rPr>
            </w:pPr>
            <w:r>
              <w:rPr>
                <w:rFonts w:hint="eastAsia" w:ascii="宋体" w:hAnsi="宋体" w:cs="宋体"/>
                <w:highlight w:val="none"/>
              </w:rPr>
              <w:t>2.3年及以上市政工程工作经验。</w:t>
            </w:r>
          </w:p>
        </w:tc>
        <w:tc>
          <w:tcPr>
            <w:tcW w:w="851" w:type="dxa"/>
            <w:noWrap w:val="0"/>
            <w:vAlign w:val="center"/>
          </w:tcPr>
          <w:p w14:paraId="5BEA3B59">
            <w:pPr>
              <w:spacing w:line="400" w:lineRule="exact"/>
              <w:jc w:val="center"/>
              <w:rPr>
                <w:rFonts w:ascii="宋体" w:hAnsi="宋体" w:cs="宋体"/>
                <w:highlight w:val="none"/>
              </w:rPr>
            </w:pPr>
            <w:r>
              <w:rPr>
                <w:rFonts w:hint="eastAsia" w:ascii="宋体" w:hAnsi="宋体" w:cs="宋体"/>
                <w:highlight w:val="none"/>
              </w:rPr>
              <w:t>1人</w:t>
            </w:r>
          </w:p>
        </w:tc>
        <w:tc>
          <w:tcPr>
            <w:tcW w:w="974" w:type="dxa"/>
            <w:noWrap w:val="0"/>
            <w:vAlign w:val="top"/>
          </w:tcPr>
          <w:p w14:paraId="22770635">
            <w:pPr>
              <w:spacing w:line="400" w:lineRule="exact"/>
              <w:ind w:firstLine="420" w:firstLineChars="200"/>
              <w:rPr>
                <w:rFonts w:ascii="宋体" w:hAnsi="宋体" w:cs="宋体"/>
                <w:highlight w:val="none"/>
              </w:rPr>
            </w:pPr>
          </w:p>
        </w:tc>
      </w:tr>
      <w:tr w14:paraId="217181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781" w:type="dxa"/>
            <w:gridSpan w:val="3"/>
            <w:noWrap w:val="0"/>
            <w:vAlign w:val="center"/>
          </w:tcPr>
          <w:p w14:paraId="39D42F88">
            <w:pPr>
              <w:spacing w:line="400" w:lineRule="exact"/>
              <w:jc w:val="center"/>
              <w:rPr>
                <w:rFonts w:ascii="宋体" w:hAnsi="宋体" w:cs="宋体"/>
                <w:highlight w:val="none"/>
              </w:rPr>
            </w:pPr>
            <w:r>
              <w:rPr>
                <w:rFonts w:hint="eastAsia" w:ascii="宋体" w:hAnsi="宋体" w:cs="宋体"/>
                <w:highlight w:val="none"/>
              </w:rPr>
              <w:t>合计</w:t>
            </w:r>
          </w:p>
        </w:tc>
        <w:tc>
          <w:tcPr>
            <w:tcW w:w="851" w:type="dxa"/>
            <w:noWrap w:val="0"/>
            <w:vAlign w:val="center"/>
          </w:tcPr>
          <w:p w14:paraId="7A6E4698">
            <w:pPr>
              <w:spacing w:line="400" w:lineRule="exact"/>
              <w:jc w:val="center"/>
              <w:rPr>
                <w:rFonts w:ascii="宋体" w:hAnsi="宋体" w:cs="宋体"/>
                <w:highlight w:val="none"/>
              </w:rPr>
            </w:pPr>
            <w:r>
              <w:rPr>
                <w:rFonts w:hint="eastAsia" w:ascii="宋体" w:hAnsi="宋体" w:cs="宋体"/>
                <w:highlight w:val="none"/>
              </w:rPr>
              <w:t>5人</w:t>
            </w:r>
          </w:p>
        </w:tc>
        <w:tc>
          <w:tcPr>
            <w:tcW w:w="974" w:type="dxa"/>
            <w:noWrap w:val="0"/>
            <w:vAlign w:val="center"/>
          </w:tcPr>
          <w:p w14:paraId="7BEC9F6A">
            <w:pPr>
              <w:spacing w:line="400" w:lineRule="exact"/>
              <w:jc w:val="center"/>
              <w:rPr>
                <w:rFonts w:ascii="宋体" w:hAnsi="宋体" w:cs="宋体"/>
                <w:highlight w:val="none"/>
              </w:rPr>
            </w:pPr>
          </w:p>
        </w:tc>
      </w:tr>
      <w:tr w14:paraId="17AE4F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9606" w:type="dxa"/>
            <w:gridSpan w:val="5"/>
            <w:noWrap w:val="0"/>
            <w:vAlign w:val="center"/>
          </w:tcPr>
          <w:p w14:paraId="3C4EC820">
            <w:pPr>
              <w:spacing w:line="400" w:lineRule="exact"/>
              <w:rPr>
                <w:rFonts w:ascii="宋体" w:hAnsi="宋体" w:cs="宋体"/>
                <w:b/>
                <w:highlight w:val="none"/>
              </w:rPr>
            </w:pPr>
            <w:r>
              <w:rPr>
                <w:rFonts w:hint="eastAsia" w:ascii="宋体" w:hAnsi="宋体" w:cs="宋体"/>
                <w:b/>
                <w:highlight w:val="none"/>
              </w:rPr>
              <w:t>备注：以上为最低人员配置且投标时均未</w:t>
            </w:r>
            <w:r>
              <w:rPr>
                <w:rFonts w:hint="eastAsia" w:ascii="宋体" w:hAnsi="宋体" w:cs="宋体"/>
                <w:b/>
                <w:highlight w:val="none"/>
                <w:lang w:val="en-US" w:eastAsia="zh-CN"/>
              </w:rPr>
              <w:t>在</w:t>
            </w:r>
            <w:r>
              <w:rPr>
                <w:rFonts w:hint="eastAsia" w:ascii="宋体" w:hAnsi="宋体" w:cs="宋体"/>
                <w:b/>
                <w:highlight w:val="none"/>
              </w:rPr>
              <w:t>其他在建工程的项目任职；具体人员可根据现场实际需要安排进场并且按照发包方要求无条件增补。</w:t>
            </w:r>
          </w:p>
        </w:tc>
      </w:tr>
    </w:tbl>
    <w:p w14:paraId="6CAD0751">
      <w:pPr>
        <w:numPr>
          <w:ilvl w:val="0"/>
          <w:numId w:val="9"/>
        </w:numPr>
        <w:spacing w:line="520" w:lineRule="exact"/>
        <w:ind w:firstLine="560" w:firstLineChars="200"/>
        <w:rPr>
          <w:rFonts w:hint="eastAsia" w:ascii="方正黑体_GBK" w:hAnsi="方正黑体_GBK" w:eastAsia="方正黑体_GBK" w:cs="方正黑体_GBK"/>
          <w:sz w:val="28"/>
          <w:szCs w:val="28"/>
          <w:highlight w:val="none"/>
        </w:rPr>
      </w:pPr>
      <w:r>
        <w:rPr>
          <w:rFonts w:hint="eastAsia" w:ascii="方正黑体_GBK" w:hAnsi="方正黑体_GBK" w:eastAsia="方正黑体_GBK" w:cs="方正黑体_GBK"/>
          <w:sz w:val="28"/>
          <w:szCs w:val="28"/>
          <w:highlight w:val="none"/>
        </w:rPr>
        <w:t>工程质量</w:t>
      </w:r>
    </w:p>
    <w:p w14:paraId="58616214">
      <w:pPr>
        <w:spacing w:line="400" w:lineRule="exact"/>
        <w:ind w:firstLine="420" w:firstLineChars="200"/>
        <w:rPr>
          <w:rFonts w:hint="eastAsia" w:ascii="宋体" w:hAnsi="宋体" w:eastAsia="宋体" w:cs="宋体"/>
          <w:highlight w:val="none"/>
        </w:rPr>
      </w:pPr>
      <w:r>
        <w:rPr>
          <w:rFonts w:hint="eastAsia" w:ascii="宋体" w:hAnsi="宋体" w:eastAsia="宋体" w:cs="宋体"/>
          <w:highlight w:val="none"/>
        </w:rPr>
        <w:t>工程质量符合合格标准；其中苗木成活率符合《园林绿化工程施工及验收规范》（CJJ/T82-2012）的要求，并且长势良好；园林绿化养护质量符合《园林绿化养护标准》（CJJ/T287）</w:t>
      </w:r>
      <w:r>
        <w:rPr>
          <w:rFonts w:hint="eastAsia" w:ascii="宋体" w:hAnsi="宋体" w:eastAsia="宋体" w:cs="宋体"/>
          <w:highlight w:val="none"/>
          <w:lang w:eastAsia="zh-CN"/>
        </w:rPr>
        <w:t>，</w:t>
      </w:r>
      <w:r>
        <w:rPr>
          <w:rFonts w:hint="eastAsia" w:ascii="宋体" w:hAnsi="宋体" w:eastAsia="宋体" w:cs="宋体"/>
          <w:highlight w:val="none"/>
          <w:lang w:val="en-US" w:eastAsia="zh-CN"/>
        </w:rPr>
        <w:t>并按</w:t>
      </w:r>
      <w:r>
        <w:rPr>
          <w:rFonts w:hint="eastAsia" w:ascii="宋体" w:hAnsi="宋体" w:eastAsia="宋体" w:cs="宋体"/>
          <w:highlight w:val="none"/>
        </w:rPr>
        <w:t>南通市城市绿化</w:t>
      </w:r>
      <w:r>
        <w:rPr>
          <w:rFonts w:hint="eastAsia" w:ascii="宋体" w:hAnsi="宋体" w:eastAsia="宋体" w:cs="宋体"/>
          <w:highlight w:val="none"/>
          <w:lang w:val="en-US" w:eastAsia="zh-CN"/>
        </w:rPr>
        <w:t>管理部门颁布的相关办法</w:t>
      </w:r>
      <w:r>
        <w:rPr>
          <w:rFonts w:hint="eastAsia" w:ascii="宋体" w:hAnsi="宋体" w:eastAsia="宋体" w:cs="宋体"/>
          <w:highlight w:val="none"/>
          <w:lang w:val="zh-TW" w:eastAsia="zh-TW"/>
        </w:rPr>
        <w:t>进行考核</w:t>
      </w:r>
      <w:r>
        <w:rPr>
          <w:rFonts w:hint="eastAsia" w:ascii="宋体" w:hAnsi="宋体" w:eastAsia="宋体" w:cs="宋体"/>
          <w:highlight w:val="none"/>
        </w:rPr>
        <w:t>。</w:t>
      </w:r>
      <w:r>
        <w:rPr>
          <w:rFonts w:hint="eastAsia" w:ascii="宋体" w:hAnsi="宋体" w:eastAsia="宋体" w:cs="宋体"/>
          <w:highlight w:val="none"/>
          <w:lang w:val="zh-TW" w:eastAsia="zh-TW"/>
        </w:rPr>
        <w:t>若相关标准、规范在施工周期内发生更新、修订，应优先执行最新现行有效版本。</w:t>
      </w:r>
    </w:p>
    <w:p w14:paraId="4C55F866">
      <w:pPr>
        <w:numPr>
          <w:ilvl w:val="0"/>
          <w:numId w:val="9"/>
        </w:numPr>
        <w:spacing w:line="520" w:lineRule="exact"/>
        <w:ind w:firstLine="560" w:firstLineChars="200"/>
        <w:rPr>
          <w:rFonts w:hint="eastAsia" w:ascii="方正黑体_GBK" w:hAnsi="方正黑体_GBK" w:eastAsia="方正黑体_GBK" w:cs="方正黑体_GBK"/>
          <w:sz w:val="28"/>
          <w:szCs w:val="28"/>
          <w:highlight w:val="none"/>
        </w:rPr>
      </w:pPr>
      <w:r>
        <w:rPr>
          <w:rFonts w:hint="eastAsia" w:ascii="方正黑体_GBK" w:hAnsi="方正黑体_GBK" w:eastAsia="方正黑体_GBK" w:cs="方正黑体_GBK"/>
          <w:sz w:val="28"/>
          <w:szCs w:val="28"/>
          <w:highlight w:val="none"/>
        </w:rPr>
        <w:t>工程工期</w:t>
      </w:r>
    </w:p>
    <w:p w14:paraId="26C06E84">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计划施工总工期：计划202</w:t>
      </w:r>
      <w:r>
        <w:rPr>
          <w:rFonts w:hint="eastAsia" w:ascii="宋体" w:hAnsi="宋体" w:eastAsia="宋体" w:cs="宋体"/>
          <w:highlight w:val="none"/>
          <w:lang w:val="en-US" w:eastAsia="zh-CN"/>
        </w:rPr>
        <w:t>6</w:t>
      </w:r>
      <w:r>
        <w:rPr>
          <w:rFonts w:hint="eastAsia" w:ascii="宋体" w:hAnsi="宋体" w:eastAsia="宋体" w:cs="宋体"/>
          <w:highlight w:val="none"/>
          <w:lang w:val="zh-TW" w:eastAsia="zh-TW"/>
        </w:rPr>
        <w:t>年</w:t>
      </w:r>
      <w:r>
        <w:rPr>
          <w:rFonts w:hint="eastAsia" w:ascii="宋体" w:hAnsi="宋体" w:eastAsia="宋体" w:cs="宋体"/>
          <w:highlight w:val="none"/>
          <w:lang w:val="en-US" w:eastAsia="zh-CN"/>
        </w:rPr>
        <w:t>10</w:t>
      </w:r>
      <w:r>
        <w:rPr>
          <w:rFonts w:hint="eastAsia" w:ascii="宋体" w:hAnsi="宋体" w:eastAsia="宋体" w:cs="宋体"/>
          <w:highlight w:val="none"/>
          <w:lang w:val="zh-TW" w:eastAsia="zh-TW"/>
        </w:rPr>
        <w:t>月至202</w:t>
      </w:r>
      <w:r>
        <w:rPr>
          <w:rFonts w:hint="eastAsia" w:ascii="宋体" w:hAnsi="宋体" w:eastAsia="宋体" w:cs="宋体"/>
          <w:highlight w:val="none"/>
          <w:lang w:val="en-US" w:eastAsia="zh-CN"/>
        </w:rPr>
        <w:t>6</w:t>
      </w:r>
      <w:r>
        <w:rPr>
          <w:rFonts w:hint="eastAsia" w:ascii="宋体" w:hAnsi="宋体" w:eastAsia="宋体" w:cs="宋体"/>
          <w:highlight w:val="none"/>
          <w:lang w:val="zh-TW" w:eastAsia="zh-TW"/>
        </w:rPr>
        <w:t>年</w:t>
      </w:r>
      <w:r>
        <w:rPr>
          <w:rFonts w:hint="eastAsia" w:ascii="宋体" w:hAnsi="宋体" w:eastAsia="宋体" w:cs="宋体"/>
          <w:highlight w:val="none"/>
        </w:rPr>
        <w:t>12</w:t>
      </w:r>
      <w:r>
        <w:rPr>
          <w:rFonts w:hint="eastAsia" w:ascii="宋体" w:hAnsi="宋体" w:eastAsia="宋体" w:cs="宋体"/>
          <w:highlight w:val="none"/>
          <w:lang w:val="zh-TW" w:eastAsia="zh-TW"/>
        </w:rPr>
        <w:t>月，共计</w:t>
      </w:r>
      <w:r>
        <w:rPr>
          <w:rFonts w:hint="eastAsia" w:ascii="宋体" w:hAnsi="宋体" w:eastAsia="宋体" w:cs="宋体"/>
          <w:highlight w:val="none"/>
          <w:lang w:val="en-US" w:eastAsia="zh-CN"/>
        </w:rPr>
        <w:t>3</w:t>
      </w:r>
      <w:r>
        <w:rPr>
          <w:rFonts w:hint="eastAsia" w:ascii="宋体" w:hAnsi="宋体" w:eastAsia="宋体" w:cs="宋体"/>
          <w:highlight w:val="none"/>
          <w:lang w:val="zh-TW" w:eastAsia="zh-TW"/>
        </w:rPr>
        <w:t xml:space="preserve">个月。           </w:t>
      </w:r>
    </w:p>
    <w:p w14:paraId="2083F311">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计划施工阶段性工期：</w:t>
      </w:r>
      <w:r>
        <w:rPr>
          <w:rFonts w:hint="eastAsia" w:ascii="宋体" w:hAnsi="宋体" w:eastAsia="宋体" w:cs="宋体"/>
          <w:highlight w:val="none"/>
        </w:rPr>
        <w:t>由建设单位指令，</w:t>
      </w:r>
      <w:r>
        <w:rPr>
          <w:rFonts w:hint="eastAsia" w:ascii="宋体" w:hAnsi="宋体" w:eastAsia="宋体" w:cs="宋体"/>
          <w:highlight w:val="none"/>
          <w:lang w:val="zh-TW" w:eastAsia="zh-TW"/>
        </w:rPr>
        <w:t>每一工作面自</w:t>
      </w:r>
      <w:r>
        <w:rPr>
          <w:rFonts w:hint="eastAsia" w:ascii="宋体" w:hAnsi="宋体" w:eastAsia="宋体" w:cs="宋体"/>
          <w:highlight w:val="none"/>
          <w:lang w:val="en-US" w:eastAsia="zh-CN"/>
        </w:rPr>
        <w:t>绿化迁移等场地准备完成后</w:t>
      </w:r>
      <w:r>
        <w:rPr>
          <w:rFonts w:hint="eastAsia" w:ascii="宋体" w:hAnsi="宋体" w:eastAsia="宋体" w:cs="宋体"/>
          <w:highlight w:val="none"/>
        </w:rPr>
        <w:t>不超过</w:t>
      </w:r>
      <w:r>
        <w:rPr>
          <w:rFonts w:hint="eastAsia" w:ascii="宋体" w:hAnsi="宋体" w:eastAsia="宋体" w:cs="宋体"/>
          <w:highlight w:val="none"/>
          <w:lang w:val="en-US" w:eastAsia="zh-CN"/>
        </w:rPr>
        <w:t>50</w:t>
      </w:r>
      <w:r>
        <w:rPr>
          <w:rFonts w:hint="eastAsia" w:ascii="宋体" w:hAnsi="宋体" w:eastAsia="宋体" w:cs="宋体"/>
          <w:highlight w:val="none"/>
        </w:rPr>
        <w:t>日历天</w:t>
      </w:r>
      <w:r>
        <w:rPr>
          <w:rFonts w:hint="eastAsia" w:ascii="宋体" w:hAnsi="宋体" w:eastAsia="宋体" w:cs="宋体"/>
          <w:highlight w:val="none"/>
          <w:lang w:val="zh-TW" w:eastAsia="zh-TW"/>
        </w:rPr>
        <w:t>完成</w:t>
      </w:r>
      <w:r>
        <w:rPr>
          <w:rFonts w:hint="eastAsia" w:ascii="宋体" w:hAnsi="宋体" w:eastAsia="宋体" w:cs="宋体"/>
          <w:highlight w:val="none"/>
          <w:lang w:val="en-US" w:eastAsia="zh-CN"/>
        </w:rPr>
        <w:t>该工作面所有工程量</w:t>
      </w:r>
      <w:r>
        <w:rPr>
          <w:rFonts w:hint="eastAsia" w:ascii="宋体" w:hAnsi="宋体" w:eastAsia="宋体" w:cs="宋体"/>
          <w:highlight w:val="none"/>
          <w:lang w:val="zh-TW" w:eastAsia="zh-TW"/>
        </w:rPr>
        <w:t>。</w:t>
      </w:r>
    </w:p>
    <w:p w14:paraId="37A2E45C">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本工程</w:t>
      </w:r>
      <w:r>
        <w:rPr>
          <w:rFonts w:hint="eastAsia" w:ascii="宋体" w:hAnsi="宋体" w:eastAsia="宋体" w:cs="宋体"/>
          <w:highlight w:val="none"/>
        </w:rPr>
        <w:t>施工作业面分散</w:t>
      </w:r>
      <w:r>
        <w:rPr>
          <w:rFonts w:hint="eastAsia" w:ascii="宋体" w:hAnsi="宋体" w:eastAsia="宋体" w:cs="宋体"/>
          <w:highlight w:val="none"/>
          <w:lang w:eastAsia="zh-CN"/>
        </w:rPr>
        <w:t>，</w:t>
      </w:r>
      <w:r>
        <w:rPr>
          <w:rFonts w:hint="eastAsia" w:ascii="宋体" w:hAnsi="宋体" w:eastAsia="宋体" w:cs="宋体"/>
          <w:highlight w:val="none"/>
          <w:lang w:val="en-US" w:eastAsia="zh-CN"/>
        </w:rPr>
        <w:t>可能</w:t>
      </w:r>
      <w:r>
        <w:rPr>
          <w:rFonts w:hint="eastAsia" w:ascii="宋体" w:hAnsi="宋体" w:eastAsia="宋体" w:cs="宋体"/>
          <w:highlight w:val="none"/>
          <w:lang w:val="zh-TW" w:eastAsia="zh-TW"/>
        </w:rPr>
        <w:t>存在需根据场地移交时间分阶段进场且阶段性工期紧等</w:t>
      </w:r>
      <w:r>
        <w:rPr>
          <w:rFonts w:hint="eastAsia" w:ascii="宋体" w:hAnsi="宋体" w:eastAsia="宋体" w:cs="宋体"/>
          <w:highlight w:val="none"/>
          <w:lang w:val="en-US" w:eastAsia="zh-CN"/>
        </w:rPr>
        <w:t>情况</w:t>
      </w:r>
      <w:r>
        <w:rPr>
          <w:rFonts w:hint="eastAsia" w:ascii="宋体" w:hAnsi="宋体" w:eastAsia="宋体" w:cs="宋体"/>
          <w:highlight w:val="none"/>
          <w:lang w:val="zh-TW" w:eastAsia="zh-TW"/>
        </w:rPr>
        <w:t>，承包人在报价中综合考虑。</w:t>
      </w:r>
    </w:p>
    <w:p w14:paraId="56786E5B">
      <w:pPr>
        <w:spacing w:line="400" w:lineRule="exact"/>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zh-TW" w:eastAsia="zh-TW"/>
        </w:rPr>
        <w:t>绿化养护期：养护期为自竣工验收合格之日起一年时间，按一级养护标准进行养护，补种的苗木应从补种之日起重新计算养护期</w:t>
      </w:r>
      <w:r>
        <w:rPr>
          <w:rFonts w:hint="eastAsia" w:ascii="宋体" w:hAnsi="宋体" w:eastAsia="宋体" w:cs="宋体"/>
          <w:highlight w:val="none"/>
          <w:lang w:val="zh-TW"/>
        </w:rPr>
        <w:t>，</w:t>
      </w:r>
      <w:r>
        <w:rPr>
          <w:rFonts w:hint="eastAsia" w:ascii="宋体" w:hAnsi="宋体" w:eastAsia="宋体" w:cs="宋体"/>
          <w:highlight w:val="none"/>
          <w:lang w:val="zh-TW" w:eastAsia="zh-TW"/>
        </w:rPr>
        <w:t>直至养护期满并办理建管移交手续</w:t>
      </w:r>
      <w:r>
        <w:rPr>
          <w:rFonts w:hint="eastAsia" w:ascii="宋体" w:hAnsi="宋体" w:eastAsia="宋体" w:cs="宋体"/>
          <w:highlight w:val="none"/>
          <w:lang w:val="zh-TW"/>
        </w:rPr>
        <w:t>，</w:t>
      </w:r>
      <w:r>
        <w:rPr>
          <w:rFonts w:hint="eastAsia" w:ascii="宋体" w:hAnsi="宋体" w:eastAsia="宋体" w:cs="宋体"/>
          <w:highlight w:val="none"/>
          <w:lang w:val="zh-TW" w:eastAsia="zh-TW"/>
        </w:rPr>
        <w:t>建管移交按照</w:t>
      </w:r>
      <w:r>
        <w:rPr>
          <w:rFonts w:hint="eastAsia" w:ascii="宋体" w:hAnsi="宋体" w:eastAsia="宋体" w:cs="宋体"/>
          <w:highlight w:val="none"/>
          <w:lang w:val="en-US" w:eastAsia="zh-CN"/>
        </w:rPr>
        <w:t>南通市区绿化主管部分颁布的相关管理办法执行。</w:t>
      </w:r>
    </w:p>
    <w:p w14:paraId="434303B4">
      <w:pPr>
        <w:spacing w:line="400" w:lineRule="exact"/>
        <w:ind w:firstLine="420" w:firstLineChars="200"/>
        <w:rPr>
          <w:rFonts w:hint="eastAsia" w:ascii="宋体" w:hAnsi="宋体" w:eastAsia="宋体" w:cs="宋体"/>
          <w:highlight w:val="none"/>
          <w:lang w:val="zh-TW" w:eastAsia="zh-TW"/>
        </w:rPr>
      </w:pPr>
      <w:r>
        <w:rPr>
          <w:rFonts w:hint="default" w:ascii="宋体" w:hAnsi="宋体" w:eastAsia="宋体" w:cs="宋体"/>
          <w:highlight w:val="none"/>
          <w:lang w:val="en-US" w:eastAsia="zh-CN"/>
        </w:rPr>
        <w:t>本工程质量保修期按《建设工程质量管理条例》及国家、行业、江苏省、南通市现行相关规定执行；缺陷责任期为24个月，均自工程竣工验收合格之日起计算。缺陷责任期内承包人对工程缺陷无偿修复，缺陷责任期满按规定返还质量保证金；质量保修期内承包人仍应依法承担相应保修义务。</w:t>
      </w:r>
    </w:p>
    <w:p w14:paraId="0B896BAD">
      <w:pPr>
        <w:numPr>
          <w:ilvl w:val="0"/>
          <w:numId w:val="9"/>
        </w:numPr>
        <w:spacing w:line="520" w:lineRule="exact"/>
        <w:ind w:firstLine="560" w:firstLineChars="200"/>
        <w:rPr>
          <w:rFonts w:hint="eastAsia" w:ascii="方正黑体_GBK" w:hAnsi="方正黑体_GBK" w:eastAsia="方正黑体_GBK" w:cs="方正黑体_GBK"/>
          <w:sz w:val="28"/>
          <w:szCs w:val="28"/>
          <w:highlight w:val="none"/>
          <w:lang w:val="zh-TW"/>
        </w:rPr>
      </w:pPr>
      <w:r>
        <w:rPr>
          <w:rFonts w:hint="eastAsia" w:ascii="方正黑体_GBK" w:hAnsi="方正黑体_GBK" w:eastAsia="方正黑体_GBK" w:cs="方正黑体_GBK"/>
          <w:sz w:val="28"/>
          <w:szCs w:val="28"/>
          <w:highlight w:val="none"/>
          <w:lang w:val="zh-TW"/>
        </w:rPr>
        <w:t>管理规定</w:t>
      </w:r>
    </w:p>
    <w:p w14:paraId="6CDAA057">
      <w:pPr>
        <w:spacing w:line="400" w:lineRule="exact"/>
        <w:ind w:firstLine="420" w:firstLineChars="200"/>
        <w:rPr>
          <w:rFonts w:hint="eastAsia" w:ascii="宋体" w:hAnsi="宋体" w:eastAsia="宋体" w:cs="宋体"/>
          <w:highlight w:val="none"/>
          <w:lang w:val="zh-TW" w:eastAsia="zh-CN"/>
        </w:rPr>
      </w:pPr>
      <w:r>
        <w:rPr>
          <w:rFonts w:hint="eastAsia" w:ascii="宋体" w:hAnsi="宋体" w:eastAsia="宋体" w:cs="宋体"/>
          <w:highlight w:val="none"/>
          <w:lang w:val="en-US" w:eastAsia="zh-CN"/>
        </w:rPr>
        <w:t>1、</w:t>
      </w:r>
      <w:r>
        <w:rPr>
          <w:rFonts w:hint="eastAsia" w:ascii="宋体" w:hAnsi="宋体" w:eastAsia="宋体" w:cs="宋体"/>
          <w:highlight w:val="none"/>
          <w:lang w:val="zh-TW" w:eastAsia="zh-CN"/>
        </w:rPr>
        <w:t>标准和规范</w:t>
      </w:r>
    </w:p>
    <w:p w14:paraId="05607D99">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承包人施工全过程应当遵守国家、相关行业、江苏省、南通市现行有效的工程建设法律、法规、强制性条文、技术规范、规程、标准、标准图集、主管部门规范性文件以及本项目图纸、招标文件相关要求。</w:t>
      </w:r>
      <w:r>
        <w:rPr>
          <w:rFonts w:hint="eastAsia" w:ascii="宋体" w:hAnsi="宋体" w:eastAsia="宋体" w:cs="宋体"/>
          <w:highlight w:val="none"/>
          <w:lang w:val="en-US" w:eastAsia="zh-CN"/>
        </w:rPr>
        <w:t>同时，</w:t>
      </w:r>
      <w:r>
        <w:rPr>
          <w:rFonts w:hint="eastAsia" w:ascii="宋体" w:hAnsi="宋体" w:eastAsia="宋体" w:cs="宋体"/>
          <w:highlight w:val="none"/>
          <w:lang w:val="zh-TW" w:eastAsia="zh-TW"/>
        </w:rPr>
        <w:t>承包人</w:t>
      </w:r>
      <w:r>
        <w:rPr>
          <w:rFonts w:hint="eastAsia" w:ascii="宋体" w:hAnsi="宋体" w:eastAsia="宋体" w:cs="宋体"/>
          <w:highlight w:val="none"/>
          <w:lang w:val="en-US" w:eastAsia="zh-CN"/>
        </w:rPr>
        <w:t>须执行发包人发布的相关管理制度。</w:t>
      </w:r>
    </w:p>
    <w:p w14:paraId="42921902">
      <w:pPr>
        <w:spacing w:line="400" w:lineRule="exact"/>
        <w:rPr>
          <w:rFonts w:hint="eastAsia" w:ascii="宋体" w:hAnsi="宋体" w:eastAsia="宋体" w:cs="宋体"/>
          <w:highlight w:val="none"/>
          <w:lang w:val="zh-TW" w:eastAsia="zh-TW"/>
        </w:rPr>
      </w:pPr>
      <w:r>
        <w:rPr>
          <w:rFonts w:hint="eastAsia" w:ascii="宋体" w:hAnsi="宋体" w:eastAsia="宋体" w:cs="宋体"/>
          <w:highlight w:val="none"/>
          <w:lang w:val="zh-TW" w:eastAsia="zh-TW"/>
        </w:rPr>
        <w:t>若相关标准、规范</w:t>
      </w:r>
      <w:r>
        <w:rPr>
          <w:rFonts w:hint="eastAsia" w:ascii="宋体" w:hAnsi="宋体" w:eastAsia="宋体" w:cs="宋体"/>
          <w:highlight w:val="none"/>
          <w:lang w:val="en-US" w:eastAsia="zh-CN"/>
        </w:rPr>
        <w:t>等</w:t>
      </w:r>
      <w:r>
        <w:rPr>
          <w:rFonts w:hint="eastAsia" w:ascii="宋体" w:hAnsi="宋体" w:eastAsia="宋体" w:cs="宋体"/>
          <w:highlight w:val="none"/>
          <w:lang w:val="zh-TW" w:eastAsia="zh-TW"/>
        </w:rPr>
        <w:t>在施工周期内发生更新、修订，应优先执行最新现行有效版本。</w:t>
      </w:r>
    </w:p>
    <w:p w14:paraId="1EDEC2E1">
      <w:pPr>
        <w:spacing w:line="400" w:lineRule="exact"/>
        <w:ind w:firstLine="420" w:firstLineChars="200"/>
        <w:rPr>
          <w:rFonts w:hint="eastAsia" w:ascii="宋体" w:hAnsi="宋体" w:eastAsia="宋体" w:cs="宋体"/>
          <w:highlight w:val="none"/>
          <w:lang w:val="zh-TW"/>
        </w:rPr>
      </w:pPr>
      <w:r>
        <w:rPr>
          <w:rFonts w:hint="eastAsia" w:ascii="宋体" w:hAnsi="宋体" w:eastAsia="宋体" w:cs="宋体"/>
          <w:highlight w:val="none"/>
          <w:lang w:val="en-US" w:eastAsia="zh-CN"/>
        </w:rPr>
        <w:t>2、</w:t>
      </w:r>
      <w:r>
        <w:rPr>
          <w:rFonts w:hint="eastAsia" w:ascii="宋体" w:hAnsi="宋体" w:eastAsia="宋体" w:cs="宋体"/>
          <w:highlight w:val="none"/>
          <w:lang w:val="zh-TW"/>
        </w:rPr>
        <w:t>地下管线的保护</w:t>
      </w:r>
    </w:p>
    <w:p w14:paraId="43139B48">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由于施工区域地下老管线较多，部分管线如保护不当易发生安全事故，如供电、照明亮化、通信、燃气、自来水、地铁接驳及其他地铁功能性专用管线，承包人须派专人开展管线调查等工作、并采取可靠措施确保管线安全。施工时由承包人通知相关管线产权单位派人到场监护。</w:t>
      </w:r>
    </w:p>
    <w:p w14:paraId="6F8150A3">
      <w:pPr>
        <w:spacing w:line="400" w:lineRule="exact"/>
        <w:rPr>
          <w:rFonts w:hint="eastAsia" w:ascii="宋体" w:hAnsi="宋体" w:eastAsia="宋体" w:cs="宋体"/>
          <w:highlight w:val="none"/>
          <w:lang w:val="zh-TW"/>
        </w:rPr>
      </w:pPr>
      <w:r>
        <w:rPr>
          <w:rFonts w:hint="eastAsia" w:ascii="宋体" w:hAnsi="宋体" w:eastAsia="宋体" w:cs="宋体"/>
          <w:highlight w:val="none"/>
          <w:lang w:val="en-US" w:eastAsia="zh-CN"/>
        </w:rPr>
        <w:t xml:space="preserve">    3、</w:t>
      </w:r>
      <w:r>
        <w:rPr>
          <w:rFonts w:hint="eastAsia" w:ascii="宋体" w:hAnsi="宋体" w:eastAsia="宋体" w:cs="宋体"/>
          <w:highlight w:val="none"/>
          <w:lang w:val="zh-TW"/>
        </w:rPr>
        <w:t>扬尘管控</w:t>
      </w:r>
    </w:p>
    <w:p w14:paraId="6AB0C9D0">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承包人须严格做好施工现场扬尘管控工作，落实各项防尘抑尘措施，遵守国家、江苏省、南通市区现行扬尘污染防治相关法律法规、管理办法、技术标准；施工期间若地方出台新管控政策，按最新规定执行。</w:t>
      </w:r>
      <w:r>
        <w:rPr>
          <w:rFonts w:hint="eastAsia" w:ascii="宋体" w:hAnsi="宋体" w:eastAsia="宋体" w:cs="宋体"/>
          <w:highlight w:val="none"/>
          <w:lang w:val="en-US" w:eastAsia="zh-CN"/>
        </w:rPr>
        <w:t>承包人施工前须</w:t>
      </w:r>
      <w:r>
        <w:rPr>
          <w:rFonts w:hint="eastAsia" w:ascii="宋体" w:hAnsi="宋体" w:eastAsia="宋体" w:cs="宋体"/>
          <w:highlight w:val="none"/>
          <w:lang w:val="zh-TW" w:eastAsia="zh-TW"/>
        </w:rPr>
        <w:t>编制专项施工组织设计，经发包人、监理认可后实施。</w:t>
      </w:r>
    </w:p>
    <w:p w14:paraId="5452120E">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施工期间，承包人必须采取有效的扬尘污染防治措施，如因承包人扬尘控制措施不到位，致使发包人在工程竣工后需向市环保部门缴纳扬尘污染防治费的，则该费用由承包人全额承担，并在结算中扣除。</w:t>
      </w:r>
    </w:p>
    <w:p w14:paraId="5096FE2E">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承包人应根据</w:t>
      </w:r>
      <w:r>
        <w:rPr>
          <w:rFonts w:hint="eastAsia" w:ascii="宋体" w:hAnsi="宋体" w:eastAsia="宋体" w:cs="宋体"/>
          <w:highlight w:val="none"/>
          <w:lang w:val="en-US" w:eastAsia="zh-CN"/>
        </w:rPr>
        <w:t>南通</w:t>
      </w:r>
      <w:r>
        <w:rPr>
          <w:rFonts w:hint="eastAsia" w:ascii="宋体" w:hAnsi="宋体" w:eastAsia="宋体" w:cs="宋体"/>
          <w:highlight w:val="none"/>
          <w:lang w:val="zh-TW" w:eastAsia="zh-TW"/>
        </w:rPr>
        <w:t>市政府办公室《市区扬尘整治“654”专项行动方案》（通政传发〔2020〕39号）、《南通市市区市政和园林工程扬尘治理“654”专项整治行动方案》（通质安监〔2020〕3号）等文件的要求，加强扬尘污染防治工作，严格落实“六个百分百”标准。</w:t>
      </w:r>
    </w:p>
    <w:p w14:paraId="30B15527">
      <w:pPr>
        <w:spacing w:line="400" w:lineRule="exact"/>
        <w:rPr>
          <w:rFonts w:hint="eastAsia" w:ascii="宋体" w:hAnsi="宋体" w:eastAsia="宋体" w:cs="宋体"/>
          <w:highlight w:val="none"/>
          <w:lang w:val="zh-TW"/>
        </w:rPr>
      </w:pPr>
      <w:r>
        <w:rPr>
          <w:rFonts w:hint="eastAsia" w:ascii="宋体" w:hAnsi="宋体" w:eastAsia="宋体" w:cs="宋体"/>
          <w:highlight w:val="none"/>
          <w:lang w:val="en-US" w:eastAsia="zh-CN"/>
        </w:rPr>
        <w:t xml:space="preserve">    4、</w:t>
      </w:r>
      <w:r>
        <w:rPr>
          <w:rFonts w:hint="eastAsia" w:ascii="宋体" w:hAnsi="宋体" w:eastAsia="宋体" w:cs="宋体"/>
          <w:highlight w:val="none"/>
          <w:lang w:val="zh-TW"/>
        </w:rPr>
        <w:t>安全文明施工</w:t>
      </w:r>
    </w:p>
    <w:p w14:paraId="5036D5FF">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en-US" w:eastAsia="zh-CN"/>
        </w:rPr>
        <w:t>承</w:t>
      </w:r>
      <w:r>
        <w:rPr>
          <w:rFonts w:hint="eastAsia" w:ascii="宋体" w:hAnsi="宋体" w:eastAsia="宋体" w:cs="宋体"/>
          <w:highlight w:val="none"/>
          <w:lang w:val="zh-TW" w:eastAsia="zh-TW"/>
        </w:rPr>
        <w:t>包人须全面落实安全生产、文明施工、现场标准化管理措施，严格执行国家、行业、江苏省及南通市区现行有效的安全生产、文明施工相关法律、法规、规范、标准及主管部门管控文件；施工期间如有新规定实施，按最新有效要求执行</w:t>
      </w:r>
      <w:r>
        <w:rPr>
          <w:rFonts w:hint="eastAsia" w:ascii="宋体" w:hAnsi="宋体" w:eastAsia="宋体" w:cs="宋体"/>
          <w:highlight w:val="none"/>
          <w:lang w:val="zh-TW" w:eastAsia="zh-CN"/>
        </w:rPr>
        <w:t>。</w:t>
      </w:r>
    </w:p>
    <w:p w14:paraId="028B2EC2">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承包人应当规范现场施工秩序，实行标准化管理：</w:t>
      </w:r>
    </w:p>
    <w:p w14:paraId="54EC5E32">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4.1 承包人应将施工区域采用夹心彩钢板进行围挡，施工围挡采用夹芯彩钢板与方形立柱组合而成</w:t>
      </w:r>
      <w:r>
        <w:rPr>
          <w:rFonts w:hint="eastAsia" w:ascii="宋体" w:hAnsi="宋体" w:eastAsia="宋体" w:cs="宋体"/>
          <w:highlight w:val="none"/>
          <w:lang w:val="zh-TW"/>
        </w:rPr>
        <w:t>，</w:t>
      </w:r>
      <w:r>
        <w:rPr>
          <w:rFonts w:hint="eastAsia" w:ascii="宋体" w:hAnsi="宋体" w:eastAsia="宋体" w:cs="宋体"/>
          <w:highlight w:val="none"/>
          <w:lang w:val="zh-TW" w:eastAsia="zh-TW"/>
        </w:rPr>
        <w:t>每隔3m设置一根方形立柱，立柱尺寸为80×80×3mm</w:t>
      </w:r>
      <w:r>
        <w:rPr>
          <w:rFonts w:hint="eastAsia" w:ascii="宋体" w:hAnsi="宋体" w:eastAsia="宋体" w:cs="宋体"/>
          <w:highlight w:val="none"/>
          <w:lang w:val="zh-TW"/>
        </w:rPr>
        <w:t>；</w:t>
      </w:r>
      <w:r>
        <w:rPr>
          <w:rFonts w:hint="eastAsia" w:ascii="宋体" w:hAnsi="宋体" w:eastAsia="宋体" w:cs="宋体"/>
          <w:highlight w:val="none"/>
          <w:lang w:val="zh-TW" w:eastAsia="zh-TW"/>
        </w:rPr>
        <w:t>围挡板材采用50mm厚夹芯彩钢板，夹芯彩钢板为外皮0.7mm+内皮0.3mm，泡沫密度8kg/m3。每块彩钢板宽度为1m，三块彩钢板拼成一块围挡，蓝白相间布置或根据要求交叉布设</w:t>
      </w:r>
      <w:r>
        <w:rPr>
          <w:rFonts w:hint="eastAsia" w:ascii="宋体" w:hAnsi="宋体" w:eastAsia="宋体" w:cs="宋体"/>
          <w:highlight w:val="none"/>
          <w:lang w:val="zh-TW"/>
        </w:rPr>
        <w:t>，</w:t>
      </w:r>
      <w:r>
        <w:rPr>
          <w:rFonts w:hint="eastAsia" w:ascii="宋体" w:hAnsi="宋体" w:eastAsia="宋体" w:cs="宋体"/>
          <w:highlight w:val="none"/>
          <w:lang w:val="zh-TW" w:eastAsia="zh-TW"/>
        </w:rPr>
        <w:t>围挡压顶、地槽、边柱与立柱固定牢靠</w:t>
      </w:r>
      <w:r>
        <w:rPr>
          <w:rFonts w:hint="eastAsia" w:ascii="宋体" w:hAnsi="宋体" w:eastAsia="宋体" w:cs="宋体"/>
          <w:highlight w:val="none"/>
          <w:lang w:val="zh-TW" w:eastAsia="zh-CN"/>
        </w:rPr>
        <w:t>。</w:t>
      </w:r>
      <w:r>
        <w:rPr>
          <w:rFonts w:hint="eastAsia" w:ascii="宋体" w:hAnsi="宋体" w:eastAsia="宋体" w:cs="宋体"/>
          <w:highlight w:val="none"/>
          <w:lang w:val="en-US" w:eastAsia="zh-CN"/>
        </w:rPr>
        <w:t>面向车站出入口乘客疏散区域(含无障碍垂梯口)位置的围挡全版面设置公益广告或宣传图片（公益广告或宣传图片单幅面积同单块围挡，具体图样由发包人提供）。其他区域</w:t>
      </w:r>
      <w:r>
        <w:rPr>
          <w:rFonts w:hint="eastAsia" w:ascii="宋体" w:hAnsi="宋体" w:eastAsia="宋体" w:cs="宋体"/>
          <w:highlight w:val="none"/>
          <w:lang w:val="zh-TW" w:eastAsia="zh-TW"/>
        </w:rPr>
        <w:t>围挡外立面加挂绿色草皮装饰毯</w:t>
      </w:r>
      <w:r>
        <w:rPr>
          <w:rFonts w:hint="eastAsia" w:ascii="宋体" w:hAnsi="宋体" w:eastAsia="宋体" w:cs="宋体"/>
          <w:highlight w:val="none"/>
          <w:lang w:val="zh-TW" w:eastAsia="zh-CN"/>
        </w:rPr>
        <w:t>，</w:t>
      </w:r>
      <w:r>
        <w:rPr>
          <w:rFonts w:hint="eastAsia" w:ascii="宋体" w:hAnsi="宋体" w:eastAsia="宋体" w:cs="宋体"/>
          <w:highlight w:val="none"/>
          <w:lang w:val="en-US" w:eastAsia="zh-CN"/>
        </w:rPr>
        <w:t>并</w:t>
      </w:r>
      <w:r>
        <w:rPr>
          <w:rFonts w:hint="eastAsia" w:ascii="宋体" w:hAnsi="宋体" w:eastAsia="宋体" w:cs="宋体"/>
          <w:highlight w:val="none"/>
          <w:lang w:val="zh-TW" w:eastAsia="zh-TW"/>
        </w:rPr>
        <w:t>按不少于围挡面积的30%</w:t>
      </w:r>
      <w:r>
        <w:rPr>
          <w:rFonts w:hint="eastAsia" w:ascii="宋体" w:hAnsi="宋体" w:eastAsia="宋体" w:cs="宋体"/>
          <w:highlight w:val="none"/>
          <w:lang w:val="en-US" w:eastAsia="zh-CN"/>
        </w:rPr>
        <w:t>设置</w:t>
      </w:r>
      <w:r>
        <w:rPr>
          <w:rFonts w:hint="eastAsia" w:ascii="宋体" w:hAnsi="宋体" w:eastAsia="宋体" w:cs="宋体"/>
          <w:highlight w:val="none"/>
          <w:lang w:val="zh-TW" w:eastAsia="zh-TW"/>
        </w:rPr>
        <w:t>公益广告</w:t>
      </w:r>
      <w:r>
        <w:rPr>
          <w:rFonts w:hint="eastAsia" w:ascii="宋体" w:hAnsi="宋体" w:eastAsia="宋体" w:cs="宋体"/>
          <w:highlight w:val="none"/>
          <w:lang w:val="zh-TW" w:eastAsia="zh-CN"/>
        </w:rPr>
        <w:t>。</w:t>
      </w:r>
      <w:r>
        <w:rPr>
          <w:rFonts w:hint="eastAsia" w:ascii="宋体" w:hAnsi="宋体" w:eastAsia="宋体" w:cs="宋体"/>
          <w:highlight w:val="none"/>
          <w:lang w:val="en-US" w:eastAsia="zh-CN"/>
        </w:rPr>
        <w:t>围挡</w:t>
      </w:r>
      <w:r>
        <w:rPr>
          <w:rFonts w:hint="eastAsia" w:ascii="宋体" w:hAnsi="宋体" w:eastAsia="宋体" w:cs="宋体"/>
          <w:highlight w:val="none"/>
          <w:lang w:val="zh-TW"/>
        </w:rPr>
        <w:t>按相关部门要求设置</w:t>
      </w:r>
      <w:r>
        <w:rPr>
          <w:rFonts w:hint="eastAsia" w:ascii="宋体" w:hAnsi="宋体" w:eastAsia="宋体" w:cs="宋体"/>
          <w:highlight w:val="none"/>
        </w:rPr>
        <w:t>喷淋系统</w:t>
      </w:r>
      <w:r>
        <w:rPr>
          <w:rFonts w:hint="eastAsia" w:ascii="宋体" w:hAnsi="宋体" w:eastAsia="宋体" w:cs="宋体"/>
          <w:highlight w:val="none"/>
          <w:lang w:eastAsia="zh-CN"/>
        </w:rPr>
        <w:t>。</w:t>
      </w:r>
      <w:r>
        <w:rPr>
          <w:rFonts w:hint="eastAsia" w:ascii="宋体" w:hAnsi="宋体" w:eastAsia="宋体" w:cs="宋体"/>
          <w:highlight w:val="none"/>
          <w:lang w:val="zh-TW" w:eastAsia="zh-TW"/>
        </w:rPr>
        <w:t>为了保证通行安全，路口必须设置可透视的隔离网，以确保有足够的安全视距</w:t>
      </w:r>
      <w:r>
        <w:rPr>
          <w:rFonts w:hint="eastAsia" w:ascii="宋体" w:hAnsi="宋体" w:eastAsia="宋体" w:cs="宋体"/>
          <w:highlight w:val="none"/>
          <w:lang w:val="zh-TW"/>
        </w:rPr>
        <w:t>；</w:t>
      </w:r>
      <w:r>
        <w:rPr>
          <w:rFonts w:hint="eastAsia" w:ascii="宋体" w:hAnsi="宋体" w:eastAsia="宋体" w:cs="宋体"/>
          <w:highlight w:val="none"/>
        </w:rPr>
        <w:t>围挡高度应符合《市区扬尘污染防控（六个百分百）要求》；</w:t>
      </w:r>
      <w:r>
        <w:rPr>
          <w:rFonts w:hint="eastAsia" w:ascii="宋体" w:hAnsi="宋体" w:eastAsia="宋体" w:cs="宋体"/>
          <w:highlight w:val="none"/>
          <w:lang w:val="zh-TW" w:eastAsia="zh-TW"/>
        </w:rPr>
        <w:t>围挡</w:t>
      </w:r>
      <w:r>
        <w:rPr>
          <w:rFonts w:hint="eastAsia" w:ascii="宋体" w:hAnsi="宋体" w:eastAsia="宋体" w:cs="宋体"/>
          <w:highlight w:val="none"/>
        </w:rPr>
        <w:t>应做好日常</w:t>
      </w:r>
      <w:r>
        <w:rPr>
          <w:rFonts w:hint="eastAsia" w:ascii="宋体" w:hAnsi="宋体" w:eastAsia="宋体" w:cs="宋体"/>
          <w:highlight w:val="none"/>
          <w:lang w:val="zh-TW" w:eastAsia="zh-TW"/>
        </w:rPr>
        <w:t>维护、保洁、照明。</w:t>
      </w:r>
    </w:p>
    <w:p w14:paraId="64EF9027">
      <w:pPr>
        <w:spacing w:line="400" w:lineRule="exact"/>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施工人员、材料、机械的进出场通道必须避让车站乘客进出站及疏散通道，不得占用乘客进出站及疏散通道。</w:t>
      </w:r>
    </w:p>
    <w:p w14:paraId="1639AB4F">
      <w:pPr>
        <w:spacing w:line="400" w:lineRule="exact"/>
        <w:ind w:firstLine="420" w:firstLineChars="200"/>
        <w:rPr>
          <w:rFonts w:hint="default" w:ascii="宋体" w:hAnsi="宋体" w:eastAsia="宋体" w:cs="宋体"/>
          <w:highlight w:val="none"/>
          <w:lang w:val="en-US" w:eastAsia="zh-CN"/>
        </w:rPr>
      </w:pPr>
      <w:r>
        <w:rPr>
          <w:rFonts w:hint="eastAsia" w:ascii="宋体" w:hAnsi="宋体" w:eastAsia="宋体" w:cs="宋体"/>
          <w:highlight w:val="none"/>
          <w:lang w:val="en-US" w:eastAsia="zh-CN"/>
        </w:rPr>
        <w:t>4.2本项目仅施工图所示施工区域经过土地性质核实，施工区域周边土地性质复杂，施工时不得占用施工区域周边的场地。施工单位私自占用施工图所示施工区域外场地的，除承担相关部门的一切处罚责任外，还需承担因此行为造成的发包人其他损失。</w:t>
      </w:r>
    </w:p>
    <w:p w14:paraId="345A60F2">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4.</w:t>
      </w:r>
      <w:r>
        <w:rPr>
          <w:rFonts w:hint="eastAsia" w:ascii="宋体" w:hAnsi="宋体" w:eastAsia="宋体" w:cs="宋体"/>
          <w:highlight w:val="none"/>
          <w:lang w:val="en-US" w:eastAsia="zh-CN"/>
        </w:rPr>
        <w:t>3</w:t>
      </w:r>
      <w:r>
        <w:rPr>
          <w:rFonts w:hint="eastAsia" w:ascii="宋体" w:hAnsi="宋体" w:eastAsia="宋体" w:cs="宋体"/>
          <w:highlight w:val="none"/>
          <w:lang w:val="zh-TW" w:eastAsia="zh-TW"/>
        </w:rPr>
        <w:t xml:space="preserve"> 临时交通标志：为保证工程施工期间的交通安全，须在必要地段设置标准醒目的交通警示标志，承包人须委托专业单位制作安装并及时更换施工过程中损坏的标志。临时交通标志设置的位置、数量必须无条件服从</w:t>
      </w:r>
      <w:r>
        <w:rPr>
          <w:rFonts w:hint="eastAsia" w:ascii="宋体" w:hAnsi="宋体" w:eastAsia="宋体" w:cs="宋体"/>
          <w:highlight w:val="none"/>
          <w:lang w:val="en-US" w:eastAsia="zh-CN"/>
        </w:rPr>
        <w:t>交通管理部门及</w:t>
      </w:r>
      <w:r>
        <w:rPr>
          <w:rFonts w:hint="eastAsia" w:ascii="宋体" w:hAnsi="宋体" w:eastAsia="宋体" w:cs="宋体"/>
          <w:highlight w:val="none"/>
          <w:lang w:val="zh-TW" w:eastAsia="zh-TW"/>
        </w:rPr>
        <w:t>发包人的要求。</w:t>
      </w:r>
    </w:p>
    <w:p w14:paraId="6347ACEA">
      <w:pPr>
        <w:spacing w:line="400" w:lineRule="exact"/>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4.4 本项目现场施工图所示施工区域内仅可设置便于移动、满足消防要求的小型值班及工器具存储设施，不得设置生活、办公设施。</w:t>
      </w:r>
    </w:p>
    <w:p w14:paraId="1B5D7D0E">
      <w:pPr>
        <w:spacing w:line="400" w:lineRule="exact"/>
        <w:ind w:firstLine="420" w:firstLineChars="200"/>
        <w:rPr>
          <w:rFonts w:hint="default" w:ascii="宋体" w:hAnsi="宋体" w:eastAsia="宋体" w:cs="宋体"/>
          <w:highlight w:val="none"/>
          <w:lang w:val="en-US" w:eastAsia="zh-CN"/>
        </w:rPr>
      </w:pPr>
      <w:r>
        <w:rPr>
          <w:rFonts w:hint="eastAsia" w:ascii="宋体" w:hAnsi="宋体" w:eastAsia="宋体" w:cs="宋体"/>
          <w:highlight w:val="none"/>
          <w:lang w:val="en-US" w:eastAsia="zh-CN"/>
        </w:rPr>
        <w:t>本项目发包人不提供场外临时设施搭建场地，以及相关的协调工作。施工单位若有相关需求，需自行解决并承担用地责任。同时，临时设施的设置需满足以下要求：</w:t>
      </w:r>
    </w:p>
    <w:p w14:paraId="31B01670">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本工程所有临时设施的设置，均需达到标化工地的要求。生活区和办公区如采用活动板房搭设的，</w:t>
      </w:r>
      <w:r>
        <w:rPr>
          <w:rFonts w:hint="eastAsia" w:ascii="宋体" w:hAnsi="宋体" w:eastAsia="宋体" w:cs="宋体"/>
          <w:highlight w:val="none"/>
          <w:lang w:val="en-US" w:eastAsia="zh-CN"/>
        </w:rPr>
        <w:t>须按照国家、江苏省、南通市现行消防相关规范要求实施，落实各项防火措施，满足施工现场消防安全管控标准。</w:t>
      </w:r>
      <w:r>
        <w:rPr>
          <w:rFonts w:hint="eastAsia" w:ascii="宋体" w:hAnsi="宋体" w:eastAsia="宋体" w:cs="宋体"/>
          <w:highlight w:val="none"/>
          <w:lang w:val="zh-TW" w:eastAsia="zh-TW"/>
        </w:rPr>
        <w:t>其中板材及顶棚的夹芯材料必须全部采用不燃材料，并送检测机构进行燃烧性能检测，达到不燃级别方可使用。该材料的检测由承包人自行委托，费用自行考虑。生活区人均面积不得低于3平方米/人，底层房间地坪必须硬化，房间必须满足通风和采光需要，配备专门的食堂、冲水式厕所和洗浴间及相应设备，并须指派专人负责卫生，垃圾必须集中处理。以上各项措施必须满足政府有关的卫生防疫要求以及安全文明标化工地中对工人宿舍的要求。</w:t>
      </w:r>
    </w:p>
    <w:p w14:paraId="2A3BA236">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4.</w:t>
      </w:r>
      <w:r>
        <w:rPr>
          <w:rFonts w:hint="eastAsia" w:ascii="宋体" w:hAnsi="宋体" w:eastAsia="宋体" w:cs="宋体"/>
          <w:highlight w:val="none"/>
          <w:lang w:val="en-US" w:eastAsia="zh-CN"/>
        </w:rPr>
        <w:t>5</w:t>
      </w:r>
      <w:r>
        <w:rPr>
          <w:rFonts w:hint="eastAsia" w:ascii="宋体" w:hAnsi="宋体" w:eastAsia="宋体" w:cs="宋体"/>
          <w:highlight w:val="none"/>
          <w:lang w:val="zh-TW" w:eastAsia="zh-TW"/>
        </w:rPr>
        <w:t xml:space="preserve"> 进入施工现场人员必须正确佩戴好安全帽、统一着装。现场应按要求设置各种安全标志牌。现场的机具设备一律应设安全防护罩。</w:t>
      </w:r>
    </w:p>
    <w:p w14:paraId="63CB34BB">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4.</w:t>
      </w:r>
      <w:r>
        <w:rPr>
          <w:rFonts w:hint="eastAsia" w:ascii="宋体" w:hAnsi="宋体" w:eastAsia="宋体" w:cs="宋体"/>
          <w:highlight w:val="none"/>
          <w:lang w:val="en-US" w:eastAsia="zh-CN"/>
        </w:rPr>
        <w:t>6</w:t>
      </w:r>
      <w:r>
        <w:rPr>
          <w:rFonts w:hint="eastAsia" w:ascii="宋体" w:hAnsi="宋体" w:eastAsia="宋体" w:cs="宋体"/>
          <w:highlight w:val="none"/>
          <w:lang w:val="zh-TW" w:eastAsia="zh-TW"/>
        </w:rPr>
        <w:t xml:space="preserve"> 做好场容场貌管理工作，</w:t>
      </w:r>
      <w:r>
        <w:rPr>
          <w:rFonts w:hint="eastAsia" w:ascii="宋体" w:hAnsi="宋体" w:eastAsia="宋体" w:cs="宋体"/>
          <w:highlight w:val="none"/>
          <w:lang w:val="en-US" w:eastAsia="zh-CN"/>
        </w:rPr>
        <w:t>物料随用随进，</w:t>
      </w:r>
      <w:r>
        <w:rPr>
          <w:rFonts w:hint="eastAsia" w:ascii="宋体" w:hAnsi="宋体" w:eastAsia="宋体" w:cs="宋体"/>
          <w:highlight w:val="none"/>
          <w:lang w:val="zh-TW" w:eastAsia="zh-TW"/>
        </w:rPr>
        <w:t>建筑材料</w:t>
      </w:r>
      <w:r>
        <w:rPr>
          <w:rFonts w:hint="eastAsia" w:ascii="宋体" w:hAnsi="宋体" w:eastAsia="宋体" w:cs="宋体"/>
          <w:highlight w:val="none"/>
          <w:lang w:val="en-US" w:eastAsia="zh-CN"/>
        </w:rPr>
        <w:t>在施工区域内</w:t>
      </w:r>
      <w:r>
        <w:rPr>
          <w:rFonts w:hint="eastAsia" w:ascii="宋体" w:hAnsi="宋体" w:eastAsia="宋体" w:cs="宋体"/>
          <w:highlight w:val="none"/>
          <w:lang w:val="zh-TW" w:eastAsia="zh-TW"/>
        </w:rPr>
        <w:t>整齐堆放</w:t>
      </w:r>
      <w:r>
        <w:rPr>
          <w:rFonts w:hint="eastAsia" w:ascii="宋体" w:hAnsi="宋体" w:eastAsia="宋体" w:cs="宋体"/>
          <w:highlight w:val="none"/>
          <w:lang w:val="zh-TW" w:eastAsia="zh-CN"/>
        </w:rPr>
        <w:t>。</w:t>
      </w:r>
      <w:r>
        <w:rPr>
          <w:rFonts w:hint="eastAsia" w:ascii="宋体" w:hAnsi="宋体" w:eastAsia="宋体" w:cs="宋体"/>
          <w:highlight w:val="none"/>
          <w:lang w:val="en-US" w:eastAsia="zh-CN"/>
        </w:rPr>
        <w:t>不得占用施工区域外现状道路、铺装场地等堆放物料或停置机械。</w:t>
      </w:r>
      <w:r>
        <w:rPr>
          <w:rFonts w:hint="eastAsia" w:ascii="宋体" w:hAnsi="宋体" w:eastAsia="宋体" w:cs="宋体"/>
          <w:highlight w:val="none"/>
          <w:lang w:val="zh-TW" w:eastAsia="zh-TW"/>
        </w:rPr>
        <w:t>施工区域内做到“工完料尽场地清”</w:t>
      </w:r>
      <w:r>
        <w:rPr>
          <w:rFonts w:hint="eastAsia" w:ascii="宋体" w:hAnsi="宋体" w:eastAsia="宋体" w:cs="宋体"/>
          <w:highlight w:val="none"/>
          <w:lang w:val="en-US" w:eastAsia="zh-CN"/>
        </w:rPr>
        <w:t>，</w:t>
      </w:r>
      <w:r>
        <w:rPr>
          <w:rFonts w:hint="eastAsia" w:ascii="宋体" w:hAnsi="宋体" w:eastAsia="宋体" w:cs="宋体"/>
          <w:highlight w:val="none"/>
          <w:lang w:val="zh-TW" w:eastAsia="zh-TW"/>
        </w:rPr>
        <w:t>作业环境强调落手清，建筑垃圾及时归堆及外运。</w:t>
      </w:r>
    </w:p>
    <w:p w14:paraId="77F86189">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4.</w:t>
      </w:r>
      <w:r>
        <w:rPr>
          <w:rFonts w:hint="eastAsia" w:ascii="宋体" w:hAnsi="宋体" w:eastAsia="宋体" w:cs="宋体"/>
          <w:highlight w:val="none"/>
          <w:lang w:val="en-US" w:eastAsia="zh-CN"/>
        </w:rPr>
        <w:t>7</w:t>
      </w:r>
      <w:r>
        <w:rPr>
          <w:rFonts w:hint="eastAsia" w:ascii="宋体" w:hAnsi="宋体" w:eastAsia="宋体" w:cs="宋体"/>
          <w:highlight w:val="none"/>
          <w:lang w:val="zh-TW" w:eastAsia="zh-TW"/>
        </w:rPr>
        <w:t xml:space="preserve"> 施工过程中，须采取必要且可靠的成品保护施工措施，对自身成品、周边绿化及其他成品进行保护。</w:t>
      </w:r>
    </w:p>
    <w:p w14:paraId="0F7C8FA4">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4.</w:t>
      </w:r>
      <w:r>
        <w:rPr>
          <w:rFonts w:hint="eastAsia" w:ascii="宋体" w:hAnsi="宋体" w:eastAsia="宋体" w:cs="宋体"/>
          <w:highlight w:val="none"/>
          <w:lang w:val="en-US" w:eastAsia="zh-CN"/>
        </w:rPr>
        <w:t>8</w:t>
      </w:r>
      <w:r>
        <w:rPr>
          <w:rFonts w:hint="eastAsia" w:ascii="宋体" w:hAnsi="宋体" w:eastAsia="宋体" w:cs="宋体"/>
          <w:highlight w:val="none"/>
          <w:lang w:val="zh-TW" w:eastAsia="zh-TW"/>
        </w:rPr>
        <w:t xml:space="preserve"> 外部道路保洁：承包人须负责材料运输通道及相关道路的保洁工作。不得在沥青路面上拌和砂浆、混凝土，工地的运输车辆不得发生抛洒滴漏等现象。</w:t>
      </w:r>
    </w:p>
    <w:p w14:paraId="5C35A572">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4.</w:t>
      </w:r>
      <w:r>
        <w:rPr>
          <w:rFonts w:hint="eastAsia" w:ascii="宋体" w:hAnsi="宋体" w:eastAsia="宋体" w:cs="宋体"/>
          <w:highlight w:val="none"/>
          <w:lang w:val="en-US" w:eastAsia="zh-CN"/>
        </w:rPr>
        <w:t>9</w:t>
      </w:r>
      <w:r>
        <w:rPr>
          <w:rFonts w:hint="eastAsia" w:ascii="宋体" w:hAnsi="宋体" w:eastAsia="宋体" w:cs="宋体"/>
          <w:highlight w:val="none"/>
          <w:lang w:val="zh-TW" w:eastAsia="zh-TW"/>
        </w:rPr>
        <w:t xml:space="preserve"> 运输车辆：为确保已建道路成品的完好，在本工程施工期间，承包商使用的土方及建材运输车辆的载重吨位须满足交通管理部门的规定并遵照有关规定办理交通运输许可证。严禁使用“黄标车”及无牌无证社会车辆。</w:t>
      </w:r>
    </w:p>
    <w:p w14:paraId="03123F57">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4.</w:t>
      </w:r>
      <w:r>
        <w:rPr>
          <w:rFonts w:hint="eastAsia" w:ascii="宋体" w:hAnsi="宋体" w:eastAsia="宋体" w:cs="宋体"/>
          <w:highlight w:val="none"/>
          <w:lang w:val="en-US" w:eastAsia="zh-CN"/>
        </w:rPr>
        <w:t>10</w:t>
      </w:r>
      <w:r>
        <w:rPr>
          <w:rFonts w:hint="eastAsia" w:ascii="宋体" w:hAnsi="宋体" w:eastAsia="宋体" w:cs="宋体"/>
          <w:highlight w:val="none"/>
          <w:lang w:val="zh-TW" w:eastAsia="zh-TW"/>
        </w:rPr>
        <w:t xml:space="preserve"> 施工机械设备（如挖掘机、吊机、叉车、铲车等）进场及施工过程中必须对已建道路</w:t>
      </w:r>
      <w:r>
        <w:rPr>
          <w:rFonts w:hint="eastAsia" w:ascii="宋体" w:hAnsi="宋体" w:eastAsia="宋体" w:cs="宋体"/>
          <w:highlight w:val="none"/>
          <w:lang w:val="zh-TW" w:eastAsia="zh-CN"/>
        </w:rPr>
        <w:t>、</w:t>
      </w:r>
      <w:r>
        <w:rPr>
          <w:rFonts w:hint="eastAsia" w:ascii="宋体" w:hAnsi="宋体" w:eastAsia="宋体" w:cs="宋体"/>
          <w:highlight w:val="none"/>
          <w:lang w:val="en-US" w:eastAsia="zh-CN"/>
        </w:rPr>
        <w:t>绿化等</w:t>
      </w:r>
      <w:r>
        <w:rPr>
          <w:rFonts w:hint="eastAsia" w:ascii="宋体" w:hAnsi="宋体" w:eastAsia="宋体" w:cs="宋体"/>
          <w:highlight w:val="none"/>
          <w:lang w:val="zh-TW" w:eastAsia="zh-TW"/>
        </w:rPr>
        <w:t>成品进行保护，如发生损坏，应立即按不低于原标准进行恢复。</w:t>
      </w:r>
    </w:p>
    <w:p w14:paraId="38E62686">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4.1</w:t>
      </w:r>
      <w:r>
        <w:rPr>
          <w:rFonts w:hint="eastAsia" w:ascii="宋体" w:hAnsi="宋体" w:eastAsia="宋体" w:cs="宋体"/>
          <w:highlight w:val="none"/>
          <w:lang w:val="en-US" w:eastAsia="zh-CN"/>
        </w:rPr>
        <w:t>1</w:t>
      </w:r>
      <w:r>
        <w:rPr>
          <w:rFonts w:hint="eastAsia" w:ascii="宋体" w:hAnsi="宋体" w:eastAsia="宋体" w:cs="宋体"/>
          <w:highlight w:val="none"/>
          <w:lang w:val="zh-TW" w:eastAsia="zh-TW"/>
        </w:rPr>
        <w:t xml:space="preserve"> 投标人须严格执行《保障农民工工资支付条例》、江苏省及南通市工程建设领域农民工工资管理相关规定，落实用工实名制、农民工工资专用账户、工资保证金、总包代发等各项保障措施，足额按时发放农民工工资，杜绝欠薪；若发生拖欠农民工工资情形，承包人承担全部责任，发包人有权按合同约定处置工程款、保证金，由此造成的一切损失、信访舆情及法律责任均由承包人承担。</w:t>
      </w:r>
    </w:p>
    <w:p w14:paraId="186B6730">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en-US" w:eastAsia="zh-CN"/>
        </w:rPr>
        <w:t>5、</w:t>
      </w:r>
      <w:r>
        <w:rPr>
          <w:rFonts w:hint="eastAsia" w:ascii="宋体" w:hAnsi="宋体" w:eastAsia="宋体" w:cs="宋体"/>
          <w:highlight w:val="none"/>
          <w:lang w:val="zh-TW" w:eastAsia="zh-TW"/>
        </w:rPr>
        <w:t>安全措施及安全责任</w:t>
      </w:r>
    </w:p>
    <w:p w14:paraId="0F7D1E2A">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在工程施工、竣工及保修的过程中，承包人应按照国家制定的相关法律法规、南通轨道交通安全生产、文明施工相关管理要求，维护发包人在南通市民中的形象，严格按安全标准组织施工，并随时接受行业安全检查人员依法实施的监督检查，采取必要的安全措施，消除事故隐患。发包人对承包人安全生产、文明施工管理的具体要求：</w:t>
      </w:r>
    </w:p>
    <w:p w14:paraId="6A272D09">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5.1 承包人应按照南通轨道交通工程建设安全生产、文明施工相关管理办法的相关规定，接受发包人组织的安全、文明日常巡查和阶段性检查，对自身工作中的失职行为接受</w:t>
      </w:r>
      <w:r>
        <w:rPr>
          <w:rFonts w:hint="eastAsia" w:ascii="宋体" w:hAnsi="宋体" w:eastAsia="宋体" w:cs="宋体"/>
          <w:highlight w:val="none"/>
          <w:lang w:val="en-US" w:eastAsia="zh-CN"/>
        </w:rPr>
        <w:t>违约考核</w:t>
      </w:r>
      <w:r>
        <w:rPr>
          <w:rFonts w:hint="eastAsia" w:ascii="宋体" w:hAnsi="宋体" w:eastAsia="宋体" w:cs="宋体"/>
          <w:highlight w:val="none"/>
          <w:lang w:val="zh-TW" w:eastAsia="zh-TW"/>
        </w:rPr>
        <w:t>；</w:t>
      </w:r>
    </w:p>
    <w:p w14:paraId="14224161">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5.2 施工期间发生安全事故，将根据《安全生产协议书》的约定和相关法律、法规及发包人的管理办法进行</w:t>
      </w:r>
      <w:r>
        <w:rPr>
          <w:rFonts w:hint="eastAsia" w:ascii="宋体" w:hAnsi="宋体" w:eastAsia="宋体" w:cs="宋体"/>
          <w:highlight w:val="none"/>
          <w:lang w:val="en-US" w:eastAsia="zh-CN"/>
        </w:rPr>
        <w:t>违约考核</w:t>
      </w:r>
      <w:r>
        <w:rPr>
          <w:rFonts w:hint="eastAsia" w:ascii="宋体" w:hAnsi="宋体" w:eastAsia="宋体" w:cs="宋体"/>
          <w:highlight w:val="none"/>
          <w:lang w:val="zh-TW" w:eastAsia="zh-TW"/>
        </w:rPr>
        <w:t>；</w:t>
      </w:r>
    </w:p>
    <w:p w14:paraId="73CFDD2F">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5.3 承包人必须执行发包人关于安全生产、文明施工的指示指令，如承包人拒不执行，发包人有权指定这部分工作由其他人完成，所发生费用</w:t>
      </w:r>
      <w:r>
        <w:rPr>
          <w:rFonts w:hint="eastAsia" w:ascii="宋体" w:hAnsi="宋体" w:eastAsia="宋体" w:cs="宋体"/>
          <w:highlight w:val="none"/>
          <w:lang w:val="en-US" w:eastAsia="zh-CN"/>
        </w:rPr>
        <w:t>由承包人承担</w:t>
      </w:r>
      <w:r>
        <w:rPr>
          <w:rFonts w:hint="eastAsia" w:ascii="宋体" w:hAnsi="宋体" w:eastAsia="宋体" w:cs="宋体"/>
          <w:highlight w:val="none"/>
          <w:lang w:val="zh-TW" w:eastAsia="zh-TW"/>
        </w:rPr>
        <w:t>；</w:t>
      </w:r>
    </w:p>
    <w:p w14:paraId="7F3A50DB">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5.4 由于承包人施工不当或管线保护措施不到位致使管线损坏，因此造成的一切损失和经济处罚由承包人承担；</w:t>
      </w:r>
    </w:p>
    <w:p w14:paraId="0461C8B7">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5.5 施工现场进出口必须设置冲洗台和沉淀池，排水经三级沉淀达标后再排至市政管网；</w:t>
      </w:r>
    </w:p>
    <w:p w14:paraId="3332A7EC">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5.6 现场</w:t>
      </w:r>
      <w:r>
        <w:rPr>
          <w:rFonts w:hint="eastAsia" w:ascii="宋体" w:hAnsi="宋体" w:eastAsia="宋体" w:cs="宋体"/>
          <w:highlight w:val="none"/>
          <w:lang w:val="en-US" w:eastAsia="zh-CN"/>
        </w:rPr>
        <w:t>须封闭施工，并</w:t>
      </w:r>
      <w:r>
        <w:rPr>
          <w:rFonts w:hint="eastAsia" w:ascii="宋体" w:hAnsi="宋体" w:eastAsia="宋体" w:cs="宋体"/>
          <w:highlight w:val="none"/>
          <w:lang w:val="zh-TW" w:eastAsia="zh-TW"/>
        </w:rPr>
        <w:t>设置24小时值勤门卫；</w:t>
      </w:r>
    </w:p>
    <w:p w14:paraId="0B963028">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5.7 由于承包人安全措施不力造成事故的责任和因此发生的费用，由承包人承担。</w:t>
      </w:r>
    </w:p>
    <w:p w14:paraId="079C6F2F">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lang w:val="zh-TW" w:eastAsia="zh-TW"/>
        </w:rPr>
        <w:t>5.</w:t>
      </w:r>
      <w:r>
        <w:rPr>
          <w:rFonts w:hint="eastAsia" w:ascii="宋体" w:hAnsi="宋体" w:eastAsia="宋体" w:cs="宋体"/>
          <w:highlight w:val="none"/>
        </w:rPr>
        <w:t>8</w:t>
      </w:r>
      <w:r>
        <w:rPr>
          <w:rFonts w:hint="eastAsia" w:ascii="宋体" w:hAnsi="宋体" w:eastAsia="宋体" w:cs="宋体"/>
          <w:highlight w:val="none"/>
          <w:lang w:val="zh-TW" w:eastAsia="zh-TW"/>
        </w:rPr>
        <w:t xml:space="preserve"> 若监理人认为承包人在现场施工中存在一定的安全隐患，有可能威胁到现场人员的生命安全和发包人的利益，有权要求承包人采取必要的措施和增加必需的设施以杜绝安全隐患。产生安全隐患的原因若是由承包人引起，采取措施和增加设备的费用应由承包人承担。</w:t>
      </w:r>
    </w:p>
    <w:p w14:paraId="58BEA16C">
      <w:pPr>
        <w:spacing w:line="400" w:lineRule="exact"/>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6、</w:t>
      </w:r>
      <w:r>
        <w:rPr>
          <w:rFonts w:hint="eastAsia" w:ascii="宋体" w:hAnsi="宋体" w:eastAsia="宋体" w:cs="宋体"/>
          <w:highlight w:val="none"/>
          <w:lang w:val="zh-TW"/>
        </w:rPr>
        <w:t>其他</w:t>
      </w:r>
      <w:r>
        <w:rPr>
          <w:rFonts w:hint="eastAsia" w:ascii="宋体" w:hAnsi="宋体" w:eastAsia="宋体" w:cs="宋体"/>
          <w:highlight w:val="none"/>
        </w:rPr>
        <w:t>规定</w:t>
      </w:r>
    </w:p>
    <w:p w14:paraId="18615658">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.1承包人应服从建设单位的施工组织安排，在接到建设单位、监理单位的阶段进场开工指令后，不得以不具备施工条件、施工工作面狭小、施工作业内容少等为理由拒绝进场。因</w:t>
      </w:r>
      <w:r>
        <w:rPr>
          <w:rFonts w:hint="eastAsia" w:ascii="宋体" w:hAnsi="宋体" w:eastAsia="宋体" w:cs="宋体"/>
          <w:highlight w:val="none"/>
        </w:rPr>
        <w:t>现场施工作业面条件限制</w:t>
      </w:r>
      <w:r>
        <w:rPr>
          <w:rFonts w:hint="eastAsia" w:ascii="宋体" w:hAnsi="宋体" w:eastAsia="宋体" w:cs="宋体"/>
          <w:highlight w:val="none"/>
          <w:lang w:val="zh-TW" w:eastAsia="zh-TW"/>
        </w:rPr>
        <w:t>，</w:t>
      </w:r>
      <w:r>
        <w:rPr>
          <w:rFonts w:hint="eastAsia" w:ascii="宋体" w:hAnsi="宋体" w:eastAsia="宋体" w:cs="宋体"/>
          <w:highlight w:val="none"/>
        </w:rPr>
        <w:t>造成的施工措施费用的增加，由承包人在投标报价中自行考虑，</w:t>
      </w:r>
      <w:r>
        <w:rPr>
          <w:rFonts w:hint="eastAsia" w:ascii="宋体" w:hAnsi="宋体" w:eastAsia="宋体" w:cs="宋体"/>
          <w:highlight w:val="none"/>
          <w:lang w:val="zh-TW" w:eastAsia="zh-TW"/>
        </w:rPr>
        <w:t>结算时不作调整。</w:t>
      </w:r>
    </w:p>
    <w:p w14:paraId="02367F19">
      <w:pPr>
        <w:spacing w:line="400" w:lineRule="exact"/>
        <w:ind w:firstLine="420" w:firstLineChars="200"/>
        <w:rPr>
          <w:rFonts w:hint="eastAsia" w:ascii="宋体" w:hAnsi="宋体" w:eastAsia="宋体" w:cs="宋体"/>
          <w:highlight w:val="none"/>
        </w:rPr>
      </w:pPr>
      <w:r>
        <w:rPr>
          <w:rFonts w:hint="eastAsia" w:ascii="宋体" w:hAnsi="宋体" w:eastAsia="宋体" w:cs="宋体"/>
          <w:highlight w:val="none"/>
        </w:rPr>
        <w:t>6.2承包人应服从建设单位的总体工期和阶段性工期节点安排，并应为满足建设单位的节点指令，采取各项必要有效的组织措施、协调措施和经济措施，由此产生的各项费用由承包人</w:t>
      </w:r>
      <w:r>
        <w:rPr>
          <w:rFonts w:hint="eastAsia" w:ascii="宋体" w:hAnsi="宋体" w:eastAsia="宋体" w:cs="宋体"/>
          <w:highlight w:val="none"/>
          <w:lang w:val="en-US" w:eastAsia="zh-CN"/>
        </w:rPr>
        <w:t>在投标报价中</w:t>
      </w:r>
      <w:r>
        <w:rPr>
          <w:rFonts w:hint="eastAsia" w:ascii="宋体" w:hAnsi="宋体" w:eastAsia="宋体" w:cs="宋体"/>
          <w:highlight w:val="none"/>
        </w:rPr>
        <w:t>自行考虑。</w:t>
      </w:r>
    </w:p>
    <w:p w14:paraId="516AD162">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w:t>
      </w:r>
      <w:r>
        <w:rPr>
          <w:rFonts w:hint="eastAsia" w:ascii="宋体" w:hAnsi="宋体" w:eastAsia="宋体" w:cs="宋体"/>
          <w:highlight w:val="none"/>
        </w:rPr>
        <w:t>3</w:t>
      </w:r>
      <w:r>
        <w:rPr>
          <w:rFonts w:hint="eastAsia" w:ascii="宋体" w:hAnsi="宋体" w:eastAsia="宋体" w:cs="宋体"/>
          <w:highlight w:val="none"/>
          <w:lang w:val="zh-TW" w:eastAsia="zh-TW"/>
        </w:rPr>
        <w:t>承包人自行解决与本工程各相关承包商间的协调、配合、通信关系，</w:t>
      </w:r>
      <w:r>
        <w:rPr>
          <w:rFonts w:hint="eastAsia" w:ascii="宋体" w:hAnsi="宋体" w:eastAsia="宋体" w:cs="宋体"/>
          <w:highlight w:val="none"/>
        </w:rPr>
        <w:t>自行处理好施工过程中的各项交叉施工、工序协调问题；</w:t>
      </w:r>
      <w:r>
        <w:rPr>
          <w:rFonts w:hint="eastAsia" w:ascii="宋体" w:hAnsi="宋体" w:eastAsia="宋体" w:cs="宋体"/>
          <w:highlight w:val="none"/>
          <w:lang w:val="zh-TW" w:eastAsia="zh-TW"/>
        </w:rPr>
        <w:t>承包人应独立、有效地做好该工程周边的有关群众工作，并充分考虑工程实施范围内外的单位、个人和其他可能出现阻挠施工的情况，若发生的机械台班停置费、二次机械进退场费、人员窝工、处理周边群众纠纷等费用和损失，由投标人自行考虑，并列入投标报价，工程竣工结算时不作调整。</w:t>
      </w:r>
    </w:p>
    <w:p w14:paraId="7D50615D">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.4承包人不得拒绝完成建设单位在施工地点范围内变更或要求增加和减少的工程内容。</w:t>
      </w:r>
    </w:p>
    <w:p w14:paraId="1DA22E39">
      <w:pPr>
        <w:spacing w:line="400" w:lineRule="exact"/>
        <w:ind w:firstLine="420" w:firstLineChars="200"/>
        <w:rPr>
          <w:rFonts w:hint="default" w:ascii="宋体" w:hAnsi="宋体" w:eastAsia="宋体" w:cs="宋体"/>
          <w:highlight w:val="none"/>
          <w:lang w:val="en-US" w:eastAsia="zh-CN"/>
        </w:rPr>
      </w:pPr>
      <w:r>
        <w:rPr>
          <w:rFonts w:hint="eastAsia" w:ascii="宋体" w:hAnsi="宋体" w:eastAsia="宋体" w:cs="宋体"/>
          <w:highlight w:val="none"/>
        </w:rPr>
        <w:t>6</w:t>
      </w:r>
      <w:r>
        <w:rPr>
          <w:rFonts w:hint="eastAsia" w:ascii="宋体" w:hAnsi="宋体" w:eastAsia="宋体" w:cs="宋体"/>
          <w:highlight w:val="none"/>
          <w:lang w:val="zh-TW" w:eastAsia="zh-TW"/>
        </w:rPr>
        <w:t>.5</w:t>
      </w:r>
      <w:r>
        <w:rPr>
          <w:rFonts w:hint="eastAsia" w:ascii="宋体" w:hAnsi="宋体" w:eastAsia="宋体" w:cs="宋体"/>
          <w:highlight w:val="none"/>
          <w:lang w:val="en-US" w:eastAsia="zh-CN"/>
        </w:rPr>
        <w:t>照明灯具的</w:t>
      </w:r>
      <w:r>
        <w:rPr>
          <w:rFonts w:hint="eastAsia" w:ascii="宋体" w:hAnsi="宋体" w:eastAsia="宋体" w:cs="宋体"/>
          <w:highlight w:val="none"/>
          <w:lang w:val="zh-TW" w:eastAsia="zh-TW"/>
        </w:rPr>
        <w:t>品牌需选用中档以上品牌，</w:t>
      </w:r>
      <w:r>
        <w:rPr>
          <w:rFonts w:hint="eastAsia" w:ascii="宋体" w:hAnsi="宋体" w:eastAsia="宋体" w:cs="宋体"/>
          <w:highlight w:val="none"/>
          <w:lang w:val="en-US" w:eastAsia="zh-CN"/>
        </w:rPr>
        <w:t>并满足接管单位南通市照明管理处相关标准或名录要求。</w:t>
      </w:r>
      <w:r>
        <w:rPr>
          <w:rFonts w:hint="eastAsia" w:ascii="宋体" w:hAnsi="宋体" w:eastAsia="宋体" w:cs="宋体"/>
          <w:highlight w:val="none"/>
          <w:lang w:val="zh-TW" w:eastAsia="zh-TW"/>
        </w:rPr>
        <w:t>在实际施工中，由中标人提供不少于三种品牌备选，所有材料的选用需待招标人及监理人确认后方可进场，在工程结算时，综合单价不予调整。</w:t>
      </w:r>
      <w:r>
        <w:rPr>
          <w:rFonts w:hint="eastAsia" w:ascii="宋体" w:hAnsi="宋体" w:eastAsia="宋体" w:cs="宋体"/>
          <w:highlight w:val="none"/>
          <w:lang w:val="en-US" w:eastAsia="zh-CN"/>
        </w:rPr>
        <w:t xml:space="preserve">  </w:t>
      </w:r>
    </w:p>
    <w:p w14:paraId="0D8A7D00">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.6</w:t>
      </w:r>
      <w:r>
        <w:rPr>
          <w:rFonts w:hint="eastAsia" w:ascii="宋体" w:hAnsi="宋体" w:eastAsia="宋体" w:cs="宋体"/>
          <w:highlight w:val="none"/>
        </w:rPr>
        <w:t xml:space="preserve"> </w:t>
      </w:r>
      <w:r>
        <w:rPr>
          <w:rFonts w:hint="eastAsia" w:ascii="宋体" w:hAnsi="宋体" w:eastAsia="宋体" w:cs="宋体"/>
          <w:highlight w:val="none"/>
          <w:lang w:val="zh-TW" w:eastAsia="zh-TW"/>
        </w:rPr>
        <w:t>承包人须在阶段施工工作面完工后，及时拆除清理现场所有临时设施、设备以及剩余材料，不得以工程未全面完工及其他理由拒绝，清理标准应得到发包人的认可，否则，如发生相关费用则由发包人指定其他承包人完成，并在工程结算价款中扣除。</w:t>
      </w:r>
    </w:p>
    <w:p w14:paraId="55483470">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.7</w:t>
      </w:r>
      <w:r>
        <w:rPr>
          <w:rFonts w:hint="eastAsia" w:ascii="宋体" w:hAnsi="宋体" w:eastAsia="宋体" w:cs="宋体"/>
          <w:highlight w:val="none"/>
        </w:rPr>
        <w:t xml:space="preserve"> </w:t>
      </w:r>
      <w:r>
        <w:rPr>
          <w:rFonts w:hint="eastAsia" w:ascii="宋体" w:hAnsi="宋体" w:eastAsia="宋体" w:cs="宋体"/>
          <w:highlight w:val="none"/>
          <w:lang w:val="zh-TW" w:eastAsia="zh-TW"/>
        </w:rPr>
        <w:t>施工过程中产生的渣土、建筑垃圾，承包人应在48小时内完成清运，不得因渣土、建筑垃圾清运量少而存放在现场，否则，发包人有权指令其他承包人完成，产生的费用在工程价款中扣除；渣土、建筑垃圾等必须运出崇川区全境以外地点，该地点必须符合相关部门要求，否则，除须接受相关部门的处罚外，发现一次招标人将视情节严重向承包人收取1-10万元/次的违约金，并有权要求其重新清运出。</w:t>
      </w:r>
    </w:p>
    <w:p w14:paraId="52B66E12">
      <w:pPr>
        <w:spacing w:line="400" w:lineRule="exact"/>
        <w:ind w:firstLine="420" w:firstLineChars="200"/>
        <w:rPr>
          <w:rFonts w:hint="eastAsia" w:ascii="宋体" w:hAnsi="宋体" w:eastAsia="宋体" w:cs="宋体"/>
          <w:highlight w:val="none"/>
        </w:rPr>
      </w:pPr>
      <w:r>
        <w:rPr>
          <w:rFonts w:hint="eastAsia" w:ascii="宋体" w:hAnsi="宋体" w:eastAsia="宋体" w:cs="宋体"/>
          <w:highlight w:val="none"/>
        </w:rPr>
        <w:t>6</w:t>
      </w:r>
      <w:r>
        <w:rPr>
          <w:rFonts w:hint="eastAsia" w:ascii="宋体" w:hAnsi="宋体" w:eastAsia="宋体" w:cs="宋体"/>
          <w:highlight w:val="none"/>
          <w:lang w:val="zh-TW" w:eastAsia="zh-TW"/>
        </w:rPr>
        <w:t>.8承包人必须</w:t>
      </w:r>
      <w:r>
        <w:rPr>
          <w:rFonts w:hint="eastAsia" w:ascii="宋体" w:hAnsi="宋体" w:eastAsia="宋体" w:cs="宋体"/>
          <w:highlight w:val="none"/>
        </w:rPr>
        <w:t>做好现有和在建</w:t>
      </w:r>
      <w:r>
        <w:rPr>
          <w:rFonts w:hint="eastAsia" w:ascii="宋体" w:hAnsi="宋体" w:eastAsia="宋体" w:cs="宋体"/>
          <w:highlight w:val="none"/>
          <w:lang w:val="zh-TW" w:eastAsia="zh-TW"/>
        </w:rPr>
        <w:t>道路、</w:t>
      </w:r>
      <w:r>
        <w:rPr>
          <w:rFonts w:hint="eastAsia" w:ascii="宋体" w:hAnsi="宋体" w:eastAsia="宋体" w:cs="宋体"/>
          <w:highlight w:val="none"/>
        </w:rPr>
        <w:t>管线、</w:t>
      </w:r>
      <w:r>
        <w:rPr>
          <w:rFonts w:hint="eastAsia" w:ascii="宋体" w:hAnsi="宋体" w:eastAsia="宋体" w:cs="宋体"/>
          <w:highlight w:val="none"/>
          <w:lang w:val="zh-TW" w:eastAsia="zh-TW"/>
        </w:rPr>
        <w:t>结构物</w:t>
      </w:r>
      <w:r>
        <w:rPr>
          <w:rFonts w:hint="eastAsia" w:ascii="宋体" w:hAnsi="宋体" w:eastAsia="宋体" w:cs="宋体"/>
          <w:highlight w:val="none"/>
          <w:lang w:val="zh-TW"/>
        </w:rPr>
        <w:t>、</w:t>
      </w:r>
      <w:r>
        <w:rPr>
          <w:rFonts w:hint="eastAsia" w:ascii="宋体" w:hAnsi="宋体" w:eastAsia="宋体" w:cs="宋体"/>
          <w:highlight w:val="none"/>
        </w:rPr>
        <w:t>建筑物、设施、设备、材料的半成品、成品保护和保洁工作</w:t>
      </w:r>
      <w:r>
        <w:rPr>
          <w:rFonts w:hint="eastAsia" w:ascii="宋体" w:hAnsi="宋体" w:eastAsia="宋体" w:cs="宋体"/>
          <w:highlight w:val="none"/>
          <w:lang w:val="zh-TW" w:eastAsia="zh-TW"/>
        </w:rPr>
        <w:t>，</w:t>
      </w:r>
      <w:r>
        <w:rPr>
          <w:rFonts w:hint="eastAsia" w:ascii="宋体" w:hAnsi="宋体" w:eastAsia="宋体" w:cs="宋体"/>
          <w:highlight w:val="none"/>
        </w:rPr>
        <w:t>由此造成的施工措施费用增加，由承包人自行考虑，列入投标报价，结算时不作调整；因承包人原因造成</w:t>
      </w:r>
      <w:r>
        <w:rPr>
          <w:rFonts w:hint="eastAsia" w:ascii="宋体" w:hAnsi="宋体" w:eastAsia="宋体" w:cs="宋体"/>
          <w:highlight w:val="none"/>
          <w:lang w:val="zh-TW" w:eastAsia="zh-TW"/>
        </w:rPr>
        <w:t>现有</w:t>
      </w:r>
      <w:r>
        <w:rPr>
          <w:rFonts w:hint="eastAsia" w:ascii="宋体" w:hAnsi="宋体" w:eastAsia="宋体" w:cs="宋体"/>
          <w:highlight w:val="none"/>
        </w:rPr>
        <w:t>和在建</w:t>
      </w:r>
      <w:r>
        <w:rPr>
          <w:rFonts w:hint="eastAsia" w:ascii="宋体" w:hAnsi="宋体" w:eastAsia="宋体" w:cs="宋体"/>
          <w:highlight w:val="none"/>
          <w:lang w:val="zh-TW" w:eastAsia="zh-TW"/>
        </w:rPr>
        <w:t>道路、</w:t>
      </w:r>
      <w:r>
        <w:rPr>
          <w:rFonts w:hint="eastAsia" w:ascii="宋体" w:hAnsi="宋体" w:eastAsia="宋体" w:cs="宋体"/>
          <w:highlight w:val="none"/>
        </w:rPr>
        <w:t>管线、</w:t>
      </w:r>
      <w:r>
        <w:rPr>
          <w:rFonts w:hint="eastAsia" w:ascii="宋体" w:hAnsi="宋体" w:eastAsia="宋体" w:cs="宋体"/>
          <w:highlight w:val="none"/>
          <w:lang w:val="zh-TW" w:eastAsia="zh-TW"/>
        </w:rPr>
        <w:t>结构物</w:t>
      </w:r>
      <w:r>
        <w:rPr>
          <w:rFonts w:hint="eastAsia" w:ascii="宋体" w:hAnsi="宋体" w:eastAsia="宋体" w:cs="宋体"/>
          <w:highlight w:val="none"/>
          <w:lang w:val="zh-TW"/>
        </w:rPr>
        <w:t>、</w:t>
      </w:r>
      <w:r>
        <w:rPr>
          <w:rFonts w:hint="eastAsia" w:ascii="宋体" w:hAnsi="宋体" w:eastAsia="宋体" w:cs="宋体"/>
          <w:highlight w:val="none"/>
        </w:rPr>
        <w:t>建筑物、设施、设备、材料的半成品、成品的</w:t>
      </w:r>
      <w:r>
        <w:rPr>
          <w:rFonts w:hint="eastAsia" w:ascii="宋体" w:hAnsi="宋体" w:eastAsia="宋体" w:cs="宋体"/>
          <w:highlight w:val="none"/>
          <w:lang w:val="zh-TW" w:eastAsia="zh-TW"/>
        </w:rPr>
        <w:t>损坏</w:t>
      </w:r>
      <w:r>
        <w:rPr>
          <w:rFonts w:hint="eastAsia" w:ascii="宋体" w:hAnsi="宋体" w:eastAsia="宋体" w:cs="宋体"/>
          <w:highlight w:val="none"/>
          <w:lang w:val="zh-TW"/>
        </w:rPr>
        <w:t>、</w:t>
      </w:r>
      <w:r>
        <w:rPr>
          <w:rFonts w:hint="eastAsia" w:ascii="宋体" w:hAnsi="宋体" w:eastAsia="宋体" w:cs="宋体"/>
          <w:highlight w:val="none"/>
        </w:rPr>
        <w:t>污染</w:t>
      </w:r>
      <w:r>
        <w:rPr>
          <w:rFonts w:hint="eastAsia" w:ascii="宋体" w:hAnsi="宋体" w:eastAsia="宋体" w:cs="宋体"/>
          <w:highlight w:val="none"/>
          <w:lang w:val="zh-TW" w:eastAsia="zh-TW"/>
        </w:rPr>
        <w:t>，应按照不低于原设计标准</w:t>
      </w:r>
      <w:r>
        <w:rPr>
          <w:rFonts w:hint="eastAsia" w:ascii="宋体" w:hAnsi="宋体" w:eastAsia="宋体" w:cs="宋体"/>
          <w:highlight w:val="none"/>
        </w:rPr>
        <w:t>或原样</w:t>
      </w:r>
      <w:r>
        <w:rPr>
          <w:rFonts w:hint="eastAsia" w:ascii="宋体" w:hAnsi="宋体" w:eastAsia="宋体" w:cs="宋体"/>
          <w:highlight w:val="none"/>
          <w:lang w:val="zh-TW" w:eastAsia="zh-TW"/>
        </w:rPr>
        <w:t>恢复，否则，如发生相关费用发包人</w:t>
      </w:r>
      <w:r>
        <w:rPr>
          <w:rFonts w:hint="eastAsia" w:ascii="宋体" w:hAnsi="宋体" w:eastAsia="宋体" w:cs="宋体"/>
          <w:highlight w:val="none"/>
        </w:rPr>
        <w:t>有权</w:t>
      </w:r>
      <w:r>
        <w:rPr>
          <w:rFonts w:hint="eastAsia" w:ascii="宋体" w:hAnsi="宋体" w:eastAsia="宋体" w:cs="宋体"/>
          <w:highlight w:val="none"/>
          <w:lang w:val="zh-TW" w:eastAsia="zh-TW"/>
        </w:rPr>
        <w:t>在工程价款中扣除。</w:t>
      </w:r>
    </w:p>
    <w:p w14:paraId="2FC8DC55">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6.9 承包人在绿化填土、场地硬化等工序实施前，应充分调查场地内的检查井、消火栓、阀门等现有设施，若因承包人填埋造成的修理、处置费用由承包人承担。</w:t>
      </w:r>
    </w:p>
    <w:p w14:paraId="5335A774">
      <w:pPr>
        <w:spacing w:line="400" w:lineRule="exact"/>
        <w:rPr>
          <w:rFonts w:hint="eastAsia" w:ascii="宋体" w:hAnsi="宋体" w:eastAsia="宋体" w:cs="宋体"/>
          <w:highlight w:val="none"/>
          <w:lang w:val="zh-TW" w:eastAsia="zh-TW"/>
        </w:rPr>
      </w:pPr>
      <w:r>
        <w:rPr>
          <w:rFonts w:hint="eastAsia" w:ascii="宋体" w:hAnsi="宋体" w:eastAsia="宋体" w:cs="宋体"/>
          <w:highlight w:val="none"/>
        </w:rPr>
        <w:t>因地形</w:t>
      </w:r>
      <w:r>
        <w:rPr>
          <w:rFonts w:hint="eastAsia" w:ascii="宋体" w:hAnsi="宋体" w:eastAsia="宋体" w:cs="宋体"/>
          <w:highlight w:val="none"/>
          <w:lang w:val="en-US" w:eastAsia="zh-CN"/>
        </w:rPr>
        <w:t>变化</w:t>
      </w:r>
      <w:r>
        <w:rPr>
          <w:rFonts w:hint="eastAsia" w:ascii="宋体" w:hAnsi="宋体" w:eastAsia="宋体" w:cs="宋体"/>
          <w:highlight w:val="none"/>
        </w:rPr>
        <w:t>及隐形井盖安装</w:t>
      </w:r>
      <w:r>
        <w:rPr>
          <w:rFonts w:hint="eastAsia" w:ascii="宋体" w:hAnsi="宋体" w:eastAsia="宋体" w:cs="宋体"/>
          <w:highlight w:val="none"/>
          <w:lang w:val="en-US" w:eastAsia="zh-CN"/>
        </w:rPr>
        <w:t>等</w:t>
      </w:r>
      <w:r>
        <w:rPr>
          <w:rFonts w:hint="eastAsia" w:ascii="宋体" w:hAnsi="宋体" w:eastAsia="宋体" w:cs="宋体"/>
          <w:highlight w:val="none"/>
        </w:rPr>
        <w:t>需要调整</w:t>
      </w:r>
      <w:r>
        <w:rPr>
          <w:rFonts w:hint="eastAsia" w:ascii="宋体" w:hAnsi="宋体" w:eastAsia="宋体" w:cs="宋体"/>
          <w:highlight w:val="none"/>
          <w:lang w:val="en-US" w:eastAsia="zh-CN"/>
        </w:rPr>
        <w:t>各类</w:t>
      </w:r>
      <w:r>
        <w:rPr>
          <w:rFonts w:hint="eastAsia" w:ascii="宋体" w:hAnsi="宋体" w:eastAsia="宋体" w:cs="宋体"/>
          <w:highlight w:val="none"/>
        </w:rPr>
        <w:t>检查井的</w:t>
      </w:r>
      <w:r>
        <w:rPr>
          <w:rFonts w:hint="eastAsia" w:ascii="宋体" w:hAnsi="宋体" w:eastAsia="宋体" w:cs="宋体"/>
          <w:highlight w:val="none"/>
          <w:lang w:val="zh-TW" w:eastAsia="zh-TW"/>
        </w:rPr>
        <w:t>，由承包人负责实施，施工时由承包人通知相关管线产权单位到场监护并做好管线保护措施，</w:t>
      </w:r>
      <w:r>
        <w:rPr>
          <w:rFonts w:hint="eastAsia" w:ascii="宋体" w:hAnsi="宋体" w:eastAsia="宋体" w:cs="宋体"/>
          <w:highlight w:val="none"/>
        </w:rPr>
        <w:t>工程量以“座”为单位按实计量，投标人综合考虑检查井调整尺寸、高度等影响造价的因素，</w:t>
      </w:r>
      <w:r>
        <w:rPr>
          <w:rFonts w:hint="eastAsia" w:ascii="宋体" w:hAnsi="宋体" w:eastAsia="宋体" w:cs="宋体"/>
          <w:highlight w:val="none"/>
          <w:lang w:val="zh-TW" w:eastAsia="zh-TW"/>
        </w:rPr>
        <w:t>列入投标报价。</w:t>
      </w:r>
    </w:p>
    <w:p w14:paraId="6D311D85">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.10</w:t>
      </w:r>
      <w:r>
        <w:rPr>
          <w:rFonts w:hint="eastAsia" w:ascii="宋体" w:hAnsi="宋体" w:eastAsia="宋体" w:cs="宋体"/>
          <w:highlight w:val="none"/>
        </w:rPr>
        <w:t xml:space="preserve"> </w:t>
      </w:r>
      <w:r>
        <w:rPr>
          <w:rFonts w:hint="eastAsia" w:ascii="宋体" w:hAnsi="宋体" w:eastAsia="宋体" w:cs="宋体"/>
          <w:highlight w:val="none"/>
          <w:lang w:val="en-US" w:eastAsia="zh-CN"/>
        </w:rPr>
        <w:t>本项目的混凝土、砂浆采用商品料</w:t>
      </w:r>
      <w:r>
        <w:rPr>
          <w:rFonts w:hint="eastAsia" w:ascii="宋体" w:hAnsi="宋体" w:eastAsia="宋体" w:cs="宋体"/>
          <w:highlight w:val="none"/>
          <w:lang w:val="zh-TW" w:eastAsia="zh-TW"/>
        </w:rPr>
        <w:t>，严禁在施工现场搅拌。</w:t>
      </w:r>
    </w:p>
    <w:p w14:paraId="57F18E1A">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w:t>
      </w:r>
      <w:r>
        <w:rPr>
          <w:rFonts w:hint="eastAsia" w:ascii="宋体" w:hAnsi="宋体" w:eastAsia="宋体" w:cs="宋体"/>
          <w:highlight w:val="none"/>
        </w:rPr>
        <w:t>11</w:t>
      </w:r>
      <w:r>
        <w:rPr>
          <w:rFonts w:hint="eastAsia" w:ascii="宋体" w:hAnsi="宋体" w:eastAsia="宋体" w:cs="宋体"/>
          <w:highlight w:val="none"/>
          <w:lang w:val="zh-TW" w:eastAsia="zh-TW"/>
        </w:rPr>
        <w:t xml:space="preserve"> 灌溉用给水管接入市政自来水管网（即用户工程）的所有费用列入报价中，包括水表、阀门、表前管道、道路破除及恢复，表后连接管等，结算时每处的接入单价报价不予调整，接入数量按实计量。</w:t>
      </w:r>
    </w:p>
    <w:p w14:paraId="7FE8BE51">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.1</w:t>
      </w:r>
      <w:r>
        <w:rPr>
          <w:rFonts w:hint="eastAsia" w:ascii="宋体" w:hAnsi="宋体" w:eastAsia="宋体" w:cs="宋体"/>
          <w:highlight w:val="none"/>
        </w:rPr>
        <w:t>2</w:t>
      </w:r>
      <w:r>
        <w:rPr>
          <w:rFonts w:hint="eastAsia" w:ascii="宋体" w:hAnsi="宋体" w:eastAsia="宋体" w:cs="宋体"/>
          <w:highlight w:val="none"/>
          <w:lang w:val="zh-TW" w:eastAsia="zh-TW"/>
        </w:rPr>
        <w:t>承包人应做好施工废水、废料的收集、处置工作，不得将施工过程中的泥浆水、渣土、建筑垃圾排入雨污水系统及河道，因承包人处置不当造成的疏通清淤</w:t>
      </w:r>
      <w:r>
        <w:rPr>
          <w:rFonts w:hint="eastAsia" w:ascii="宋体" w:hAnsi="宋体" w:eastAsia="宋体" w:cs="宋体"/>
          <w:highlight w:val="none"/>
        </w:rPr>
        <w:t>处置</w:t>
      </w:r>
      <w:r>
        <w:rPr>
          <w:rFonts w:hint="eastAsia" w:ascii="宋体" w:hAnsi="宋体" w:eastAsia="宋体" w:cs="宋体"/>
          <w:highlight w:val="none"/>
          <w:lang w:val="zh-TW" w:eastAsia="zh-TW"/>
        </w:rPr>
        <w:t>费用由承包人承担</w:t>
      </w:r>
      <w:r>
        <w:rPr>
          <w:rFonts w:hint="eastAsia" w:ascii="宋体" w:hAnsi="宋体" w:eastAsia="宋体" w:cs="宋体"/>
          <w:highlight w:val="none"/>
          <w:lang w:val="zh-TW"/>
        </w:rPr>
        <w:t>；</w:t>
      </w:r>
      <w:r>
        <w:rPr>
          <w:rFonts w:hint="eastAsia" w:ascii="宋体" w:hAnsi="宋体" w:eastAsia="宋体" w:cs="宋体"/>
          <w:highlight w:val="none"/>
        </w:rPr>
        <w:t>因承包人原因造成的管道堵塞、河道淤积，且承包人消极应对的，建设单位有权委托产权单位、管养单位或其他单位负责处置，由此发生的费用在承包人工程价款中予以扣除</w:t>
      </w:r>
      <w:r>
        <w:rPr>
          <w:rFonts w:hint="eastAsia" w:ascii="宋体" w:hAnsi="宋体" w:eastAsia="宋体" w:cs="宋体"/>
          <w:highlight w:val="none"/>
          <w:lang w:val="zh-TW" w:eastAsia="zh-TW"/>
        </w:rPr>
        <w:t>。</w:t>
      </w:r>
    </w:p>
    <w:p w14:paraId="0DE522E2">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w:t>
      </w:r>
      <w:r>
        <w:rPr>
          <w:rFonts w:hint="eastAsia" w:ascii="宋体" w:hAnsi="宋体" w:eastAsia="宋体" w:cs="宋体"/>
          <w:highlight w:val="none"/>
        </w:rPr>
        <w:t>13</w:t>
      </w:r>
      <w:r>
        <w:rPr>
          <w:rFonts w:hint="eastAsia" w:ascii="宋体" w:hAnsi="宋体" w:eastAsia="宋体" w:cs="宋体"/>
          <w:highlight w:val="none"/>
          <w:lang w:val="zh-TW" w:eastAsia="zh-TW"/>
        </w:rPr>
        <w:t xml:space="preserve"> 施工场地交通、水利、</w:t>
      </w:r>
      <w:r>
        <w:rPr>
          <w:rFonts w:hint="eastAsia" w:ascii="宋体" w:hAnsi="宋体" w:eastAsia="宋体" w:cs="宋体"/>
          <w:highlight w:val="none"/>
        </w:rPr>
        <w:t>市政、</w:t>
      </w:r>
      <w:r>
        <w:rPr>
          <w:rFonts w:hint="eastAsia" w:ascii="宋体" w:hAnsi="宋体" w:eastAsia="宋体" w:cs="宋体"/>
          <w:highlight w:val="none"/>
          <w:lang w:val="zh-TW" w:eastAsia="zh-TW"/>
        </w:rPr>
        <w:t>环</w:t>
      </w:r>
      <w:r>
        <w:rPr>
          <w:rFonts w:hint="eastAsia" w:ascii="宋体" w:hAnsi="宋体" w:eastAsia="宋体" w:cs="宋体"/>
          <w:highlight w:val="none"/>
        </w:rPr>
        <w:t>保</w:t>
      </w:r>
      <w:r>
        <w:rPr>
          <w:rFonts w:hint="eastAsia" w:ascii="宋体" w:hAnsi="宋体" w:eastAsia="宋体" w:cs="宋体"/>
          <w:highlight w:val="none"/>
          <w:lang w:val="zh-TW" w:eastAsia="zh-TW"/>
        </w:rPr>
        <w:t>等手续由承包人负责到有关部门办理</w:t>
      </w:r>
      <w:r>
        <w:rPr>
          <w:rFonts w:hint="eastAsia" w:ascii="宋体" w:hAnsi="宋体" w:eastAsia="宋体" w:cs="宋体"/>
          <w:highlight w:val="none"/>
          <w:lang w:val="zh-TW"/>
        </w:rPr>
        <w:t>，</w:t>
      </w:r>
      <w:r>
        <w:rPr>
          <w:rFonts w:hint="eastAsia" w:ascii="宋体" w:hAnsi="宋体" w:eastAsia="宋体" w:cs="宋体"/>
          <w:highlight w:val="none"/>
          <w:lang w:val="zh-TW" w:eastAsia="zh-TW"/>
        </w:rPr>
        <w:t>并缴纳承包人应承担的有关费用，该费用已包含在报价中，发包人不另行给付，费用缴纳的标准由承包人向有关部门查询。</w:t>
      </w:r>
    </w:p>
    <w:p w14:paraId="11C5FA5F">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6.14施工期的交通组织方案由</w:t>
      </w:r>
      <w:r>
        <w:rPr>
          <w:rFonts w:hint="eastAsia" w:ascii="宋体" w:hAnsi="宋体" w:eastAsia="宋体" w:cs="宋体"/>
          <w:highlight w:val="none"/>
          <w:lang w:val="zh-TW" w:eastAsia="zh-TW"/>
        </w:rPr>
        <w:t>承包人负责编制，并经</w:t>
      </w:r>
      <w:r>
        <w:rPr>
          <w:rFonts w:hint="eastAsia" w:ascii="宋体" w:hAnsi="宋体" w:eastAsia="宋体" w:cs="宋体"/>
          <w:highlight w:val="none"/>
          <w:lang w:val="en-US" w:eastAsia="zh-CN"/>
        </w:rPr>
        <w:t>交警部门</w:t>
      </w:r>
      <w:r>
        <w:rPr>
          <w:rFonts w:hint="eastAsia" w:ascii="宋体" w:hAnsi="宋体" w:eastAsia="宋体" w:cs="宋体"/>
          <w:highlight w:val="none"/>
          <w:lang w:val="zh-TW" w:eastAsia="zh-TW"/>
        </w:rPr>
        <w:t>审查通过；交通诱导、指示、警示等标志由承包人负责设置，并符合交警部门和招标人的要求；施工区域周边的交通组织、管理、责任由承包人负责，承包人可自行派专人、也可委托交警进行管理。</w:t>
      </w:r>
    </w:p>
    <w:p w14:paraId="389FA4AF">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w:t>
      </w:r>
      <w:r>
        <w:rPr>
          <w:rFonts w:hint="eastAsia" w:ascii="宋体" w:hAnsi="宋体" w:eastAsia="宋体" w:cs="宋体"/>
          <w:highlight w:val="none"/>
        </w:rPr>
        <w:t>15 承包人</w:t>
      </w:r>
      <w:r>
        <w:rPr>
          <w:rFonts w:hint="eastAsia" w:ascii="宋体" w:hAnsi="宋体" w:eastAsia="宋体" w:cs="宋体"/>
          <w:highlight w:val="none"/>
          <w:lang w:val="zh-TW" w:eastAsia="zh-TW"/>
        </w:rPr>
        <w:t>已完工程成品正式移交接管单位前，由承包人负责保护、保洁，费用包含在合同总价中。</w:t>
      </w:r>
    </w:p>
    <w:p w14:paraId="148F1F01">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w:t>
      </w:r>
      <w:r>
        <w:rPr>
          <w:rFonts w:hint="eastAsia" w:ascii="宋体" w:hAnsi="宋体" w:eastAsia="宋体" w:cs="宋体"/>
          <w:highlight w:val="none"/>
        </w:rPr>
        <w:t xml:space="preserve">16 </w:t>
      </w:r>
      <w:r>
        <w:rPr>
          <w:rFonts w:hint="eastAsia" w:ascii="宋体" w:hAnsi="宋体" w:eastAsia="宋体" w:cs="宋体"/>
          <w:highlight w:val="none"/>
          <w:lang w:val="zh-TW" w:eastAsia="zh-TW"/>
        </w:rPr>
        <w:t>承包人必须在施工期间做好对突发公共事件的应急处理工作，内容主要包含：发包人接收来自数字化城市管理热线、政府服务热线、城建服务热线以及市长信箱、市民来函来电等施工区域现场涉及安全、文明施工、环境保护和卫生保洁、设施维修等方面的举报投诉等，承包人应当按照发包人或在相关部门指令下于限定时间内完成指定整改任务并按要求做好回复和档案记录工作。未能按照要求及时整改且未说明理由的，每次视情况扣罚500~2000元。</w:t>
      </w:r>
    </w:p>
    <w:p w14:paraId="4A008B30">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w:t>
      </w:r>
      <w:r>
        <w:rPr>
          <w:rFonts w:hint="eastAsia" w:ascii="宋体" w:hAnsi="宋体" w:eastAsia="宋体" w:cs="宋体"/>
          <w:highlight w:val="none"/>
        </w:rPr>
        <w:t xml:space="preserve">17 </w:t>
      </w:r>
      <w:r>
        <w:rPr>
          <w:rFonts w:hint="eastAsia" w:ascii="宋体" w:hAnsi="宋体" w:eastAsia="宋体" w:cs="宋体"/>
          <w:highlight w:val="none"/>
          <w:lang w:val="zh-TW" w:eastAsia="zh-TW"/>
        </w:rPr>
        <w:t>养护期内承包人要做好施工区域内死亡苗木的补缺、除草、浇水、治虫、修剪、施肥、保洁等日常管护工作，所有费用均由承包人承担，发包人不再另行支付其费用，结算时一律不作调整。工程竣工后保修养护期的缺陷整改由承包人负责，发包人负责督促考核，并要求在工程移交验收前完成。原则上在工程移交验收前6个月内不得进行乔木缺陷整改，3个月内不得进行灌木、地被整改。补植养护期自补植之日起计算，小规格苗木死亡后须及时补植或在第一个适宜季节补植到位，否则，延长一个年生长周期后验收，补植苗木规格与招标时规格相同。</w:t>
      </w:r>
    </w:p>
    <w:p w14:paraId="3C68CE1B">
      <w:pPr>
        <w:spacing w:line="400" w:lineRule="exact"/>
        <w:rPr>
          <w:rFonts w:hint="eastAsia" w:ascii="宋体" w:hAnsi="宋体" w:eastAsia="宋体" w:cs="宋体"/>
          <w:highlight w:val="none"/>
          <w:lang w:val="zh-TW" w:eastAsia="zh-TW"/>
        </w:rPr>
      </w:pPr>
      <w:r>
        <w:rPr>
          <w:rFonts w:hint="eastAsia" w:ascii="宋体" w:hAnsi="宋体" w:eastAsia="宋体" w:cs="宋体"/>
          <w:highlight w:val="none"/>
          <w:lang w:val="zh-TW" w:eastAsia="zh-TW"/>
        </w:rPr>
        <w:t>超出验收规范要求但在允许值范围内（行道树不得超过1%且不超过20株，其他乔灌木及花卉、地被、草坪等不得超过2%）的缺陷整改费用由发包人从工程款中扣除，并形成扣款凭证，经财政、园林绿化主管部门备案后，作为移交资料一并移交给接管单位。扣除款额按照缺陷苗木移交当期本地信息价和中标单价两者价高的，套取现行定额计取。</w:t>
      </w:r>
    </w:p>
    <w:p w14:paraId="4D5A58B6">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w:t>
      </w:r>
      <w:r>
        <w:rPr>
          <w:rFonts w:hint="eastAsia" w:ascii="宋体" w:hAnsi="宋体" w:eastAsia="宋体" w:cs="宋体"/>
          <w:highlight w:val="none"/>
        </w:rPr>
        <w:t>18</w:t>
      </w:r>
      <w:r>
        <w:rPr>
          <w:rFonts w:hint="eastAsia" w:ascii="宋体" w:hAnsi="宋体" w:eastAsia="宋体" w:cs="宋体"/>
          <w:highlight w:val="none"/>
          <w:lang w:val="zh-TW" w:eastAsia="zh-TW"/>
        </w:rPr>
        <w:t xml:space="preserve"> 所种苗木养护期间内应按养护等级一级标准进行养护，及时开展除草、施肥、防治虫害、修剪整枝等工作，保持草坪覆盖率达95％，草坪内杂草控制在20％以内；生长和颜色正常，不枯黄；草坪修剪宜多次，一次修剪高度不宜大于草高的1/3。冷季型草坪冬季留高不超过6cm，夏季不超过8cm。暖季型草坪留高夏季不超过8cm，冬季应尽量低剪。复播型草坪应在秋季复播前进行低修剪。养护期内的养护费已包含在合同总价中，结算时不作调整。</w:t>
      </w:r>
    </w:p>
    <w:p w14:paraId="430CF398">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w:t>
      </w:r>
      <w:r>
        <w:rPr>
          <w:rFonts w:hint="eastAsia" w:ascii="宋体" w:hAnsi="宋体" w:eastAsia="宋体" w:cs="宋体"/>
          <w:highlight w:val="none"/>
        </w:rPr>
        <w:t>19</w:t>
      </w:r>
      <w:r>
        <w:rPr>
          <w:rFonts w:hint="eastAsia" w:ascii="宋体" w:hAnsi="宋体" w:eastAsia="宋体" w:cs="宋体"/>
          <w:highlight w:val="none"/>
          <w:lang w:val="zh-TW" w:eastAsia="zh-TW"/>
        </w:rPr>
        <w:t xml:space="preserve"> 竣工验收后的一年养护期内，草花一年更换种植至少6次，每平方不少于49株，必须确保一年四季草花景观效果。承包人应综合考虑相关费用，并列入投标报价中，竣工结算时不予调整。工程竣工验收前需提交更换计划，经监理、发包人审核同意后实施，每次更换前需向监理机构报验。</w:t>
      </w:r>
    </w:p>
    <w:p w14:paraId="443C12C4">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w:t>
      </w:r>
      <w:r>
        <w:rPr>
          <w:rFonts w:hint="eastAsia" w:ascii="宋体" w:hAnsi="宋体" w:eastAsia="宋体" w:cs="宋体"/>
          <w:highlight w:val="none"/>
        </w:rPr>
        <w:t>20</w:t>
      </w:r>
      <w:r>
        <w:rPr>
          <w:rFonts w:hint="eastAsia" w:ascii="宋体" w:hAnsi="宋体" w:eastAsia="宋体" w:cs="宋体"/>
          <w:highlight w:val="none"/>
          <w:lang w:eastAsia="zh-TW"/>
        </w:rPr>
        <w:t xml:space="preserve"> </w:t>
      </w:r>
      <w:r>
        <w:rPr>
          <w:rFonts w:hint="eastAsia" w:ascii="宋体" w:hAnsi="宋体" w:eastAsia="宋体" w:cs="宋体"/>
          <w:highlight w:val="none"/>
          <w:lang w:val="zh-TW" w:eastAsia="zh-TW"/>
        </w:rPr>
        <w:t>施工围挡搭设标准须符合国家、江苏省及南通市现行文明施工、扬尘防治相关管理规定。同一施工区域围挡仅计算一次工程量，施工期间围挡移位、反复拆除重装、日常维护等全部费用均包含在综合单价内，结算时不予重复计量。对同一区域发生的重复围挡设置，承包人不得以任何理由拒绝，否则，发包人有权指令其他单位完成，发生的相关费用由发包人在工程价款中扣除。</w:t>
      </w:r>
    </w:p>
    <w:p w14:paraId="4BBBCE2E">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6</w:t>
      </w:r>
      <w:r>
        <w:rPr>
          <w:rFonts w:hint="eastAsia" w:ascii="宋体" w:hAnsi="宋体" w:eastAsia="宋体" w:cs="宋体"/>
          <w:highlight w:val="none"/>
          <w:lang w:val="zh-TW" w:eastAsia="zh-TW"/>
        </w:rPr>
        <w:t>.</w:t>
      </w:r>
      <w:r>
        <w:rPr>
          <w:rFonts w:hint="eastAsia" w:ascii="宋体" w:hAnsi="宋体" w:eastAsia="宋体" w:cs="宋体"/>
          <w:highlight w:val="none"/>
        </w:rPr>
        <w:t xml:space="preserve">21 </w:t>
      </w:r>
      <w:r>
        <w:rPr>
          <w:rFonts w:hint="eastAsia" w:ascii="宋体" w:hAnsi="宋体" w:eastAsia="宋体" w:cs="宋体"/>
          <w:highlight w:val="none"/>
          <w:lang w:val="zh-TW" w:eastAsia="zh-TW"/>
        </w:rPr>
        <w:t>承包人在施工过程中必须及时拍摄并保存相关视频、影像资料，以供后期审计使用，在结算送审时一并提交。</w:t>
      </w:r>
      <w:r>
        <w:rPr>
          <w:rFonts w:hint="eastAsia" w:ascii="宋体" w:hAnsi="宋体" w:eastAsia="宋体" w:cs="宋体"/>
          <w:highlight w:val="none"/>
        </w:rPr>
        <w:t>对于因佐证资料不全造成工程量确认疑义的，建设单位有权</w:t>
      </w:r>
      <w:r>
        <w:rPr>
          <w:rFonts w:hint="eastAsia" w:ascii="宋体" w:hAnsi="宋体" w:eastAsia="宋体" w:cs="宋体"/>
          <w:highlight w:val="none"/>
          <w:lang w:val="zh-TW" w:eastAsia="zh-TW"/>
        </w:rPr>
        <w:t>不予认可。</w:t>
      </w:r>
    </w:p>
    <w:p w14:paraId="3219A8D4">
      <w:pPr>
        <w:spacing w:line="400" w:lineRule="exact"/>
        <w:ind w:firstLine="420" w:firstLineChars="200"/>
        <w:rPr>
          <w:rFonts w:hint="eastAsia" w:ascii="宋体" w:hAnsi="宋体" w:eastAsia="宋体" w:cs="宋体"/>
          <w:highlight w:val="none"/>
          <w:lang w:val="zh-TW" w:eastAsia="zh-TW"/>
        </w:rPr>
      </w:pPr>
      <w:r>
        <w:rPr>
          <w:rFonts w:hint="eastAsia" w:ascii="宋体" w:hAnsi="宋体" w:eastAsia="宋体" w:cs="宋体"/>
          <w:highlight w:val="none"/>
        </w:rPr>
        <w:t xml:space="preserve">6.22 </w:t>
      </w:r>
      <w:r>
        <w:rPr>
          <w:rFonts w:hint="eastAsia" w:ascii="宋体" w:hAnsi="宋体" w:eastAsia="宋体" w:cs="宋体"/>
          <w:highlight w:val="none"/>
          <w:lang w:val="zh-TW" w:eastAsia="zh-TW"/>
        </w:rPr>
        <w:t>本工程施工时可能会受到季节、气候的影响，对于可能发生的回填土处理、种植时所用基肥与养护用肥料、绿化反季节施工费由投标人在投标报价时自行考虑并计入报价，该费用招标人不再另行支付。</w:t>
      </w:r>
    </w:p>
    <w:p w14:paraId="6388C2A2">
      <w:pPr>
        <w:spacing w:line="400" w:lineRule="exact"/>
        <w:ind w:firstLine="420" w:firstLineChars="200"/>
        <w:rPr>
          <w:rFonts w:hint="eastAsia" w:ascii="宋体" w:hAnsi="宋体" w:eastAsia="宋体" w:cs="宋体"/>
          <w:highlight w:val="none"/>
        </w:rPr>
      </w:pPr>
      <w:r>
        <w:rPr>
          <w:rFonts w:hint="eastAsia" w:ascii="宋体" w:hAnsi="宋体" w:eastAsia="宋体" w:cs="宋体"/>
          <w:highlight w:val="none"/>
        </w:rPr>
        <w:t xml:space="preserve">6.23 因季节或其他特殊情况，绿地（树穴）范围内需临时铺设草皮卷的，临时铺设草皮卷工程量按每站点100m2暂估，具体发生部位、范围由发包人指令，工程量按照现场实际发生量计算，承包人在相关清单项中自行报价。 </w:t>
      </w:r>
    </w:p>
    <w:p w14:paraId="22A1A13B">
      <w:pPr>
        <w:spacing w:line="400" w:lineRule="exact"/>
        <w:ind w:firstLine="420" w:firstLineChars="200"/>
        <w:rPr>
          <w:rFonts w:hint="eastAsia" w:ascii="宋体" w:hAnsi="宋体" w:eastAsia="宋体" w:cs="宋体"/>
          <w:highlight w:val="none"/>
        </w:rPr>
      </w:pPr>
      <w:r>
        <w:rPr>
          <w:rFonts w:hint="eastAsia" w:ascii="宋体" w:hAnsi="宋体" w:eastAsia="宋体" w:cs="宋体"/>
          <w:highlight w:val="none"/>
        </w:rPr>
        <w:t>6.24 本工程场地铺装实施过程中，因综合管线割接、箱体设备及综合杆件拆除安装</w:t>
      </w:r>
      <w:r>
        <w:rPr>
          <w:rFonts w:hint="eastAsia" w:ascii="宋体" w:hAnsi="宋体" w:eastAsia="宋体" w:cs="宋体"/>
          <w:highlight w:val="none"/>
          <w:lang w:val="en-US" w:eastAsia="zh-CN"/>
        </w:rPr>
        <w:t>等</w:t>
      </w:r>
      <w:r>
        <w:rPr>
          <w:rFonts w:hint="eastAsia" w:ascii="宋体" w:hAnsi="宋体" w:eastAsia="宋体" w:cs="宋体"/>
          <w:highlight w:val="none"/>
        </w:rPr>
        <w:t>施工时序影响，造成场地铺装检查井、杆（构）件周边的零星收边收尾，发包人有权要求承包人在具备完全收边收尾条件前，采取临时铺装、砼或砂浆临时找平（实施标准参照实体工程，具体以发包人现场指令为准）等措施，承包人不得拒绝，相关可能发生的费用由承包人在投标报价中自行考虑，不再单独计算。</w:t>
      </w:r>
    </w:p>
    <w:p w14:paraId="670FC55F">
      <w:pPr>
        <w:spacing w:line="400" w:lineRule="exact"/>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6.25 施工用水、用电发包人由承包人自行解决，且发包人不提供接驳点，承包人在投标报价中综合考虑。</w:t>
      </w:r>
    </w:p>
    <w:p w14:paraId="568DBBD2">
      <w:pPr>
        <w:spacing w:line="400" w:lineRule="exact"/>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6.26 承包人须满足发包人发布的项目管理各项制度和要求。工程资料建设单位归档时承包人除提供纸质版外，还须提供符合要求的数字化加工资料，相关费用承包人在投标报价中综合考虑。</w:t>
      </w:r>
    </w:p>
    <w:p w14:paraId="4C29FFAC">
      <w:pPr>
        <w:spacing w:line="400" w:lineRule="exact"/>
        <w:ind w:firstLine="420" w:firstLineChars="200"/>
        <w:rPr>
          <w:rFonts w:hint="default" w:ascii="宋体" w:hAnsi="宋体" w:eastAsia="宋体" w:cs="宋体"/>
          <w:highlight w:val="none"/>
          <w:lang w:val="en-US" w:eastAsia="zh-CN"/>
        </w:rPr>
      </w:pPr>
      <w:r>
        <w:rPr>
          <w:rFonts w:hint="eastAsia" w:ascii="宋体" w:hAnsi="宋体" w:eastAsia="宋体" w:cs="宋体"/>
          <w:highlight w:val="none"/>
          <w:lang w:val="en-US" w:eastAsia="zh-CN"/>
        </w:rPr>
        <w:t>6.27</w:t>
      </w:r>
      <w:r>
        <w:rPr>
          <w:rFonts w:hint="default" w:ascii="宋体" w:hAnsi="宋体" w:eastAsia="宋体" w:cs="宋体"/>
          <w:highlight w:val="none"/>
          <w:lang w:val="en-US" w:eastAsia="zh-CN"/>
        </w:rPr>
        <w:t>本工程施工区域处于地铁保护区范围内，承包人须严格遵守国家、江苏省及南通市轨道交通保护区相关管理办法及规定，主动接受发包人及地铁保护相关单位的巡查检查，对检查发现的隐患按要求及时完成整改；因承包人施工行为违反保护区管理规定所引发的一切安全后果、损失及相关责任，均由承包人自行承担。</w:t>
      </w:r>
    </w:p>
    <w:bookmarkEnd w:id="1809"/>
    <w:p w14:paraId="751C983D">
      <w:pPr>
        <w:pStyle w:val="2"/>
        <w:spacing w:before="120" w:after="120" w:line="400" w:lineRule="exact"/>
        <w:jc w:val="center"/>
        <w:rPr>
          <w:rFonts w:hint="eastAsia" w:ascii="宋体" w:hAnsi="宋体" w:eastAsia="宋体" w:cs="宋体"/>
          <w:b/>
          <w:bCs/>
          <w:kern w:val="44"/>
          <w:sz w:val="36"/>
          <w:szCs w:val="36"/>
          <w:highlight w:val="none"/>
          <w:lang w:val="en-US" w:eastAsia="zh-CN" w:bidi="ar-SA"/>
        </w:rPr>
      </w:pPr>
      <w:r>
        <w:rPr>
          <w:rFonts w:hint="eastAsia" w:ascii="宋体" w:hAnsi="宋体" w:eastAsia="宋体" w:cs="宋体"/>
          <w:b/>
          <w:bCs/>
          <w:kern w:val="44"/>
          <w:sz w:val="36"/>
          <w:szCs w:val="36"/>
          <w:highlight w:val="none"/>
          <w:lang w:val="en-US" w:eastAsia="zh-CN" w:bidi="ar-SA"/>
        </w:rPr>
        <w:br w:type="page"/>
      </w:r>
      <w:r>
        <w:rPr>
          <w:rFonts w:hint="eastAsia" w:ascii="宋体" w:hAnsi="宋体" w:eastAsia="宋体" w:cs="宋体"/>
          <w:szCs w:val="36"/>
          <w:highlight w:val="none"/>
          <w:lang w:val="en-US" w:eastAsia="zh-CN"/>
        </w:rPr>
        <w:t>第五章 招标工程量清单</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62"/>
    </w:p>
    <w:p w14:paraId="6DC99A8D">
      <w:pPr>
        <w:spacing w:line="400" w:lineRule="exact"/>
        <w:rPr>
          <w:rFonts w:hint="eastAsia" w:ascii="宋体" w:hAnsi="宋体" w:cs="宋体"/>
          <w:szCs w:val="21"/>
          <w:highlight w:val="none"/>
        </w:rPr>
      </w:pPr>
    </w:p>
    <w:p w14:paraId="6AADE1DE">
      <w:pPr>
        <w:snapToGrid w:val="0"/>
        <w:spacing w:line="360" w:lineRule="auto"/>
        <w:rPr>
          <w:rFonts w:ascii="宋体" w:hAnsi="宋体" w:cs="宋体"/>
          <w:b/>
          <w:bCs/>
          <w:color w:val="auto"/>
          <w:highlight w:val="none"/>
        </w:rPr>
      </w:pPr>
      <w:r>
        <w:rPr>
          <w:rFonts w:hint="eastAsia" w:ascii="宋体" w:hAnsi="宋体" w:cs="宋体"/>
          <w:b/>
          <w:bCs/>
          <w:color w:val="auto"/>
          <w:highlight w:val="none"/>
        </w:rPr>
        <w:t>一、投标报价编制要求</w:t>
      </w:r>
    </w:p>
    <w:p w14:paraId="5DCE80B1">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1、采用工程量清单计价方式，投标人不得采用总价让利或以总价百分比让利等办法进行投标报价。</w:t>
      </w:r>
    </w:p>
    <w:p w14:paraId="39EEAE94">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2、除投标人自行补充的措施项目外，投标报价的项目编码、项目名称、项目特征、计量单位、工程量必须与</w:t>
      </w:r>
      <w:r>
        <w:rPr>
          <w:rFonts w:hint="eastAsia" w:ascii="宋体" w:hAnsi="宋体" w:cs="宋体"/>
          <w:color w:val="auto"/>
          <w:highlight w:val="none"/>
          <w:lang w:eastAsia="zh-CN"/>
        </w:rPr>
        <w:t>发包人</w:t>
      </w:r>
      <w:r>
        <w:rPr>
          <w:rFonts w:hint="eastAsia" w:ascii="宋体" w:hAnsi="宋体" w:cs="宋体"/>
          <w:color w:val="auto"/>
          <w:highlight w:val="none"/>
        </w:rPr>
        <w:t>提供的一致。</w:t>
      </w:r>
    </w:p>
    <w:p w14:paraId="3CEF464E">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投标报价应包括招标文件所确定的招标范围内相应设计图纸及相关资料的全部内容，以及为完成上述内容所必须的工程、临时工程、材料、劳务及所需的全部费用。其中应包括材料、设备、存贮、运输、劳务、安装、调试、测试、成品保护、缺陷修补、维护、培训、售后服务、管理、利润、措施费、</w:t>
      </w:r>
      <w:r>
        <w:rPr>
          <w:rFonts w:hint="eastAsia" w:ascii="宋体" w:hAnsi="宋体" w:cs="宋体"/>
          <w:color w:val="auto"/>
          <w:highlight w:val="none"/>
          <w:lang w:val="en-US" w:eastAsia="zh-CN"/>
        </w:rPr>
        <w:t>增值税</w:t>
      </w:r>
      <w:r>
        <w:rPr>
          <w:rFonts w:hint="eastAsia" w:ascii="宋体" w:hAnsi="宋体" w:cs="宋体"/>
          <w:color w:val="auto"/>
          <w:highlight w:val="none"/>
        </w:rPr>
        <w:t>、技术措施、施工方法、工程档案、作为一名有经验的投标人所应考虑到的各种因素、风险及所需的全部费用。</w:t>
      </w:r>
    </w:p>
    <w:p w14:paraId="08CEA6E0">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4、工程量清单中投标人没有填入单价或价格的子目，其费用视为已分摊在工程量清单中其他子目的单价或价格之中。</w:t>
      </w:r>
    </w:p>
    <w:p w14:paraId="19FFE9E7">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lang w:eastAsia="zh-CN"/>
        </w:rPr>
      </w:pPr>
      <w:r>
        <w:rPr>
          <w:rFonts w:hint="eastAsia" w:ascii="宋体" w:hAnsi="宋体" w:cs="宋体"/>
          <w:color w:val="auto"/>
          <w:highlight w:val="none"/>
        </w:rPr>
        <w:t>5、发包人不限定投标人在投标报价时使用何种定额，投标人可参考以下定额及相应取费标准，并执行相应的现行文件，但原则上不应超过取费范围和计费标准。套用本企业定额，无本企业定额可参照</w:t>
      </w:r>
      <w:r>
        <w:rPr>
          <w:rFonts w:hint="eastAsia" w:ascii="宋体" w:hAnsi="宋体" w:cs="宋体"/>
          <w:color w:val="auto"/>
          <w:highlight w:val="none"/>
          <w:lang w:val="en-US" w:eastAsia="zh-CN"/>
        </w:rPr>
        <w:t>《建设工程工程量清单计价标准》（GB/T50500—2024）及其9本工程量计算标准</w:t>
      </w:r>
      <w:r>
        <w:rPr>
          <w:rFonts w:hint="eastAsia" w:ascii="宋体" w:hAnsi="宋体" w:cs="宋体"/>
          <w:color w:val="auto"/>
          <w:highlight w:val="none"/>
        </w:rPr>
        <w:t>、</w:t>
      </w:r>
      <w:r>
        <w:rPr>
          <w:rFonts w:hint="eastAsia" w:ascii="宋体" w:hAnsi="宋体" w:cs="宋体"/>
          <w:color w:val="auto"/>
          <w:highlight w:val="none"/>
          <w:lang w:val="en-US" w:eastAsia="zh-CN"/>
        </w:rPr>
        <w:t>《江苏省建筑与装饰工程消耗量》（2026）、《江苏省安装工程消耗量》（2026）、《江苏省市政工程消耗量》（2026）、</w:t>
      </w:r>
      <w:r>
        <w:rPr>
          <w:rFonts w:hint="eastAsia" w:ascii="宋体" w:hAnsi="宋体" w:cs="宋体"/>
          <w:color w:val="auto"/>
          <w:highlight w:val="none"/>
        </w:rPr>
        <w:t>《江苏省园林定额</w:t>
      </w:r>
      <w:r>
        <w:rPr>
          <w:rFonts w:hint="eastAsia" w:ascii="宋体" w:hAnsi="宋体" w:cs="宋体"/>
          <w:color w:val="auto"/>
          <w:highlight w:val="none"/>
          <w:lang w:eastAsia="zh-CN"/>
        </w:rPr>
        <w:t>》（</w:t>
      </w:r>
      <w:r>
        <w:rPr>
          <w:rFonts w:hint="eastAsia" w:ascii="宋体" w:hAnsi="宋体" w:cs="宋体"/>
          <w:color w:val="auto"/>
          <w:highlight w:val="none"/>
          <w:lang w:val="en-US" w:eastAsia="zh-CN"/>
        </w:rPr>
        <w:t>2007</w:t>
      </w:r>
      <w:r>
        <w:rPr>
          <w:rFonts w:hint="eastAsia" w:ascii="宋体" w:hAnsi="宋体" w:cs="宋体"/>
          <w:color w:val="auto"/>
          <w:highlight w:val="none"/>
          <w:lang w:eastAsia="zh-CN"/>
        </w:rPr>
        <w:t>）、</w:t>
      </w:r>
      <w:r>
        <w:rPr>
          <w:rFonts w:hint="eastAsia" w:ascii="宋体" w:hAnsi="宋体" w:cs="宋体"/>
          <w:color w:val="auto"/>
          <w:highlight w:val="none"/>
        </w:rPr>
        <w:t>《江苏省住房和城乡建设厅关于调整建设工程计价增值税税率的通知》（苏建函价[2019]178号文）、《省住房城乡建设厅关于建筑工人实名制费用计取方法的公告（[2019]第19号）》</w:t>
      </w:r>
      <w:r>
        <w:rPr>
          <w:rFonts w:hint="eastAsia" w:ascii="宋体" w:hAnsi="宋体" w:cs="宋体"/>
          <w:color w:val="auto"/>
          <w:highlight w:val="none"/>
          <w:lang w:eastAsia="zh-CN"/>
        </w:rPr>
        <w:t>。</w:t>
      </w:r>
    </w:p>
    <w:p w14:paraId="2B747A8F">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lang w:eastAsia="zh-CN"/>
        </w:rPr>
      </w:pPr>
      <w:r>
        <w:rPr>
          <w:rFonts w:hint="eastAsia" w:ascii="宋体" w:hAnsi="宋体" w:cs="宋体"/>
          <w:color w:val="auto"/>
          <w:highlight w:val="none"/>
          <w:lang w:val="en-US" w:eastAsia="zh-CN"/>
        </w:rPr>
        <w:t>材料价参考</w:t>
      </w:r>
      <w:r>
        <w:rPr>
          <w:rFonts w:hint="eastAsia" w:ascii="宋体" w:hAnsi="宋体" w:cs="宋体"/>
          <w:color w:val="auto"/>
          <w:highlight w:val="none"/>
        </w:rPr>
        <w:t>《</w:t>
      </w:r>
      <w:r>
        <w:rPr>
          <w:rFonts w:hint="eastAsia" w:ascii="宋体" w:hAnsi="宋体" w:cs="宋体"/>
          <w:color w:val="auto"/>
          <w:highlight w:val="none"/>
          <w:lang w:val="en-US" w:eastAsia="zh-CN"/>
        </w:rPr>
        <w:t>南通市建设工程主要材料价格指数</w:t>
      </w:r>
      <w:r>
        <w:rPr>
          <w:rFonts w:hint="eastAsia" w:ascii="宋体" w:hAnsi="宋体" w:cs="宋体"/>
          <w:color w:val="auto"/>
          <w:highlight w:val="none"/>
        </w:rPr>
        <w:t>》202</w:t>
      </w:r>
      <w:r>
        <w:rPr>
          <w:rFonts w:hint="eastAsia" w:ascii="宋体" w:hAnsi="宋体" w:cs="宋体"/>
          <w:color w:val="auto"/>
          <w:highlight w:val="none"/>
          <w:lang w:val="en-US" w:eastAsia="zh-CN"/>
        </w:rPr>
        <w:t>6</w:t>
      </w:r>
      <w:r>
        <w:rPr>
          <w:rFonts w:hint="eastAsia" w:ascii="宋体" w:hAnsi="宋体" w:cs="宋体"/>
          <w:color w:val="auto"/>
          <w:highlight w:val="none"/>
        </w:rPr>
        <w:t>年第</w:t>
      </w:r>
      <w:r>
        <w:rPr>
          <w:rFonts w:hint="eastAsia" w:ascii="宋体" w:hAnsi="宋体" w:cs="宋体"/>
          <w:color w:val="auto"/>
          <w:highlight w:val="none"/>
          <w:lang w:val="en-US" w:eastAsia="zh-CN"/>
        </w:rPr>
        <w:t>8</w:t>
      </w:r>
      <w:r>
        <w:rPr>
          <w:rFonts w:hint="eastAsia" w:ascii="宋体" w:hAnsi="宋体" w:cs="宋体"/>
          <w:color w:val="auto"/>
          <w:highlight w:val="none"/>
        </w:rPr>
        <w:t>期</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其中绿化价格执行2025年</w:t>
      </w:r>
      <w:r>
        <w:rPr>
          <w:rFonts w:hint="eastAsia" w:ascii="宋体" w:hAnsi="宋体" w:cs="宋体"/>
          <w:color w:val="auto"/>
          <w:highlight w:val="none"/>
        </w:rPr>
        <w:t>第</w:t>
      </w:r>
      <w:r>
        <w:rPr>
          <w:rFonts w:hint="eastAsia" w:ascii="宋体" w:hAnsi="宋体" w:cs="宋体"/>
          <w:color w:val="auto"/>
          <w:highlight w:val="none"/>
          <w:lang w:val="en-US" w:eastAsia="zh-CN"/>
        </w:rPr>
        <w:t>2</w:t>
      </w:r>
      <w:r>
        <w:rPr>
          <w:rFonts w:hint="eastAsia" w:ascii="宋体" w:hAnsi="宋体" w:cs="宋体"/>
          <w:color w:val="auto"/>
          <w:highlight w:val="none"/>
        </w:rPr>
        <w:t>期南通市园林绿化苗木信息价</w:t>
      </w:r>
      <w:r>
        <w:rPr>
          <w:rFonts w:hint="eastAsia" w:ascii="宋体" w:hAnsi="宋体" w:cs="宋体"/>
          <w:color w:val="auto"/>
          <w:highlight w:val="none"/>
          <w:lang w:eastAsia="zh-CN"/>
        </w:rPr>
        <w:t>）</w:t>
      </w:r>
      <w:r>
        <w:rPr>
          <w:rFonts w:hint="eastAsia" w:ascii="宋体" w:hAnsi="宋体" w:cs="宋体"/>
          <w:color w:val="auto"/>
          <w:highlight w:val="none"/>
        </w:rPr>
        <w:t>中的除税指导价执行</w:t>
      </w:r>
      <w:r>
        <w:rPr>
          <w:rFonts w:hint="eastAsia" w:ascii="宋体" w:hAnsi="宋体" w:cs="宋体"/>
          <w:color w:val="auto"/>
          <w:highlight w:val="none"/>
          <w:lang w:eastAsia="zh-CN"/>
        </w:rPr>
        <w:t>。</w:t>
      </w:r>
      <w:r>
        <w:rPr>
          <w:rFonts w:hint="eastAsia" w:ascii="宋体" w:hAnsi="宋体" w:cs="宋体"/>
          <w:color w:val="auto"/>
          <w:highlight w:val="none"/>
          <w:lang w:val="en-US" w:eastAsia="zh-CN"/>
        </w:rPr>
        <w:t>若</w:t>
      </w:r>
      <w:r>
        <w:rPr>
          <w:rFonts w:hint="eastAsia" w:ascii="宋体" w:hAnsi="宋体" w:cs="宋体"/>
          <w:color w:val="auto"/>
          <w:highlight w:val="none"/>
        </w:rPr>
        <w:t>无指导价的材料的价格，则按市场价执行</w:t>
      </w:r>
      <w:r>
        <w:rPr>
          <w:rFonts w:hint="eastAsia" w:ascii="宋体" w:hAnsi="宋体" w:cs="宋体"/>
          <w:color w:val="auto"/>
          <w:highlight w:val="none"/>
          <w:lang w:eastAsia="zh-CN"/>
        </w:rPr>
        <w:t>。</w:t>
      </w:r>
    </w:p>
    <w:p w14:paraId="31B0C8B1">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人工价按照普工140元/工日、一般技工250元/工日、高级技工340元/工日口径编制，对我省尚未更新为消耗量的专业工程人工价参考2026年上半年人工价。</w:t>
      </w:r>
    </w:p>
    <w:p w14:paraId="044E7EFF">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6、不可竞争费用</w:t>
      </w:r>
    </w:p>
    <w:p w14:paraId="02B6C5DA">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本工程安全文明工地要求详见第四卷《工程管理要求及技术说明》。安全文明施工费用中的扬尘污染防治增加费包括采取移动式降尘喷头、喷淋降尘系统、雾炮机、围墙绿植、环境监测智能化系统等环境保护措施所发生的费用，在实施中，中标人如未采取相应措施，结算时不计取相应费用；如在主管部门或建设单位的检查中因所采取的措施未达到要求的，结算时扣减相应费用。</w:t>
      </w:r>
    </w:p>
    <w:p w14:paraId="0763BB96">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安全文明施工的具体考核办法按发包人相关办法及要求执行。</w:t>
      </w:r>
    </w:p>
    <w:p w14:paraId="38D8C0C0">
      <w:pPr>
        <w:pStyle w:val="7"/>
        <w:rPr>
          <w:rFonts w:hint="eastAsia" w:ascii="宋体" w:hAnsi="宋体" w:cs="宋体"/>
          <w:color w:val="auto"/>
          <w:highlight w:val="none"/>
        </w:rPr>
      </w:pPr>
    </w:p>
    <w:p w14:paraId="49BCF7C1">
      <w:pPr>
        <w:pStyle w:val="7"/>
        <w:rPr>
          <w:rFonts w:hint="eastAsia" w:ascii="宋体" w:hAnsi="宋体" w:cs="宋体"/>
          <w:color w:val="auto"/>
          <w:highlight w:val="none"/>
        </w:rPr>
      </w:pPr>
    </w:p>
    <w:p w14:paraId="5BFE445B">
      <w:pPr>
        <w:pStyle w:val="7"/>
        <w:rPr>
          <w:rFonts w:hint="eastAsia" w:ascii="宋体" w:hAnsi="宋体" w:cs="宋体"/>
          <w:color w:val="auto"/>
          <w:highlight w:val="none"/>
        </w:rPr>
      </w:pP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193"/>
        <w:gridCol w:w="1289"/>
        <w:gridCol w:w="2610"/>
        <w:gridCol w:w="1241"/>
        <w:gridCol w:w="1106"/>
        <w:gridCol w:w="1076"/>
      </w:tblGrid>
      <w:tr w14:paraId="7ECA8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blHeader/>
          <w:jc w:val="center"/>
        </w:trPr>
        <w:tc>
          <w:tcPr>
            <w:tcW w:w="400" w:type="pct"/>
            <w:noWrap w:val="0"/>
            <w:vAlign w:val="center"/>
          </w:tcPr>
          <w:p w14:paraId="7457AED5">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宋体" w:hAnsi="宋体" w:cs="宋体"/>
                <w:color w:val="auto"/>
                <w:highlight w:val="none"/>
              </w:rPr>
            </w:pPr>
            <w:r>
              <w:rPr>
                <w:rFonts w:hint="eastAsia" w:ascii="宋体" w:hAnsi="宋体" w:cs="宋体"/>
                <w:color w:val="auto"/>
                <w:highlight w:val="none"/>
              </w:rPr>
              <w:t>序</w:t>
            </w:r>
          </w:p>
          <w:p w14:paraId="261D3B31">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宋体" w:hAnsi="宋体" w:cs="宋体"/>
                <w:color w:val="auto"/>
                <w:highlight w:val="none"/>
              </w:rPr>
            </w:pPr>
            <w:r>
              <w:rPr>
                <w:rFonts w:hint="eastAsia" w:ascii="宋体" w:hAnsi="宋体" w:cs="宋体"/>
                <w:color w:val="auto"/>
                <w:highlight w:val="none"/>
              </w:rPr>
              <w:t>号</w:t>
            </w:r>
          </w:p>
        </w:tc>
        <w:tc>
          <w:tcPr>
            <w:tcW w:w="644" w:type="pct"/>
            <w:noWrap w:val="0"/>
            <w:vAlign w:val="center"/>
          </w:tcPr>
          <w:p w14:paraId="3F9446C6">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ascii="宋体" w:hAnsi="宋体" w:cs="宋体"/>
                <w:color w:val="auto"/>
                <w:highlight w:val="none"/>
              </w:rPr>
            </w:pPr>
            <w:r>
              <w:rPr>
                <w:rFonts w:hint="eastAsia" w:ascii="宋体" w:hAnsi="宋体" w:cs="宋体"/>
                <w:color w:val="auto"/>
                <w:highlight w:val="none"/>
              </w:rPr>
              <w:t>费用类别</w:t>
            </w:r>
          </w:p>
        </w:tc>
        <w:tc>
          <w:tcPr>
            <w:tcW w:w="696" w:type="pct"/>
            <w:noWrap w:val="0"/>
            <w:vAlign w:val="center"/>
          </w:tcPr>
          <w:p w14:paraId="6F2569E2">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ascii="宋体" w:hAnsi="宋体" w:cs="宋体"/>
                <w:color w:val="auto"/>
                <w:highlight w:val="none"/>
              </w:rPr>
            </w:pPr>
            <w:r>
              <w:rPr>
                <w:rFonts w:hint="eastAsia" w:ascii="宋体" w:hAnsi="宋体" w:cs="宋体"/>
                <w:color w:val="auto"/>
                <w:highlight w:val="none"/>
              </w:rPr>
              <w:t>费用名称</w:t>
            </w:r>
          </w:p>
        </w:tc>
        <w:tc>
          <w:tcPr>
            <w:tcW w:w="1409" w:type="pct"/>
            <w:noWrap w:val="0"/>
            <w:vAlign w:val="center"/>
          </w:tcPr>
          <w:p w14:paraId="7D904DA4">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计费基数</w:t>
            </w:r>
          </w:p>
        </w:tc>
        <w:tc>
          <w:tcPr>
            <w:tcW w:w="670" w:type="pct"/>
            <w:noWrap w:val="0"/>
            <w:vAlign w:val="center"/>
          </w:tcPr>
          <w:p w14:paraId="696CD2EA">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宋体" w:hAnsi="宋体" w:cs="宋体"/>
                <w:color w:val="auto"/>
                <w:highlight w:val="none"/>
              </w:rPr>
            </w:pPr>
            <w:r>
              <w:rPr>
                <w:rFonts w:hint="eastAsia" w:ascii="宋体" w:hAnsi="宋体" w:cs="宋体"/>
                <w:color w:val="auto"/>
                <w:highlight w:val="none"/>
              </w:rPr>
              <w:t>园林绿化（</w:t>
            </w:r>
            <w:r>
              <w:rPr>
                <w:rFonts w:hint="eastAsia" w:ascii="宋体" w:hAnsi="宋体" w:cs="宋体"/>
                <w:color w:val="auto"/>
                <w:highlight w:val="none"/>
                <w:lang w:val="en-US" w:eastAsia="zh-CN"/>
              </w:rPr>
              <w:t>%</w:t>
            </w:r>
            <w:r>
              <w:rPr>
                <w:rFonts w:hint="eastAsia" w:ascii="宋体" w:hAnsi="宋体" w:cs="宋体"/>
                <w:color w:val="auto"/>
                <w:highlight w:val="none"/>
              </w:rPr>
              <w:t>）</w:t>
            </w:r>
          </w:p>
        </w:tc>
        <w:tc>
          <w:tcPr>
            <w:tcW w:w="597" w:type="pct"/>
            <w:noWrap w:val="0"/>
            <w:vAlign w:val="center"/>
          </w:tcPr>
          <w:p w14:paraId="2BA4E068">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宋体" w:hAnsi="宋体" w:cs="宋体"/>
                <w:color w:val="auto"/>
                <w:highlight w:val="none"/>
              </w:rPr>
            </w:pPr>
            <w:r>
              <w:rPr>
                <w:rFonts w:hint="eastAsia" w:ascii="宋体" w:hAnsi="宋体" w:cs="宋体"/>
                <w:color w:val="auto"/>
                <w:highlight w:val="none"/>
              </w:rPr>
              <w:t>市政</w:t>
            </w:r>
          </w:p>
          <w:p w14:paraId="37C053CF">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宋体" w:hAnsi="宋体" w:cs="宋体"/>
                <w:color w:val="auto"/>
                <w:highlight w:val="none"/>
              </w:rPr>
            </w:pPr>
            <w:r>
              <w:rPr>
                <w:rFonts w:hint="eastAsia" w:ascii="宋体" w:hAnsi="宋体" w:cs="宋体"/>
                <w:color w:val="auto"/>
                <w:highlight w:val="none"/>
              </w:rPr>
              <w:t>（%）</w:t>
            </w:r>
          </w:p>
        </w:tc>
        <w:tc>
          <w:tcPr>
            <w:tcW w:w="580" w:type="pct"/>
            <w:noWrap w:val="0"/>
            <w:vAlign w:val="center"/>
          </w:tcPr>
          <w:p w14:paraId="1F7E595D">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宋体" w:hAnsi="宋体" w:cs="宋体"/>
                <w:color w:val="auto"/>
                <w:highlight w:val="none"/>
              </w:rPr>
            </w:pPr>
            <w:r>
              <w:rPr>
                <w:rFonts w:hint="eastAsia" w:ascii="宋体" w:hAnsi="宋体" w:cs="宋体"/>
                <w:color w:val="auto"/>
                <w:highlight w:val="none"/>
              </w:rPr>
              <w:t>安装</w:t>
            </w:r>
          </w:p>
          <w:p w14:paraId="0AD832EB">
            <w:pPr>
              <w:keepNext w:val="0"/>
              <w:keepLines w:val="0"/>
              <w:pageBreakBefore w:val="0"/>
              <w:widowControl w:val="0"/>
              <w:kinsoku/>
              <w:wordWrap/>
              <w:overflowPunct/>
              <w:topLinePunct w:val="0"/>
              <w:autoSpaceDE w:val="0"/>
              <w:autoSpaceDN w:val="0"/>
              <w:bidi w:val="0"/>
              <w:adjustRightInd w:val="0"/>
              <w:snapToGrid w:val="0"/>
              <w:spacing w:line="360" w:lineRule="auto"/>
              <w:ind w:firstLine="210" w:firstLineChars="100"/>
              <w:jc w:val="both"/>
              <w:textAlignment w:val="auto"/>
              <w:rPr>
                <w:rFonts w:hint="eastAsia"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w:t>
            </w:r>
            <w:r>
              <w:rPr>
                <w:rFonts w:hint="eastAsia" w:ascii="宋体" w:hAnsi="宋体" w:cs="宋体"/>
                <w:color w:val="auto"/>
                <w:highlight w:val="none"/>
              </w:rPr>
              <w:t>）</w:t>
            </w:r>
          </w:p>
        </w:tc>
      </w:tr>
      <w:tr w14:paraId="7A26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0" w:type="pct"/>
            <w:noWrap w:val="0"/>
            <w:vAlign w:val="center"/>
          </w:tcPr>
          <w:p w14:paraId="2C3B8B6A">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center"/>
              <w:textAlignment w:val="auto"/>
              <w:rPr>
                <w:rFonts w:hint="eastAsia" w:ascii="宋体" w:hAnsi="宋体" w:cs="宋体"/>
                <w:color w:val="auto"/>
                <w:highlight w:val="none"/>
              </w:rPr>
            </w:pPr>
            <w:r>
              <w:rPr>
                <w:rFonts w:hint="eastAsia" w:ascii="宋体" w:hAnsi="宋体" w:cs="宋体"/>
                <w:color w:val="auto"/>
                <w:highlight w:val="none"/>
              </w:rPr>
              <w:t>1</w:t>
            </w:r>
          </w:p>
        </w:tc>
        <w:tc>
          <w:tcPr>
            <w:tcW w:w="644" w:type="pct"/>
            <w:noWrap w:val="0"/>
            <w:vAlign w:val="center"/>
          </w:tcPr>
          <w:p w14:paraId="5308EF68">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ascii="宋体" w:hAnsi="宋体" w:cs="宋体"/>
                <w:color w:val="auto"/>
                <w:highlight w:val="none"/>
              </w:rPr>
            </w:pPr>
            <w:r>
              <w:rPr>
                <w:rFonts w:hint="eastAsia" w:ascii="宋体" w:hAnsi="宋体" w:cs="宋体"/>
                <w:color w:val="auto"/>
                <w:highlight w:val="none"/>
              </w:rPr>
              <w:t>安全生产</w:t>
            </w:r>
          </w:p>
          <w:p w14:paraId="441642E5">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ascii="宋体" w:hAnsi="宋体" w:cs="宋体"/>
                <w:color w:val="auto"/>
                <w:highlight w:val="none"/>
              </w:rPr>
            </w:pPr>
            <w:r>
              <w:rPr>
                <w:rFonts w:hint="eastAsia" w:ascii="宋体" w:hAnsi="宋体" w:cs="宋体"/>
                <w:color w:val="auto"/>
                <w:highlight w:val="none"/>
              </w:rPr>
              <w:t>措施费</w:t>
            </w:r>
          </w:p>
        </w:tc>
        <w:tc>
          <w:tcPr>
            <w:tcW w:w="696" w:type="pct"/>
            <w:noWrap w:val="0"/>
            <w:vAlign w:val="center"/>
          </w:tcPr>
          <w:p w14:paraId="02279EC1">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ascii="宋体" w:hAnsi="宋体" w:cs="宋体"/>
                <w:color w:val="auto"/>
                <w:highlight w:val="none"/>
              </w:rPr>
            </w:pPr>
            <w:r>
              <w:rPr>
                <w:rFonts w:hint="eastAsia" w:ascii="宋体" w:hAnsi="宋体" w:cs="宋体"/>
                <w:color w:val="auto"/>
                <w:highlight w:val="none"/>
              </w:rPr>
              <w:t>安全生产</w:t>
            </w:r>
          </w:p>
          <w:p w14:paraId="16678740">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ascii="宋体" w:hAnsi="宋体" w:cs="宋体"/>
                <w:color w:val="auto"/>
                <w:highlight w:val="none"/>
              </w:rPr>
            </w:pPr>
            <w:r>
              <w:rPr>
                <w:rFonts w:hint="eastAsia" w:ascii="宋体" w:hAnsi="宋体" w:cs="宋体"/>
                <w:color w:val="auto"/>
                <w:highlight w:val="none"/>
              </w:rPr>
              <w:t>措施费</w:t>
            </w:r>
          </w:p>
        </w:tc>
        <w:tc>
          <w:tcPr>
            <w:tcW w:w="1409" w:type="pct"/>
            <w:noWrap w:val="0"/>
            <w:vAlign w:val="center"/>
          </w:tcPr>
          <w:p w14:paraId="641EB657">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ascii="宋体" w:hAnsi="宋体" w:cs="宋体"/>
                <w:color w:val="auto"/>
                <w:highlight w:val="none"/>
              </w:rPr>
            </w:pPr>
            <w:r>
              <w:rPr>
                <w:rFonts w:hint="eastAsia" w:ascii="宋体" w:hAnsi="宋体" w:cs="宋体"/>
                <w:color w:val="auto"/>
                <w:highlight w:val="none"/>
              </w:rPr>
              <w:t>经工程量清单缺陷和工程变更调整后的分部分项工程费-除税工程设备费</w:t>
            </w:r>
          </w:p>
        </w:tc>
        <w:tc>
          <w:tcPr>
            <w:tcW w:w="670" w:type="pct"/>
            <w:noWrap w:val="0"/>
            <w:vAlign w:val="center"/>
          </w:tcPr>
          <w:p w14:paraId="1352BCD8">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jc w:val="both"/>
              <w:textAlignment w:val="auto"/>
              <w:rPr>
                <w:rFonts w:hint="eastAsia" w:ascii="宋体" w:hAnsi="宋体" w:cs="宋体"/>
                <w:color w:val="auto"/>
                <w:highlight w:val="none"/>
              </w:rPr>
            </w:pPr>
            <w:r>
              <w:rPr>
                <w:rFonts w:hint="eastAsia" w:ascii="宋体" w:hAnsi="宋体" w:cs="宋体"/>
                <w:color w:val="auto"/>
                <w:highlight w:val="none"/>
              </w:rPr>
              <w:t>0.9</w:t>
            </w:r>
          </w:p>
        </w:tc>
        <w:tc>
          <w:tcPr>
            <w:tcW w:w="597" w:type="pct"/>
            <w:noWrap w:val="0"/>
            <w:vAlign w:val="center"/>
          </w:tcPr>
          <w:p w14:paraId="684101FD">
            <w:pPr>
              <w:keepNext w:val="0"/>
              <w:keepLines w:val="0"/>
              <w:pageBreakBefore w:val="0"/>
              <w:widowControl w:val="0"/>
              <w:kinsoku/>
              <w:wordWrap/>
              <w:overflowPunct/>
              <w:topLinePunct w:val="0"/>
              <w:autoSpaceDE w:val="0"/>
              <w:autoSpaceDN w:val="0"/>
              <w:bidi w:val="0"/>
              <w:adjustRightInd w:val="0"/>
              <w:snapToGrid w:val="0"/>
              <w:spacing w:line="360" w:lineRule="auto"/>
              <w:ind w:firstLine="210" w:firstLineChars="100"/>
              <w:jc w:val="both"/>
              <w:textAlignment w:val="auto"/>
              <w:rPr>
                <w:rFonts w:hint="eastAsia" w:ascii="宋体" w:hAnsi="宋体" w:cs="宋体"/>
                <w:color w:val="auto"/>
                <w:highlight w:val="none"/>
              </w:rPr>
            </w:pPr>
            <w:r>
              <w:rPr>
                <w:rFonts w:hint="eastAsia" w:ascii="宋体" w:hAnsi="宋体" w:cs="宋体"/>
                <w:color w:val="auto"/>
                <w:highlight w:val="none"/>
              </w:rPr>
              <w:t>1.9</w:t>
            </w:r>
          </w:p>
        </w:tc>
        <w:tc>
          <w:tcPr>
            <w:tcW w:w="580" w:type="pct"/>
            <w:noWrap w:val="0"/>
            <w:vAlign w:val="center"/>
          </w:tcPr>
          <w:p w14:paraId="04F50BBD">
            <w:pPr>
              <w:keepNext w:val="0"/>
              <w:keepLines w:val="0"/>
              <w:pageBreakBefore w:val="0"/>
              <w:widowControl w:val="0"/>
              <w:kinsoku/>
              <w:wordWrap/>
              <w:overflowPunct/>
              <w:topLinePunct w:val="0"/>
              <w:autoSpaceDE w:val="0"/>
              <w:autoSpaceDN w:val="0"/>
              <w:bidi w:val="0"/>
              <w:adjustRightInd w:val="0"/>
              <w:snapToGrid w:val="0"/>
              <w:spacing w:line="360" w:lineRule="auto"/>
              <w:ind w:firstLine="210" w:firstLineChars="100"/>
              <w:jc w:val="both"/>
              <w:textAlignment w:val="auto"/>
              <w:rPr>
                <w:rFonts w:hint="eastAsia" w:ascii="宋体" w:hAnsi="宋体" w:cs="宋体"/>
                <w:color w:val="auto"/>
                <w:highlight w:val="none"/>
              </w:rPr>
            </w:pPr>
            <w:r>
              <w:rPr>
                <w:rFonts w:hint="eastAsia" w:ascii="宋体" w:hAnsi="宋体" w:cs="宋体"/>
                <w:color w:val="auto"/>
                <w:highlight w:val="none"/>
              </w:rPr>
              <w:t>2.9</w:t>
            </w:r>
          </w:p>
        </w:tc>
      </w:tr>
    </w:tbl>
    <w:p w14:paraId="0294E296">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7</w:t>
      </w:r>
      <w:r>
        <w:rPr>
          <w:rFonts w:hint="eastAsia" w:ascii="宋体" w:hAnsi="宋体" w:cs="宋体"/>
          <w:color w:val="auto"/>
          <w:highlight w:val="none"/>
        </w:rPr>
        <w:t>、中标人须严格按图纸土壤改良要求执行，并避免选用建筑废土、沿海土壤等 pH 较高的客土。投标人在踏勘现场后，投标报价中绿化部分应包括苗木购买、种植、改善土质或换土、追肥、养护的所有费用</w:t>
      </w:r>
      <w:r>
        <w:rPr>
          <w:rFonts w:hint="eastAsia" w:ascii="宋体" w:hAnsi="宋体" w:cs="宋体"/>
          <w:color w:val="auto"/>
          <w:highlight w:val="none"/>
          <w:lang w:eastAsia="zh-CN"/>
        </w:rPr>
        <w:t>，</w:t>
      </w:r>
      <w:r>
        <w:rPr>
          <w:rFonts w:hint="eastAsia" w:ascii="宋体" w:hAnsi="宋体" w:cs="宋体"/>
          <w:color w:val="auto"/>
          <w:highlight w:val="none"/>
        </w:rPr>
        <w:t>在中标后充分考虑现场土质情况，不得因土质问题而影响苗木成活率。投标人须自行考虑“实际种植季节”，结算不得因季节增加费用和影响成活率。</w:t>
      </w:r>
    </w:p>
    <w:p w14:paraId="566C6FD4">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8</w:t>
      </w:r>
      <w:r>
        <w:rPr>
          <w:rFonts w:hint="eastAsia" w:ascii="宋体" w:hAnsi="宋体" w:cs="宋体"/>
          <w:color w:val="auto"/>
          <w:highlight w:val="none"/>
        </w:rPr>
        <w:t>、中标后，施工现场交由中标单位负责接管，此后发生土方被盗、被置换以及偷倒垃圾等问题由中标单位自行承担。</w:t>
      </w:r>
    </w:p>
    <w:p w14:paraId="78D2EB7F">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、本工程所用的材料均由投标人负责采购，由投标人和材料供应商签订供货合同，并承担全部责任。采购的材料品牌、品名、型号、规格、材质等必须经</w:t>
      </w:r>
      <w:r>
        <w:rPr>
          <w:rFonts w:hint="eastAsia" w:ascii="宋体" w:hAnsi="宋体" w:cs="宋体"/>
          <w:color w:val="auto"/>
          <w:highlight w:val="none"/>
          <w:lang w:eastAsia="zh-CN"/>
        </w:rPr>
        <w:t>发包人</w:t>
      </w:r>
      <w:r>
        <w:rPr>
          <w:rFonts w:hint="eastAsia" w:ascii="宋体" w:hAnsi="宋体" w:cs="宋体"/>
          <w:color w:val="auto"/>
          <w:highlight w:val="none"/>
        </w:rPr>
        <w:t>及监理书面认可。材料必须到</w:t>
      </w:r>
      <w:r>
        <w:rPr>
          <w:rFonts w:hint="eastAsia" w:ascii="宋体" w:hAnsi="宋体" w:cs="宋体"/>
          <w:color w:val="auto"/>
          <w:highlight w:val="none"/>
          <w:lang w:eastAsia="zh-CN"/>
        </w:rPr>
        <w:t>发包人</w:t>
      </w:r>
      <w:r>
        <w:rPr>
          <w:rFonts w:hint="eastAsia" w:ascii="宋体" w:hAnsi="宋体" w:cs="宋体"/>
          <w:color w:val="auto"/>
          <w:highlight w:val="none"/>
        </w:rPr>
        <w:t>认可的质检部门送检，合格后方可使用。</w:t>
      </w:r>
    </w:p>
    <w:p w14:paraId="774E80B9">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rPr>
        <w:t>1</w:t>
      </w:r>
      <w:r>
        <w:rPr>
          <w:rFonts w:hint="eastAsia" w:ascii="宋体" w:hAnsi="宋体" w:cs="宋体"/>
          <w:color w:val="auto"/>
          <w:highlight w:val="none"/>
          <w:lang w:val="en-US" w:eastAsia="zh-CN"/>
        </w:rPr>
        <w:t>0</w:t>
      </w:r>
      <w:r>
        <w:rPr>
          <w:rFonts w:hint="eastAsia" w:ascii="宋体" w:hAnsi="宋体" w:cs="宋体"/>
          <w:color w:val="auto"/>
          <w:highlight w:val="none"/>
        </w:rPr>
        <w:t>、</w:t>
      </w:r>
      <w:r>
        <w:rPr>
          <w:rFonts w:hint="eastAsia" w:ascii="宋体" w:hAnsi="宋体" w:cs="宋体"/>
          <w:color w:val="auto"/>
          <w:highlight w:val="none"/>
          <w:lang w:val="en-US" w:eastAsia="zh-CN"/>
        </w:rPr>
        <w:t>中标人</w:t>
      </w:r>
      <w:r>
        <w:rPr>
          <w:rFonts w:hint="eastAsia" w:ascii="宋体" w:hAnsi="宋体" w:cs="宋体"/>
          <w:color w:val="auto"/>
          <w:highlight w:val="none"/>
        </w:rPr>
        <w:t>进场后，应对施工区域周边地下管线进行细致勘察，对施工图的各项数据进行复测，并请监理监督见证，留下全过程影像资料。</w:t>
      </w:r>
      <w:r>
        <w:rPr>
          <w:rFonts w:hint="eastAsia" w:ascii="宋体" w:hAnsi="宋体" w:cs="宋体"/>
          <w:color w:val="auto"/>
          <w:highlight w:val="none"/>
          <w:lang w:val="en-US" w:eastAsia="zh-CN"/>
        </w:rPr>
        <w:t>此项费用在报价中综合考虑，不另行计取。</w:t>
      </w:r>
    </w:p>
    <w:p w14:paraId="7C4C0A49">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1</w:t>
      </w:r>
      <w:r>
        <w:rPr>
          <w:rFonts w:hint="eastAsia" w:ascii="宋体" w:hAnsi="宋体" w:cs="宋体"/>
          <w:color w:val="auto"/>
          <w:highlight w:val="none"/>
        </w:rPr>
        <w:t>、中标单位必须保护现有道路、结构物等成品，如有损坏，应按照不低于原设计标准恢复，费用自行承担。</w:t>
      </w:r>
    </w:p>
    <w:p w14:paraId="01451134">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2</w:t>
      </w:r>
      <w:r>
        <w:rPr>
          <w:rFonts w:hint="eastAsia" w:ascii="宋体" w:hAnsi="宋体" w:cs="宋体"/>
          <w:color w:val="auto"/>
          <w:highlight w:val="none"/>
        </w:rPr>
        <w:t>、投标单位应充分考虑工程实施范围内外的单位、个人和其他可能出现的阻挠施工所发生的费用，以及因类似问题引起的工期延误所发生的费用，</w:t>
      </w:r>
      <w:r>
        <w:rPr>
          <w:rFonts w:hint="eastAsia" w:ascii="宋体" w:hAnsi="宋体" w:cs="宋体"/>
          <w:color w:val="auto"/>
          <w:highlight w:val="none"/>
          <w:lang w:eastAsia="zh-CN"/>
        </w:rPr>
        <w:t>发包人</w:t>
      </w:r>
      <w:r>
        <w:rPr>
          <w:rFonts w:hint="eastAsia" w:ascii="宋体" w:hAnsi="宋体" w:cs="宋体"/>
          <w:color w:val="auto"/>
          <w:highlight w:val="none"/>
        </w:rPr>
        <w:t>不再承担此类费用。</w:t>
      </w:r>
    </w:p>
    <w:p w14:paraId="4F281BA1">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3</w:t>
      </w:r>
      <w:r>
        <w:rPr>
          <w:rFonts w:hint="eastAsia" w:ascii="宋体" w:hAnsi="宋体" w:cs="宋体"/>
          <w:color w:val="auto"/>
          <w:highlight w:val="none"/>
        </w:rPr>
        <w:t>、建筑垃圾外运根据最新相关规定执行，并需经现场监理、甲方确定相关工程量。</w:t>
      </w:r>
    </w:p>
    <w:p w14:paraId="19BBE15C">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14、中标人</w:t>
      </w:r>
      <w:r>
        <w:rPr>
          <w:rFonts w:hint="eastAsia" w:ascii="宋体" w:hAnsi="宋体" w:cs="宋体"/>
          <w:color w:val="auto"/>
          <w:highlight w:val="none"/>
        </w:rPr>
        <w:t>进场后对原有已施工排污、排水管道的摸排检查及施工周期内的维护、疏通等相关管理费用，在报价过程中综合考虑，不再单独计取。</w:t>
      </w:r>
    </w:p>
    <w:p w14:paraId="76B411BD">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15</w:t>
      </w:r>
      <w:r>
        <w:rPr>
          <w:rFonts w:hint="eastAsia" w:ascii="宋体" w:hAnsi="宋体" w:cs="宋体"/>
          <w:color w:val="auto"/>
          <w:highlight w:val="none"/>
        </w:rPr>
        <w:t>、本工程施工期间涉及环保、消防、城市卫生、市政等相关部门收取的费用，以及夜间文明施工、保护周边地下管线和架空线的安全的费用等，投标人均应综合考虑在投标报价中，竣工结算时一律不作调整。</w:t>
      </w:r>
    </w:p>
    <w:p w14:paraId="1DEDEF01">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16</w:t>
      </w:r>
      <w:r>
        <w:rPr>
          <w:rFonts w:hint="eastAsia" w:ascii="宋体" w:hAnsi="宋体" w:cs="宋体"/>
          <w:color w:val="auto"/>
          <w:highlight w:val="none"/>
        </w:rPr>
        <w:t>、本工程所有石材，现场施工前，需提供样品，具体材质、颜色、纹路等经</w:t>
      </w:r>
      <w:r>
        <w:rPr>
          <w:rFonts w:hint="eastAsia" w:ascii="宋体" w:hAnsi="宋体" w:cs="宋体"/>
          <w:color w:val="auto"/>
          <w:highlight w:val="none"/>
          <w:lang w:eastAsia="zh-CN"/>
        </w:rPr>
        <w:t>发包人</w:t>
      </w:r>
      <w:r>
        <w:rPr>
          <w:rFonts w:hint="eastAsia" w:ascii="宋体" w:hAnsi="宋体" w:cs="宋体"/>
          <w:color w:val="auto"/>
          <w:highlight w:val="none"/>
        </w:rPr>
        <w:t>和设计认可并封样后方可施工，材料、价格一律不做调整</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本工程中造型路灯、造型树等有特殊要求的材料，施工前需经监理、发包人和主管部门确认后方可施工。</w:t>
      </w:r>
    </w:p>
    <w:p w14:paraId="19404F38">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17</w:t>
      </w:r>
      <w:r>
        <w:rPr>
          <w:rFonts w:hint="eastAsia" w:ascii="宋体" w:hAnsi="宋体" w:cs="宋体"/>
          <w:color w:val="auto"/>
          <w:highlight w:val="none"/>
        </w:rPr>
        <w:t>、发包人委托中标人办理交通管制的行政审批的申请手续，通告费由中标人负责，交通管制所涉及的其他一切费用列入工程报价中。中标人施工期间的交通组织原则上按照交警部门审批通过的交通组织设计方案执行。施工区所有交通设施必须在交警部门的指导下设置，并满足交警部门的要求。投标人还应结合各自的施工方案和现场实际，设置临时便道、便桥、门架、门洞。上述各种组织措施（包括各种临时标牌、临时便道、便桥、门架、门洞等）的所有费用综合考虑在投标报价中。</w:t>
      </w:r>
    </w:p>
    <w:p w14:paraId="148E8226">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18、</w:t>
      </w:r>
      <w:r>
        <w:rPr>
          <w:rFonts w:hint="eastAsia" w:ascii="宋体" w:hAnsi="宋体" w:cs="宋体"/>
          <w:color w:val="auto"/>
          <w:highlight w:val="none"/>
        </w:rPr>
        <w:t>本工程在实施过程中可能会受到季节、气候的影响，对于可能发生的回填土处理，请各投标人结合工程实际情况在施工方案中写明应该采用的相应措施，以确保工程质量和工期，相关费用综合考虑在投标报价中。</w:t>
      </w:r>
    </w:p>
    <w:p w14:paraId="7087238E">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19、</w:t>
      </w:r>
      <w:r>
        <w:rPr>
          <w:rFonts w:hint="eastAsia" w:ascii="宋体" w:hAnsi="宋体" w:cs="宋体"/>
          <w:color w:val="auto"/>
          <w:highlight w:val="none"/>
        </w:rPr>
        <w:t>本工程</w:t>
      </w:r>
      <w:r>
        <w:rPr>
          <w:rFonts w:hint="eastAsia" w:ascii="宋体" w:hAnsi="宋体" w:cs="宋体"/>
          <w:color w:val="auto"/>
          <w:highlight w:val="none"/>
          <w:lang w:val="en-US" w:eastAsia="zh-CN"/>
        </w:rPr>
        <w:t>通用</w:t>
      </w:r>
      <w:r>
        <w:rPr>
          <w:rFonts w:hint="eastAsia" w:ascii="宋体" w:hAnsi="宋体" w:cs="宋体"/>
          <w:color w:val="auto"/>
          <w:highlight w:val="none"/>
        </w:rPr>
        <w:t>措施项目为固定费率，《</w:t>
      </w:r>
      <w:r>
        <w:rPr>
          <w:rFonts w:hint="eastAsia" w:ascii="宋体" w:hAnsi="宋体" w:cs="宋体"/>
          <w:color w:val="auto"/>
          <w:highlight w:val="none"/>
          <w:lang w:val="en-US" w:eastAsia="zh-CN"/>
        </w:rPr>
        <w:t>通用</w:t>
      </w:r>
      <w:r>
        <w:rPr>
          <w:rFonts w:hint="eastAsia" w:ascii="宋体" w:hAnsi="宋体" w:cs="宋体"/>
          <w:color w:val="auto"/>
          <w:highlight w:val="none"/>
        </w:rPr>
        <w:t>措施项目清单》中</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安全生产</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措施项目单独列项足额计取，其他费用均作为常规措施费纳入可竞争范围。</w:t>
      </w:r>
    </w:p>
    <w:p w14:paraId="7D60DB9C">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lang w:eastAsia="zh-CN"/>
        </w:rPr>
      </w:pPr>
      <w:r>
        <w:rPr>
          <w:rFonts w:hint="eastAsia" w:ascii="宋体" w:hAnsi="宋体" w:cs="宋体"/>
          <w:color w:val="auto"/>
          <w:highlight w:val="none"/>
          <w:lang w:val="en-US" w:eastAsia="zh-CN"/>
        </w:rPr>
        <w:t>20</w:t>
      </w:r>
      <w:r>
        <w:rPr>
          <w:rFonts w:hint="eastAsia" w:ascii="宋体" w:hAnsi="宋体" w:cs="宋体"/>
          <w:color w:val="auto"/>
          <w:highlight w:val="none"/>
        </w:rPr>
        <w:t>、投标单位可根据设计资料及现场实际情况，并结合施工方案和相关施工经验自行考虑措施，超出</w:t>
      </w:r>
      <w:r>
        <w:rPr>
          <w:rFonts w:hint="eastAsia" w:ascii="宋体" w:hAnsi="宋体" w:cs="宋体"/>
          <w:color w:val="auto"/>
          <w:highlight w:val="none"/>
          <w:lang w:eastAsia="zh-CN"/>
        </w:rPr>
        <w:t>发包人</w:t>
      </w:r>
      <w:r>
        <w:rPr>
          <w:rFonts w:hint="eastAsia" w:ascii="宋体" w:hAnsi="宋体" w:cs="宋体"/>
          <w:color w:val="auto"/>
          <w:highlight w:val="none"/>
        </w:rPr>
        <w:t>给定措施范围的措施费，投标人可在单价措施中“其他</w:t>
      </w:r>
      <w:r>
        <w:rPr>
          <w:rFonts w:hint="eastAsia" w:ascii="宋体" w:hAnsi="宋体" w:cs="宋体"/>
          <w:color w:val="auto"/>
          <w:highlight w:val="none"/>
          <w:lang w:val="en-US" w:eastAsia="zh-CN"/>
        </w:rPr>
        <w:t>措施项</w:t>
      </w:r>
      <w:r>
        <w:rPr>
          <w:rFonts w:hint="eastAsia" w:ascii="宋体" w:hAnsi="宋体" w:cs="宋体"/>
          <w:color w:val="auto"/>
          <w:highlight w:val="none"/>
        </w:rPr>
        <w:t>”并对其进行报价，该项费用</w:t>
      </w:r>
      <w:r>
        <w:rPr>
          <w:rFonts w:hint="eastAsia" w:ascii="宋体" w:hAnsi="宋体" w:cs="宋体"/>
          <w:color w:val="auto"/>
          <w:highlight w:val="none"/>
          <w:lang w:val="en-US" w:eastAsia="zh-CN"/>
        </w:rPr>
        <w:t>合价</w:t>
      </w:r>
      <w:r>
        <w:rPr>
          <w:rFonts w:hint="eastAsia" w:ascii="宋体" w:hAnsi="宋体" w:cs="宋体"/>
          <w:color w:val="auto"/>
          <w:highlight w:val="none"/>
        </w:rPr>
        <w:t>包</w:t>
      </w:r>
      <w:r>
        <w:rPr>
          <w:rFonts w:hint="eastAsia" w:ascii="宋体" w:hAnsi="宋体" w:cs="宋体"/>
          <w:color w:val="auto"/>
          <w:highlight w:val="none"/>
          <w:lang w:val="en-US" w:eastAsia="zh-CN"/>
        </w:rPr>
        <w:t>干</w:t>
      </w:r>
      <w:r>
        <w:rPr>
          <w:rFonts w:hint="eastAsia" w:ascii="宋体" w:hAnsi="宋体" w:cs="宋体"/>
          <w:color w:val="auto"/>
          <w:highlight w:val="none"/>
        </w:rPr>
        <w:t>并需要提供详细的计算书。不论投标人如何报价，以“项”为单位合价包干的项目结算时均不予调整（包含分部分项工程量清单中以项为单位的清单项）</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合同另有约定的除外</w:t>
      </w:r>
      <w:r>
        <w:rPr>
          <w:rFonts w:hint="eastAsia" w:ascii="宋体" w:hAnsi="宋体" w:cs="宋体"/>
          <w:color w:val="auto"/>
          <w:highlight w:val="none"/>
          <w:lang w:eastAsia="zh-CN"/>
        </w:rPr>
        <w:t>。</w:t>
      </w:r>
    </w:p>
    <w:p w14:paraId="23A6D47D">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21</w:t>
      </w:r>
      <w:r>
        <w:rPr>
          <w:rFonts w:hint="eastAsia" w:ascii="宋体" w:hAnsi="宋体" w:cs="宋体"/>
          <w:color w:val="auto"/>
          <w:highlight w:val="none"/>
        </w:rPr>
        <w:t>、设计图纸中若有施工方案，</w:t>
      </w:r>
      <w:r>
        <w:rPr>
          <w:rFonts w:hint="eastAsia" w:ascii="宋体" w:hAnsi="宋体" w:cs="宋体"/>
          <w:color w:val="auto"/>
          <w:highlight w:val="none"/>
          <w:lang w:val="en-US" w:eastAsia="zh-CN"/>
        </w:rPr>
        <w:t>如</w:t>
      </w:r>
      <w:r>
        <w:rPr>
          <w:rFonts w:hint="eastAsia" w:ascii="宋体" w:hAnsi="宋体" w:cs="宋体"/>
          <w:color w:val="auto"/>
          <w:highlight w:val="none"/>
        </w:rPr>
        <w:t>投标人</w:t>
      </w:r>
      <w:r>
        <w:rPr>
          <w:rFonts w:hint="eastAsia" w:ascii="宋体" w:hAnsi="宋体" w:cs="宋体"/>
          <w:color w:val="auto"/>
          <w:highlight w:val="none"/>
          <w:lang w:val="en-US" w:eastAsia="zh-CN"/>
        </w:rPr>
        <w:t>需做调整，</w:t>
      </w:r>
      <w:r>
        <w:rPr>
          <w:rFonts w:hint="eastAsia" w:ascii="宋体" w:hAnsi="宋体" w:cs="宋体"/>
          <w:color w:val="auto"/>
          <w:highlight w:val="none"/>
        </w:rPr>
        <w:t>在该子项目开工前详细写清调整后的施工方案。调整后的施工方案在得到监理人、发包人</w:t>
      </w:r>
      <w:r>
        <w:rPr>
          <w:rFonts w:hint="eastAsia" w:ascii="宋体" w:hAnsi="宋体" w:cs="宋体"/>
          <w:color w:val="auto"/>
          <w:highlight w:val="none"/>
          <w:lang w:eastAsia="zh-CN"/>
        </w:rPr>
        <w:t>、</w:t>
      </w:r>
      <w:r>
        <w:rPr>
          <w:rFonts w:hint="eastAsia" w:ascii="宋体" w:hAnsi="宋体" w:cs="宋体"/>
          <w:color w:val="auto"/>
          <w:highlight w:val="none"/>
        </w:rPr>
        <w:t>设计单位认可并办理完成相关手续后方可实施。除非证明原设计错误、无法实施，否则如该调整的方案整体增加了发包人的费用，则增加的费用由</w:t>
      </w:r>
      <w:r>
        <w:rPr>
          <w:rFonts w:hint="eastAsia" w:ascii="宋体" w:hAnsi="宋体" w:cs="宋体"/>
          <w:color w:val="auto"/>
          <w:highlight w:val="none"/>
          <w:lang w:eastAsia="zh-CN"/>
        </w:rPr>
        <w:t>中标人</w:t>
      </w:r>
      <w:r>
        <w:rPr>
          <w:rFonts w:hint="eastAsia" w:ascii="宋体" w:hAnsi="宋体" w:cs="宋体"/>
          <w:color w:val="auto"/>
          <w:highlight w:val="none"/>
        </w:rPr>
        <w:t>承担。投标人须认真仔细地踏勘现场，有针对性地编写施工组织设计，做到一旦中标，即能按确定的施工组织设计快速进场组织施工。</w:t>
      </w:r>
    </w:p>
    <w:p w14:paraId="6ADE58D4">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22</w:t>
      </w:r>
      <w:r>
        <w:rPr>
          <w:rFonts w:hint="eastAsia" w:ascii="宋体" w:hAnsi="宋体" w:cs="宋体"/>
          <w:color w:val="auto"/>
          <w:highlight w:val="none"/>
        </w:rPr>
        <w:t>、各投标人应根据工期配备足够的施工设备、模板、支架设备，以确保工程如期完成，所需投入的一切费用均列入投标报价中。</w:t>
      </w:r>
    </w:p>
    <w:p w14:paraId="7C81AE1B">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23</w:t>
      </w:r>
      <w:r>
        <w:rPr>
          <w:rFonts w:hint="eastAsia" w:ascii="宋体" w:hAnsi="宋体" w:cs="宋体"/>
          <w:color w:val="auto"/>
          <w:highlight w:val="none"/>
        </w:rPr>
        <w:t>、本工程施工临时用水引入、临时用电引入，投标人应自行解决，其费用综合考虑在清单报价中，投标人须结合施工方案进行报价。现场的临时用电、临时用水和栽植、灌溉、养护用水不单独计量，投标人应自行考虑可能产生的发电机、洒水车等其他费用。以上费用结算时均不再单独计取。</w:t>
      </w:r>
    </w:p>
    <w:p w14:paraId="4C916976">
      <w:pPr>
        <w:keepNext w:val="0"/>
        <w:keepLines w:val="0"/>
        <w:pageBreakBefore w:val="0"/>
        <w:widowControl w:val="0"/>
        <w:kinsoku/>
        <w:wordWrap/>
        <w:overflowPunct/>
        <w:topLinePunct w:val="0"/>
        <w:bidi w:val="0"/>
        <w:snapToGrid w:val="0"/>
        <w:spacing w:line="360" w:lineRule="auto"/>
        <w:textAlignment w:val="auto"/>
        <w:rPr>
          <w:rFonts w:ascii="宋体" w:hAnsi="宋体" w:cs="宋体"/>
          <w:b/>
          <w:bCs/>
          <w:color w:val="auto"/>
          <w:highlight w:val="none"/>
        </w:rPr>
      </w:pPr>
      <w:r>
        <w:rPr>
          <w:rFonts w:hint="eastAsia" w:ascii="宋体" w:hAnsi="宋体" w:cs="宋体"/>
          <w:b/>
          <w:bCs/>
          <w:color w:val="auto"/>
          <w:highlight w:val="none"/>
        </w:rPr>
        <w:t>二、特殊报价说明</w:t>
      </w:r>
    </w:p>
    <w:p w14:paraId="02F6FE0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1、工程量清单列出的每个细目已包括涉及与该细目有关的全部工程内容，投标人应将工程量清单与招标文件、合同通用条款、专用条款</w:t>
      </w:r>
      <w:r>
        <w:rPr>
          <w:rFonts w:hint="eastAsia" w:ascii="宋体" w:hAnsi="宋体" w:cs="宋体"/>
          <w:color w:val="auto"/>
          <w:highlight w:val="none"/>
          <w:lang w:eastAsia="zh-CN"/>
        </w:rPr>
        <w:t>、</w:t>
      </w:r>
      <w:r>
        <w:rPr>
          <w:rFonts w:hint="eastAsia" w:ascii="宋体" w:hAnsi="宋体" w:cs="宋体"/>
          <w:color w:val="auto"/>
          <w:highlight w:val="none"/>
        </w:rPr>
        <w:t>技术规范</w:t>
      </w:r>
      <w:r>
        <w:rPr>
          <w:rFonts w:hint="eastAsia" w:ascii="宋体" w:hAnsi="宋体" w:cs="宋体"/>
          <w:color w:val="auto"/>
          <w:highlight w:val="none"/>
          <w:lang w:eastAsia="zh-CN"/>
        </w:rPr>
        <w:t>、</w:t>
      </w:r>
      <w:r>
        <w:rPr>
          <w:rFonts w:hint="eastAsia" w:ascii="宋体" w:hAnsi="宋体" w:cs="宋体"/>
          <w:color w:val="auto"/>
          <w:highlight w:val="none"/>
        </w:rPr>
        <w:t>图纸</w:t>
      </w:r>
      <w:r>
        <w:rPr>
          <w:rFonts w:hint="eastAsia"/>
          <w:highlight w:val="none"/>
          <w:lang w:val="en-US" w:eastAsia="zh-CN"/>
        </w:rPr>
        <w:t>和其他补充说明资料</w:t>
      </w:r>
      <w:r>
        <w:rPr>
          <w:rFonts w:hint="eastAsia" w:ascii="宋体" w:hAnsi="宋体" w:cs="宋体"/>
          <w:color w:val="auto"/>
          <w:highlight w:val="none"/>
        </w:rPr>
        <w:t>一起对照阅读。</w:t>
      </w:r>
    </w:p>
    <w:p w14:paraId="59E4241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2、除非合同另有规定，工程量清单中每一项单价均应已包括完成相应该项目的工程内容所需的所有人工费、材料费、机械使用费、管理费、利润</w:t>
      </w:r>
      <w:r>
        <w:rPr>
          <w:rFonts w:hint="eastAsia" w:ascii="宋体" w:hAnsi="宋体" w:cs="宋体"/>
          <w:color w:val="auto"/>
          <w:highlight w:val="none"/>
          <w:lang w:val="en-US" w:eastAsia="zh-CN"/>
        </w:rPr>
        <w:t>等</w:t>
      </w:r>
      <w:r>
        <w:rPr>
          <w:rFonts w:hint="eastAsia" w:ascii="宋体" w:hAnsi="宋体" w:cs="宋体"/>
          <w:color w:val="auto"/>
          <w:highlight w:val="none"/>
        </w:rPr>
        <w:t>，并</w:t>
      </w:r>
      <w:r>
        <w:rPr>
          <w:rFonts w:hint="eastAsia" w:ascii="宋体" w:hAnsi="宋体" w:cs="宋体"/>
          <w:color w:val="auto"/>
          <w:highlight w:val="none"/>
          <w:lang w:val="en-US" w:eastAsia="zh-CN"/>
        </w:rPr>
        <w:t>将</w:t>
      </w:r>
      <w:r>
        <w:rPr>
          <w:rFonts w:hint="eastAsia" w:ascii="宋体" w:hAnsi="宋体" w:cs="宋体"/>
          <w:color w:val="auto"/>
          <w:highlight w:val="none"/>
        </w:rPr>
        <w:t>风险因素</w:t>
      </w:r>
      <w:r>
        <w:rPr>
          <w:rFonts w:hint="eastAsia" w:ascii="宋体" w:hAnsi="宋体" w:cs="宋体"/>
          <w:color w:val="auto"/>
          <w:highlight w:val="none"/>
          <w:lang w:eastAsia="zh-CN"/>
        </w:rPr>
        <w:t>、</w:t>
      </w:r>
      <w:r>
        <w:rPr>
          <w:rFonts w:hint="eastAsia" w:ascii="宋体" w:hAnsi="宋体" w:cs="宋体"/>
          <w:color w:val="auto"/>
          <w:highlight w:val="none"/>
        </w:rPr>
        <w:t>测量、检测等配合费用</w:t>
      </w:r>
      <w:r>
        <w:rPr>
          <w:rFonts w:hint="eastAsia" w:ascii="宋体" w:hAnsi="宋体" w:cs="宋体"/>
          <w:color w:val="auto"/>
          <w:highlight w:val="none"/>
          <w:lang w:val="en-US" w:eastAsia="zh-CN"/>
        </w:rPr>
        <w:t>考虑入</w:t>
      </w:r>
      <w:r>
        <w:rPr>
          <w:rFonts w:hint="eastAsia" w:ascii="宋体" w:hAnsi="宋体" w:cs="宋体"/>
          <w:color w:val="auto"/>
          <w:highlight w:val="none"/>
        </w:rPr>
        <w:t>综合单价中。</w:t>
      </w:r>
    </w:p>
    <w:p w14:paraId="2BEF18A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3、投标人应填写工程量清单中所有工程细目的价格，凡技术规范和图纸中注明的工程内容，如在清单中未列项，均应视为包含在其它相关项目中。</w:t>
      </w:r>
    </w:p>
    <w:p w14:paraId="5D2B352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4、工程实体项目计量规则的“尺寸”均指构成永久结构工程以净尺寸为准。</w:t>
      </w:r>
    </w:p>
    <w:p w14:paraId="41ED599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5、各投标人应结合设计、地勘报告招标文件到现场进行详细调研和访查，综合考虑地上、地下障碍物，不仅限于可见或不可见，已拆除、正在拆除或未拆除等所有情况。</w:t>
      </w:r>
    </w:p>
    <w:p w14:paraId="2067CA70">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6、钢筋的所有搭接均应在综合单价中考虑不予计量。钢筋施工无论采用何种连接方式（搭接、焊接还是机械连接等）</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现浇构件中固定位置的支撑钢筋、双层钢筋用的“铁马”不管在施工图纸中明确或未明确的，均不再单独计量</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相关费用在钢筋制作安装综合单价中考虑。</w:t>
      </w:r>
    </w:p>
    <w:p w14:paraId="6983C66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7、种植土回填包含：</w:t>
      </w:r>
      <w:r>
        <w:rPr>
          <w:rFonts w:hint="eastAsia" w:ascii="宋体" w:hAnsi="宋体" w:eastAsia="宋体" w:cs="宋体"/>
          <w:color w:val="auto"/>
          <w:sz w:val="21"/>
          <w:szCs w:val="21"/>
          <w:highlight w:val="none"/>
        </w:rPr>
        <w:t>造型土方回填、种植土回（换）填</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填苗木树穴土方、购土回填</w:t>
      </w:r>
      <w:r>
        <w:rPr>
          <w:rFonts w:hint="eastAsia" w:ascii="宋体" w:hAnsi="宋体" w:cs="宋体"/>
          <w:color w:val="auto"/>
          <w:sz w:val="21"/>
          <w:szCs w:val="21"/>
          <w:highlight w:val="none"/>
          <w:lang w:val="en-US" w:eastAsia="zh-CN"/>
        </w:rPr>
        <w:t>等</w:t>
      </w:r>
      <w:r>
        <w:rPr>
          <w:rFonts w:hint="eastAsia" w:ascii="宋体" w:hAnsi="宋体" w:cs="宋体"/>
          <w:color w:val="auto"/>
          <w:sz w:val="21"/>
          <w:szCs w:val="21"/>
          <w:highlight w:val="none"/>
          <w:lang w:eastAsia="zh-CN"/>
        </w:rPr>
        <w:t>。</w:t>
      </w:r>
    </w:p>
    <w:p w14:paraId="213F6BB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宋体"/>
          <w:color w:val="auto"/>
          <w:highlight w:val="none"/>
          <w:u w:val="none"/>
        </w:rPr>
      </w:pPr>
      <w:r>
        <w:rPr>
          <w:rFonts w:hint="eastAsia" w:ascii="宋体" w:hAnsi="宋体" w:cs="宋体"/>
          <w:color w:val="auto"/>
          <w:sz w:val="21"/>
          <w:szCs w:val="21"/>
          <w:highlight w:val="none"/>
          <w:lang w:val="en-US" w:eastAsia="zh-CN"/>
        </w:rPr>
        <w:t>8、</w:t>
      </w:r>
      <w:r>
        <w:rPr>
          <w:rFonts w:hint="eastAsia" w:ascii="宋体" w:hAnsi="宋体" w:cs="宋体"/>
          <w:color w:val="auto"/>
          <w:highlight w:val="none"/>
          <w:u w:val="none"/>
          <w:lang w:val="en-US" w:eastAsia="zh-CN"/>
        </w:rPr>
        <w:t>余方弃置包含：</w:t>
      </w:r>
      <w:r>
        <w:rPr>
          <w:rFonts w:hint="eastAsia" w:ascii="宋体" w:hAnsi="宋体" w:cs="宋体"/>
          <w:color w:val="auto"/>
          <w:highlight w:val="none"/>
          <w:u w:val="none"/>
        </w:rPr>
        <w:t>土石方、泥浆、建筑垃圾等的外运</w:t>
      </w:r>
      <w:r>
        <w:rPr>
          <w:rFonts w:hint="eastAsia" w:ascii="宋体" w:hAnsi="宋体" w:cs="宋体"/>
          <w:color w:val="auto"/>
          <w:highlight w:val="none"/>
          <w:u w:val="none"/>
          <w:lang w:eastAsia="zh-CN"/>
        </w:rPr>
        <w:t>、</w:t>
      </w:r>
      <w:r>
        <w:rPr>
          <w:rFonts w:hint="eastAsia" w:ascii="宋体" w:hAnsi="宋体" w:cs="宋体"/>
          <w:color w:val="auto"/>
          <w:highlight w:val="none"/>
          <w:u w:val="none"/>
        </w:rPr>
        <w:t>运距、运输要求、弃土地点</w:t>
      </w:r>
      <w:r>
        <w:rPr>
          <w:rFonts w:hint="eastAsia" w:ascii="宋体" w:hAnsi="宋体" w:cs="宋体"/>
          <w:color w:val="auto"/>
          <w:highlight w:val="none"/>
          <w:u w:val="none"/>
          <w:lang w:val="en-US" w:eastAsia="zh-CN"/>
        </w:rPr>
        <w:t>等</w:t>
      </w:r>
      <w:r>
        <w:rPr>
          <w:rFonts w:hint="eastAsia" w:ascii="宋体" w:hAnsi="宋体" w:cs="宋体"/>
          <w:color w:val="auto"/>
          <w:highlight w:val="none"/>
          <w:u w:val="none"/>
        </w:rPr>
        <w:t>由投标人自行考虑，但必须满足南通市有关运输土方的相关规定。</w:t>
      </w:r>
    </w:p>
    <w:p w14:paraId="60D555D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highlight w:val="none"/>
          <w:u w:val="none"/>
          <w:lang w:val="en-US" w:eastAsia="zh-CN"/>
        </w:rPr>
        <w:t>9、</w:t>
      </w:r>
      <w:r>
        <w:rPr>
          <w:rFonts w:hint="eastAsia" w:ascii="宋体" w:hAnsi="宋体" w:eastAsia="宋体" w:cs="宋体"/>
          <w:color w:val="auto"/>
          <w:sz w:val="21"/>
          <w:szCs w:val="21"/>
          <w:highlight w:val="none"/>
        </w:rPr>
        <w:t>拆除并清运构筑物：按实计量</w:t>
      </w:r>
      <w:r>
        <w:rPr>
          <w:rFonts w:hint="eastAsia" w:ascii="宋体" w:hAnsi="宋体" w:cs="宋体"/>
          <w:color w:val="auto"/>
          <w:sz w:val="21"/>
          <w:szCs w:val="21"/>
          <w:highlight w:val="none"/>
          <w:lang w:eastAsia="zh-CN"/>
        </w:rPr>
        <w:t>，中标人</w:t>
      </w:r>
      <w:r>
        <w:rPr>
          <w:rFonts w:hint="eastAsia" w:ascii="宋体" w:hAnsi="宋体" w:eastAsia="宋体" w:cs="宋体"/>
          <w:color w:val="auto"/>
          <w:sz w:val="21"/>
          <w:szCs w:val="21"/>
          <w:highlight w:val="none"/>
        </w:rPr>
        <w:t>应当按照规范要求处置到位并符合设计文件和质量检验标准要求，运距综合考虑。</w:t>
      </w:r>
    </w:p>
    <w:p w14:paraId="49F7D3B0">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highlight w:val="none"/>
          <w:u w:val="none"/>
        </w:rPr>
      </w:pPr>
      <w:r>
        <w:rPr>
          <w:rFonts w:hint="eastAsia" w:ascii="宋体" w:hAnsi="宋体" w:cs="宋体"/>
          <w:color w:val="auto"/>
          <w:highlight w:val="none"/>
          <w:u w:val="none"/>
          <w:lang w:val="en-US" w:eastAsia="zh-CN"/>
        </w:rPr>
        <w:t>10</w:t>
      </w:r>
      <w:r>
        <w:rPr>
          <w:rFonts w:hint="eastAsia" w:ascii="宋体" w:hAnsi="宋体" w:cs="宋体"/>
          <w:color w:val="auto"/>
          <w:highlight w:val="none"/>
          <w:u w:val="none"/>
        </w:rPr>
        <w:t>、本项目土石方工程，投标人应自行考虑土石方平衡，</w:t>
      </w:r>
      <w:r>
        <w:rPr>
          <w:rFonts w:hint="eastAsia" w:ascii="宋体" w:hAnsi="宋体" w:eastAsia="宋体" w:cs="宋体"/>
          <w:color w:val="auto"/>
          <w:sz w:val="21"/>
          <w:szCs w:val="21"/>
          <w:highlight w:val="none"/>
          <w:u w:val="none"/>
        </w:rPr>
        <w:t>土方回填项目所需土源优先考虑利用开挖出土方</w:t>
      </w:r>
      <w:r>
        <w:rPr>
          <w:rFonts w:hint="eastAsia" w:ascii="宋体" w:hAnsi="宋体" w:cs="宋体"/>
          <w:color w:val="auto"/>
          <w:sz w:val="21"/>
          <w:szCs w:val="21"/>
          <w:highlight w:val="none"/>
          <w:u w:val="none"/>
          <w:lang w:eastAsia="zh-CN"/>
        </w:rPr>
        <w:t>，</w:t>
      </w:r>
      <w:r>
        <w:rPr>
          <w:rFonts w:hint="eastAsia" w:ascii="宋体" w:hAnsi="宋体" w:eastAsia="宋体" w:cs="宋体"/>
          <w:color w:val="auto"/>
          <w:sz w:val="21"/>
          <w:szCs w:val="21"/>
          <w:highlight w:val="none"/>
          <w:u w:val="none"/>
        </w:rPr>
        <w:t>即该部分余方弃置工程量为开挖量扣除回填量。</w:t>
      </w:r>
      <w:r>
        <w:rPr>
          <w:rFonts w:hint="eastAsia" w:ascii="宋体" w:hAnsi="宋体" w:cs="宋体"/>
          <w:color w:val="auto"/>
          <w:highlight w:val="none"/>
          <w:u w:val="none"/>
        </w:rPr>
        <w:t>施工现场自行考虑堆土，所有回填土方均由投标人考虑相关短驳运费、来源及运费。</w:t>
      </w:r>
    </w:p>
    <w:p w14:paraId="4B9263B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szCs w:val="22"/>
          <w:highlight w:val="none"/>
          <w:lang w:val="en-US" w:eastAsia="zh-CN"/>
        </w:rPr>
        <w:t>11</w:t>
      </w:r>
      <w:r>
        <w:rPr>
          <w:rFonts w:hint="eastAsia" w:ascii="宋体" w:hAnsi="宋体" w:cs="宋体"/>
          <w:color w:val="auto"/>
          <w:szCs w:val="22"/>
          <w:highlight w:val="none"/>
        </w:rPr>
        <w:t>、</w:t>
      </w:r>
      <w:r>
        <w:rPr>
          <w:rFonts w:hint="eastAsia" w:ascii="宋体" w:hAnsi="宋体" w:cs="宋体"/>
          <w:color w:val="auto"/>
          <w:highlight w:val="none"/>
        </w:rPr>
        <w:t>本工程中涉及的</w:t>
      </w:r>
      <w:r>
        <w:rPr>
          <w:rFonts w:hint="eastAsia" w:ascii="宋体" w:hAnsi="宋体" w:cs="宋体"/>
          <w:color w:val="auto"/>
          <w:highlight w:val="none"/>
          <w:lang w:val="en-US" w:eastAsia="zh-CN"/>
        </w:rPr>
        <w:t>新种</w:t>
      </w:r>
      <w:r>
        <w:rPr>
          <w:rFonts w:hint="eastAsia" w:ascii="宋体" w:hAnsi="宋体" w:cs="宋体"/>
          <w:color w:val="auto"/>
          <w:highlight w:val="none"/>
        </w:rPr>
        <w:t>苗木（胸径、地径、高度、蓬径、形态等）栽种前，须由现场监理和</w:t>
      </w:r>
      <w:r>
        <w:rPr>
          <w:rFonts w:hint="eastAsia" w:ascii="宋体" w:hAnsi="宋体" w:cs="宋体"/>
          <w:color w:val="auto"/>
          <w:highlight w:val="none"/>
          <w:lang w:eastAsia="zh-CN"/>
        </w:rPr>
        <w:t>发包人代表</w:t>
      </w:r>
      <w:r>
        <w:rPr>
          <w:rFonts w:hint="eastAsia" w:ascii="宋体" w:hAnsi="宋体" w:cs="宋体"/>
          <w:color w:val="auto"/>
          <w:highlight w:val="none"/>
        </w:rPr>
        <w:t>认可后方可实施，否则发生的一切后果由投标人自行承担。</w:t>
      </w:r>
    </w:p>
    <w:p w14:paraId="69C3101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宋体"/>
          <w:color w:val="auto"/>
          <w:szCs w:val="22"/>
          <w:highlight w:val="none"/>
        </w:rPr>
      </w:pPr>
      <w:r>
        <w:rPr>
          <w:rFonts w:hint="eastAsia" w:ascii="宋体" w:hAnsi="宋体" w:cs="宋体"/>
          <w:color w:val="auto"/>
          <w:szCs w:val="22"/>
          <w:highlight w:val="none"/>
          <w:lang w:val="en-US" w:eastAsia="zh-CN"/>
        </w:rPr>
        <w:t>12</w:t>
      </w:r>
      <w:r>
        <w:rPr>
          <w:rFonts w:hint="eastAsia" w:ascii="宋体" w:hAnsi="宋体" w:cs="宋体"/>
          <w:color w:val="auto"/>
          <w:szCs w:val="22"/>
          <w:highlight w:val="none"/>
        </w:rPr>
        <w:t>、绿化景观工程养护等级：一级，养护期：</w:t>
      </w:r>
      <w:r>
        <w:rPr>
          <w:rFonts w:ascii="宋体" w:hAnsi="宋体" w:cs="宋体"/>
          <w:color w:val="auto"/>
          <w:szCs w:val="22"/>
          <w:highlight w:val="none"/>
        </w:rPr>
        <w:t>1</w:t>
      </w:r>
      <w:r>
        <w:rPr>
          <w:rFonts w:hint="eastAsia" w:ascii="宋体" w:hAnsi="宋体" w:cs="宋体"/>
          <w:color w:val="auto"/>
          <w:szCs w:val="22"/>
          <w:highlight w:val="none"/>
        </w:rPr>
        <w:t>年。所种苗木在一年养护期间内，应按养护等级一级标准进行养护，及时清除杂草、施肥、防治虫害、修剪整枝等工作。生长和颜色正常，不枯黄；苗木成活率为 100%，做到苗木生长良好，无虫害。</w:t>
      </w:r>
    </w:p>
    <w:p w14:paraId="7783DC2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13、投标人报价时需考虑一年的养护期费用，养护期自工程竣工验收合格之日起计算，养护期内要做好施工区域内死亡苗木的补缺、除草、 浇水、治虫、修剪、施肥、保洁等日常管护工作，补植养护期自补植之日起计算，小规格苗木死亡后须及时补植或在第一个适宜季节补植到位，否则，延长一个年生长周期后验收，补植苗木规格与招标时规格相同。</w:t>
      </w:r>
    </w:p>
    <w:p w14:paraId="5BF55C4F">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14、措施项目中扬尘治理额外增加费，中标人应根据市政府办公室《市区扬尘整治“654”专项行动方案》（通政传发[2020]39号）、《南通市市区市政和园林工程扬尘治理“654”专项整治行动方案》（通质安监〔2020〕3号）等文件的要求，加强扬尘污染防治工作，投标单位在道路工程的单价措施项目中以“项”为单位进行报价，投标报价中应充分考虑该部分费用，结算不再另行调整。</w:t>
      </w:r>
    </w:p>
    <w:p w14:paraId="7C121A4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宋体"/>
          <w:color w:val="auto"/>
          <w:highlight w:val="none"/>
          <w:lang w:val="en-US" w:eastAsia="zh-CN"/>
        </w:rPr>
      </w:pPr>
      <w:r>
        <w:rPr>
          <w:rFonts w:hint="eastAsia" w:ascii="宋体" w:hAnsi="宋体" w:eastAsia="宋体" w:cs="宋体"/>
          <w:color w:val="auto"/>
          <w:szCs w:val="22"/>
          <w:highlight w:val="none"/>
          <w:lang w:val="en-US" w:eastAsia="zh-CN"/>
        </w:rPr>
        <w:t>15、</w:t>
      </w:r>
      <w:r>
        <w:rPr>
          <w:rFonts w:hint="eastAsia" w:ascii="宋体" w:hAnsi="宋体" w:cs="宋体"/>
          <w:color w:val="auto"/>
          <w:highlight w:val="none"/>
          <w:lang w:val="en-US" w:eastAsia="zh-CN"/>
        </w:rPr>
        <w:t>工程量清单中的“防尘网”，该清单项为中标人按照发包人要求实施的不在其施工范围之内所需的防尘网，具体工程量以实际发生为准（如同一区域多次实施，按一次计取），并由监理及发包人代表现场签认后予以计量。</w:t>
      </w:r>
    </w:p>
    <w:p w14:paraId="406EBFC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cs="宋体"/>
          <w:color w:val="auto"/>
          <w:highlight w:val="none"/>
          <w:lang w:val="en-US" w:eastAsia="zh-CN"/>
        </w:rPr>
      </w:pPr>
      <w:r>
        <w:rPr>
          <w:rFonts w:hint="eastAsia" w:ascii="宋体" w:hAnsi="宋体" w:cs="宋体"/>
          <w:color w:val="auto"/>
          <w:highlight w:val="none"/>
          <w:lang w:val="en-US" w:eastAsia="zh-CN"/>
        </w:rPr>
        <w:t>16、</w:t>
      </w:r>
      <w:r>
        <w:rPr>
          <w:rFonts w:hint="eastAsia" w:ascii="宋体" w:hAnsi="宋体" w:eastAsia="宋体" w:cs="宋体"/>
          <w:color w:val="auto"/>
          <w:highlight w:val="none"/>
          <w:lang w:val="en-US" w:eastAsia="zh-CN"/>
        </w:rPr>
        <w:t xml:space="preserve">因季节或其他特殊情况，绿地（树穴）范围内需临时铺设草皮卷的，临时铺设草皮卷工程量按每站点100m2暂估，具体发生部位、范围由发包人指令，工程量按照现场实际发生量计算，承包人在相关清单项中自行报价。 </w:t>
      </w:r>
    </w:p>
    <w:p w14:paraId="3AEB2D7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宋体" w:hAnsi="宋体" w:cs="宋体"/>
          <w:color w:val="auto"/>
          <w:highlight w:val="none"/>
        </w:rPr>
      </w:pPr>
      <w:r>
        <w:rPr>
          <w:rFonts w:hint="eastAsia" w:ascii="宋体" w:hAnsi="宋体" w:cs="宋体"/>
          <w:color w:val="auto"/>
          <w:kern w:val="0"/>
          <w:highlight w:val="none"/>
          <w:lang w:val="en-US" w:eastAsia="zh-CN"/>
        </w:rPr>
        <w:t>17</w:t>
      </w:r>
      <w:r>
        <w:rPr>
          <w:rFonts w:hint="eastAsia" w:ascii="宋体" w:hAnsi="宋体" w:cs="宋体"/>
          <w:color w:val="auto"/>
          <w:kern w:val="0"/>
          <w:highlight w:val="none"/>
        </w:rPr>
        <w:t>、</w:t>
      </w:r>
      <w:r>
        <w:rPr>
          <w:rFonts w:hint="eastAsia" w:ascii="宋体" w:hAnsi="宋体" w:eastAsia="宋体"/>
          <w:color w:val="000000"/>
          <w:szCs w:val="21"/>
          <w:highlight w:val="none"/>
          <w:lang w:val="en-US" w:eastAsia="zh-CN"/>
        </w:rPr>
        <w:t>项目施工过程中涉及的</w:t>
      </w:r>
      <w:r>
        <w:rPr>
          <w:rFonts w:hint="eastAsia" w:ascii="宋体" w:hAnsi="宋体" w:eastAsia="宋体"/>
          <w:color w:val="000000"/>
          <w:szCs w:val="21"/>
          <w:highlight w:val="none"/>
        </w:rPr>
        <w:t>施工协调及交通配合费，其内容包括本标段内本项工作投标人需提供与</w:t>
      </w:r>
      <w:r>
        <w:rPr>
          <w:rFonts w:hint="eastAsia" w:ascii="宋体" w:hAnsi="宋体"/>
          <w:color w:val="000000"/>
          <w:szCs w:val="21"/>
          <w:highlight w:val="none"/>
          <w:lang w:val="en-US" w:eastAsia="zh-CN"/>
        </w:rPr>
        <w:t>其他施工单位或</w:t>
      </w:r>
      <w:r>
        <w:rPr>
          <w:rFonts w:hint="eastAsia" w:ascii="宋体" w:hAnsi="宋体" w:eastAsia="宋体"/>
          <w:color w:val="000000"/>
          <w:szCs w:val="21"/>
          <w:highlight w:val="none"/>
        </w:rPr>
        <w:t>产权单位之间的施工配合与协调；为</w:t>
      </w:r>
      <w:r>
        <w:rPr>
          <w:rFonts w:hint="eastAsia" w:ascii="宋体" w:hAnsi="宋体" w:eastAsia="宋体"/>
          <w:color w:val="000000"/>
          <w:szCs w:val="21"/>
          <w:highlight w:val="none"/>
          <w:lang w:val="en-US" w:eastAsia="zh-CN"/>
        </w:rPr>
        <w:t>其他施工</w:t>
      </w:r>
      <w:r>
        <w:rPr>
          <w:rFonts w:hint="eastAsia" w:ascii="宋体" w:hAnsi="宋体" w:eastAsia="宋体"/>
          <w:color w:val="000000"/>
          <w:szCs w:val="21"/>
          <w:highlight w:val="none"/>
        </w:rPr>
        <w:t>单位</w:t>
      </w:r>
      <w:r>
        <w:rPr>
          <w:rFonts w:hint="eastAsia" w:ascii="宋体" w:hAnsi="宋体" w:eastAsia="宋体"/>
          <w:color w:val="000000"/>
          <w:szCs w:val="21"/>
          <w:highlight w:val="none"/>
          <w:lang w:val="en-US" w:eastAsia="zh-CN"/>
        </w:rPr>
        <w:t>或</w:t>
      </w:r>
      <w:r>
        <w:rPr>
          <w:rFonts w:hint="eastAsia" w:ascii="宋体" w:hAnsi="宋体" w:eastAsia="宋体"/>
          <w:color w:val="000000"/>
          <w:szCs w:val="21"/>
          <w:highlight w:val="none"/>
        </w:rPr>
        <w:t>产权单位施工提供便利等费用；为维护施工区段内周边道路等安全进行的必要钢板铺设、增设减速带、以及巡查、卫生保洁、</w:t>
      </w:r>
      <w:r>
        <w:rPr>
          <w:rFonts w:hint="eastAsia" w:ascii="宋体" w:hAnsi="宋体" w:eastAsia="宋体" w:cs="宋体"/>
          <w:color w:val="auto"/>
          <w:szCs w:val="22"/>
          <w:highlight w:val="none"/>
          <w:lang w:val="en-US" w:eastAsia="zh-CN"/>
        </w:rPr>
        <w:t>交通</w:t>
      </w:r>
      <w:r>
        <w:rPr>
          <w:rFonts w:hint="eastAsia" w:ascii="宋体" w:hAnsi="宋体" w:eastAsia="宋体"/>
          <w:color w:val="000000"/>
          <w:szCs w:val="21"/>
          <w:highlight w:val="none"/>
        </w:rPr>
        <w:t>疏导配合、增加人员维护交通秩序等费用</w:t>
      </w:r>
      <w:r>
        <w:rPr>
          <w:rFonts w:hint="eastAsia" w:ascii="Times New Roman" w:hAnsi="Times New Roman" w:cs="Times New Roman"/>
          <w:color w:val="000000"/>
          <w:highlight w:val="none"/>
          <w:lang w:val="en-US" w:eastAsia="zh-CN"/>
        </w:rPr>
        <w:t>综合考虑进投标报价中，</w:t>
      </w:r>
      <w:r>
        <w:rPr>
          <w:rFonts w:hint="eastAsia" w:ascii="宋体" w:hAnsi="宋体" w:eastAsia="宋体"/>
          <w:color w:val="000000"/>
          <w:szCs w:val="21"/>
          <w:highlight w:val="none"/>
          <w:lang w:val="en-US" w:eastAsia="zh-CN"/>
        </w:rPr>
        <w:t>此费用不在</w:t>
      </w:r>
      <w:r>
        <w:rPr>
          <w:rFonts w:hint="eastAsia" w:ascii="宋体" w:hAnsi="宋体" w:eastAsia="宋体"/>
          <w:color w:val="000000"/>
          <w:szCs w:val="21"/>
          <w:highlight w:val="none"/>
        </w:rPr>
        <w:t>另行</w:t>
      </w:r>
      <w:r>
        <w:rPr>
          <w:rFonts w:hint="eastAsia" w:ascii="宋体" w:hAnsi="宋体" w:eastAsia="宋体"/>
          <w:color w:val="000000"/>
          <w:szCs w:val="21"/>
          <w:highlight w:val="none"/>
          <w:lang w:val="en-US" w:eastAsia="zh-CN"/>
        </w:rPr>
        <w:t>考虑</w:t>
      </w:r>
      <w:r>
        <w:rPr>
          <w:rFonts w:hint="eastAsia" w:ascii="宋体" w:hAnsi="宋体" w:eastAsia="宋体"/>
          <w:color w:val="000000"/>
          <w:szCs w:val="21"/>
          <w:highlight w:val="none"/>
        </w:rPr>
        <w:t>。</w:t>
      </w:r>
    </w:p>
    <w:p w14:paraId="7C4A94F8">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ascii="宋体" w:hAnsi="宋体" w:cs="宋体"/>
          <w:b/>
          <w:bCs/>
          <w:color w:val="auto"/>
          <w:kern w:val="0"/>
          <w:highlight w:val="none"/>
        </w:rPr>
      </w:pPr>
      <w:r>
        <w:rPr>
          <w:rFonts w:hint="eastAsia" w:ascii="宋体" w:hAnsi="宋体" w:cs="宋体"/>
          <w:b/>
          <w:bCs/>
          <w:color w:val="auto"/>
          <w:kern w:val="0"/>
          <w:highlight w:val="none"/>
        </w:rPr>
        <w:t>三、关于新增项目单价确定按照以下原则进行：</w:t>
      </w:r>
    </w:p>
    <w:p w14:paraId="4591C239">
      <w:pPr>
        <w:autoSpaceDE w:val="0"/>
        <w:autoSpaceDN w:val="0"/>
        <w:spacing w:line="440" w:lineRule="exact"/>
        <w:ind w:firstLine="420" w:firstLineChars="200"/>
        <w:jc w:val="left"/>
        <w:rPr>
          <w:rFonts w:hint="eastAsia" w:ascii="宋体" w:hAnsi="宋体" w:eastAsia="宋体" w:cs="宋体"/>
          <w:b w:val="0"/>
          <w:bCs w:val="0"/>
          <w:kern w:val="0"/>
          <w:sz w:val="21"/>
          <w:szCs w:val="24"/>
          <w:highlight w:val="none"/>
          <w:lang w:val="en-US" w:eastAsia="zh-CN" w:bidi="ar-SA"/>
        </w:rPr>
      </w:pPr>
      <w:r>
        <w:rPr>
          <w:rFonts w:hint="eastAsia" w:ascii="宋体" w:hAnsi="宋体" w:eastAsia="宋体" w:cs="宋体"/>
          <w:b w:val="0"/>
          <w:bCs w:val="0"/>
          <w:kern w:val="0"/>
          <w:sz w:val="21"/>
          <w:szCs w:val="24"/>
          <w:highlight w:val="none"/>
          <w:lang w:val="en-US" w:eastAsia="zh-CN" w:bidi="ar-SA"/>
        </w:rPr>
        <w:t>1、同类项目：指在工程量清单中，与既有清单项目相比，项目特征、施工工艺及施工部位均为相同的项目。</w:t>
      </w:r>
    </w:p>
    <w:p w14:paraId="44B717CD">
      <w:pPr>
        <w:autoSpaceDE w:val="0"/>
        <w:autoSpaceDN w:val="0"/>
        <w:spacing w:line="440" w:lineRule="exact"/>
        <w:ind w:firstLine="420" w:firstLineChars="200"/>
        <w:jc w:val="left"/>
        <w:rPr>
          <w:rFonts w:hint="eastAsia" w:ascii="宋体" w:hAnsi="宋体" w:eastAsia="宋体" w:cs="宋体"/>
          <w:b w:val="0"/>
          <w:bCs w:val="0"/>
          <w:kern w:val="0"/>
          <w:sz w:val="21"/>
          <w:szCs w:val="24"/>
          <w:highlight w:val="none"/>
          <w:lang w:val="en-US" w:eastAsia="zh-CN" w:bidi="ar-SA"/>
        </w:rPr>
      </w:pPr>
      <w:r>
        <w:rPr>
          <w:rFonts w:hint="eastAsia" w:ascii="宋体" w:hAnsi="宋体" w:eastAsia="宋体" w:cs="宋体"/>
          <w:b w:val="0"/>
          <w:bCs w:val="0"/>
          <w:kern w:val="0"/>
          <w:sz w:val="21"/>
          <w:szCs w:val="24"/>
          <w:highlight w:val="none"/>
          <w:lang w:val="en-US" w:eastAsia="zh-CN" w:bidi="ar-SA"/>
        </w:rPr>
        <w:t>执行单价时原则如下：</w:t>
      </w:r>
    </w:p>
    <w:p w14:paraId="617770A7">
      <w:pPr>
        <w:autoSpaceDE w:val="0"/>
        <w:autoSpaceDN w:val="0"/>
        <w:spacing w:line="440" w:lineRule="exact"/>
        <w:ind w:firstLine="420" w:firstLineChars="200"/>
        <w:jc w:val="left"/>
        <w:rPr>
          <w:rFonts w:hint="eastAsia" w:ascii="宋体" w:hAnsi="宋体" w:eastAsia="宋体" w:cs="宋体"/>
          <w:b w:val="0"/>
          <w:bCs w:val="0"/>
          <w:kern w:val="0"/>
          <w:sz w:val="21"/>
          <w:szCs w:val="24"/>
          <w:highlight w:val="none"/>
          <w:lang w:val="en-US" w:eastAsia="zh-CN" w:bidi="ar-SA"/>
        </w:rPr>
      </w:pPr>
      <w:r>
        <w:rPr>
          <w:rFonts w:hint="eastAsia" w:ascii="宋体" w:hAnsi="宋体" w:eastAsia="宋体" w:cs="宋体"/>
          <w:b w:val="0"/>
          <w:bCs w:val="0"/>
          <w:kern w:val="0"/>
          <w:sz w:val="21"/>
          <w:szCs w:val="24"/>
          <w:highlight w:val="none"/>
          <w:lang w:val="en-US" w:eastAsia="zh-CN" w:bidi="ar-SA"/>
        </w:rPr>
        <w:t>按本标段同类项目执行，如果本标段内上述项目存在两个或几个不同的单价，则优先选择单价最低的执行。</w:t>
      </w:r>
    </w:p>
    <w:p w14:paraId="21B9B371">
      <w:pPr>
        <w:autoSpaceDE w:val="0"/>
        <w:autoSpaceDN w:val="0"/>
        <w:spacing w:line="440" w:lineRule="exact"/>
        <w:ind w:firstLine="420" w:firstLineChars="200"/>
        <w:jc w:val="left"/>
        <w:rPr>
          <w:rFonts w:hint="eastAsia" w:ascii="宋体" w:hAnsi="宋体" w:eastAsia="宋体" w:cs="宋体"/>
          <w:b w:val="0"/>
          <w:bCs w:val="0"/>
          <w:kern w:val="0"/>
          <w:sz w:val="21"/>
          <w:szCs w:val="24"/>
          <w:highlight w:val="none"/>
          <w:lang w:val="en-US" w:eastAsia="zh-CN" w:bidi="ar-SA"/>
        </w:rPr>
      </w:pPr>
      <w:r>
        <w:rPr>
          <w:rFonts w:hint="eastAsia" w:ascii="宋体" w:hAnsi="宋体" w:eastAsia="宋体" w:cs="宋体"/>
          <w:b w:val="0"/>
          <w:bCs w:val="0"/>
          <w:kern w:val="0"/>
          <w:sz w:val="21"/>
          <w:szCs w:val="24"/>
          <w:highlight w:val="none"/>
          <w:lang w:val="en-US" w:eastAsia="zh-CN" w:bidi="ar-SA"/>
        </w:rPr>
        <w:t>2、类似项目：指在工程量清单中，与既有清单项目相比，其项目名称、施工工艺、施工部位或项目特征部分类似的项目。</w:t>
      </w:r>
    </w:p>
    <w:p w14:paraId="2584F566">
      <w:pPr>
        <w:autoSpaceDE w:val="0"/>
        <w:autoSpaceDN w:val="0"/>
        <w:spacing w:line="440" w:lineRule="exact"/>
        <w:ind w:firstLine="420" w:firstLineChars="200"/>
        <w:jc w:val="left"/>
        <w:rPr>
          <w:rFonts w:hint="eastAsia" w:ascii="宋体" w:hAnsi="宋体" w:eastAsia="宋体" w:cs="宋体"/>
          <w:b w:val="0"/>
          <w:bCs w:val="0"/>
          <w:kern w:val="0"/>
          <w:sz w:val="21"/>
          <w:szCs w:val="24"/>
          <w:highlight w:val="none"/>
          <w:lang w:val="en-US" w:eastAsia="zh-CN" w:bidi="ar-SA"/>
        </w:rPr>
      </w:pPr>
      <w:r>
        <w:rPr>
          <w:rFonts w:hint="eastAsia" w:ascii="宋体" w:hAnsi="宋体" w:eastAsia="宋体" w:cs="宋体"/>
          <w:b w:val="0"/>
          <w:bCs w:val="0"/>
          <w:kern w:val="0"/>
          <w:sz w:val="21"/>
          <w:szCs w:val="24"/>
          <w:highlight w:val="none"/>
          <w:lang w:val="en-US" w:eastAsia="zh-CN" w:bidi="ar-SA"/>
        </w:rPr>
        <w:t>类似项目应根据项目特征，对工程量清单中原有项目的主要材料、机械变化部分进行抽换或个别调整，但该项目套用的管理费、利润的费率不得调整。</w:t>
      </w:r>
    </w:p>
    <w:p w14:paraId="00015941">
      <w:pPr>
        <w:autoSpaceDE w:val="0"/>
        <w:autoSpaceDN w:val="0"/>
        <w:spacing w:line="440" w:lineRule="exact"/>
        <w:ind w:firstLine="420" w:firstLineChars="200"/>
        <w:jc w:val="left"/>
        <w:rPr>
          <w:rFonts w:hint="eastAsia" w:ascii="宋体" w:hAnsi="宋体" w:eastAsia="宋体" w:cs="宋体"/>
          <w:b w:val="0"/>
          <w:bCs w:val="0"/>
          <w:kern w:val="0"/>
          <w:sz w:val="21"/>
          <w:szCs w:val="24"/>
          <w:highlight w:val="none"/>
          <w:lang w:val="en-US" w:eastAsia="zh-CN" w:bidi="ar-SA"/>
        </w:rPr>
      </w:pPr>
      <w:r>
        <w:rPr>
          <w:rFonts w:hint="eastAsia" w:ascii="宋体" w:hAnsi="宋体" w:eastAsia="宋体" w:cs="宋体"/>
          <w:b w:val="0"/>
          <w:bCs w:val="0"/>
          <w:kern w:val="0"/>
          <w:sz w:val="21"/>
          <w:szCs w:val="24"/>
          <w:highlight w:val="none"/>
          <w:lang w:val="en-US" w:eastAsia="zh-CN" w:bidi="ar-SA"/>
        </w:rPr>
        <w:t>类似项目调整时选用项目原则：</w:t>
      </w:r>
    </w:p>
    <w:p w14:paraId="3494F9E9">
      <w:pPr>
        <w:autoSpaceDE w:val="0"/>
        <w:autoSpaceDN w:val="0"/>
        <w:spacing w:line="440" w:lineRule="exact"/>
        <w:ind w:firstLine="420" w:firstLineChars="200"/>
        <w:jc w:val="left"/>
        <w:rPr>
          <w:rFonts w:hint="eastAsia" w:ascii="宋体" w:hAnsi="宋体" w:eastAsia="宋体" w:cs="宋体"/>
          <w:b w:val="0"/>
          <w:bCs w:val="0"/>
          <w:kern w:val="0"/>
          <w:sz w:val="21"/>
          <w:szCs w:val="24"/>
          <w:highlight w:val="none"/>
          <w:lang w:val="en-US" w:eastAsia="zh-CN" w:bidi="ar-SA"/>
        </w:rPr>
      </w:pPr>
      <w:r>
        <w:rPr>
          <w:rFonts w:hint="eastAsia" w:ascii="宋体" w:hAnsi="宋体" w:eastAsia="宋体" w:cs="宋体"/>
          <w:b w:val="0"/>
          <w:bCs w:val="0"/>
          <w:kern w:val="0"/>
          <w:sz w:val="21"/>
          <w:szCs w:val="24"/>
          <w:highlight w:val="none"/>
          <w:lang w:val="en-US" w:eastAsia="zh-CN" w:bidi="ar-SA"/>
        </w:rPr>
        <w:t>选择本标段内类似项目调整，如本标段内上述项目存在两个或几个不同的单价，则优先选用单价最低的为标准进行调整。</w:t>
      </w:r>
    </w:p>
    <w:p w14:paraId="5A177B8E">
      <w:pPr>
        <w:autoSpaceDE w:val="0"/>
        <w:autoSpaceDN w:val="0"/>
        <w:spacing w:line="440" w:lineRule="exact"/>
        <w:ind w:firstLine="420" w:firstLineChars="200"/>
        <w:jc w:val="left"/>
        <w:rPr>
          <w:rFonts w:hint="eastAsia" w:ascii="宋体" w:hAnsi="宋体" w:eastAsia="宋体" w:cs="宋体"/>
          <w:b w:val="0"/>
          <w:bCs w:val="0"/>
          <w:kern w:val="0"/>
          <w:sz w:val="21"/>
          <w:szCs w:val="24"/>
          <w:highlight w:val="none"/>
          <w:lang w:val="en-US" w:eastAsia="zh-CN" w:bidi="ar-SA"/>
        </w:rPr>
      </w:pPr>
      <w:r>
        <w:rPr>
          <w:rFonts w:hint="eastAsia" w:ascii="宋体" w:hAnsi="宋体" w:eastAsia="宋体" w:cs="宋体"/>
          <w:b w:val="0"/>
          <w:bCs w:val="0"/>
          <w:kern w:val="0"/>
          <w:sz w:val="21"/>
          <w:szCs w:val="24"/>
          <w:highlight w:val="none"/>
          <w:lang w:val="en-US" w:eastAsia="zh-CN" w:bidi="ar-SA"/>
        </w:rPr>
        <w:t>3、新增项目：指在工程量清单中，与既有清单项目相比完全不同，其单价确定原则为：</w:t>
      </w:r>
    </w:p>
    <w:p w14:paraId="5A844F44">
      <w:pPr>
        <w:autoSpaceDE w:val="0"/>
        <w:autoSpaceDN w:val="0"/>
        <w:spacing w:line="440" w:lineRule="exact"/>
        <w:ind w:firstLine="420" w:firstLineChars="200"/>
        <w:jc w:val="left"/>
        <w:rPr>
          <w:rFonts w:hint="eastAsia" w:ascii="宋体" w:hAnsi="宋体" w:eastAsia="宋体" w:cs="宋体"/>
          <w:b w:val="0"/>
          <w:bCs w:val="0"/>
          <w:kern w:val="0"/>
          <w:sz w:val="21"/>
          <w:szCs w:val="24"/>
          <w:highlight w:val="none"/>
          <w:lang w:val="en-US" w:eastAsia="zh-CN" w:bidi="ar-SA"/>
        </w:rPr>
      </w:pPr>
      <w:r>
        <w:rPr>
          <w:rFonts w:hint="eastAsia" w:ascii="宋体" w:hAnsi="宋体" w:eastAsia="宋体" w:cs="宋体"/>
          <w:b w:val="0"/>
          <w:bCs w:val="0"/>
          <w:kern w:val="0"/>
          <w:sz w:val="21"/>
          <w:szCs w:val="24"/>
          <w:highlight w:val="none"/>
          <w:lang w:val="en-US" w:eastAsia="zh-CN" w:bidi="ar-SA"/>
        </w:rPr>
        <w:t>重组单价*（1-下浮率）确定单价。</w:t>
      </w:r>
    </w:p>
    <w:p w14:paraId="00EF2C29">
      <w:pPr>
        <w:autoSpaceDE w:val="0"/>
        <w:autoSpaceDN w:val="0"/>
        <w:spacing w:line="440" w:lineRule="exact"/>
        <w:ind w:firstLine="420" w:firstLineChars="200"/>
        <w:jc w:val="left"/>
        <w:rPr>
          <w:rFonts w:hint="eastAsia" w:ascii="宋体" w:hAnsi="宋体" w:eastAsia="宋体" w:cs="宋体"/>
          <w:b w:val="0"/>
          <w:bCs w:val="0"/>
          <w:kern w:val="0"/>
          <w:sz w:val="21"/>
          <w:szCs w:val="24"/>
          <w:highlight w:val="none"/>
          <w:lang w:val="en-US" w:eastAsia="zh-CN" w:bidi="ar-SA"/>
        </w:rPr>
      </w:pPr>
      <w:r>
        <w:rPr>
          <w:rFonts w:hint="eastAsia" w:ascii="宋体" w:hAnsi="宋体" w:eastAsia="宋体" w:cs="宋体"/>
          <w:b w:val="0"/>
          <w:bCs w:val="0"/>
          <w:kern w:val="0"/>
          <w:sz w:val="21"/>
          <w:szCs w:val="24"/>
          <w:highlight w:val="none"/>
          <w:lang w:val="en-US" w:eastAsia="zh-CN" w:bidi="ar-SA"/>
        </w:rPr>
        <w:t>下浮率（%）=1-投标报价/招标控制价（其中投标报价和招标控制价应扣除暂列金额、暂估价、甲供材料费及其相应的规费税金）</w:t>
      </w:r>
    </w:p>
    <w:p w14:paraId="6184FB93">
      <w:pPr>
        <w:jc w:val="center"/>
        <w:rPr>
          <w:rFonts w:hint="eastAsia" w:ascii="宋体" w:hAnsi="宋体" w:cs="宋体"/>
          <w:b/>
          <w:szCs w:val="21"/>
          <w:highlight w:val="none"/>
        </w:rPr>
      </w:pPr>
    </w:p>
    <w:p w14:paraId="127D672A">
      <w:pPr>
        <w:jc w:val="center"/>
        <w:rPr>
          <w:rFonts w:hint="eastAsia" w:ascii="宋体" w:hAnsi="宋体" w:cs="宋体"/>
          <w:b/>
          <w:szCs w:val="21"/>
          <w:highlight w:val="none"/>
        </w:rPr>
      </w:pPr>
      <w:r>
        <w:rPr>
          <w:rFonts w:hint="eastAsia" w:ascii="宋体" w:hAnsi="宋体" w:cs="宋体"/>
          <w:b/>
          <w:szCs w:val="21"/>
          <w:highlight w:val="none"/>
        </w:rPr>
        <w:t>随本招标文件同时发布电子工程量清单文件。</w:t>
      </w:r>
    </w:p>
    <w:p w14:paraId="0F1C15D9">
      <w:pPr>
        <w:pStyle w:val="12"/>
        <w:ind w:left="0" w:leftChars="0" w:firstLine="0"/>
        <w:rPr>
          <w:rFonts w:hint="eastAsia" w:ascii="宋体" w:hAnsi="宋体" w:cs="宋体"/>
          <w:sz w:val="21"/>
          <w:szCs w:val="21"/>
          <w:highlight w:val="none"/>
        </w:rPr>
      </w:pPr>
    </w:p>
    <w:p w14:paraId="4F149102">
      <w:pPr>
        <w:pStyle w:val="2"/>
        <w:spacing w:before="120" w:after="120" w:line="400" w:lineRule="exact"/>
        <w:jc w:val="center"/>
        <w:rPr>
          <w:rFonts w:hint="eastAsia" w:ascii="宋体" w:hAnsi="宋体" w:eastAsia="宋体" w:cs="宋体"/>
          <w:b/>
          <w:bCs/>
          <w:kern w:val="44"/>
          <w:sz w:val="36"/>
          <w:szCs w:val="36"/>
          <w:highlight w:val="none"/>
          <w:lang w:val="en-US" w:eastAsia="zh-CN" w:bidi="ar-SA"/>
        </w:rPr>
      </w:pPr>
      <w:r>
        <w:rPr>
          <w:rFonts w:hint="eastAsia"/>
          <w:szCs w:val="36"/>
          <w:highlight w:val="none"/>
        </w:rPr>
        <w:br w:type="page"/>
      </w:r>
      <w:bookmarkStart w:id="1810" w:name="_Toc4449"/>
      <w:bookmarkStart w:id="1811" w:name="_Toc28504"/>
      <w:bookmarkStart w:id="1812" w:name="_Toc17233"/>
      <w:bookmarkStart w:id="1813" w:name="_Toc14197"/>
      <w:bookmarkStart w:id="1814" w:name="_Toc19077"/>
      <w:bookmarkStart w:id="1815" w:name="_Toc30928"/>
      <w:bookmarkStart w:id="1816" w:name="_Toc28473"/>
      <w:bookmarkStart w:id="1817" w:name="_Toc11376"/>
      <w:bookmarkStart w:id="1818" w:name="_Toc8987"/>
      <w:bookmarkStart w:id="1819" w:name="_Toc28877"/>
      <w:bookmarkStart w:id="1820" w:name="_Toc3594"/>
      <w:bookmarkStart w:id="1821" w:name="_Toc15053"/>
      <w:r>
        <w:rPr>
          <w:rFonts w:hint="eastAsia" w:ascii="宋体" w:hAnsi="宋体" w:eastAsia="宋体" w:cs="宋体"/>
          <w:szCs w:val="36"/>
          <w:highlight w:val="none"/>
          <w:lang w:val="en-US" w:eastAsia="zh-CN"/>
        </w:rPr>
        <w:t>第六章 发包人要求</w:t>
      </w:r>
      <w:bookmarkEnd w:id="1810"/>
      <w:bookmarkEnd w:id="1811"/>
      <w:bookmarkEnd w:id="1812"/>
      <w:bookmarkEnd w:id="1813"/>
      <w:bookmarkEnd w:id="1814"/>
      <w:bookmarkEnd w:id="1815"/>
      <w:bookmarkEnd w:id="1816"/>
      <w:bookmarkEnd w:id="1817"/>
      <w:bookmarkEnd w:id="1818"/>
      <w:bookmarkEnd w:id="1819"/>
      <w:bookmarkEnd w:id="1820"/>
      <w:bookmarkEnd w:id="1821"/>
    </w:p>
    <w:p w14:paraId="148B1830">
      <w:pPr>
        <w:pStyle w:val="53"/>
        <w:spacing w:line="360" w:lineRule="auto"/>
        <w:ind w:firstLine="420" w:firstLineChars="200"/>
        <w:rPr>
          <w:rFonts w:hint="eastAsia" w:ascii="宋体" w:hAnsi="宋体" w:eastAsia="宋体" w:cs="宋体"/>
          <w:szCs w:val="21"/>
          <w:highlight w:val="none"/>
          <w:u w:val="single"/>
          <w:lang w:val="en-US" w:eastAsia="zh-CN"/>
        </w:rPr>
      </w:pPr>
    </w:p>
    <w:p w14:paraId="38659299">
      <w:pPr>
        <w:pStyle w:val="53"/>
        <w:spacing w:line="360" w:lineRule="auto"/>
        <w:ind w:firstLine="420" w:firstLineChars="200"/>
        <w:rPr>
          <w:rFonts w:hint="eastAsia" w:ascii="宋体" w:hAnsi="宋体" w:eastAsia="宋体" w:cs="宋体"/>
          <w:szCs w:val="21"/>
          <w:highlight w:val="none"/>
          <w:u w:val="single"/>
          <w:lang w:val="en-US" w:eastAsia="zh-CN"/>
        </w:rPr>
      </w:pPr>
      <w:r>
        <w:rPr>
          <w:rFonts w:hint="eastAsia" w:ascii="宋体" w:hAnsi="宋体" w:eastAsia="宋体" w:cs="宋体"/>
          <w:szCs w:val="21"/>
          <w:highlight w:val="none"/>
          <w:u w:val="single"/>
          <w:lang w:val="en-US" w:eastAsia="zh-CN"/>
        </w:rPr>
        <w:t>另册提供</w:t>
      </w:r>
    </w:p>
    <w:p w14:paraId="59B897C0">
      <w:pPr>
        <w:jc w:val="center"/>
        <w:rPr>
          <w:rFonts w:hint="eastAsia" w:ascii="宋体" w:hAnsi="宋体" w:cs="宋体"/>
          <w:b/>
          <w:szCs w:val="21"/>
          <w:highlight w:val="none"/>
        </w:rPr>
      </w:pPr>
    </w:p>
    <w:p w14:paraId="4E64B88B">
      <w:pPr>
        <w:pStyle w:val="2"/>
        <w:spacing w:before="120" w:after="120" w:line="400" w:lineRule="exact"/>
        <w:jc w:val="center"/>
        <w:rPr>
          <w:rFonts w:hint="eastAsia"/>
          <w:szCs w:val="36"/>
          <w:highlight w:val="none"/>
        </w:rPr>
      </w:pPr>
      <w:bookmarkStart w:id="1822" w:name="_Toc9077"/>
      <w:bookmarkStart w:id="1823" w:name="_Toc17245"/>
      <w:bookmarkStart w:id="1824" w:name="_Toc30059"/>
      <w:bookmarkStart w:id="1825" w:name="_Toc17827"/>
      <w:bookmarkStart w:id="1826" w:name="_Toc21374"/>
      <w:bookmarkStart w:id="1827" w:name="_Toc17717"/>
      <w:bookmarkStart w:id="1828" w:name="_Toc16313"/>
      <w:bookmarkStart w:id="1829" w:name="_Toc3976"/>
      <w:bookmarkStart w:id="1830" w:name="_Toc10070"/>
      <w:bookmarkStart w:id="1831" w:name="_Toc12047"/>
      <w:bookmarkStart w:id="1832" w:name="_Toc9925"/>
      <w:r>
        <w:rPr>
          <w:rFonts w:hint="eastAsia"/>
          <w:szCs w:val="36"/>
          <w:highlight w:val="none"/>
        </w:rPr>
        <w:br w:type="page"/>
      </w:r>
      <w:bookmarkStart w:id="1833" w:name="_Toc18996"/>
      <w:r>
        <w:rPr>
          <w:rFonts w:hint="eastAsia"/>
          <w:szCs w:val="36"/>
          <w:highlight w:val="none"/>
        </w:rPr>
        <w:t>第七章 发包人提供的资料</w:t>
      </w:r>
      <w:bookmarkEnd w:id="1822"/>
      <w:bookmarkEnd w:id="1823"/>
      <w:bookmarkEnd w:id="1824"/>
      <w:bookmarkEnd w:id="1825"/>
      <w:bookmarkEnd w:id="1826"/>
      <w:bookmarkEnd w:id="1827"/>
      <w:bookmarkEnd w:id="1828"/>
      <w:bookmarkEnd w:id="1829"/>
      <w:bookmarkEnd w:id="1830"/>
      <w:bookmarkEnd w:id="1831"/>
      <w:bookmarkEnd w:id="1832"/>
      <w:bookmarkEnd w:id="1833"/>
    </w:p>
    <w:p w14:paraId="0EF80F6F">
      <w:pPr>
        <w:pStyle w:val="53"/>
        <w:spacing w:line="360" w:lineRule="auto"/>
        <w:ind w:firstLine="420" w:firstLineChars="200"/>
        <w:rPr>
          <w:rFonts w:hint="eastAsia" w:ascii="宋体" w:hAnsi="宋体" w:cs="宋体"/>
          <w:kern w:val="1"/>
          <w:szCs w:val="21"/>
          <w:highlight w:val="none"/>
        </w:rPr>
      </w:pPr>
      <w:bookmarkStart w:id="1834" w:name="_Toc152045786"/>
      <w:bookmarkStart w:id="1835" w:name="_Toc152042575"/>
      <w:bookmarkStart w:id="1836" w:name="_Toc227984074"/>
      <w:bookmarkStart w:id="1837" w:name="_Toc144974855"/>
    </w:p>
    <w:p w14:paraId="1842533C">
      <w:pPr>
        <w:pStyle w:val="53"/>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u w:val="single"/>
          <w:lang w:val="en-US" w:eastAsia="zh-CN"/>
        </w:rPr>
        <w:t xml:space="preserve">以发包人提供的为准 </w:t>
      </w:r>
      <w:r>
        <w:rPr>
          <w:rFonts w:hint="eastAsia" w:ascii="宋体" w:hAnsi="宋体" w:cs="宋体"/>
          <w:kern w:val="1"/>
          <w:szCs w:val="21"/>
          <w:highlight w:val="none"/>
          <w:lang w:val="en-US" w:eastAsia="zh-CN"/>
        </w:rPr>
        <w:t xml:space="preserve"> </w:t>
      </w:r>
    </w:p>
    <w:p w14:paraId="7A3AF2CE">
      <w:pPr>
        <w:pStyle w:val="53"/>
        <w:spacing w:line="360" w:lineRule="auto"/>
        <w:ind w:firstLine="420" w:firstLineChars="200"/>
        <w:rPr>
          <w:rFonts w:hint="eastAsia" w:ascii="宋体" w:hAnsi="宋体" w:cs="宋体"/>
          <w:szCs w:val="21"/>
          <w:highlight w:val="none"/>
        </w:rPr>
      </w:pPr>
    </w:p>
    <w:p w14:paraId="342DDB16">
      <w:pPr>
        <w:pStyle w:val="53"/>
        <w:spacing w:line="360" w:lineRule="auto"/>
        <w:ind w:firstLine="420" w:firstLineChars="200"/>
        <w:rPr>
          <w:rFonts w:hint="eastAsia" w:ascii="宋体" w:hAnsi="宋体" w:cs="宋体"/>
          <w:szCs w:val="21"/>
          <w:highlight w:val="none"/>
        </w:rPr>
      </w:pPr>
    </w:p>
    <w:p w14:paraId="56414EB8">
      <w:pPr>
        <w:pStyle w:val="53"/>
        <w:spacing w:line="360" w:lineRule="auto"/>
        <w:ind w:firstLine="420" w:firstLineChars="200"/>
        <w:rPr>
          <w:rFonts w:hint="eastAsia" w:ascii="宋体" w:hAnsi="宋体" w:cs="宋体"/>
          <w:szCs w:val="21"/>
          <w:highlight w:val="none"/>
        </w:rPr>
      </w:pPr>
    </w:p>
    <w:p w14:paraId="758191FB">
      <w:pPr>
        <w:pStyle w:val="53"/>
        <w:spacing w:line="360" w:lineRule="auto"/>
        <w:ind w:firstLine="420" w:firstLineChars="200"/>
        <w:rPr>
          <w:rFonts w:hint="eastAsia" w:ascii="宋体" w:hAnsi="宋体" w:cs="宋体"/>
          <w:szCs w:val="21"/>
          <w:highlight w:val="none"/>
        </w:rPr>
      </w:pPr>
    </w:p>
    <w:p w14:paraId="5E29EE67">
      <w:pPr>
        <w:pStyle w:val="53"/>
        <w:spacing w:line="360" w:lineRule="auto"/>
        <w:ind w:firstLine="420" w:firstLineChars="200"/>
        <w:rPr>
          <w:rFonts w:hint="eastAsia" w:ascii="宋体" w:hAnsi="宋体" w:cs="宋体"/>
          <w:szCs w:val="21"/>
          <w:highlight w:val="none"/>
        </w:rPr>
      </w:pPr>
    </w:p>
    <w:p w14:paraId="7E0F2C64">
      <w:pPr>
        <w:pStyle w:val="53"/>
        <w:spacing w:line="360" w:lineRule="auto"/>
        <w:ind w:firstLine="420" w:firstLineChars="200"/>
        <w:rPr>
          <w:rFonts w:hint="eastAsia" w:ascii="宋体" w:hAnsi="宋体" w:cs="宋体"/>
          <w:szCs w:val="21"/>
          <w:highlight w:val="none"/>
        </w:rPr>
      </w:pPr>
    </w:p>
    <w:p w14:paraId="4FC456EA">
      <w:pPr>
        <w:pStyle w:val="53"/>
        <w:spacing w:line="360" w:lineRule="auto"/>
        <w:ind w:firstLine="420" w:firstLineChars="200"/>
        <w:rPr>
          <w:rFonts w:hint="eastAsia" w:ascii="宋体" w:hAnsi="宋体" w:cs="宋体"/>
          <w:szCs w:val="21"/>
          <w:highlight w:val="none"/>
        </w:rPr>
      </w:pPr>
    </w:p>
    <w:p w14:paraId="48482210">
      <w:pPr>
        <w:pStyle w:val="53"/>
        <w:spacing w:line="360" w:lineRule="auto"/>
        <w:ind w:firstLine="420" w:firstLineChars="200"/>
        <w:rPr>
          <w:rFonts w:hint="eastAsia" w:ascii="宋体" w:hAnsi="宋体" w:cs="宋体"/>
          <w:szCs w:val="21"/>
          <w:highlight w:val="none"/>
        </w:rPr>
      </w:pPr>
    </w:p>
    <w:p w14:paraId="74B6EED0">
      <w:pPr>
        <w:pStyle w:val="53"/>
        <w:spacing w:line="360" w:lineRule="auto"/>
        <w:ind w:firstLine="420" w:firstLineChars="200"/>
        <w:rPr>
          <w:rFonts w:hint="eastAsia" w:ascii="宋体" w:hAnsi="宋体" w:cs="宋体"/>
          <w:szCs w:val="21"/>
          <w:highlight w:val="none"/>
        </w:rPr>
      </w:pPr>
    </w:p>
    <w:p w14:paraId="28804F1B">
      <w:pPr>
        <w:pStyle w:val="53"/>
        <w:spacing w:line="360" w:lineRule="auto"/>
        <w:ind w:firstLine="420" w:firstLineChars="200"/>
        <w:rPr>
          <w:rFonts w:hint="eastAsia" w:ascii="宋体" w:hAnsi="宋体" w:cs="宋体"/>
          <w:szCs w:val="21"/>
          <w:highlight w:val="none"/>
        </w:rPr>
      </w:pPr>
    </w:p>
    <w:p w14:paraId="42F913CF">
      <w:pPr>
        <w:pStyle w:val="53"/>
        <w:spacing w:line="360" w:lineRule="auto"/>
        <w:ind w:firstLine="420" w:firstLineChars="200"/>
        <w:rPr>
          <w:rFonts w:hint="eastAsia" w:ascii="宋体" w:hAnsi="宋体" w:cs="宋体"/>
          <w:szCs w:val="21"/>
          <w:highlight w:val="none"/>
        </w:rPr>
      </w:pPr>
    </w:p>
    <w:p w14:paraId="276AD758">
      <w:pPr>
        <w:pStyle w:val="53"/>
        <w:spacing w:line="360" w:lineRule="auto"/>
        <w:ind w:firstLine="420" w:firstLineChars="200"/>
        <w:rPr>
          <w:rFonts w:hint="eastAsia" w:ascii="宋体" w:hAnsi="宋体" w:cs="宋体"/>
          <w:szCs w:val="21"/>
          <w:highlight w:val="none"/>
        </w:rPr>
      </w:pPr>
    </w:p>
    <w:p w14:paraId="1A15E294">
      <w:pPr>
        <w:pStyle w:val="53"/>
        <w:spacing w:line="360" w:lineRule="auto"/>
        <w:ind w:firstLine="420" w:firstLineChars="200"/>
        <w:rPr>
          <w:rFonts w:hint="eastAsia" w:ascii="宋体" w:hAnsi="宋体" w:cs="宋体"/>
          <w:szCs w:val="21"/>
          <w:highlight w:val="none"/>
        </w:rPr>
      </w:pPr>
    </w:p>
    <w:p w14:paraId="69D799FF">
      <w:pPr>
        <w:pStyle w:val="53"/>
        <w:spacing w:line="360" w:lineRule="auto"/>
        <w:ind w:firstLine="420" w:firstLineChars="200"/>
        <w:rPr>
          <w:rFonts w:hint="eastAsia" w:ascii="宋体" w:hAnsi="宋体" w:cs="宋体"/>
          <w:szCs w:val="21"/>
          <w:highlight w:val="none"/>
        </w:rPr>
      </w:pPr>
    </w:p>
    <w:p w14:paraId="592E7635">
      <w:pPr>
        <w:pStyle w:val="53"/>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br w:type="page"/>
      </w:r>
    </w:p>
    <w:p w14:paraId="25AA310B">
      <w:pPr>
        <w:pStyle w:val="53"/>
        <w:spacing w:line="360" w:lineRule="auto"/>
        <w:ind w:firstLine="420" w:firstLineChars="200"/>
        <w:rPr>
          <w:rFonts w:hint="eastAsia" w:ascii="宋体" w:hAnsi="宋体" w:cs="宋体"/>
          <w:szCs w:val="21"/>
          <w:highlight w:val="none"/>
        </w:rPr>
      </w:pPr>
    </w:p>
    <w:p w14:paraId="462844CC">
      <w:pPr>
        <w:pStyle w:val="53"/>
        <w:spacing w:line="360" w:lineRule="auto"/>
        <w:ind w:firstLine="420" w:firstLineChars="200"/>
        <w:rPr>
          <w:rFonts w:hint="eastAsia" w:ascii="宋体" w:hAnsi="宋体" w:cs="宋体"/>
          <w:szCs w:val="21"/>
          <w:highlight w:val="none"/>
        </w:rPr>
        <w:sectPr>
          <w:footerReference r:id="rId11" w:type="default"/>
          <w:pgSz w:w="11906" w:h="16838"/>
          <w:pgMar w:top="1440" w:right="1066" w:bottom="1117" w:left="1800" w:header="851" w:footer="822" w:gutter="0"/>
          <w:paperSrc/>
          <w:pgBorders>
            <w:top w:val="none" w:sz="0" w:space="0"/>
            <w:left w:val="none" w:sz="0" w:space="0"/>
            <w:bottom w:val="none" w:sz="0" w:space="0"/>
            <w:right w:val="none" w:sz="0" w:space="0"/>
          </w:pgBorders>
          <w:pgNumType w:fmt="decimal"/>
          <w:cols w:space="720" w:num="1"/>
          <w:rtlGutter w:val="0"/>
          <w:docGrid w:type="lines" w:linePitch="312" w:charSpace="0"/>
        </w:sectPr>
      </w:pPr>
    </w:p>
    <w:p w14:paraId="15E86DD8">
      <w:pPr>
        <w:pStyle w:val="2"/>
        <w:spacing w:before="120" w:after="120" w:line="400" w:lineRule="exact"/>
        <w:jc w:val="center"/>
        <w:rPr>
          <w:rFonts w:hint="eastAsia"/>
          <w:szCs w:val="36"/>
          <w:highlight w:val="none"/>
        </w:rPr>
      </w:pPr>
      <w:bookmarkStart w:id="1838" w:name="_Toc32344"/>
      <w:bookmarkStart w:id="1839" w:name="_Toc19397"/>
      <w:bookmarkStart w:id="1840" w:name="_Toc15834"/>
      <w:bookmarkStart w:id="1841" w:name="_Toc29799"/>
      <w:bookmarkStart w:id="1842" w:name="_Toc11061"/>
      <w:bookmarkStart w:id="1843" w:name="_Toc20108"/>
      <w:bookmarkStart w:id="1844" w:name="_Toc30290"/>
      <w:bookmarkStart w:id="1845" w:name="_Toc27894"/>
      <w:bookmarkStart w:id="1846" w:name="_Toc19719"/>
      <w:bookmarkStart w:id="1847" w:name="_Toc2691"/>
      <w:bookmarkStart w:id="1848" w:name="_Toc4661"/>
      <w:bookmarkStart w:id="1849" w:name="_Toc5736"/>
      <w:r>
        <w:rPr>
          <w:rFonts w:hint="eastAsia"/>
          <w:szCs w:val="36"/>
          <w:highlight w:val="none"/>
        </w:rPr>
        <w:t>第八章 投标文件格式</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14:paraId="591F84D4">
      <w:pPr>
        <w:rPr>
          <w:rFonts w:hint="eastAsia" w:ascii="宋体" w:hAnsi="宋体" w:cs="宋体"/>
          <w:szCs w:val="21"/>
          <w:highlight w:val="none"/>
        </w:rPr>
      </w:pPr>
    </w:p>
    <w:p w14:paraId="51EC973F">
      <w:pPr>
        <w:pStyle w:val="56"/>
        <w:rPr>
          <w:rFonts w:hint="eastAsia" w:ascii="宋体" w:hAnsi="宋体" w:eastAsia="宋体" w:cs="宋体"/>
          <w:sz w:val="21"/>
          <w:szCs w:val="21"/>
          <w:highlight w:val="none"/>
        </w:rPr>
      </w:pPr>
    </w:p>
    <w:p w14:paraId="6F3E9541">
      <w:pPr>
        <w:pStyle w:val="57"/>
        <w:outlineLvl w:val="2"/>
        <w:rPr>
          <w:rFonts w:hint="eastAsia" w:ascii="宋体" w:hAnsi="宋体" w:eastAsia="宋体" w:cs="宋体"/>
          <w:sz w:val="21"/>
          <w:szCs w:val="21"/>
          <w:highlight w:val="none"/>
          <w:vertAlign w:val="baseline"/>
        </w:rPr>
      </w:pPr>
      <w:bookmarkStart w:id="1850" w:name="_Toc3989"/>
      <w:bookmarkStart w:id="1851" w:name="_Toc24751"/>
      <w:bookmarkStart w:id="1852" w:name="_Toc3620"/>
      <w:bookmarkStart w:id="1853" w:name="_Toc12609"/>
      <w:bookmarkStart w:id="1854" w:name="_Toc5941"/>
      <w:bookmarkStart w:id="1855" w:name="_Toc14757"/>
      <w:bookmarkStart w:id="1856" w:name="_Toc5219"/>
      <w:bookmarkStart w:id="1857" w:name="_Toc20932"/>
      <w:bookmarkStart w:id="1858" w:name="_Toc16579"/>
      <w:bookmarkStart w:id="1859" w:name="_Toc30562"/>
      <w:bookmarkStart w:id="1860" w:name="_Toc4896"/>
      <w:r>
        <w:rPr>
          <w:rFonts w:hint="eastAsia" w:ascii="宋体" w:hAnsi="宋体" w:eastAsia="宋体" w:cs="宋体"/>
          <w:sz w:val="21"/>
          <w:szCs w:val="21"/>
          <w:highlight w:val="none"/>
        </w:rPr>
        <w:br w:type="page"/>
      </w:r>
      <w:bookmarkStart w:id="1861" w:name="_Toc19668"/>
      <w:r>
        <w:rPr>
          <w:rFonts w:hint="eastAsia" w:ascii="宋体" w:hAnsi="宋体" w:eastAsia="宋体" w:cs="宋体"/>
          <w:sz w:val="21"/>
          <w:szCs w:val="21"/>
          <w:highlight w:val="none"/>
        </w:rPr>
        <w:t>一、封面</w:t>
      </w:r>
      <w:bookmarkEnd w:id="1850"/>
      <w:bookmarkEnd w:id="1851"/>
      <w:bookmarkEnd w:id="1852"/>
      <w:bookmarkEnd w:id="1853"/>
      <w:bookmarkEnd w:id="1854"/>
      <w:bookmarkEnd w:id="1855"/>
      <w:bookmarkEnd w:id="1856"/>
      <w:bookmarkEnd w:id="1857"/>
      <w:bookmarkEnd w:id="1858"/>
      <w:bookmarkEnd w:id="1859"/>
      <w:bookmarkEnd w:id="1860"/>
      <w:bookmarkEnd w:id="1861"/>
    </w:p>
    <w:tbl>
      <w:tblPr>
        <w:tblStyle w:val="23"/>
        <w:tblW w:w="0" w:type="auto"/>
        <w:tblInd w:w="78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434"/>
      </w:tblGrid>
      <w:tr w14:paraId="54FC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4" w:type="dxa"/>
            <w:noWrap w:val="0"/>
            <w:vAlign w:val="top"/>
          </w:tcPr>
          <w:p w14:paraId="70122439">
            <w:pPr>
              <w:pStyle w:val="57"/>
              <w:outlineLvl w:val="2"/>
              <w:rPr>
                <w:rFonts w:hint="default" w:ascii="宋体" w:hAnsi="宋体" w:eastAsia="宋体" w:cs="宋体"/>
                <w:sz w:val="21"/>
                <w:szCs w:val="21"/>
                <w:highlight w:val="none"/>
                <w:vertAlign w:val="baseline"/>
                <w:lang w:val="en-US" w:eastAsia="zh-CN"/>
              </w:rPr>
            </w:pPr>
            <w:r>
              <w:rPr>
                <w:rFonts w:hint="eastAsia" w:ascii="宋体" w:hAnsi="宋体" w:eastAsia="宋体" w:cs="宋体"/>
                <w:sz w:val="32"/>
                <w:szCs w:val="32"/>
                <w:highlight w:val="none"/>
                <w:vertAlign w:val="baseline"/>
                <w:lang w:eastAsia="zh-CN"/>
              </w:rPr>
              <w:t>正</w:t>
            </w:r>
            <w:r>
              <w:rPr>
                <w:rFonts w:hint="eastAsia" w:ascii="宋体" w:hAnsi="宋体" w:eastAsia="宋体" w:cs="宋体"/>
                <w:sz w:val="32"/>
                <w:szCs w:val="32"/>
                <w:highlight w:val="none"/>
                <w:vertAlign w:val="baseline"/>
                <w:lang w:val="en-US" w:eastAsia="zh-CN"/>
              </w:rPr>
              <w:t>/副本</w:t>
            </w:r>
          </w:p>
        </w:tc>
      </w:tr>
    </w:tbl>
    <w:p w14:paraId="67F0AFBD">
      <w:pPr>
        <w:pStyle w:val="57"/>
        <w:outlineLvl w:val="2"/>
        <w:rPr>
          <w:rFonts w:hint="eastAsia" w:ascii="宋体" w:hAnsi="宋体" w:eastAsia="宋体" w:cs="宋体"/>
          <w:sz w:val="21"/>
          <w:szCs w:val="21"/>
          <w:highlight w:val="none"/>
        </w:rPr>
      </w:pPr>
    </w:p>
    <w:p w14:paraId="20ABD637">
      <w:pPr>
        <w:pStyle w:val="56"/>
        <w:rPr>
          <w:rFonts w:hint="eastAsia" w:ascii="宋体" w:hAnsi="宋体" w:eastAsia="宋体" w:cs="宋体"/>
          <w:b w:val="0"/>
          <w:sz w:val="21"/>
          <w:szCs w:val="21"/>
          <w:highlight w:val="none"/>
        </w:rPr>
      </w:pPr>
    </w:p>
    <w:p w14:paraId="02A0029F">
      <w:pPr>
        <w:pStyle w:val="56"/>
        <w:rPr>
          <w:rFonts w:hint="eastAsia" w:ascii="宋体" w:hAnsi="宋体" w:eastAsia="宋体" w:cs="宋体"/>
          <w:b w:val="0"/>
          <w:bCs/>
          <w:sz w:val="21"/>
          <w:szCs w:val="21"/>
          <w:highlight w:val="none"/>
        </w:rPr>
      </w:pPr>
    </w:p>
    <w:p w14:paraId="2072B3F3">
      <w:pPr>
        <w:pStyle w:val="56"/>
        <w:rPr>
          <w:rFonts w:hint="eastAsia" w:ascii="宋体" w:hAnsi="宋体" w:eastAsia="宋体" w:cs="宋体"/>
          <w:sz w:val="21"/>
          <w:szCs w:val="21"/>
          <w:highlight w:val="none"/>
        </w:rPr>
      </w:pPr>
    </w:p>
    <w:p w14:paraId="479DBE69">
      <w:pPr>
        <w:pStyle w:val="58"/>
        <w:spacing w:line="440" w:lineRule="exact"/>
        <w:rPr>
          <w:rFonts w:hint="eastAsia" w:ascii="宋体" w:hAnsi="宋体" w:cs="宋体"/>
          <w:szCs w:val="21"/>
          <w:highlight w:val="none"/>
        </w:rPr>
      </w:pPr>
    </w:p>
    <w:p w14:paraId="372F9C23">
      <w:pPr>
        <w:spacing w:line="360" w:lineRule="auto"/>
        <w:jc w:val="center"/>
        <w:rPr>
          <w:rFonts w:hint="eastAsia" w:ascii="宋体" w:hAnsi="宋体" w:eastAsia="宋体" w:cs="宋体"/>
          <w:b/>
          <w:bCs/>
          <w:sz w:val="32"/>
          <w:szCs w:val="32"/>
          <w:highlight w:val="none"/>
          <w:lang w:eastAsia="zh-CN"/>
        </w:rPr>
      </w:pPr>
      <w:r>
        <w:rPr>
          <w:rFonts w:hint="eastAsia" w:ascii="宋体" w:hAnsi="宋体" w:eastAsia="宋体" w:cs="宋体"/>
          <w:b/>
          <w:bCs/>
          <w:sz w:val="32"/>
          <w:szCs w:val="32"/>
          <w:highlight w:val="none"/>
          <w:lang w:eastAsia="zh-CN"/>
        </w:rPr>
        <w:t>南通轨道交通部分站点非机动车换乘停车优化改造施工项目</w:t>
      </w:r>
    </w:p>
    <w:p w14:paraId="3AD8006C">
      <w:pPr>
        <w:spacing w:line="360" w:lineRule="auto"/>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lang w:eastAsia="zh-CN"/>
        </w:rPr>
        <w:t>（</w:t>
      </w:r>
      <w:r>
        <w:rPr>
          <w:rFonts w:hint="eastAsia" w:ascii="宋体" w:hAnsi="宋体" w:eastAsia="宋体" w:cs="宋体"/>
          <w:b/>
          <w:bCs/>
          <w:sz w:val="32"/>
          <w:szCs w:val="32"/>
          <w:highlight w:val="none"/>
        </w:rPr>
        <w:t>第1批次</w:t>
      </w:r>
      <w:r>
        <w:rPr>
          <w:rFonts w:hint="eastAsia" w:ascii="宋体" w:hAnsi="宋体" w:eastAsia="宋体" w:cs="宋体"/>
          <w:b/>
          <w:bCs/>
          <w:sz w:val="32"/>
          <w:szCs w:val="32"/>
          <w:highlight w:val="none"/>
          <w:lang w:eastAsia="zh-CN"/>
        </w:rPr>
        <w:t>）</w:t>
      </w:r>
    </w:p>
    <w:p w14:paraId="2F7649D1">
      <w:pPr>
        <w:spacing w:line="360" w:lineRule="auto"/>
        <w:rPr>
          <w:rFonts w:hint="eastAsia" w:ascii="宋体" w:hAnsi="宋体" w:cs="宋体"/>
          <w:szCs w:val="21"/>
          <w:highlight w:val="none"/>
        </w:rPr>
      </w:pPr>
    </w:p>
    <w:p w14:paraId="1EA40CB2">
      <w:pPr>
        <w:spacing w:line="360" w:lineRule="auto"/>
        <w:rPr>
          <w:rFonts w:hint="eastAsia" w:ascii="宋体" w:hAnsi="宋体" w:cs="宋体"/>
          <w:szCs w:val="21"/>
          <w:highlight w:val="none"/>
        </w:rPr>
      </w:pPr>
    </w:p>
    <w:p w14:paraId="7F9CD745">
      <w:pPr>
        <w:pStyle w:val="7"/>
        <w:rPr>
          <w:rFonts w:hint="eastAsia" w:ascii="宋体" w:hAnsi="宋体" w:cs="宋体"/>
          <w:szCs w:val="21"/>
          <w:highlight w:val="none"/>
        </w:rPr>
      </w:pPr>
    </w:p>
    <w:p w14:paraId="68F084C8">
      <w:pPr>
        <w:pStyle w:val="7"/>
        <w:rPr>
          <w:rFonts w:hint="eastAsia" w:ascii="宋体" w:hAnsi="宋体" w:cs="宋体"/>
          <w:szCs w:val="21"/>
          <w:highlight w:val="none"/>
        </w:rPr>
      </w:pPr>
    </w:p>
    <w:p w14:paraId="65BB0EC6">
      <w:pPr>
        <w:pStyle w:val="7"/>
        <w:rPr>
          <w:rFonts w:hint="eastAsia" w:ascii="宋体" w:hAnsi="宋体" w:cs="宋体"/>
          <w:szCs w:val="21"/>
          <w:highlight w:val="none"/>
        </w:rPr>
      </w:pPr>
    </w:p>
    <w:p w14:paraId="7355B709">
      <w:pPr>
        <w:spacing w:line="360" w:lineRule="auto"/>
        <w:jc w:val="center"/>
        <w:rPr>
          <w:rFonts w:hint="eastAsia" w:ascii="宋体" w:hAnsi="宋体" w:cs="宋体"/>
          <w:b/>
          <w:bCs/>
          <w:sz w:val="52"/>
          <w:szCs w:val="52"/>
          <w:highlight w:val="none"/>
        </w:rPr>
      </w:pPr>
      <w:r>
        <w:rPr>
          <w:rFonts w:hint="eastAsia" w:ascii="宋体" w:hAnsi="宋体" w:cs="宋体"/>
          <w:b/>
          <w:bCs/>
          <w:sz w:val="52"/>
          <w:szCs w:val="52"/>
          <w:highlight w:val="none"/>
        </w:rPr>
        <w:t>投  标  文  件</w:t>
      </w:r>
    </w:p>
    <w:p w14:paraId="76C51E38">
      <w:pPr>
        <w:pStyle w:val="7"/>
        <w:ind w:left="0" w:leftChars="0" w:firstLine="0" w:firstLineChars="0"/>
        <w:jc w:val="center"/>
        <w:rPr>
          <w:rFonts w:hint="default" w:ascii="宋体" w:hAnsi="宋体" w:eastAsia="宋体" w:cs="宋体"/>
          <w:b/>
          <w:bCs/>
          <w:kern w:val="2"/>
          <w:sz w:val="36"/>
          <w:szCs w:val="36"/>
          <w:highlight w:val="none"/>
          <w:lang w:val="en-US" w:eastAsia="zh-CN" w:bidi="ar-SA"/>
        </w:rPr>
      </w:pPr>
      <w:r>
        <w:rPr>
          <w:rFonts w:hint="eastAsia" w:ascii="宋体" w:hAnsi="宋体" w:eastAsia="宋体" w:cs="宋体"/>
          <w:b/>
          <w:bCs/>
          <w:kern w:val="2"/>
          <w:sz w:val="36"/>
          <w:szCs w:val="36"/>
          <w:highlight w:val="none"/>
          <w:lang w:val="en-US" w:eastAsia="zh-CN" w:bidi="ar-SA"/>
        </w:rPr>
        <w:t>（资格审查文件/商务标）</w:t>
      </w:r>
    </w:p>
    <w:p w14:paraId="6E0D8BFD">
      <w:pPr>
        <w:spacing w:line="360" w:lineRule="auto"/>
        <w:rPr>
          <w:rFonts w:hint="eastAsia" w:ascii="宋体" w:hAnsi="宋体" w:cs="宋体"/>
          <w:szCs w:val="21"/>
          <w:highlight w:val="none"/>
        </w:rPr>
      </w:pPr>
    </w:p>
    <w:p w14:paraId="189818EC">
      <w:pPr>
        <w:spacing w:line="400" w:lineRule="exact"/>
        <w:ind w:right="-378" w:rightChars="-180" w:firstLine="2520" w:firstLineChars="900"/>
        <w:jc w:val="left"/>
        <w:rPr>
          <w:rFonts w:hint="eastAsia" w:ascii="宋体" w:hAnsi="宋体" w:cs="宋体"/>
          <w:sz w:val="28"/>
          <w:szCs w:val="28"/>
          <w:highlight w:val="none"/>
        </w:rPr>
      </w:pPr>
      <w:r>
        <w:rPr>
          <w:rFonts w:hint="eastAsia" w:ascii="宋体" w:hAnsi="宋体" w:cs="宋体"/>
          <w:sz w:val="28"/>
          <w:szCs w:val="28"/>
          <w:highlight w:val="none"/>
        </w:rPr>
        <w:t>项目编号：</w:t>
      </w:r>
      <w:r>
        <w:rPr>
          <w:rFonts w:hint="eastAsia" w:ascii="宋体" w:hAnsi="宋体" w:cs="宋体"/>
          <w:sz w:val="28"/>
          <w:szCs w:val="28"/>
          <w:highlight w:val="none"/>
          <w:u w:val="single"/>
        </w:rPr>
        <w:t xml:space="preserve">               </w:t>
      </w:r>
    </w:p>
    <w:p w14:paraId="4C493B68">
      <w:pPr>
        <w:spacing w:line="360" w:lineRule="auto"/>
        <w:rPr>
          <w:rFonts w:hint="eastAsia" w:ascii="宋体" w:hAnsi="宋体" w:cs="宋体"/>
          <w:szCs w:val="21"/>
          <w:highlight w:val="none"/>
        </w:rPr>
      </w:pPr>
    </w:p>
    <w:p w14:paraId="0161EB54">
      <w:pPr>
        <w:spacing w:line="360" w:lineRule="auto"/>
        <w:rPr>
          <w:rFonts w:hint="eastAsia" w:ascii="宋体" w:hAnsi="宋体" w:cs="宋体"/>
          <w:szCs w:val="21"/>
          <w:highlight w:val="none"/>
        </w:rPr>
      </w:pPr>
    </w:p>
    <w:p w14:paraId="48A27E17">
      <w:pPr>
        <w:spacing w:line="360" w:lineRule="auto"/>
        <w:rPr>
          <w:rFonts w:hint="eastAsia" w:ascii="宋体" w:hAnsi="宋体" w:cs="宋体"/>
          <w:szCs w:val="21"/>
          <w:highlight w:val="none"/>
        </w:rPr>
      </w:pPr>
    </w:p>
    <w:p w14:paraId="77AF6D28">
      <w:pPr>
        <w:spacing w:line="360" w:lineRule="auto"/>
        <w:rPr>
          <w:rFonts w:hint="eastAsia" w:ascii="宋体" w:hAnsi="宋体" w:cs="宋体"/>
          <w:szCs w:val="21"/>
          <w:highlight w:val="none"/>
        </w:rPr>
      </w:pPr>
    </w:p>
    <w:p w14:paraId="5A58CD20">
      <w:pPr>
        <w:spacing w:line="360" w:lineRule="auto"/>
        <w:rPr>
          <w:rFonts w:hint="eastAsia" w:ascii="宋体" w:hAnsi="宋体" w:cs="宋体"/>
          <w:szCs w:val="21"/>
          <w:highlight w:val="none"/>
        </w:rPr>
      </w:pPr>
    </w:p>
    <w:p w14:paraId="538F9692">
      <w:pPr>
        <w:spacing w:line="360" w:lineRule="auto"/>
        <w:rPr>
          <w:rFonts w:hint="eastAsia" w:ascii="宋体" w:hAnsi="宋体" w:cs="宋体"/>
          <w:szCs w:val="21"/>
          <w:highlight w:val="none"/>
        </w:rPr>
      </w:pPr>
    </w:p>
    <w:p w14:paraId="00A487D2">
      <w:pPr>
        <w:spacing w:line="360" w:lineRule="auto"/>
        <w:rPr>
          <w:rFonts w:hint="eastAsia" w:ascii="宋体" w:hAnsi="宋体" w:cs="宋体"/>
          <w:szCs w:val="21"/>
          <w:highlight w:val="none"/>
        </w:rPr>
      </w:pPr>
    </w:p>
    <w:p w14:paraId="1B1A1DC3">
      <w:pPr>
        <w:spacing w:line="480" w:lineRule="auto"/>
        <w:ind w:firstLine="560" w:firstLineChars="200"/>
        <w:rPr>
          <w:rFonts w:hint="eastAsia" w:ascii="宋体" w:hAnsi="宋体" w:cs="宋体"/>
          <w:sz w:val="28"/>
          <w:szCs w:val="28"/>
          <w:highlight w:val="none"/>
          <w:u w:val="single"/>
        </w:rPr>
      </w:pPr>
      <w:r>
        <w:rPr>
          <w:rFonts w:hint="eastAsia" w:ascii="宋体" w:hAnsi="宋体" w:cs="宋体"/>
          <w:sz w:val="28"/>
          <w:szCs w:val="28"/>
          <w:highlight w:val="none"/>
        </w:rPr>
        <w:t>投标人：</w:t>
      </w:r>
      <w:r>
        <w:rPr>
          <w:rFonts w:hint="eastAsia" w:ascii="宋体" w:hAnsi="宋体" w:cs="宋体"/>
          <w:sz w:val="28"/>
          <w:szCs w:val="28"/>
          <w:highlight w:val="none"/>
          <w:u w:val="single"/>
        </w:rPr>
        <w:t xml:space="preserve">                              </w:t>
      </w:r>
      <w:r>
        <w:rPr>
          <w:rFonts w:hint="eastAsia" w:ascii="宋体" w:hAnsi="宋体" w:cs="宋体"/>
          <w:sz w:val="28"/>
          <w:szCs w:val="28"/>
          <w:highlight w:val="none"/>
        </w:rPr>
        <w:t>（盖单位公章）</w:t>
      </w:r>
    </w:p>
    <w:p w14:paraId="3F2FBDAA">
      <w:pPr>
        <w:spacing w:line="48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法定代表人或其委托代理人：</w:t>
      </w:r>
      <w:r>
        <w:rPr>
          <w:rFonts w:hint="eastAsia" w:ascii="宋体" w:hAnsi="宋体" w:cs="宋体"/>
          <w:sz w:val="28"/>
          <w:szCs w:val="28"/>
          <w:highlight w:val="none"/>
          <w:u w:val="single"/>
        </w:rPr>
        <w:t xml:space="preserve">             </w:t>
      </w:r>
      <w:r>
        <w:rPr>
          <w:rFonts w:hint="eastAsia" w:ascii="宋体" w:hAnsi="宋体" w:cs="宋体"/>
          <w:sz w:val="28"/>
          <w:szCs w:val="28"/>
          <w:highlight w:val="none"/>
        </w:rPr>
        <w:t>（签字或印章）</w:t>
      </w:r>
    </w:p>
    <w:p w14:paraId="13EBEA09">
      <w:pPr>
        <w:spacing w:line="480" w:lineRule="auto"/>
        <w:ind w:firstLine="1540" w:firstLineChars="550"/>
        <w:rPr>
          <w:rFonts w:hint="eastAsia" w:ascii="宋体" w:hAnsi="宋体" w:cs="宋体"/>
          <w:sz w:val="28"/>
          <w:szCs w:val="28"/>
          <w:highlight w:val="none"/>
        </w:rPr>
      </w:pPr>
      <w:r>
        <w:rPr>
          <w:rFonts w:hint="eastAsia" w:ascii="宋体" w:hAnsi="宋体" w:cs="宋体"/>
          <w:sz w:val="28"/>
          <w:szCs w:val="28"/>
          <w:highlight w:val="none"/>
          <w:u w:val="single"/>
        </w:rPr>
        <w:t xml:space="preserve">          </w:t>
      </w:r>
      <w:r>
        <w:rPr>
          <w:rFonts w:hint="eastAsia" w:ascii="宋体" w:hAnsi="宋体" w:cs="宋体"/>
          <w:sz w:val="28"/>
          <w:szCs w:val="28"/>
          <w:highlight w:val="none"/>
        </w:rPr>
        <w:t>年</w:t>
      </w:r>
      <w:r>
        <w:rPr>
          <w:rFonts w:hint="eastAsia" w:ascii="宋体" w:hAnsi="宋体" w:cs="宋体"/>
          <w:sz w:val="28"/>
          <w:szCs w:val="28"/>
          <w:highlight w:val="none"/>
          <w:u w:val="single"/>
        </w:rPr>
        <w:t xml:space="preserve">     </w:t>
      </w:r>
      <w:r>
        <w:rPr>
          <w:rFonts w:hint="eastAsia" w:ascii="宋体" w:hAnsi="宋体" w:cs="宋体"/>
          <w:sz w:val="28"/>
          <w:szCs w:val="28"/>
          <w:highlight w:val="none"/>
        </w:rPr>
        <w:t>月</w:t>
      </w:r>
      <w:r>
        <w:rPr>
          <w:rFonts w:hint="eastAsia" w:ascii="宋体" w:hAnsi="宋体" w:cs="宋体"/>
          <w:sz w:val="28"/>
          <w:szCs w:val="28"/>
          <w:highlight w:val="none"/>
          <w:u w:val="single"/>
        </w:rPr>
        <w:t xml:space="preserve">     </w:t>
      </w:r>
      <w:r>
        <w:rPr>
          <w:rFonts w:hint="eastAsia" w:ascii="宋体" w:hAnsi="宋体" w:cs="宋体"/>
          <w:sz w:val="28"/>
          <w:szCs w:val="28"/>
          <w:highlight w:val="none"/>
        </w:rPr>
        <w:t>日</w:t>
      </w:r>
    </w:p>
    <w:p w14:paraId="34D39C23">
      <w:pPr>
        <w:pStyle w:val="59"/>
        <w:outlineLvl w:val="2"/>
        <w:rPr>
          <w:rFonts w:hint="eastAsia" w:ascii="宋体" w:hAnsi="宋体" w:eastAsia="宋体" w:cs="宋体"/>
          <w:sz w:val="21"/>
          <w:szCs w:val="21"/>
          <w:highlight w:val="none"/>
        </w:rPr>
      </w:pPr>
      <w:bookmarkStart w:id="1862" w:name="_Toc20575"/>
      <w:bookmarkStart w:id="1863" w:name="_Toc14798"/>
      <w:bookmarkStart w:id="1864" w:name="_Toc11011"/>
      <w:bookmarkStart w:id="1865" w:name="_Toc10095"/>
      <w:bookmarkStart w:id="1866" w:name="_Toc30324"/>
      <w:bookmarkStart w:id="1867" w:name="_Toc13576"/>
      <w:bookmarkStart w:id="1868" w:name="_Toc8286"/>
      <w:bookmarkStart w:id="1869" w:name="_Toc30522"/>
      <w:bookmarkStart w:id="1870" w:name="_Toc7959"/>
      <w:bookmarkStart w:id="1871" w:name="_Toc25378"/>
      <w:bookmarkStart w:id="1872" w:name="_Toc6"/>
      <w:r>
        <w:rPr>
          <w:rFonts w:hint="eastAsia" w:ascii="宋体" w:hAnsi="宋体" w:eastAsia="宋体" w:cs="宋体"/>
          <w:sz w:val="21"/>
          <w:szCs w:val="21"/>
          <w:highlight w:val="none"/>
        </w:rPr>
        <w:br w:type="page"/>
      </w:r>
      <w:bookmarkStart w:id="1873" w:name="_Toc8618"/>
      <w:bookmarkStart w:id="1874" w:name="_Toc5701"/>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rPr>
        <w:t>、法定代表人身份证明</w:t>
      </w:r>
      <w:bookmarkEnd w:id="1873"/>
    </w:p>
    <w:p w14:paraId="71C8EC49">
      <w:pPr>
        <w:pStyle w:val="45"/>
        <w:jc w:val="center"/>
        <w:rPr>
          <w:rFonts w:hint="eastAsia" w:ascii="宋体" w:hAnsi="宋体" w:cs="宋体"/>
          <w:b/>
          <w:szCs w:val="21"/>
          <w:highlight w:val="none"/>
        </w:rPr>
      </w:pPr>
    </w:p>
    <w:p w14:paraId="238AAE12">
      <w:pPr>
        <w:pStyle w:val="45"/>
        <w:jc w:val="center"/>
        <w:rPr>
          <w:rFonts w:hint="eastAsia" w:ascii="宋体" w:hAnsi="宋体" w:cs="宋体"/>
          <w:b/>
          <w:sz w:val="28"/>
          <w:szCs w:val="28"/>
          <w:highlight w:val="none"/>
        </w:rPr>
      </w:pPr>
      <w:r>
        <w:rPr>
          <w:rFonts w:hint="eastAsia" w:ascii="宋体" w:hAnsi="宋体" w:cs="宋体"/>
          <w:b/>
          <w:sz w:val="28"/>
          <w:szCs w:val="28"/>
          <w:highlight w:val="none"/>
        </w:rPr>
        <w:t>法定代表人身份证明</w:t>
      </w:r>
    </w:p>
    <w:p w14:paraId="5C8CCDC1">
      <w:pPr>
        <w:autoSpaceDE w:val="0"/>
        <w:autoSpaceDN w:val="0"/>
        <w:adjustRightInd w:val="0"/>
        <w:spacing w:line="360" w:lineRule="auto"/>
        <w:rPr>
          <w:rFonts w:hint="eastAsia" w:ascii="宋体" w:hAnsi="宋体" w:cs="宋体"/>
          <w:kern w:val="0"/>
          <w:szCs w:val="21"/>
          <w:highlight w:val="none"/>
        </w:rPr>
      </w:pPr>
    </w:p>
    <w:p w14:paraId="24084902">
      <w:pPr>
        <w:autoSpaceDE w:val="0"/>
        <w:autoSpaceDN w:val="0"/>
        <w:adjustRightInd w:val="0"/>
        <w:spacing w:line="360" w:lineRule="auto"/>
        <w:ind w:firstLine="420" w:firstLineChars="200"/>
        <w:jc w:val="left"/>
        <w:rPr>
          <w:rFonts w:hint="eastAsia" w:ascii="宋体" w:hAnsi="宋体" w:cs="宋体"/>
          <w:kern w:val="0"/>
          <w:szCs w:val="21"/>
          <w:highlight w:val="none"/>
        </w:rPr>
      </w:pPr>
    </w:p>
    <w:p w14:paraId="22903DED">
      <w:pPr>
        <w:autoSpaceDE w:val="0"/>
        <w:autoSpaceDN w:val="0"/>
        <w:adjustRightInd w:val="0"/>
        <w:spacing w:line="700" w:lineRule="exac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投 标 人：</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p>
    <w:p w14:paraId="56106B70">
      <w:pPr>
        <w:autoSpaceDE w:val="0"/>
        <w:autoSpaceDN w:val="0"/>
        <w:adjustRightInd w:val="0"/>
        <w:spacing w:line="700" w:lineRule="exac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单位性质：</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p>
    <w:p w14:paraId="1DA67840">
      <w:pPr>
        <w:autoSpaceDE w:val="0"/>
        <w:autoSpaceDN w:val="0"/>
        <w:adjustRightInd w:val="0"/>
        <w:spacing w:line="700" w:lineRule="exac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地    址：</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p>
    <w:p w14:paraId="74132D90">
      <w:pPr>
        <w:autoSpaceDE w:val="0"/>
        <w:autoSpaceDN w:val="0"/>
        <w:adjustRightInd w:val="0"/>
        <w:spacing w:line="700" w:lineRule="exac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成立时间：</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年</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月</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日</w:t>
      </w:r>
    </w:p>
    <w:p w14:paraId="5350253D">
      <w:pPr>
        <w:autoSpaceDE w:val="0"/>
        <w:autoSpaceDN w:val="0"/>
        <w:adjustRightInd w:val="0"/>
        <w:spacing w:line="700" w:lineRule="exac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经营期限：</w:t>
      </w:r>
      <w:r>
        <w:rPr>
          <w:rFonts w:hint="eastAsia" w:ascii="宋体" w:hAnsi="宋体" w:cs="宋体"/>
          <w:kern w:val="0"/>
          <w:szCs w:val="21"/>
          <w:highlight w:val="none"/>
          <w:u w:val="single"/>
        </w:rPr>
        <w:t xml:space="preserve">                                                        </w:t>
      </w:r>
    </w:p>
    <w:p w14:paraId="43C8DD29">
      <w:pPr>
        <w:autoSpaceDE w:val="0"/>
        <w:autoSpaceDN w:val="0"/>
        <w:adjustRightInd w:val="0"/>
        <w:spacing w:line="700" w:lineRule="exac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姓    名：</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性        别：</w:t>
      </w:r>
      <w:r>
        <w:rPr>
          <w:rFonts w:hint="eastAsia" w:ascii="宋体" w:hAnsi="宋体" w:cs="宋体"/>
          <w:kern w:val="0"/>
          <w:szCs w:val="21"/>
          <w:highlight w:val="none"/>
          <w:u w:val="single"/>
        </w:rPr>
        <w:t xml:space="preserve">                </w:t>
      </w:r>
    </w:p>
    <w:p w14:paraId="64540098">
      <w:pPr>
        <w:autoSpaceDE w:val="0"/>
        <w:autoSpaceDN w:val="0"/>
        <w:adjustRightInd w:val="0"/>
        <w:spacing w:line="700" w:lineRule="exac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年    龄：</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职        务：</w:t>
      </w:r>
      <w:r>
        <w:rPr>
          <w:rFonts w:hint="eastAsia" w:ascii="宋体" w:hAnsi="宋体" w:cs="宋体"/>
          <w:kern w:val="0"/>
          <w:szCs w:val="21"/>
          <w:highlight w:val="none"/>
          <w:u w:val="single"/>
        </w:rPr>
        <w:t xml:space="preserve">                </w:t>
      </w:r>
    </w:p>
    <w:p w14:paraId="6EFC522C">
      <w:pPr>
        <w:autoSpaceDE w:val="0"/>
        <w:autoSpaceDN w:val="0"/>
        <w:adjustRightInd w:val="0"/>
        <w:spacing w:line="700" w:lineRule="exac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系</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（投标人名称）的法定代表人。</w:t>
      </w:r>
    </w:p>
    <w:p w14:paraId="11F44352">
      <w:pPr>
        <w:autoSpaceDE w:val="0"/>
        <w:autoSpaceDN w:val="0"/>
        <w:adjustRightInd w:val="0"/>
        <w:spacing w:line="700" w:lineRule="exact"/>
        <w:ind w:firstLine="840" w:firstLineChars="400"/>
        <w:jc w:val="left"/>
        <w:rPr>
          <w:rFonts w:hint="eastAsia" w:ascii="宋体" w:hAnsi="宋体" w:cs="宋体"/>
          <w:kern w:val="0"/>
          <w:szCs w:val="21"/>
          <w:highlight w:val="none"/>
        </w:rPr>
      </w:pPr>
      <w:r>
        <w:rPr>
          <w:rFonts w:hint="eastAsia" w:ascii="宋体" w:hAnsi="宋体" w:cs="宋体"/>
          <w:kern w:val="0"/>
          <w:szCs w:val="21"/>
          <w:highlight w:val="none"/>
        </w:rPr>
        <w:t>特此证明。</w:t>
      </w:r>
    </w:p>
    <w:p w14:paraId="664F117C">
      <w:pPr>
        <w:autoSpaceDE w:val="0"/>
        <w:autoSpaceDN w:val="0"/>
        <w:adjustRightInd w:val="0"/>
        <w:spacing w:line="360" w:lineRule="auto"/>
        <w:ind w:firstLine="420" w:firstLineChars="200"/>
        <w:jc w:val="left"/>
        <w:rPr>
          <w:rFonts w:hint="eastAsia" w:ascii="宋体" w:hAnsi="宋体" w:cs="宋体"/>
          <w:kern w:val="0"/>
          <w:szCs w:val="21"/>
          <w:highlight w:val="none"/>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9236"/>
      </w:tblGrid>
      <w:tr w14:paraId="5598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073" w:hRule="atLeast"/>
        </w:trPr>
        <w:tc>
          <w:tcPr>
            <w:tcW w:w="9236" w:type="dxa"/>
            <w:noWrap w:val="0"/>
            <w:vAlign w:val="top"/>
          </w:tcPr>
          <w:p w14:paraId="2612959A">
            <w:pPr>
              <w:autoSpaceDE w:val="0"/>
              <w:autoSpaceDN w:val="0"/>
              <w:adjustRightInd w:val="0"/>
              <w:spacing w:line="360" w:lineRule="auto"/>
              <w:jc w:val="left"/>
              <w:rPr>
                <w:rFonts w:hint="eastAsia" w:ascii="宋体" w:hAnsi="宋体" w:cs="宋体"/>
                <w:kern w:val="0"/>
                <w:szCs w:val="21"/>
                <w:highlight w:val="none"/>
                <w:vertAlign w:val="baseline"/>
              </w:rPr>
            </w:pPr>
          </w:p>
          <w:p w14:paraId="1BF30B72">
            <w:pPr>
              <w:pStyle w:val="7"/>
              <w:rPr>
                <w:rFonts w:hint="eastAsia" w:ascii="宋体" w:hAnsi="宋体" w:cs="宋体"/>
                <w:kern w:val="0"/>
                <w:szCs w:val="21"/>
                <w:highlight w:val="none"/>
                <w:vertAlign w:val="baseline"/>
              </w:rPr>
            </w:pPr>
          </w:p>
          <w:p w14:paraId="31C622CF">
            <w:pPr>
              <w:pStyle w:val="7"/>
              <w:rPr>
                <w:rFonts w:hint="default" w:ascii="宋体" w:hAnsi="宋体" w:eastAsia="宋体" w:cs="宋体"/>
                <w:kern w:val="0"/>
                <w:szCs w:val="21"/>
                <w:highlight w:val="none"/>
                <w:vertAlign w:val="baseline"/>
                <w:lang w:val="en-US" w:eastAsia="zh-CN"/>
              </w:rPr>
            </w:pPr>
            <w:r>
              <w:rPr>
                <w:rFonts w:hint="eastAsia" w:ascii="宋体" w:hAnsi="宋体" w:cs="宋体"/>
                <w:kern w:val="0"/>
                <w:szCs w:val="21"/>
                <w:highlight w:val="none"/>
                <w:vertAlign w:val="baseline"/>
                <w:lang w:val="en-US" w:eastAsia="zh-CN"/>
              </w:rPr>
              <w:t xml:space="preserve">    法定代表人身份证正、反面复印件或扫描打印件</w:t>
            </w:r>
          </w:p>
        </w:tc>
      </w:tr>
    </w:tbl>
    <w:p w14:paraId="3879ABEC">
      <w:pPr>
        <w:autoSpaceDE w:val="0"/>
        <w:autoSpaceDN w:val="0"/>
        <w:adjustRightInd w:val="0"/>
        <w:spacing w:line="360" w:lineRule="auto"/>
        <w:ind w:firstLine="420" w:firstLineChars="200"/>
        <w:jc w:val="left"/>
        <w:rPr>
          <w:rFonts w:hint="eastAsia" w:ascii="宋体" w:hAnsi="宋体" w:cs="宋体"/>
          <w:kern w:val="0"/>
          <w:szCs w:val="21"/>
          <w:highlight w:val="none"/>
        </w:rPr>
      </w:pPr>
    </w:p>
    <w:p w14:paraId="3E5CD794">
      <w:pPr>
        <w:autoSpaceDE w:val="0"/>
        <w:autoSpaceDN w:val="0"/>
        <w:adjustRightInd w:val="0"/>
        <w:spacing w:line="360" w:lineRule="auto"/>
        <w:ind w:firstLine="420" w:firstLineChars="200"/>
        <w:jc w:val="left"/>
        <w:rPr>
          <w:rFonts w:hint="eastAsia" w:ascii="宋体" w:hAnsi="宋体" w:cs="宋体"/>
          <w:kern w:val="0"/>
          <w:szCs w:val="21"/>
          <w:highlight w:val="none"/>
        </w:rPr>
      </w:pPr>
    </w:p>
    <w:p w14:paraId="7B186B41">
      <w:pPr>
        <w:autoSpaceDE w:val="0"/>
        <w:autoSpaceDN w:val="0"/>
        <w:adjustRightInd w:val="0"/>
        <w:spacing w:line="360" w:lineRule="auto"/>
        <w:ind w:firstLine="3570" w:firstLineChars="1700"/>
        <w:jc w:val="left"/>
        <w:rPr>
          <w:rFonts w:hint="eastAsia" w:ascii="宋体" w:hAnsi="宋体" w:cs="宋体"/>
          <w:kern w:val="0"/>
          <w:szCs w:val="21"/>
          <w:highlight w:val="none"/>
        </w:rPr>
      </w:pPr>
      <w:r>
        <w:rPr>
          <w:rFonts w:hint="eastAsia" w:ascii="宋体" w:hAnsi="宋体" w:cs="宋体"/>
          <w:kern w:val="0"/>
          <w:szCs w:val="21"/>
          <w:highlight w:val="none"/>
        </w:rPr>
        <w:t>投标人：</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（盖单位公章）</w:t>
      </w:r>
    </w:p>
    <w:p w14:paraId="33569AEF">
      <w:pPr>
        <w:pStyle w:val="45"/>
        <w:jc w:val="center"/>
        <w:rPr>
          <w:rFonts w:hint="eastAsia" w:ascii="宋体" w:hAnsi="宋体" w:cs="宋体"/>
          <w:b/>
          <w:szCs w:val="21"/>
          <w:highlight w:val="none"/>
        </w:rPr>
      </w:pPr>
      <w:r>
        <w:rPr>
          <w:rFonts w:hint="eastAsia" w:ascii="宋体" w:hAnsi="宋体" w:cs="宋体"/>
          <w:kern w:val="0"/>
          <w:szCs w:val="21"/>
          <w:highlight w:val="none"/>
        </w:rPr>
        <w:t xml:space="preserve">                                             </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年</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月</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日</w:t>
      </w:r>
    </w:p>
    <w:p w14:paraId="5AC880D1">
      <w:pPr>
        <w:pStyle w:val="60"/>
        <w:outlineLvl w:val="2"/>
        <w:rPr>
          <w:rFonts w:hint="eastAsia" w:ascii="宋体" w:hAnsi="宋体" w:eastAsia="宋体" w:cs="宋体"/>
          <w:sz w:val="21"/>
          <w:szCs w:val="21"/>
          <w:highlight w:val="none"/>
        </w:rPr>
      </w:pPr>
      <w:bookmarkStart w:id="1875" w:name="_Toc28171"/>
      <w:bookmarkStart w:id="1876" w:name="_Toc30754"/>
      <w:bookmarkStart w:id="1877" w:name="_Toc21313"/>
      <w:bookmarkStart w:id="1878" w:name="_Toc25554"/>
      <w:bookmarkStart w:id="1879" w:name="_Toc16927"/>
      <w:bookmarkStart w:id="1880" w:name="_Toc962"/>
      <w:bookmarkStart w:id="1881" w:name="_Toc12995"/>
      <w:bookmarkStart w:id="1882" w:name="_Toc1267"/>
      <w:bookmarkStart w:id="1883" w:name="_Toc12124"/>
      <w:bookmarkStart w:id="1884" w:name="_Toc31750"/>
      <w:bookmarkStart w:id="1885" w:name="_Toc16779"/>
      <w:r>
        <w:rPr>
          <w:rFonts w:hint="eastAsia" w:ascii="宋体" w:hAnsi="宋体" w:eastAsia="宋体" w:cs="宋体"/>
          <w:sz w:val="21"/>
          <w:szCs w:val="21"/>
          <w:highlight w:val="none"/>
          <w:lang w:eastAsia="zh-CN"/>
        </w:rPr>
        <w:t>三</w:t>
      </w:r>
      <w:r>
        <w:rPr>
          <w:rFonts w:hint="eastAsia" w:ascii="宋体" w:hAnsi="宋体" w:eastAsia="宋体" w:cs="宋体"/>
          <w:sz w:val="21"/>
          <w:szCs w:val="21"/>
          <w:highlight w:val="none"/>
        </w:rPr>
        <w:t>、授权委托书</w:t>
      </w:r>
      <w:bookmarkEnd w:id="1875"/>
      <w:bookmarkEnd w:id="1876"/>
      <w:bookmarkEnd w:id="1877"/>
      <w:bookmarkEnd w:id="1878"/>
      <w:bookmarkEnd w:id="1879"/>
      <w:bookmarkEnd w:id="1880"/>
      <w:bookmarkEnd w:id="1881"/>
      <w:bookmarkEnd w:id="1882"/>
      <w:bookmarkEnd w:id="1883"/>
      <w:bookmarkEnd w:id="1884"/>
      <w:bookmarkEnd w:id="1885"/>
    </w:p>
    <w:p w14:paraId="736D8758">
      <w:pPr>
        <w:pStyle w:val="45"/>
        <w:jc w:val="center"/>
        <w:rPr>
          <w:rFonts w:hint="eastAsia" w:ascii="宋体" w:hAnsi="宋体" w:cs="宋体"/>
          <w:b/>
          <w:sz w:val="28"/>
          <w:szCs w:val="28"/>
          <w:highlight w:val="none"/>
        </w:rPr>
      </w:pPr>
      <w:r>
        <w:rPr>
          <w:rFonts w:hint="eastAsia" w:ascii="宋体" w:hAnsi="宋体" w:cs="宋体"/>
          <w:b/>
          <w:sz w:val="28"/>
          <w:szCs w:val="28"/>
          <w:highlight w:val="none"/>
        </w:rPr>
        <w:t>授权委托书</w:t>
      </w:r>
    </w:p>
    <w:p w14:paraId="54D356EF">
      <w:pPr>
        <w:topLinePunct/>
        <w:spacing w:line="360" w:lineRule="auto"/>
        <w:ind w:firstLine="525" w:firstLineChars="250"/>
        <w:rPr>
          <w:rFonts w:hint="eastAsia" w:ascii="宋体" w:hAnsi="宋体" w:cs="宋体"/>
          <w:szCs w:val="21"/>
          <w:highlight w:val="none"/>
        </w:rPr>
      </w:pPr>
      <w:r>
        <w:rPr>
          <w:rFonts w:hint="eastAsia" w:ascii="宋体" w:hAnsi="宋体" w:cs="宋体"/>
          <w:szCs w:val="21"/>
          <w:highlight w:val="none"/>
        </w:rPr>
        <w:t>本人</w:t>
      </w:r>
      <w:r>
        <w:rPr>
          <w:rFonts w:hint="eastAsia" w:ascii="宋体" w:hAnsi="宋体" w:cs="宋体"/>
          <w:szCs w:val="21"/>
          <w:highlight w:val="none"/>
          <w:u w:val="single"/>
        </w:rPr>
        <w:t xml:space="preserve">         </w:t>
      </w:r>
      <w:r>
        <w:rPr>
          <w:rFonts w:hint="eastAsia" w:ascii="宋体" w:hAnsi="宋体" w:cs="宋体"/>
          <w:szCs w:val="21"/>
          <w:highlight w:val="none"/>
        </w:rPr>
        <w:t>（姓名）系</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（投标人名称）的法定代表人，现委托</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（姓名）为我方代理人。代理人根据授权，以我方名义签署、澄清、说明、补正、递交、撤回、修改</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（项目名称）</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标段施工投标文件、签订合同和处理有关事宜，其法律后果由我方承担。</w:t>
      </w:r>
    </w:p>
    <w:p w14:paraId="124CF01E">
      <w:pPr>
        <w:spacing w:line="360" w:lineRule="auto"/>
        <w:ind w:firstLine="200"/>
        <w:rPr>
          <w:rFonts w:hint="eastAsia" w:ascii="宋体" w:hAnsi="宋体" w:cs="宋体"/>
          <w:szCs w:val="21"/>
          <w:highlight w:val="none"/>
        </w:rPr>
      </w:pPr>
      <w:r>
        <w:rPr>
          <w:rFonts w:hint="eastAsia" w:ascii="宋体" w:hAnsi="宋体" w:cs="宋体"/>
          <w:szCs w:val="21"/>
          <w:highlight w:val="none"/>
        </w:rPr>
        <w:t>委托期限：</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p>
    <w:p w14:paraId="5E3560B2">
      <w:pPr>
        <w:spacing w:line="360" w:lineRule="auto"/>
        <w:ind w:firstLine="420"/>
        <w:rPr>
          <w:rFonts w:hint="eastAsia" w:ascii="宋体" w:hAnsi="宋体" w:cs="宋体"/>
          <w:szCs w:val="21"/>
          <w:highlight w:val="none"/>
        </w:rPr>
      </w:pPr>
      <w:r>
        <w:rPr>
          <w:rFonts w:hint="eastAsia" w:ascii="宋体" w:hAnsi="宋体" w:cs="宋体"/>
          <w:szCs w:val="21"/>
          <w:highlight w:val="none"/>
        </w:rPr>
        <w:t>代理人无转委托权。</w:t>
      </w:r>
    </w:p>
    <w:p w14:paraId="797CB2A8">
      <w:pPr>
        <w:autoSpaceDE w:val="0"/>
        <w:autoSpaceDN w:val="0"/>
        <w:adjustRightInd w:val="0"/>
        <w:spacing w:line="360" w:lineRule="auto"/>
        <w:ind w:firstLine="420" w:firstLineChars="200"/>
        <w:jc w:val="left"/>
        <w:rPr>
          <w:rFonts w:hint="eastAsia" w:ascii="宋体" w:hAnsi="宋体" w:cs="宋体"/>
          <w:kern w:val="0"/>
          <w:szCs w:val="21"/>
          <w:highlight w:val="none"/>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6"/>
      </w:tblGrid>
      <w:tr w14:paraId="0221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1" w:hRule="atLeast"/>
        </w:trPr>
        <w:tc>
          <w:tcPr>
            <w:tcW w:w="9236" w:type="dxa"/>
            <w:noWrap w:val="0"/>
            <w:vAlign w:val="top"/>
          </w:tcPr>
          <w:p w14:paraId="363CB061">
            <w:pPr>
              <w:autoSpaceDE w:val="0"/>
              <w:autoSpaceDN w:val="0"/>
              <w:adjustRightInd w:val="0"/>
              <w:spacing w:line="360" w:lineRule="auto"/>
              <w:jc w:val="left"/>
              <w:rPr>
                <w:rFonts w:hint="eastAsia" w:ascii="宋体" w:hAnsi="宋体" w:cs="宋体"/>
                <w:kern w:val="0"/>
                <w:szCs w:val="21"/>
                <w:highlight w:val="none"/>
                <w:vertAlign w:val="baseline"/>
              </w:rPr>
            </w:pPr>
          </w:p>
          <w:p w14:paraId="1C93B7EE">
            <w:pPr>
              <w:pStyle w:val="7"/>
              <w:rPr>
                <w:rFonts w:hint="eastAsia" w:ascii="宋体" w:hAnsi="宋体" w:cs="宋体"/>
                <w:kern w:val="0"/>
                <w:szCs w:val="21"/>
                <w:highlight w:val="none"/>
                <w:vertAlign w:val="baseline"/>
              </w:rPr>
            </w:pPr>
          </w:p>
          <w:p w14:paraId="5D0C2340">
            <w:pPr>
              <w:pStyle w:val="7"/>
              <w:rPr>
                <w:rFonts w:hint="default" w:ascii="宋体" w:hAnsi="宋体" w:eastAsia="宋体" w:cs="宋体"/>
                <w:kern w:val="0"/>
                <w:szCs w:val="21"/>
                <w:highlight w:val="none"/>
                <w:vertAlign w:val="baseline"/>
                <w:lang w:val="en-US" w:eastAsia="zh-CN"/>
              </w:rPr>
            </w:pPr>
            <w:r>
              <w:rPr>
                <w:rFonts w:hint="eastAsia" w:ascii="宋体" w:hAnsi="宋体" w:cs="宋体"/>
                <w:kern w:val="0"/>
                <w:szCs w:val="21"/>
                <w:highlight w:val="none"/>
                <w:vertAlign w:val="baseline"/>
                <w:lang w:val="en-US" w:eastAsia="zh-CN"/>
              </w:rPr>
              <w:t xml:space="preserve">    委托代理人身份证正、反面复印件或扫描打印件</w:t>
            </w:r>
          </w:p>
        </w:tc>
      </w:tr>
    </w:tbl>
    <w:p w14:paraId="329E955D">
      <w:pPr>
        <w:autoSpaceDE w:val="0"/>
        <w:autoSpaceDN w:val="0"/>
        <w:adjustRightInd w:val="0"/>
        <w:spacing w:line="360" w:lineRule="auto"/>
        <w:ind w:firstLine="420" w:firstLineChars="200"/>
        <w:jc w:val="left"/>
        <w:rPr>
          <w:rFonts w:hint="eastAsia" w:ascii="宋体" w:hAnsi="宋体" w:cs="宋体"/>
          <w:kern w:val="0"/>
          <w:szCs w:val="21"/>
          <w:highlight w:val="none"/>
        </w:rPr>
      </w:pPr>
    </w:p>
    <w:p w14:paraId="6773604F">
      <w:pPr>
        <w:spacing w:line="440" w:lineRule="exact"/>
        <w:rPr>
          <w:rFonts w:hint="eastAsia" w:ascii="宋体" w:hAnsi="宋体" w:cs="宋体"/>
          <w:szCs w:val="21"/>
          <w:highlight w:val="none"/>
        </w:rPr>
      </w:pPr>
      <w:r>
        <w:rPr>
          <w:rFonts w:hint="eastAsia" w:ascii="宋体" w:hAnsi="宋体" w:cs="宋体"/>
          <w:szCs w:val="21"/>
          <w:highlight w:val="none"/>
        </w:rPr>
        <w:t>投标人：</w:t>
      </w:r>
      <w:r>
        <w:rPr>
          <w:rFonts w:hint="eastAsia" w:ascii="宋体" w:hAnsi="宋体" w:cs="宋体"/>
          <w:szCs w:val="21"/>
          <w:highlight w:val="none"/>
          <w:u w:val="single"/>
        </w:rPr>
        <w:t xml:space="preserve">                               </w:t>
      </w:r>
      <w:r>
        <w:rPr>
          <w:rFonts w:hint="eastAsia" w:ascii="宋体" w:hAnsi="宋体" w:cs="宋体"/>
          <w:szCs w:val="21"/>
          <w:highlight w:val="none"/>
        </w:rPr>
        <w:t>（</w:t>
      </w:r>
      <w:r>
        <w:rPr>
          <w:rFonts w:hint="eastAsia" w:ascii="宋体" w:hAnsi="宋体" w:cs="宋体"/>
          <w:kern w:val="0"/>
          <w:szCs w:val="21"/>
          <w:highlight w:val="none"/>
        </w:rPr>
        <w:t>盖单位公章</w:t>
      </w:r>
      <w:r>
        <w:rPr>
          <w:rFonts w:hint="eastAsia" w:ascii="宋体" w:hAnsi="宋体" w:cs="宋体"/>
          <w:szCs w:val="21"/>
          <w:highlight w:val="none"/>
        </w:rPr>
        <w:t>）</w:t>
      </w:r>
    </w:p>
    <w:p w14:paraId="05C67963">
      <w:pPr>
        <w:spacing w:line="440" w:lineRule="exact"/>
        <w:rPr>
          <w:rFonts w:hint="eastAsia" w:ascii="宋体" w:hAnsi="宋体" w:cs="宋体"/>
          <w:szCs w:val="21"/>
          <w:highlight w:val="none"/>
        </w:rPr>
      </w:pPr>
    </w:p>
    <w:p w14:paraId="2D55FD22">
      <w:pPr>
        <w:spacing w:line="440" w:lineRule="exact"/>
        <w:rPr>
          <w:rFonts w:hint="eastAsia" w:ascii="宋体" w:hAnsi="宋体" w:cs="宋体"/>
          <w:szCs w:val="21"/>
          <w:highlight w:val="none"/>
        </w:rPr>
      </w:pPr>
      <w:r>
        <w:rPr>
          <w:rFonts w:hint="eastAsia" w:ascii="宋体" w:hAnsi="宋体" w:cs="宋体"/>
          <w:szCs w:val="21"/>
          <w:highlight w:val="none"/>
        </w:rPr>
        <w:t>法定代表人：</w:t>
      </w:r>
      <w:r>
        <w:rPr>
          <w:rFonts w:hint="eastAsia" w:ascii="宋体" w:hAnsi="宋体" w:cs="宋体"/>
          <w:szCs w:val="21"/>
          <w:highlight w:val="none"/>
          <w:u w:val="single"/>
        </w:rPr>
        <w:t xml:space="preserve">                               </w:t>
      </w:r>
      <w:r>
        <w:rPr>
          <w:rFonts w:hint="eastAsia" w:ascii="宋体" w:hAnsi="宋体" w:cs="宋体"/>
          <w:szCs w:val="21"/>
          <w:highlight w:val="none"/>
        </w:rPr>
        <w:t>（签字或印章）</w:t>
      </w:r>
    </w:p>
    <w:p w14:paraId="2C29D2DB">
      <w:pPr>
        <w:spacing w:line="440" w:lineRule="exact"/>
        <w:rPr>
          <w:rFonts w:hint="eastAsia" w:ascii="宋体" w:hAnsi="宋体" w:cs="宋体"/>
          <w:szCs w:val="21"/>
          <w:highlight w:val="none"/>
        </w:rPr>
      </w:pPr>
    </w:p>
    <w:p w14:paraId="4AAD4DEF">
      <w:pPr>
        <w:spacing w:line="440" w:lineRule="exact"/>
        <w:rPr>
          <w:rFonts w:hint="eastAsia" w:ascii="宋体" w:hAnsi="宋体" w:cs="宋体"/>
          <w:szCs w:val="21"/>
          <w:highlight w:val="none"/>
        </w:rPr>
      </w:pPr>
      <w:r>
        <w:rPr>
          <w:rFonts w:hint="eastAsia" w:ascii="宋体" w:hAnsi="宋体" w:cs="宋体"/>
          <w:szCs w:val="21"/>
          <w:highlight w:val="none"/>
        </w:rPr>
        <w:t>身份证号码：</w:t>
      </w:r>
      <w:r>
        <w:rPr>
          <w:rFonts w:hint="eastAsia" w:ascii="宋体" w:hAnsi="宋体" w:cs="宋体"/>
          <w:szCs w:val="21"/>
          <w:highlight w:val="none"/>
          <w:u w:val="single"/>
        </w:rPr>
        <w:t xml:space="preserve">                                     </w:t>
      </w:r>
    </w:p>
    <w:p w14:paraId="64C25188">
      <w:pPr>
        <w:spacing w:line="440" w:lineRule="exact"/>
        <w:rPr>
          <w:rFonts w:hint="eastAsia" w:ascii="宋体" w:hAnsi="宋体" w:cs="宋体"/>
          <w:szCs w:val="21"/>
          <w:highlight w:val="none"/>
        </w:rPr>
      </w:pPr>
    </w:p>
    <w:p w14:paraId="700BF7DD">
      <w:pPr>
        <w:spacing w:line="440" w:lineRule="exact"/>
        <w:rPr>
          <w:rFonts w:hint="eastAsia" w:ascii="宋体" w:hAnsi="宋体" w:cs="宋体"/>
          <w:szCs w:val="21"/>
          <w:highlight w:val="none"/>
          <w:u w:val="single"/>
        </w:rPr>
      </w:pPr>
      <w:r>
        <w:rPr>
          <w:rFonts w:hint="eastAsia" w:ascii="宋体" w:hAnsi="宋体" w:cs="宋体"/>
          <w:szCs w:val="21"/>
          <w:highlight w:val="none"/>
        </w:rPr>
        <w:t>委托代理人：</w:t>
      </w:r>
      <w:r>
        <w:rPr>
          <w:rFonts w:hint="eastAsia" w:ascii="宋体" w:hAnsi="宋体" w:cs="宋体"/>
          <w:szCs w:val="21"/>
          <w:highlight w:val="none"/>
          <w:u w:val="single"/>
        </w:rPr>
        <w:t xml:space="preserve">                                   </w:t>
      </w:r>
    </w:p>
    <w:p w14:paraId="343E3C19">
      <w:pPr>
        <w:spacing w:line="440" w:lineRule="exact"/>
        <w:rPr>
          <w:rFonts w:hint="eastAsia" w:ascii="宋体" w:hAnsi="宋体" w:cs="宋体"/>
          <w:szCs w:val="21"/>
          <w:highlight w:val="none"/>
          <w:u w:val="single"/>
        </w:rPr>
      </w:pPr>
    </w:p>
    <w:p w14:paraId="5C53114D">
      <w:pPr>
        <w:spacing w:line="440" w:lineRule="exact"/>
        <w:rPr>
          <w:rFonts w:hint="eastAsia" w:ascii="宋体" w:hAnsi="宋体" w:cs="宋体"/>
          <w:szCs w:val="21"/>
          <w:highlight w:val="none"/>
        </w:rPr>
      </w:pPr>
      <w:r>
        <w:rPr>
          <w:rFonts w:hint="eastAsia" w:ascii="宋体" w:hAnsi="宋体" w:cs="宋体"/>
          <w:szCs w:val="21"/>
          <w:highlight w:val="none"/>
        </w:rPr>
        <w:t>委托代理人联系号码：</w:t>
      </w:r>
      <w:r>
        <w:rPr>
          <w:rFonts w:hint="eastAsia" w:ascii="宋体" w:hAnsi="宋体" w:cs="宋体"/>
          <w:szCs w:val="21"/>
          <w:highlight w:val="none"/>
          <w:u w:val="single"/>
        </w:rPr>
        <w:t xml:space="preserve">                                   </w:t>
      </w:r>
    </w:p>
    <w:p w14:paraId="774197D0">
      <w:pPr>
        <w:spacing w:line="440" w:lineRule="exact"/>
        <w:rPr>
          <w:rFonts w:hint="eastAsia" w:ascii="宋体" w:hAnsi="宋体" w:cs="宋体"/>
          <w:szCs w:val="21"/>
          <w:highlight w:val="none"/>
        </w:rPr>
      </w:pPr>
    </w:p>
    <w:p w14:paraId="07544F59">
      <w:pPr>
        <w:spacing w:line="440" w:lineRule="exact"/>
        <w:rPr>
          <w:rFonts w:hint="eastAsia" w:ascii="宋体" w:hAnsi="宋体" w:cs="宋体"/>
          <w:szCs w:val="21"/>
          <w:highlight w:val="none"/>
        </w:rPr>
      </w:pPr>
      <w:r>
        <w:rPr>
          <w:rFonts w:hint="eastAsia" w:ascii="宋体" w:hAnsi="宋体" w:cs="宋体"/>
          <w:szCs w:val="21"/>
          <w:highlight w:val="none"/>
        </w:rPr>
        <w:t>身份证号码：</w:t>
      </w:r>
      <w:r>
        <w:rPr>
          <w:rFonts w:hint="eastAsia" w:ascii="宋体" w:hAnsi="宋体" w:cs="宋体"/>
          <w:szCs w:val="21"/>
          <w:highlight w:val="none"/>
          <w:u w:val="single"/>
        </w:rPr>
        <w:t xml:space="preserve">                                      </w:t>
      </w:r>
    </w:p>
    <w:p w14:paraId="6E66CF71">
      <w:pPr>
        <w:spacing w:line="440" w:lineRule="exact"/>
        <w:rPr>
          <w:rFonts w:hint="eastAsia" w:ascii="宋体" w:hAnsi="宋体" w:cs="宋体"/>
          <w:szCs w:val="21"/>
          <w:highlight w:val="none"/>
        </w:rPr>
      </w:pPr>
    </w:p>
    <w:p w14:paraId="03208582">
      <w:pPr>
        <w:pStyle w:val="46"/>
        <w:spacing w:line="440" w:lineRule="exact"/>
        <w:ind w:firstLine="5460" w:firstLineChars="2600"/>
        <w:rPr>
          <w:rFonts w:hint="eastAsia" w:ascii="宋体" w:hAnsi="宋体" w:cs="宋体"/>
          <w:szCs w:val="21"/>
          <w:highlight w:val="none"/>
        </w:rPr>
      </w:pP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0E3B0F8B">
      <w:pPr>
        <w:pStyle w:val="46"/>
        <w:spacing w:line="400" w:lineRule="exact"/>
        <w:rPr>
          <w:rFonts w:hint="eastAsia" w:ascii="宋体" w:hAnsi="宋体" w:cs="宋体"/>
          <w:szCs w:val="21"/>
          <w:highlight w:val="none"/>
        </w:rPr>
      </w:pPr>
      <w:r>
        <w:rPr>
          <w:rFonts w:hint="eastAsia" w:ascii="宋体" w:hAnsi="宋体" w:cs="宋体"/>
          <w:szCs w:val="21"/>
          <w:highlight w:val="none"/>
        </w:rPr>
        <w:t xml:space="preserve">         </w:t>
      </w:r>
    </w:p>
    <w:p w14:paraId="51DF2F1D">
      <w:pPr>
        <w:pStyle w:val="44"/>
        <w:rPr>
          <w:rFonts w:hint="eastAsia" w:ascii="宋体" w:hAnsi="宋体" w:eastAsia="宋体"/>
          <w:b/>
          <w:bCs/>
          <w:sz w:val="22"/>
          <w:szCs w:val="22"/>
          <w:highlight w:val="none"/>
        </w:rPr>
      </w:pPr>
      <w:bookmarkStart w:id="1886" w:name="_Toc62"/>
      <w:bookmarkStart w:id="1887" w:name="_Toc3358"/>
      <w:bookmarkStart w:id="1888" w:name="_Toc22951"/>
      <w:bookmarkStart w:id="1889" w:name="_Toc305"/>
      <w:bookmarkStart w:id="1890" w:name="_Toc32481"/>
      <w:bookmarkStart w:id="1891" w:name="_Toc20456"/>
      <w:bookmarkStart w:id="1892" w:name="_Toc23527"/>
      <w:bookmarkStart w:id="1893" w:name="_Toc23369"/>
      <w:bookmarkStart w:id="1894" w:name="_Toc17099"/>
      <w:bookmarkStart w:id="1895" w:name="_Toc3900"/>
      <w:bookmarkStart w:id="1896" w:name="_Toc1620"/>
      <w:r>
        <w:rPr>
          <w:rFonts w:hint="eastAsia" w:ascii="宋体" w:hAnsi="宋体" w:eastAsia="宋体" w:cs="宋体"/>
          <w:sz w:val="21"/>
          <w:szCs w:val="21"/>
          <w:highlight w:val="none"/>
        </w:rPr>
        <w:br w:type="page"/>
      </w:r>
      <w:bookmarkEnd w:id="1886"/>
      <w:bookmarkEnd w:id="1887"/>
      <w:bookmarkEnd w:id="1888"/>
      <w:bookmarkEnd w:id="1889"/>
      <w:bookmarkEnd w:id="1890"/>
      <w:bookmarkEnd w:id="1891"/>
      <w:bookmarkEnd w:id="1892"/>
      <w:bookmarkEnd w:id="1893"/>
      <w:bookmarkEnd w:id="1894"/>
      <w:bookmarkEnd w:id="1895"/>
      <w:bookmarkEnd w:id="1896"/>
      <w:r>
        <w:rPr>
          <w:rFonts w:hint="eastAsia" w:ascii="宋体" w:hAnsi="宋体" w:eastAsia="宋体" w:cs="宋体"/>
          <w:b/>
          <w:bCs w:val="0"/>
          <w:sz w:val="21"/>
          <w:szCs w:val="21"/>
          <w:highlight w:val="none"/>
          <w:lang w:val="en-US" w:eastAsia="zh-CN" w:bidi="ar-SA"/>
        </w:rPr>
        <w:t>四、投标人基</w:t>
      </w:r>
      <w:r>
        <w:rPr>
          <w:rFonts w:hint="eastAsia" w:ascii="宋体" w:hAnsi="宋体" w:eastAsia="宋体"/>
          <w:b/>
          <w:bCs/>
          <w:sz w:val="22"/>
          <w:szCs w:val="22"/>
          <w:highlight w:val="none"/>
        </w:rPr>
        <w:t>本情况表</w:t>
      </w:r>
    </w:p>
    <w:p w14:paraId="4C8D1A6A">
      <w:pPr>
        <w:pStyle w:val="67"/>
        <w:jc w:val="center"/>
        <w:rPr>
          <w:rFonts w:hint="eastAsia" w:ascii="宋体" w:hAnsi="宋体" w:cs="宋体"/>
          <w:b/>
          <w:sz w:val="28"/>
          <w:szCs w:val="28"/>
          <w:highlight w:val="none"/>
        </w:rPr>
      </w:pPr>
      <w:r>
        <w:rPr>
          <w:rFonts w:hint="eastAsia" w:ascii="宋体" w:hAnsi="宋体" w:cs="宋体"/>
          <w:b/>
          <w:sz w:val="28"/>
          <w:szCs w:val="28"/>
          <w:highlight w:val="none"/>
        </w:rPr>
        <w:t>投标人基本情况表（含附件）</w:t>
      </w:r>
    </w:p>
    <w:p w14:paraId="53310B2D">
      <w:pPr>
        <w:pStyle w:val="67"/>
        <w:jc w:val="both"/>
        <w:rPr>
          <w:rFonts w:hint="eastAsia" w:ascii="宋体" w:hAnsi="宋体" w:eastAsia="宋体" w:cs="宋体"/>
          <w:b/>
          <w:sz w:val="28"/>
          <w:szCs w:val="28"/>
          <w:highlight w:val="none"/>
          <w:lang w:eastAsia="zh-CN"/>
        </w:rPr>
      </w:pPr>
    </w:p>
    <w:tbl>
      <w:tblPr>
        <w:tblStyle w:val="22"/>
        <w:tblW w:w="9281"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31"/>
        <w:gridCol w:w="900"/>
        <w:gridCol w:w="953"/>
        <w:gridCol w:w="841"/>
        <w:gridCol w:w="421"/>
        <w:gridCol w:w="311"/>
        <w:gridCol w:w="1080"/>
        <w:gridCol w:w="491"/>
        <w:gridCol w:w="862"/>
        <w:gridCol w:w="1691"/>
      </w:tblGrid>
      <w:tr w14:paraId="13A2D9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3E137C27">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投标人名称</w:t>
            </w:r>
          </w:p>
          <w:p w14:paraId="7DC79F82">
            <w:pPr>
              <w:pStyle w:val="67"/>
              <w:topLinePunct/>
              <w:spacing w:line="440" w:lineRule="exact"/>
              <w:jc w:val="center"/>
              <w:rPr>
                <w:rFonts w:hint="eastAsia" w:ascii="宋体" w:hAnsi="宋体" w:eastAsia="宋体" w:cs="宋体"/>
                <w:szCs w:val="21"/>
                <w:highlight w:val="none"/>
                <w:lang w:eastAsia="zh-CN"/>
              </w:rPr>
            </w:pPr>
            <w:r>
              <w:rPr>
                <w:rFonts w:hint="eastAsia" w:ascii="宋体" w:hAnsi="宋体" w:cs="宋体"/>
                <w:szCs w:val="21"/>
                <w:highlight w:val="none"/>
                <w:lang w:eastAsia="zh-CN"/>
              </w:rPr>
              <w:t>（盖章）</w:t>
            </w:r>
          </w:p>
        </w:tc>
        <w:tc>
          <w:tcPr>
            <w:tcW w:w="7550" w:type="dxa"/>
            <w:gridSpan w:val="9"/>
            <w:tcBorders>
              <w:top w:val="single" w:color="auto" w:sz="4" w:space="0"/>
              <w:left w:val="single" w:color="auto" w:sz="4" w:space="0"/>
              <w:bottom w:val="single" w:color="auto" w:sz="4" w:space="0"/>
              <w:right w:val="single" w:color="auto" w:sz="4" w:space="0"/>
            </w:tcBorders>
            <w:noWrap w:val="0"/>
            <w:vAlign w:val="center"/>
          </w:tcPr>
          <w:p w14:paraId="44D91258">
            <w:pPr>
              <w:pStyle w:val="67"/>
              <w:topLinePunct/>
              <w:spacing w:line="440" w:lineRule="exact"/>
              <w:jc w:val="center"/>
              <w:rPr>
                <w:rFonts w:hint="default" w:ascii="宋体" w:hAnsi="宋体" w:eastAsia="宋体" w:cs="宋体"/>
                <w:szCs w:val="21"/>
                <w:highlight w:val="none"/>
                <w:u w:val="single" w:color="FF0000"/>
                <w:lang w:val="en-US" w:eastAsia="zh-CN"/>
              </w:rPr>
            </w:pPr>
          </w:p>
        </w:tc>
      </w:tr>
      <w:tr w14:paraId="5FDA2B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6A7FDFBB">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注册地址</w:t>
            </w:r>
          </w:p>
        </w:tc>
        <w:tc>
          <w:tcPr>
            <w:tcW w:w="3426" w:type="dxa"/>
            <w:gridSpan w:val="5"/>
            <w:tcBorders>
              <w:top w:val="single" w:color="auto" w:sz="4" w:space="0"/>
              <w:left w:val="single" w:color="auto" w:sz="4" w:space="0"/>
              <w:bottom w:val="single" w:color="auto" w:sz="4" w:space="0"/>
              <w:right w:val="single" w:color="auto" w:sz="4" w:space="0"/>
            </w:tcBorders>
            <w:noWrap w:val="0"/>
            <w:vAlign w:val="center"/>
          </w:tcPr>
          <w:p w14:paraId="4BA30A85">
            <w:pPr>
              <w:pStyle w:val="67"/>
              <w:topLinePunct/>
              <w:spacing w:line="440" w:lineRule="exact"/>
              <w:jc w:val="center"/>
              <w:rPr>
                <w:rFonts w:hint="eastAsia" w:ascii="宋体" w:hAnsi="宋体" w:cs="宋体"/>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CCB186D">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邮政编码</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23A8538">
            <w:pPr>
              <w:pStyle w:val="67"/>
              <w:topLinePunct/>
              <w:spacing w:line="440" w:lineRule="exact"/>
              <w:jc w:val="center"/>
              <w:rPr>
                <w:rFonts w:hint="eastAsia" w:ascii="宋体" w:hAnsi="宋体" w:cs="宋体"/>
                <w:szCs w:val="21"/>
                <w:highlight w:val="none"/>
              </w:rPr>
            </w:pPr>
          </w:p>
        </w:tc>
      </w:tr>
      <w:tr w14:paraId="383F5B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7" w:hRule="atLeast"/>
        </w:trPr>
        <w:tc>
          <w:tcPr>
            <w:tcW w:w="1731" w:type="dxa"/>
            <w:vMerge w:val="restart"/>
            <w:tcBorders>
              <w:top w:val="single" w:color="auto" w:sz="4" w:space="0"/>
              <w:left w:val="single" w:color="auto" w:sz="4" w:space="0"/>
              <w:bottom w:val="single" w:color="auto" w:sz="4" w:space="0"/>
              <w:right w:val="single" w:color="auto" w:sz="4" w:space="0"/>
            </w:tcBorders>
            <w:noWrap w:val="0"/>
            <w:vAlign w:val="center"/>
          </w:tcPr>
          <w:p w14:paraId="1CFB79FB">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联系方式</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B8CD048">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联系人</w:t>
            </w:r>
          </w:p>
        </w:tc>
        <w:tc>
          <w:tcPr>
            <w:tcW w:w="2526" w:type="dxa"/>
            <w:gridSpan w:val="4"/>
            <w:tcBorders>
              <w:top w:val="single" w:color="auto" w:sz="4" w:space="0"/>
              <w:left w:val="single" w:color="auto" w:sz="4" w:space="0"/>
              <w:bottom w:val="single" w:color="auto" w:sz="4" w:space="0"/>
              <w:right w:val="single" w:color="auto" w:sz="4" w:space="0"/>
            </w:tcBorders>
            <w:noWrap w:val="0"/>
            <w:vAlign w:val="center"/>
          </w:tcPr>
          <w:p w14:paraId="5139D195">
            <w:pPr>
              <w:pStyle w:val="67"/>
              <w:topLinePunct/>
              <w:spacing w:line="440" w:lineRule="exact"/>
              <w:jc w:val="center"/>
              <w:rPr>
                <w:rFonts w:hint="eastAsia" w:ascii="宋体" w:hAnsi="宋体" w:cs="宋体"/>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3B7CB08">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电 话</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FFA249E">
            <w:pPr>
              <w:pStyle w:val="67"/>
              <w:topLinePunct/>
              <w:spacing w:line="440" w:lineRule="exact"/>
              <w:jc w:val="center"/>
              <w:rPr>
                <w:rFonts w:hint="eastAsia" w:ascii="宋体" w:hAnsi="宋体" w:cs="宋体"/>
                <w:szCs w:val="21"/>
                <w:highlight w:val="none"/>
              </w:rPr>
            </w:pPr>
          </w:p>
        </w:tc>
      </w:tr>
      <w:tr w14:paraId="67C680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5" w:hRule="atLeast"/>
        </w:trPr>
        <w:tc>
          <w:tcPr>
            <w:tcW w:w="1731" w:type="dxa"/>
            <w:vMerge w:val="continue"/>
            <w:tcBorders>
              <w:top w:val="single" w:color="auto" w:sz="4" w:space="0"/>
              <w:left w:val="single" w:color="auto" w:sz="4" w:space="0"/>
              <w:bottom w:val="single" w:color="auto" w:sz="4" w:space="0"/>
              <w:right w:val="single" w:color="auto" w:sz="4" w:space="0"/>
            </w:tcBorders>
            <w:noWrap w:val="0"/>
            <w:vAlign w:val="center"/>
          </w:tcPr>
          <w:p w14:paraId="4DBE7876">
            <w:pPr>
              <w:pStyle w:val="67"/>
              <w:topLinePunct/>
              <w:spacing w:line="440" w:lineRule="exact"/>
              <w:jc w:val="center"/>
              <w:rPr>
                <w:rFonts w:hint="eastAsia" w:ascii="宋体" w:hAnsi="宋体" w:cs="宋体"/>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5DC2F228">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传  真</w:t>
            </w:r>
          </w:p>
        </w:tc>
        <w:tc>
          <w:tcPr>
            <w:tcW w:w="2526" w:type="dxa"/>
            <w:gridSpan w:val="4"/>
            <w:tcBorders>
              <w:top w:val="single" w:color="auto" w:sz="4" w:space="0"/>
              <w:left w:val="single" w:color="auto" w:sz="4" w:space="0"/>
              <w:bottom w:val="single" w:color="auto" w:sz="4" w:space="0"/>
              <w:right w:val="single" w:color="auto" w:sz="4" w:space="0"/>
            </w:tcBorders>
            <w:noWrap w:val="0"/>
            <w:vAlign w:val="center"/>
          </w:tcPr>
          <w:p w14:paraId="16D379D3">
            <w:pPr>
              <w:pStyle w:val="67"/>
              <w:topLinePunct/>
              <w:spacing w:line="440" w:lineRule="exact"/>
              <w:jc w:val="center"/>
              <w:rPr>
                <w:rFonts w:hint="eastAsia" w:ascii="宋体" w:hAnsi="宋体" w:cs="宋体"/>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7215F24">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网 址</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669F387">
            <w:pPr>
              <w:pStyle w:val="67"/>
              <w:topLinePunct/>
              <w:spacing w:line="440" w:lineRule="exact"/>
              <w:jc w:val="center"/>
              <w:rPr>
                <w:rFonts w:hint="eastAsia" w:ascii="宋体" w:hAnsi="宋体" w:cs="宋体"/>
                <w:szCs w:val="21"/>
                <w:highlight w:val="none"/>
              </w:rPr>
            </w:pPr>
          </w:p>
        </w:tc>
      </w:tr>
      <w:tr w14:paraId="50A0DD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19D9071A">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组织结构</w:t>
            </w:r>
          </w:p>
        </w:tc>
        <w:tc>
          <w:tcPr>
            <w:tcW w:w="7550" w:type="dxa"/>
            <w:gridSpan w:val="9"/>
            <w:tcBorders>
              <w:top w:val="single" w:color="auto" w:sz="4" w:space="0"/>
              <w:left w:val="single" w:color="auto" w:sz="4" w:space="0"/>
              <w:bottom w:val="single" w:color="auto" w:sz="4" w:space="0"/>
              <w:right w:val="single" w:color="auto" w:sz="4" w:space="0"/>
            </w:tcBorders>
            <w:noWrap w:val="0"/>
            <w:vAlign w:val="center"/>
          </w:tcPr>
          <w:p w14:paraId="01E7BF36">
            <w:pPr>
              <w:pStyle w:val="67"/>
              <w:topLinePunct/>
              <w:spacing w:line="440" w:lineRule="exact"/>
              <w:jc w:val="center"/>
              <w:rPr>
                <w:rFonts w:hint="eastAsia" w:ascii="宋体" w:hAnsi="宋体" w:cs="宋体"/>
                <w:szCs w:val="21"/>
                <w:highlight w:val="none"/>
              </w:rPr>
            </w:pPr>
          </w:p>
        </w:tc>
      </w:tr>
      <w:tr w14:paraId="28155A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2497413F">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法定代表人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BAE0D88">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姓名</w:t>
            </w:r>
          </w:p>
        </w:tc>
        <w:tc>
          <w:tcPr>
            <w:tcW w:w="953" w:type="dxa"/>
            <w:tcBorders>
              <w:top w:val="single" w:color="auto" w:sz="4" w:space="0"/>
              <w:left w:val="single" w:color="auto" w:sz="4" w:space="0"/>
              <w:bottom w:val="single" w:color="auto" w:sz="4" w:space="0"/>
              <w:right w:val="single" w:color="auto" w:sz="4" w:space="0"/>
            </w:tcBorders>
            <w:noWrap w:val="0"/>
            <w:vAlign w:val="center"/>
          </w:tcPr>
          <w:p w14:paraId="2C783D62">
            <w:pPr>
              <w:pStyle w:val="67"/>
              <w:topLinePunct/>
              <w:spacing w:line="440" w:lineRule="exact"/>
              <w:jc w:val="center"/>
              <w:rPr>
                <w:rFonts w:hint="eastAsia" w:ascii="宋体" w:hAnsi="宋体" w:cs="宋体"/>
                <w:szCs w:val="21"/>
                <w:highlight w:val="none"/>
              </w:rPr>
            </w:pPr>
          </w:p>
        </w:tc>
        <w:tc>
          <w:tcPr>
            <w:tcW w:w="1262" w:type="dxa"/>
            <w:gridSpan w:val="2"/>
            <w:tcBorders>
              <w:top w:val="single" w:color="auto" w:sz="4" w:space="0"/>
              <w:left w:val="single" w:color="auto" w:sz="4" w:space="0"/>
              <w:bottom w:val="single" w:color="auto" w:sz="4" w:space="0"/>
              <w:right w:val="single" w:color="auto" w:sz="4" w:space="0"/>
            </w:tcBorders>
            <w:noWrap w:val="0"/>
            <w:vAlign w:val="center"/>
          </w:tcPr>
          <w:p w14:paraId="3A084BE5">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技术职称</w:t>
            </w:r>
          </w:p>
        </w:tc>
        <w:tc>
          <w:tcPr>
            <w:tcW w:w="1882" w:type="dxa"/>
            <w:gridSpan w:val="3"/>
            <w:tcBorders>
              <w:top w:val="single" w:color="auto" w:sz="4" w:space="0"/>
              <w:left w:val="single" w:color="auto" w:sz="4" w:space="0"/>
              <w:bottom w:val="single" w:color="auto" w:sz="4" w:space="0"/>
              <w:right w:val="single" w:color="auto" w:sz="4" w:space="0"/>
            </w:tcBorders>
            <w:noWrap w:val="0"/>
            <w:vAlign w:val="center"/>
          </w:tcPr>
          <w:p w14:paraId="67975A92">
            <w:pPr>
              <w:pStyle w:val="67"/>
              <w:topLinePunct/>
              <w:spacing w:line="440" w:lineRule="exact"/>
              <w:jc w:val="center"/>
              <w:rPr>
                <w:rFonts w:hint="eastAsia" w:ascii="宋体" w:hAnsi="宋体" w:cs="宋体"/>
                <w:szCs w:val="21"/>
                <w:highlight w:val="none"/>
              </w:rPr>
            </w:pPr>
          </w:p>
        </w:tc>
        <w:tc>
          <w:tcPr>
            <w:tcW w:w="862" w:type="dxa"/>
            <w:tcBorders>
              <w:top w:val="single" w:color="auto" w:sz="4" w:space="0"/>
              <w:left w:val="single" w:color="auto" w:sz="4" w:space="0"/>
              <w:bottom w:val="single" w:color="auto" w:sz="4" w:space="0"/>
              <w:right w:val="single" w:color="auto" w:sz="4" w:space="0"/>
            </w:tcBorders>
            <w:noWrap w:val="0"/>
            <w:vAlign w:val="center"/>
          </w:tcPr>
          <w:p w14:paraId="6C9E7832">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电话</w:t>
            </w:r>
          </w:p>
        </w:tc>
        <w:tc>
          <w:tcPr>
            <w:tcW w:w="1691" w:type="dxa"/>
            <w:tcBorders>
              <w:top w:val="single" w:color="auto" w:sz="4" w:space="0"/>
              <w:left w:val="single" w:color="auto" w:sz="4" w:space="0"/>
              <w:bottom w:val="single" w:color="auto" w:sz="4" w:space="0"/>
              <w:right w:val="single" w:color="auto" w:sz="4" w:space="0"/>
            </w:tcBorders>
            <w:noWrap w:val="0"/>
            <w:vAlign w:val="center"/>
          </w:tcPr>
          <w:p w14:paraId="779348F8">
            <w:pPr>
              <w:pStyle w:val="67"/>
              <w:topLinePunct/>
              <w:spacing w:line="440" w:lineRule="exact"/>
              <w:jc w:val="center"/>
              <w:rPr>
                <w:rFonts w:hint="eastAsia" w:ascii="宋体" w:hAnsi="宋体" w:cs="宋体"/>
                <w:szCs w:val="21"/>
                <w:highlight w:val="none"/>
              </w:rPr>
            </w:pPr>
          </w:p>
        </w:tc>
      </w:tr>
      <w:tr w14:paraId="0FE163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2216A269">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技术负责人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AD7F6A9">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姓名</w:t>
            </w:r>
          </w:p>
        </w:tc>
        <w:tc>
          <w:tcPr>
            <w:tcW w:w="953" w:type="dxa"/>
            <w:tcBorders>
              <w:top w:val="single" w:color="auto" w:sz="4" w:space="0"/>
              <w:left w:val="single" w:color="auto" w:sz="4" w:space="0"/>
              <w:bottom w:val="single" w:color="auto" w:sz="4" w:space="0"/>
              <w:right w:val="single" w:color="auto" w:sz="4" w:space="0"/>
            </w:tcBorders>
            <w:noWrap w:val="0"/>
            <w:vAlign w:val="center"/>
          </w:tcPr>
          <w:p w14:paraId="7C9B6352">
            <w:pPr>
              <w:pStyle w:val="67"/>
              <w:topLinePunct/>
              <w:spacing w:line="440" w:lineRule="exact"/>
              <w:jc w:val="center"/>
              <w:rPr>
                <w:rFonts w:hint="eastAsia" w:ascii="宋体" w:hAnsi="宋体" w:cs="宋体"/>
                <w:szCs w:val="21"/>
                <w:highlight w:val="none"/>
              </w:rPr>
            </w:pPr>
          </w:p>
        </w:tc>
        <w:tc>
          <w:tcPr>
            <w:tcW w:w="1262" w:type="dxa"/>
            <w:gridSpan w:val="2"/>
            <w:tcBorders>
              <w:top w:val="single" w:color="auto" w:sz="4" w:space="0"/>
              <w:left w:val="single" w:color="auto" w:sz="4" w:space="0"/>
              <w:bottom w:val="single" w:color="auto" w:sz="4" w:space="0"/>
              <w:right w:val="single" w:color="auto" w:sz="4" w:space="0"/>
            </w:tcBorders>
            <w:noWrap w:val="0"/>
            <w:vAlign w:val="center"/>
          </w:tcPr>
          <w:p w14:paraId="057A0ECC">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技术职称</w:t>
            </w:r>
          </w:p>
        </w:tc>
        <w:tc>
          <w:tcPr>
            <w:tcW w:w="1882" w:type="dxa"/>
            <w:gridSpan w:val="3"/>
            <w:tcBorders>
              <w:top w:val="single" w:color="auto" w:sz="4" w:space="0"/>
              <w:left w:val="single" w:color="auto" w:sz="4" w:space="0"/>
              <w:bottom w:val="single" w:color="auto" w:sz="4" w:space="0"/>
              <w:right w:val="single" w:color="auto" w:sz="4" w:space="0"/>
            </w:tcBorders>
            <w:noWrap w:val="0"/>
            <w:vAlign w:val="center"/>
          </w:tcPr>
          <w:p w14:paraId="6C06AF49">
            <w:pPr>
              <w:pStyle w:val="67"/>
              <w:topLinePunct/>
              <w:spacing w:line="440" w:lineRule="exact"/>
              <w:jc w:val="center"/>
              <w:rPr>
                <w:rFonts w:hint="eastAsia" w:ascii="宋体" w:hAnsi="宋体" w:cs="宋体"/>
                <w:szCs w:val="21"/>
                <w:highlight w:val="none"/>
              </w:rPr>
            </w:pPr>
          </w:p>
        </w:tc>
        <w:tc>
          <w:tcPr>
            <w:tcW w:w="862" w:type="dxa"/>
            <w:tcBorders>
              <w:top w:val="single" w:color="auto" w:sz="4" w:space="0"/>
              <w:left w:val="single" w:color="auto" w:sz="4" w:space="0"/>
              <w:bottom w:val="single" w:color="auto" w:sz="4" w:space="0"/>
              <w:right w:val="single" w:color="auto" w:sz="4" w:space="0"/>
            </w:tcBorders>
            <w:noWrap w:val="0"/>
            <w:vAlign w:val="center"/>
          </w:tcPr>
          <w:p w14:paraId="6F1AC176">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电话</w:t>
            </w:r>
          </w:p>
        </w:tc>
        <w:tc>
          <w:tcPr>
            <w:tcW w:w="1691" w:type="dxa"/>
            <w:tcBorders>
              <w:top w:val="single" w:color="auto" w:sz="4" w:space="0"/>
              <w:left w:val="single" w:color="auto" w:sz="4" w:space="0"/>
              <w:bottom w:val="single" w:color="auto" w:sz="4" w:space="0"/>
              <w:right w:val="single" w:color="auto" w:sz="4" w:space="0"/>
            </w:tcBorders>
            <w:noWrap w:val="0"/>
            <w:vAlign w:val="center"/>
          </w:tcPr>
          <w:p w14:paraId="418F6E12">
            <w:pPr>
              <w:pStyle w:val="67"/>
              <w:topLinePunct/>
              <w:spacing w:line="440" w:lineRule="exact"/>
              <w:jc w:val="center"/>
              <w:rPr>
                <w:rFonts w:hint="eastAsia" w:ascii="宋体" w:hAnsi="宋体" w:cs="宋体"/>
                <w:szCs w:val="21"/>
                <w:highlight w:val="none"/>
              </w:rPr>
            </w:pPr>
          </w:p>
        </w:tc>
      </w:tr>
      <w:tr w14:paraId="11F2BF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7C667C44">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成立时间</w:t>
            </w: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7427DC41">
            <w:pPr>
              <w:pStyle w:val="67"/>
              <w:topLinePunct/>
              <w:spacing w:line="440" w:lineRule="exact"/>
              <w:jc w:val="center"/>
              <w:rPr>
                <w:rFonts w:hint="eastAsia" w:ascii="宋体" w:hAnsi="宋体" w:cs="宋体"/>
                <w:szCs w:val="21"/>
                <w:highlight w:val="none"/>
              </w:rPr>
            </w:pPr>
          </w:p>
        </w:tc>
        <w:tc>
          <w:tcPr>
            <w:tcW w:w="5697" w:type="dxa"/>
            <w:gridSpan w:val="7"/>
            <w:tcBorders>
              <w:top w:val="single" w:color="auto" w:sz="4" w:space="0"/>
              <w:left w:val="single" w:color="auto" w:sz="4" w:space="0"/>
              <w:bottom w:val="single" w:color="auto" w:sz="4" w:space="0"/>
              <w:right w:val="single" w:color="auto" w:sz="4" w:space="0"/>
            </w:tcBorders>
            <w:noWrap w:val="0"/>
            <w:vAlign w:val="center"/>
          </w:tcPr>
          <w:p w14:paraId="5A6D7F41">
            <w:pPr>
              <w:pStyle w:val="67"/>
              <w:topLinePunct/>
              <w:spacing w:line="440" w:lineRule="exact"/>
              <w:ind w:firstLine="105" w:firstLineChars="50"/>
              <w:jc w:val="center"/>
              <w:rPr>
                <w:rFonts w:hint="eastAsia" w:ascii="宋体" w:hAnsi="宋体" w:cs="宋体"/>
                <w:szCs w:val="21"/>
                <w:highlight w:val="none"/>
              </w:rPr>
            </w:pPr>
            <w:r>
              <w:rPr>
                <w:rFonts w:hint="eastAsia" w:ascii="宋体" w:hAnsi="宋体" w:cs="宋体"/>
                <w:szCs w:val="21"/>
                <w:highlight w:val="none"/>
              </w:rPr>
              <w:t>员工总人数：</w:t>
            </w:r>
          </w:p>
        </w:tc>
      </w:tr>
      <w:tr w14:paraId="35C5E0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5"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5FB31FDE">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企业资质等级</w:t>
            </w: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6CDF2BCA">
            <w:pPr>
              <w:pStyle w:val="67"/>
              <w:topLinePunct/>
              <w:spacing w:line="440" w:lineRule="exact"/>
              <w:jc w:val="center"/>
              <w:rPr>
                <w:rFonts w:hint="eastAsia" w:ascii="宋体" w:hAnsi="宋体" w:cs="宋体"/>
                <w:szCs w:val="21"/>
                <w:highlight w:val="none"/>
              </w:rPr>
            </w:pPr>
          </w:p>
        </w:tc>
        <w:tc>
          <w:tcPr>
            <w:tcW w:w="841" w:type="dxa"/>
            <w:vMerge w:val="restart"/>
            <w:tcBorders>
              <w:top w:val="single" w:color="auto" w:sz="4" w:space="0"/>
              <w:left w:val="single" w:color="auto" w:sz="4" w:space="0"/>
              <w:bottom w:val="single" w:color="auto" w:sz="4" w:space="0"/>
              <w:right w:val="single" w:color="auto" w:sz="4" w:space="0"/>
            </w:tcBorders>
            <w:noWrap w:val="0"/>
            <w:vAlign w:val="center"/>
          </w:tcPr>
          <w:p w14:paraId="58591806">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其中</w:t>
            </w:r>
          </w:p>
        </w:tc>
        <w:tc>
          <w:tcPr>
            <w:tcW w:w="2303" w:type="dxa"/>
            <w:gridSpan w:val="4"/>
            <w:tcBorders>
              <w:top w:val="single" w:color="auto" w:sz="4" w:space="0"/>
              <w:left w:val="single" w:color="auto" w:sz="4" w:space="0"/>
              <w:bottom w:val="single" w:color="auto" w:sz="4" w:space="0"/>
              <w:right w:val="single" w:color="auto" w:sz="4" w:space="0"/>
            </w:tcBorders>
            <w:noWrap w:val="0"/>
            <w:vAlign w:val="center"/>
          </w:tcPr>
          <w:p w14:paraId="254B6858">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项目负责人</w:t>
            </w:r>
          </w:p>
        </w:tc>
        <w:tc>
          <w:tcPr>
            <w:tcW w:w="2553" w:type="dxa"/>
            <w:gridSpan w:val="2"/>
            <w:tcBorders>
              <w:top w:val="single" w:color="auto" w:sz="4" w:space="0"/>
              <w:left w:val="single" w:color="auto" w:sz="4" w:space="0"/>
              <w:bottom w:val="single" w:color="auto" w:sz="4" w:space="0"/>
              <w:right w:val="single" w:color="auto" w:sz="4" w:space="0"/>
            </w:tcBorders>
            <w:noWrap w:val="0"/>
            <w:vAlign w:val="center"/>
          </w:tcPr>
          <w:p w14:paraId="6A74A7B2">
            <w:pPr>
              <w:pStyle w:val="67"/>
              <w:topLinePunct/>
              <w:spacing w:line="440" w:lineRule="exact"/>
              <w:jc w:val="center"/>
              <w:rPr>
                <w:rFonts w:hint="eastAsia" w:ascii="宋体" w:hAnsi="宋体" w:cs="宋体"/>
                <w:szCs w:val="21"/>
                <w:highlight w:val="none"/>
              </w:rPr>
            </w:pPr>
          </w:p>
        </w:tc>
      </w:tr>
      <w:tr w14:paraId="0B6B91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2"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5F444147">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营业执照号</w:t>
            </w: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6E44FF7D">
            <w:pPr>
              <w:pStyle w:val="67"/>
              <w:topLinePunct/>
              <w:spacing w:line="440" w:lineRule="exact"/>
              <w:jc w:val="center"/>
              <w:rPr>
                <w:rFonts w:hint="eastAsia" w:ascii="宋体" w:hAnsi="宋体" w:cs="宋体"/>
                <w:szCs w:val="21"/>
                <w:highlight w:val="none"/>
              </w:rPr>
            </w:pPr>
          </w:p>
        </w:tc>
        <w:tc>
          <w:tcPr>
            <w:tcW w:w="841" w:type="dxa"/>
            <w:vMerge w:val="continue"/>
            <w:tcBorders>
              <w:top w:val="single" w:color="auto" w:sz="4" w:space="0"/>
              <w:left w:val="single" w:color="auto" w:sz="4" w:space="0"/>
              <w:bottom w:val="single" w:color="auto" w:sz="4" w:space="0"/>
              <w:right w:val="single" w:color="auto" w:sz="4" w:space="0"/>
            </w:tcBorders>
            <w:noWrap w:val="0"/>
            <w:vAlign w:val="center"/>
          </w:tcPr>
          <w:p w14:paraId="2F686F4A">
            <w:pPr>
              <w:pStyle w:val="67"/>
              <w:topLinePunct/>
              <w:spacing w:line="440" w:lineRule="exact"/>
              <w:jc w:val="center"/>
              <w:rPr>
                <w:rFonts w:hint="eastAsia" w:ascii="宋体" w:hAnsi="宋体" w:cs="宋体"/>
                <w:szCs w:val="21"/>
                <w:highlight w:val="none"/>
              </w:rPr>
            </w:pPr>
          </w:p>
        </w:tc>
        <w:tc>
          <w:tcPr>
            <w:tcW w:w="2303" w:type="dxa"/>
            <w:gridSpan w:val="4"/>
            <w:tcBorders>
              <w:top w:val="single" w:color="auto" w:sz="4" w:space="0"/>
              <w:left w:val="single" w:color="auto" w:sz="4" w:space="0"/>
              <w:bottom w:val="single" w:color="auto" w:sz="4" w:space="0"/>
              <w:right w:val="single" w:color="auto" w:sz="4" w:space="0"/>
            </w:tcBorders>
            <w:noWrap w:val="0"/>
            <w:vAlign w:val="center"/>
          </w:tcPr>
          <w:p w14:paraId="7B0A388A">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高级职称人员</w:t>
            </w:r>
          </w:p>
        </w:tc>
        <w:tc>
          <w:tcPr>
            <w:tcW w:w="2553" w:type="dxa"/>
            <w:gridSpan w:val="2"/>
            <w:tcBorders>
              <w:top w:val="single" w:color="auto" w:sz="4" w:space="0"/>
              <w:left w:val="single" w:color="auto" w:sz="4" w:space="0"/>
              <w:bottom w:val="single" w:color="auto" w:sz="4" w:space="0"/>
              <w:right w:val="single" w:color="auto" w:sz="4" w:space="0"/>
            </w:tcBorders>
            <w:noWrap w:val="0"/>
            <w:vAlign w:val="center"/>
          </w:tcPr>
          <w:p w14:paraId="6E06ADD1">
            <w:pPr>
              <w:pStyle w:val="67"/>
              <w:topLinePunct/>
              <w:spacing w:line="440" w:lineRule="exact"/>
              <w:jc w:val="center"/>
              <w:rPr>
                <w:rFonts w:hint="eastAsia" w:ascii="宋体" w:hAnsi="宋体" w:cs="宋体"/>
                <w:szCs w:val="21"/>
                <w:highlight w:val="none"/>
              </w:rPr>
            </w:pPr>
          </w:p>
        </w:tc>
      </w:tr>
      <w:tr w14:paraId="04F983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7"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7F4F8090">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安全生产许可证号</w:t>
            </w: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4AEEE23E">
            <w:pPr>
              <w:pStyle w:val="67"/>
              <w:topLinePunct/>
              <w:spacing w:line="440" w:lineRule="exact"/>
              <w:jc w:val="center"/>
              <w:rPr>
                <w:rFonts w:hint="eastAsia" w:ascii="宋体" w:hAnsi="宋体" w:cs="宋体"/>
                <w:szCs w:val="21"/>
                <w:highlight w:val="none"/>
              </w:rPr>
            </w:pPr>
          </w:p>
        </w:tc>
        <w:tc>
          <w:tcPr>
            <w:tcW w:w="841" w:type="dxa"/>
            <w:vMerge w:val="continue"/>
            <w:tcBorders>
              <w:top w:val="single" w:color="auto" w:sz="4" w:space="0"/>
              <w:left w:val="single" w:color="auto" w:sz="4" w:space="0"/>
              <w:bottom w:val="single" w:color="auto" w:sz="4" w:space="0"/>
              <w:right w:val="single" w:color="auto" w:sz="4" w:space="0"/>
            </w:tcBorders>
            <w:noWrap w:val="0"/>
            <w:vAlign w:val="center"/>
          </w:tcPr>
          <w:p w14:paraId="2AECD1E3">
            <w:pPr>
              <w:pStyle w:val="67"/>
              <w:topLinePunct/>
              <w:spacing w:line="440" w:lineRule="exact"/>
              <w:jc w:val="center"/>
              <w:rPr>
                <w:rFonts w:hint="eastAsia" w:ascii="宋体" w:hAnsi="宋体" w:cs="宋体"/>
                <w:szCs w:val="21"/>
                <w:highlight w:val="none"/>
              </w:rPr>
            </w:pPr>
          </w:p>
        </w:tc>
        <w:tc>
          <w:tcPr>
            <w:tcW w:w="2303" w:type="dxa"/>
            <w:gridSpan w:val="4"/>
            <w:tcBorders>
              <w:top w:val="single" w:color="auto" w:sz="4" w:space="0"/>
              <w:left w:val="single" w:color="auto" w:sz="4" w:space="0"/>
              <w:bottom w:val="single" w:color="auto" w:sz="4" w:space="0"/>
              <w:right w:val="single" w:color="auto" w:sz="4" w:space="0"/>
            </w:tcBorders>
            <w:noWrap w:val="0"/>
            <w:vAlign w:val="center"/>
          </w:tcPr>
          <w:p w14:paraId="19440629">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中级职称人员</w:t>
            </w:r>
          </w:p>
        </w:tc>
        <w:tc>
          <w:tcPr>
            <w:tcW w:w="2553" w:type="dxa"/>
            <w:gridSpan w:val="2"/>
            <w:tcBorders>
              <w:top w:val="single" w:color="auto" w:sz="4" w:space="0"/>
              <w:left w:val="single" w:color="auto" w:sz="4" w:space="0"/>
              <w:bottom w:val="single" w:color="auto" w:sz="4" w:space="0"/>
              <w:right w:val="single" w:color="auto" w:sz="4" w:space="0"/>
            </w:tcBorders>
            <w:noWrap w:val="0"/>
            <w:vAlign w:val="center"/>
          </w:tcPr>
          <w:p w14:paraId="05F816CA">
            <w:pPr>
              <w:pStyle w:val="67"/>
              <w:topLinePunct/>
              <w:spacing w:line="440" w:lineRule="exact"/>
              <w:jc w:val="center"/>
              <w:rPr>
                <w:rFonts w:hint="eastAsia" w:ascii="宋体" w:hAnsi="宋体" w:cs="宋体"/>
                <w:szCs w:val="21"/>
                <w:highlight w:val="none"/>
              </w:rPr>
            </w:pPr>
          </w:p>
        </w:tc>
      </w:tr>
      <w:tr w14:paraId="26560B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6"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13F468BF">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信用手册</w:t>
            </w: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208B00FD">
            <w:pPr>
              <w:pStyle w:val="67"/>
              <w:topLinePunct/>
              <w:spacing w:line="440" w:lineRule="exact"/>
              <w:jc w:val="center"/>
              <w:rPr>
                <w:rFonts w:hint="eastAsia" w:ascii="宋体" w:hAnsi="宋体" w:cs="宋体"/>
                <w:szCs w:val="21"/>
                <w:highlight w:val="none"/>
              </w:rPr>
            </w:pPr>
          </w:p>
        </w:tc>
        <w:tc>
          <w:tcPr>
            <w:tcW w:w="841" w:type="dxa"/>
            <w:vMerge w:val="continue"/>
            <w:tcBorders>
              <w:top w:val="single" w:color="auto" w:sz="4" w:space="0"/>
              <w:left w:val="single" w:color="auto" w:sz="4" w:space="0"/>
              <w:bottom w:val="single" w:color="auto" w:sz="4" w:space="0"/>
              <w:right w:val="single" w:color="auto" w:sz="4" w:space="0"/>
            </w:tcBorders>
            <w:noWrap w:val="0"/>
            <w:vAlign w:val="center"/>
          </w:tcPr>
          <w:p w14:paraId="7DCCABB9">
            <w:pPr>
              <w:pStyle w:val="67"/>
              <w:topLinePunct/>
              <w:spacing w:line="440" w:lineRule="exact"/>
              <w:jc w:val="center"/>
              <w:rPr>
                <w:rFonts w:hint="eastAsia" w:ascii="宋体" w:hAnsi="宋体" w:cs="宋体"/>
                <w:szCs w:val="21"/>
                <w:highlight w:val="none"/>
              </w:rPr>
            </w:pPr>
          </w:p>
        </w:tc>
        <w:tc>
          <w:tcPr>
            <w:tcW w:w="2303" w:type="dxa"/>
            <w:gridSpan w:val="4"/>
            <w:tcBorders>
              <w:top w:val="single" w:color="auto" w:sz="4" w:space="0"/>
              <w:left w:val="single" w:color="auto" w:sz="4" w:space="0"/>
              <w:bottom w:val="single" w:color="auto" w:sz="4" w:space="0"/>
              <w:right w:val="single" w:color="auto" w:sz="4" w:space="0"/>
            </w:tcBorders>
            <w:noWrap w:val="0"/>
            <w:vAlign w:val="center"/>
          </w:tcPr>
          <w:p w14:paraId="1089488A">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初级职称人员</w:t>
            </w:r>
          </w:p>
        </w:tc>
        <w:tc>
          <w:tcPr>
            <w:tcW w:w="2553" w:type="dxa"/>
            <w:gridSpan w:val="2"/>
            <w:tcBorders>
              <w:top w:val="single" w:color="auto" w:sz="4" w:space="0"/>
              <w:left w:val="single" w:color="auto" w:sz="4" w:space="0"/>
              <w:bottom w:val="single" w:color="auto" w:sz="4" w:space="0"/>
              <w:right w:val="single" w:color="auto" w:sz="4" w:space="0"/>
            </w:tcBorders>
            <w:noWrap w:val="0"/>
            <w:vAlign w:val="center"/>
          </w:tcPr>
          <w:p w14:paraId="16FA86D7">
            <w:pPr>
              <w:pStyle w:val="67"/>
              <w:topLinePunct/>
              <w:spacing w:line="440" w:lineRule="exact"/>
              <w:jc w:val="center"/>
              <w:rPr>
                <w:rFonts w:hint="eastAsia" w:ascii="宋体" w:hAnsi="宋体" w:cs="宋体"/>
                <w:szCs w:val="21"/>
                <w:highlight w:val="none"/>
              </w:rPr>
            </w:pPr>
          </w:p>
        </w:tc>
      </w:tr>
      <w:tr w14:paraId="7E3883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6"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6E4E462D">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开户银行</w:t>
            </w: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34D9BF09">
            <w:pPr>
              <w:pStyle w:val="67"/>
              <w:topLinePunct/>
              <w:spacing w:line="440" w:lineRule="exact"/>
              <w:jc w:val="center"/>
              <w:rPr>
                <w:rFonts w:hint="eastAsia" w:ascii="宋体" w:hAnsi="宋体" w:cs="宋体"/>
                <w:szCs w:val="21"/>
                <w:highlight w:val="none"/>
              </w:rPr>
            </w:pPr>
          </w:p>
        </w:tc>
        <w:tc>
          <w:tcPr>
            <w:tcW w:w="841" w:type="dxa"/>
            <w:vMerge w:val="continue"/>
            <w:tcBorders>
              <w:top w:val="single" w:color="auto" w:sz="4" w:space="0"/>
              <w:left w:val="single" w:color="auto" w:sz="4" w:space="0"/>
              <w:bottom w:val="single" w:color="auto" w:sz="4" w:space="0"/>
              <w:right w:val="single" w:color="auto" w:sz="4" w:space="0"/>
            </w:tcBorders>
            <w:noWrap w:val="0"/>
            <w:vAlign w:val="center"/>
          </w:tcPr>
          <w:p w14:paraId="28089A71">
            <w:pPr>
              <w:pStyle w:val="67"/>
              <w:topLinePunct/>
              <w:spacing w:line="440" w:lineRule="exact"/>
              <w:jc w:val="center"/>
              <w:rPr>
                <w:rFonts w:hint="eastAsia" w:ascii="宋体" w:hAnsi="宋体" w:cs="宋体"/>
                <w:szCs w:val="21"/>
                <w:highlight w:val="none"/>
              </w:rPr>
            </w:pPr>
          </w:p>
        </w:tc>
        <w:tc>
          <w:tcPr>
            <w:tcW w:w="2303" w:type="dxa"/>
            <w:gridSpan w:val="4"/>
            <w:tcBorders>
              <w:top w:val="single" w:color="auto" w:sz="4" w:space="0"/>
              <w:left w:val="single" w:color="auto" w:sz="4" w:space="0"/>
              <w:bottom w:val="single" w:color="auto" w:sz="4" w:space="0"/>
              <w:right w:val="single" w:color="auto" w:sz="4" w:space="0"/>
            </w:tcBorders>
            <w:noWrap w:val="0"/>
            <w:vAlign w:val="center"/>
          </w:tcPr>
          <w:p w14:paraId="22A61519">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技  工</w:t>
            </w:r>
          </w:p>
        </w:tc>
        <w:tc>
          <w:tcPr>
            <w:tcW w:w="2553" w:type="dxa"/>
            <w:gridSpan w:val="2"/>
            <w:tcBorders>
              <w:top w:val="single" w:color="auto" w:sz="4" w:space="0"/>
              <w:left w:val="single" w:color="auto" w:sz="4" w:space="0"/>
              <w:bottom w:val="single" w:color="auto" w:sz="4" w:space="0"/>
              <w:right w:val="single" w:color="auto" w:sz="4" w:space="0"/>
            </w:tcBorders>
            <w:noWrap w:val="0"/>
            <w:vAlign w:val="center"/>
          </w:tcPr>
          <w:p w14:paraId="53A7FD5D">
            <w:pPr>
              <w:pStyle w:val="67"/>
              <w:topLinePunct/>
              <w:spacing w:line="440" w:lineRule="exact"/>
              <w:jc w:val="center"/>
              <w:rPr>
                <w:rFonts w:hint="eastAsia" w:ascii="宋体" w:hAnsi="宋体" w:cs="宋体"/>
                <w:szCs w:val="21"/>
                <w:highlight w:val="none"/>
              </w:rPr>
            </w:pPr>
          </w:p>
        </w:tc>
      </w:tr>
      <w:tr w14:paraId="259F06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7B782C9E">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账号</w:t>
            </w: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0FD8EB59">
            <w:pPr>
              <w:pStyle w:val="67"/>
              <w:topLinePunct/>
              <w:spacing w:line="440" w:lineRule="exact"/>
              <w:jc w:val="center"/>
              <w:rPr>
                <w:rFonts w:hint="eastAsia" w:ascii="宋体" w:hAnsi="宋体" w:cs="宋体"/>
                <w:szCs w:val="21"/>
                <w:highlight w:val="none"/>
              </w:rPr>
            </w:pPr>
          </w:p>
        </w:tc>
        <w:tc>
          <w:tcPr>
            <w:tcW w:w="841" w:type="dxa"/>
            <w:vMerge w:val="continue"/>
            <w:tcBorders>
              <w:top w:val="single" w:color="auto" w:sz="4" w:space="0"/>
              <w:left w:val="single" w:color="auto" w:sz="4" w:space="0"/>
              <w:bottom w:val="single" w:color="auto" w:sz="4" w:space="0"/>
              <w:right w:val="single" w:color="auto" w:sz="4" w:space="0"/>
            </w:tcBorders>
            <w:noWrap w:val="0"/>
            <w:vAlign w:val="center"/>
          </w:tcPr>
          <w:p w14:paraId="10E209A6">
            <w:pPr>
              <w:pStyle w:val="67"/>
              <w:topLinePunct/>
              <w:spacing w:line="440" w:lineRule="exact"/>
              <w:jc w:val="center"/>
              <w:rPr>
                <w:rFonts w:hint="eastAsia" w:ascii="宋体" w:hAnsi="宋体" w:cs="宋体"/>
                <w:szCs w:val="21"/>
                <w:highlight w:val="none"/>
              </w:rPr>
            </w:pPr>
          </w:p>
        </w:tc>
        <w:tc>
          <w:tcPr>
            <w:tcW w:w="2303" w:type="dxa"/>
            <w:gridSpan w:val="4"/>
            <w:tcBorders>
              <w:top w:val="single" w:color="auto" w:sz="4" w:space="0"/>
              <w:left w:val="single" w:color="auto" w:sz="4" w:space="0"/>
              <w:bottom w:val="single" w:color="auto" w:sz="4" w:space="0"/>
              <w:right w:val="single" w:color="auto" w:sz="4" w:space="0"/>
            </w:tcBorders>
            <w:noWrap w:val="0"/>
            <w:vAlign w:val="center"/>
          </w:tcPr>
          <w:p w14:paraId="3F592B04">
            <w:pPr>
              <w:pStyle w:val="68"/>
              <w:rPr>
                <w:rFonts w:hint="eastAsia" w:ascii="宋体" w:hAnsi="宋体" w:cs="宋体"/>
                <w:szCs w:val="21"/>
                <w:highlight w:val="none"/>
              </w:rPr>
            </w:pPr>
          </w:p>
        </w:tc>
        <w:tc>
          <w:tcPr>
            <w:tcW w:w="2553" w:type="dxa"/>
            <w:gridSpan w:val="2"/>
            <w:tcBorders>
              <w:top w:val="single" w:color="auto" w:sz="4" w:space="0"/>
              <w:left w:val="single" w:color="auto" w:sz="4" w:space="0"/>
              <w:bottom w:val="single" w:color="auto" w:sz="4" w:space="0"/>
              <w:right w:val="single" w:color="auto" w:sz="4" w:space="0"/>
            </w:tcBorders>
            <w:noWrap w:val="0"/>
            <w:vAlign w:val="center"/>
          </w:tcPr>
          <w:p w14:paraId="08D43D03">
            <w:pPr>
              <w:pStyle w:val="67"/>
              <w:topLinePunct/>
              <w:spacing w:line="440" w:lineRule="exact"/>
              <w:jc w:val="center"/>
              <w:rPr>
                <w:rFonts w:hint="eastAsia" w:ascii="宋体" w:hAnsi="宋体" w:cs="宋体"/>
                <w:szCs w:val="21"/>
                <w:highlight w:val="none"/>
              </w:rPr>
            </w:pPr>
          </w:p>
        </w:tc>
      </w:tr>
      <w:tr w14:paraId="5E8096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731" w:type="dxa"/>
            <w:tcBorders>
              <w:top w:val="single" w:color="auto" w:sz="4" w:space="0"/>
              <w:left w:val="single" w:color="auto" w:sz="4" w:space="0"/>
              <w:right w:val="single" w:color="auto" w:sz="4" w:space="0"/>
            </w:tcBorders>
            <w:noWrap w:val="0"/>
            <w:vAlign w:val="center"/>
          </w:tcPr>
          <w:p w14:paraId="79D1C0CF">
            <w:pPr>
              <w:pStyle w:val="67"/>
              <w:topLinePunct/>
              <w:spacing w:line="440" w:lineRule="exact"/>
              <w:ind w:firstLine="210" w:firstLineChars="100"/>
              <w:jc w:val="center"/>
              <w:rPr>
                <w:rFonts w:hint="eastAsia" w:ascii="宋体" w:hAnsi="宋体" w:cs="宋体"/>
                <w:szCs w:val="21"/>
                <w:highlight w:val="none"/>
              </w:rPr>
            </w:pPr>
            <w:r>
              <w:rPr>
                <w:rFonts w:hint="eastAsia" w:ascii="宋体" w:hAnsi="宋体" w:cs="宋体"/>
                <w:szCs w:val="21"/>
                <w:highlight w:val="none"/>
              </w:rPr>
              <w:t>经营范围</w:t>
            </w:r>
          </w:p>
        </w:tc>
        <w:tc>
          <w:tcPr>
            <w:tcW w:w="7550" w:type="dxa"/>
            <w:gridSpan w:val="9"/>
            <w:tcBorders>
              <w:top w:val="single" w:color="auto" w:sz="4" w:space="0"/>
              <w:left w:val="single" w:color="auto" w:sz="4" w:space="0"/>
              <w:right w:val="single" w:color="auto" w:sz="4" w:space="0"/>
            </w:tcBorders>
            <w:noWrap w:val="0"/>
            <w:vAlign w:val="center"/>
          </w:tcPr>
          <w:p w14:paraId="61B06F9F">
            <w:pPr>
              <w:pStyle w:val="67"/>
              <w:topLinePunct/>
              <w:spacing w:line="440" w:lineRule="exact"/>
              <w:rPr>
                <w:rFonts w:hint="eastAsia" w:ascii="宋体" w:hAnsi="宋体" w:cs="宋体"/>
                <w:szCs w:val="21"/>
                <w:highlight w:val="none"/>
              </w:rPr>
            </w:pPr>
          </w:p>
        </w:tc>
      </w:tr>
      <w:tr w14:paraId="241046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731" w:type="dxa"/>
            <w:tcBorders>
              <w:top w:val="single" w:color="auto" w:sz="4" w:space="0"/>
              <w:left w:val="single" w:color="auto" w:sz="4" w:space="0"/>
              <w:bottom w:val="single" w:color="auto" w:sz="4" w:space="0"/>
              <w:right w:val="single" w:color="auto" w:sz="4" w:space="0"/>
            </w:tcBorders>
            <w:noWrap w:val="0"/>
            <w:vAlign w:val="center"/>
          </w:tcPr>
          <w:p w14:paraId="2F251537">
            <w:pPr>
              <w:pStyle w:val="67"/>
              <w:topLinePunct/>
              <w:spacing w:line="440" w:lineRule="exact"/>
              <w:jc w:val="center"/>
              <w:rPr>
                <w:rFonts w:hint="eastAsia" w:ascii="宋体" w:hAnsi="宋体" w:cs="宋体"/>
                <w:szCs w:val="21"/>
                <w:highlight w:val="none"/>
              </w:rPr>
            </w:pPr>
            <w:r>
              <w:rPr>
                <w:rFonts w:hint="eastAsia" w:ascii="宋体" w:hAnsi="宋体" w:cs="宋体"/>
                <w:szCs w:val="21"/>
                <w:highlight w:val="none"/>
              </w:rPr>
              <w:t>备注</w:t>
            </w:r>
          </w:p>
        </w:tc>
        <w:tc>
          <w:tcPr>
            <w:tcW w:w="7550" w:type="dxa"/>
            <w:gridSpan w:val="9"/>
            <w:tcBorders>
              <w:top w:val="single" w:color="auto" w:sz="4" w:space="0"/>
              <w:left w:val="single" w:color="auto" w:sz="4" w:space="0"/>
              <w:bottom w:val="single" w:color="auto" w:sz="4" w:space="0"/>
              <w:right w:val="single" w:color="auto" w:sz="4" w:space="0"/>
            </w:tcBorders>
            <w:noWrap w:val="0"/>
            <w:vAlign w:val="center"/>
          </w:tcPr>
          <w:p w14:paraId="249DA637">
            <w:pPr>
              <w:pStyle w:val="67"/>
              <w:topLinePunct/>
              <w:spacing w:line="440" w:lineRule="exact"/>
              <w:rPr>
                <w:rFonts w:hint="eastAsia" w:ascii="宋体" w:hAnsi="宋体" w:cs="宋体"/>
                <w:szCs w:val="21"/>
                <w:highlight w:val="none"/>
              </w:rPr>
            </w:pPr>
          </w:p>
        </w:tc>
      </w:tr>
    </w:tbl>
    <w:p w14:paraId="0D5263D5">
      <w:pPr>
        <w:rPr>
          <w:rFonts w:hint="eastAsia" w:ascii="宋体" w:hAnsi="宋体" w:cs="宋体"/>
          <w:kern w:val="0"/>
          <w:szCs w:val="21"/>
          <w:highlight w:val="none"/>
        </w:rPr>
      </w:pPr>
    </w:p>
    <w:p w14:paraId="10CE75D1">
      <w:pPr>
        <w:rPr>
          <w:rFonts w:hint="eastAsia" w:ascii="宋体" w:hAnsi="宋体" w:cs="宋体"/>
          <w:kern w:val="0"/>
          <w:szCs w:val="21"/>
          <w:highlight w:val="none"/>
        </w:rPr>
      </w:pPr>
      <w:r>
        <w:rPr>
          <w:rFonts w:hint="eastAsia" w:ascii="宋体" w:hAnsi="宋体" w:cs="宋体"/>
          <w:kern w:val="0"/>
          <w:szCs w:val="21"/>
          <w:highlight w:val="none"/>
        </w:rPr>
        <w:t>说明：投标人编制投标文件时，应将</w:t>
      </w:r>
      <w:r>
        <w:rPr>
          <w:rFonts w:hint="eastAsia" w:ascii="宋体" w:hAnsi="宋体" w:cs="宋体"/>
          <w:kern w:val="0"/>
          <w:szCs w:val="21"/>
          <w:highlight w:val="none"/>
          <w:u w:val="single"/>
        </w:rPr>
        <w:t xml:space="preserve"> </w:t>
      </w:r>
      <w:r>
        <w:rPr>
          <w:rFonts w:hint="eastAsia" w:ascii="宋体" w:hAnsi="宋体" w:cs="宋体"/>
          <w:szCs w:val="21"/>
          <w:highlight w:val="none"/>
          <w:u w:val="single"/>
        </w:rPr>
        <w:t>企业营业执照</w:t>
      </w:r>
      <w:r>
        <w:rPr>
          <w:rFonts w:hint="eastAsia" w:ascii="宋体" w:hAnsi="宋体" w:cs="宋体"/>
          <w:szCs w:val="21"/>
          <w:highlight w:val="none"/>
          <w:u w:val="single"/>
          <w:lang w:eastAsia="zh-CN"/>
        </w:rPr>
        <w:t>、</w:t>
      </w:r>
      <w:r>
        <w:rPr>
          <w:rFonts w:hint="eastAsia" w:ascii="宋体" w:hAnsi="宋体" w:cs="宋体"/>
          <w:szCs w:val="21"/>
          <w:highlight w:val="none"/>
          <w:u w:val="single"/>
        </w:rPr>
        <w:t>企业资质证书</w:t>
      </w:r>
      <w:r>
        <w:rPr>
          <w:rFonts w:hint="eastAsia" w:ascii="宋体" w:hAnsi="宋体" w:cs="宋体"/>
          <w:szCs w:val="21"/>
          <w:highlight w:val="none"/>
          <w:u w:val="single"/>
          <w:lang w:eastAsia="zh-CN"/>
        </w:rPr>
        <w:t>、</w:t>
      </w:r>
      <w:r>
        <w:rPr>
          <w:rFonts w:hint="eastAsia" w:ascii="宋体" w:hAnsi="宋体" w:cs="宋体"/>
          <w:szCs w:val="21"/>
          <w:highlight w:val="none"/>
          <w:u w:val="single"/>
        </w:rPr>
        <w:t>安全生产许可证</w:t>
      </w:r>
      <w:r>
        <w:rPr>
          <w:rFonts w:hint="eastAsia" w:ascii="宋体" w:hAnsi="宋体" w:cs="宋体"/>
          <w:szCs w:val="21"/>
          <w:highlight w:val="none"/>
          <w:u w:val="single"/>
          <w:lang w:val="en-US" w:eastAsia="zh-CN"/>
        </w:rPr>
        <w:t xml:space="preserve"> </w:t>
      </w:r>
      <w:r>
        <w:rPr>
          <w:rFonts w:hint="eastAsia" w:ascii="宋体" w:hAnsi="宋体" w:cs="宋体"/>
          <w:kern w:val="0"/>
          <w:szCs w:val="21"/>
          <w:highlight w:val="none"/>
        </w:rPr>
        <w:t>作为本表的附件</w:t>
      </w:r>
      <w:r>
        <w:rPr>
          <w:rFonts w:hint="eastAsia" w:ascii="宋体" w:hAnsi="宋体" w:cs="宋体"/>
          <w:kern w:val="0"/>
          <w:szCs w:val="21"/>
          <w:highlight w:val="none"/>
          <w:lang w:eastAsia="zh-CN"/>
        </w:rPr>
        <w:t>，并确保证书真实、有效</w:t>
      </w:r>
      <w:r>
        <w:rPr>
          <w:rFonts w:hint="eastAsia" w:ascii="宋体" w:hAnsi="宋体" w:cs="宋体"/>
          <w:szCs w:val="21"/>
          <w:highlight w:val="none"/>
        </w:rPr>
        <w:t>。</w:t>
      </w:r>
    </w:p>
    <w:p w14:paraId="7B33CE8B">
      <w:pPr>
        <w:pStyle w:val="47"/>
        <w:rPr>
          <w:rFonts w:hint="eastAsia" w:ascii="宋体" w:hAnsi="宋体" w:cs="宋体"/>
          <w:kern w:val="0"/>
          <w:szCs w:val="21"/>
          <w:highlight w:val="none"/>
        </w:rPr>
      </w:pPr>
    </w:p>
    <w:p w14:paraId="30813F29">
      <w:pPr>
        <w:pStyle w:val="47"/>
        <w:rPr>
          <w:rFonts w:hint="eastAsia" w:ascii="宋体" w:hAnsi="宋体" w:cs="宋体"/>
          <w:b/>
          <w:szCs w:val="21"/>
          <w:highlight w:val="none"/>
        </w:rPr>
      </w:pPr>
    </w:p>
    <w:p w14:paraId="7C5FED93">
      <w:pPr>
        <w:pStyle w:val="47"/>
        <w:jc w:val="center"/>
        <w:rPr>
          <w:rFonts w:hint="eastAsia" w:ascii="宋体" w:hAnsi="宋体" w:cs="宋体"/>
          <w:b/>
          <w:szCs w:val="21"/>
          <w:highlight w:val="none"/>
        </w:rPr>
      </w:pPr>
    </w:p>
    <w:p w14:paraId="322A61D1">
      <w:pPr>
        <w:pStyle w:val="57"/>
        <w:outlineLvl w:val="2"/>
        <w:rPr>
          <w:rFonts w:hint="eastAsia" w:ascii="宋体" w:hAnsi="宋体" w:eastAsia="宋体" w:cs="宋体"/>
          <w:sz w:val="21"/>
          <w:szCs w:val="21"/>
          <w:highlight w:val="none"/>
        </w:rPr>
      </w:pPr>
      <w:r>
        <w:rPr>
          <w:rFonts w:hint="eastAsia" w:ascii="宋体" w:hAnsi="宋体" w:eastAsia="宋体"/>
          <w:sz w:val="21"/>
          <w:szCs w:val="21"/>
          <w:highlight w:val="none"/>
        </w:rPr>
        <w:br w:type="page"/>
      </w:r>
      <w:r>
        <w:rPr>
          <w:rFonts w:hint="eastAsia" w:ascii="宋体" w:hAnsi="宋体" w:eastAsia="宋体"/>
          <w:sz w:val="21"/>
          <w:szCs w:val="21"/>
          <w:highlight w:val="none"/>
          <w:lang w:eastAsia="zh-CN"/>
        </w:rPr>
        <w:t>五、</w:t>
      </w:r>
      <w:r>
        <w:rPr>
          <w:rFonts w:hint="eastAsia" w:ascii="宋体" w:hAnsi="宋体" w:eastAsia="宋体" w:cs="宋体"/>
          <w:b/>
          <w:bCs w:val="0"/>
          <w:kern w:val="2"/>
          <w:sz w:val="21"/>
          <w:szCs w:val="21"/>
          <w:highlight w:val="none"/>
          <w:lang w:val="en-US" w:eastAsia="zh-CN" w:bidi="ar-SA"/>
        </w:rPr>
        <w:t>项目管理机构组成表</w:t>
      </w:r>
    </w:p>
    <w:p w14:paraId="6594F125">
      <w:pPr>
        <w:jc w:val="center"/>
        <w:rPr>
          <w:rFonts w:hint="eastAsia" w:ascii="宋体" w:hAnsi="宋体" w:cs="宋体"/>
          <w:b/>
          <w:sz w:val="30"/>
          <w:szCs w:val="30"/>
          <w:highlight w:val="none"/>
        </w:rPr>
      </w:pPr>
    </w:p>
    <w:p w14:paraId="7150A1BC">
      <w:pPr>
        <w:jc w:val="center"/>
        <w:rPr>
          <w:rFonts w:hint="eastAsia" w:ascii="宋体" w:hAnsi="宋体" w:cs="宋体"/>
          <w:b/>
          <w:sz w:val="30"/>
          <w:szCs w:val="30"/>
          <w:highlight w:val="none"/>
        </w:rPr>
      </w:pPr>
      <w:r>
        <w:rPr>
          <w:rFonts w:hint="eastAsia" w:ascii="宋体" w:hAnsi="宋体" w:cs="宋体"/>
          <w:b/>
          <w:sz w:val="30"/>
          <w:szCs w:val="30"/>
          <w:highlight w:val="none"/>
        </w:rPr>
        <w:t>项目管理机构组成表</w:t>
      </w:r>
    </w:p>
    <w:p w14:paraId="0C739C2A">
      <w:pPr>
        <w:pStyle w:val="7"/>
        <w:rPr>
          <w:rFonts w:hint="eastAsia" w:ascii="宋体" w:hAnsi="宋体" w:cs="宋体"/>
          <w:b/>
          <w:sz w:val="30"/>
          <w:szCs w:val="30"/>
          <w:highlight w:val="none"/>
        </w:rPr>
      </w:pPr>
    </w:p>
    <w:p w14:paraId="76A09220">
      <w:pPr>
        <w:pStyle w:val="67"/>
        <w:topLinePunct/>
        <w:spacing w:line="440" w:lineRule="exact"/>
        <w:jc w:val="both"/>
        <w:rPr>
          <w:rFonts w:hint="eastAsia" w:ascii="宋体" w:hAnsi="宋体" w:eastAsia="宋体" w:cs="宋体"/>
          <w:color w:val="auto"/>
          <w:kern w:val="0"/>
          <w:sz w:val="24"/>
          <w:szCs w:val="24"/>
          <w:highlight w:val="none"/>
        </w:rPr>
      </w:pPr>
      <w:r>
        <w:rPr>
          <w:rFonts w:hint="eastAsia" w:ascii="宋体" w:hAnsi="宋体" w:cs="宋体"/>
          <w:sz w:val="24"/>
          <w:szCs w:val="24"/>
          <w:highlight w:val="none"/>
        </w:rPr>
        <w:t>投标人名称</w:t>
      </w:r>
      <w:r>
        <w:rPr>
          <w:rFonts w:hint="eastAsia" w:ascii="宋体" w:hAnsi="宋体" w:cs="宋体"/>
          <w:sz w:val="24"/>
          <w:szCs w:val="24"/>
          <w:highlight w:val="none"/>
          <w:lang w:eastAsia="zh-CN"/>
        </w:rPr>
        <w:t>：</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lang w:eastAsia="zh-CN"/>
        </w:rPr>
        <w:t>（盖章）</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
        <w:gridCol w:w="1495"/>
        <w:gridCol w:w="1248"/>
        <w:gridCol w:w="800"/>
        <w:gridCol w:w="800"/>
        <w:gridCol w:w="3700"/>
      </w:tblGrid>
      <w:tr w14:paraId="3A94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5" w:type="dxa"/>
            <w:noWrap w:val="0"/>
            <w:vAlign w:val="top"/>
          </w:tcPr>
          <w:p w14:paraId="575AD545">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机构</w:t>
            </w:r>
          </w:p>
        </w:tc>
        <w:tc>
          <w:tcPr>
            <w:tcW w:w="1495" w:type="dxa"/>
            <w:noWrap w:val="0"/>
            <w:vAlign w:val="top"/>
          </w:tcPr>
          <w:p w14:paraId="367D8BE8">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项目工程师</w:t>
            </w:r>
          </w:p>
        </w:tc>
        <w:tc>
          <w:tcPr>
            <w:tcW w:w="1248" w:type="dxa"/>
            <w:noWrap w:val="0"/>
            <w:vAlign w:val="top"/>
          </w:tcPr>
          <w:p w14:paraId="31521ED0">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w:t>
            </w:r>
          </w:p>
        </w:tc>
        <w:tc>
          <w:tcPr>
            <w:tcW w:w="800" w:type="dxa"/>
            <w:noWrap w:val="0"/>
            <w:vAlign w:val="top"/>
          </w:tcPr>
          <w:p w14:paraId="56FA4B10">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职务</w:t>
            </w:r>
          </w:p>
        </w:tc>
        <w:tc>
          <w:tcPr>
            <w:tcW w:w="800" w:type="dxa"/>
            <w:noWrap w:val="0"/>
            <w:vAlign w:val="top"/>
          </w:tcPr>
          <w:p w14:paraId="4E531D60">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职称</w:t>
            </w:r>
          </w:p>
        </w:tc>
        <w:tc>
          <w:tcPr>
            <w:tcW w:w="3700" w:type="dxa"/>
            <w:noWrap w:val="0"/>
            <w:vAlign w:val="top"/>
          </w:tcPr>
          <w:p w14:paraId="6CC48517">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主要资历、经验及承担过的工程</w:t>
            </w:r>
          </w:p>
        </w:tc>
      </w:tr>
      <w:tr w14:paraId="0463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restart"/>
            <w:noWrap w:val="0"/>
            <w:vAlign w:val="top"/>
          </w:tcPr>
          <w:p w14:paraId="22C8AE8F">
            <w:pPr>
              <w:spacing w:line="420" w:lineRule="atLeast"/>
              <w:jc w:val="center"/>
              <w:rPr>
                <w:rFonts w:hint="eastAsia" w:ascii="宋体" w:hAnsi="宋体" w:eastAsia="宋体" w:cs="宋体"/>
                <w:color w:val="auto"/>
                <w:kern w:val="0"/>
                <w:sz w:val="24"/>
                <w:szCs w:val="24"/>
                <w:highlight w:val="none"/>
              </w:rPr>
            </w:pPr>
          </w:p>
          <w:p w14:paraId="249D330C">
            <w:pPr>
              <w:spacing w:line="420" w:lineRule="atLeast"/>
              <w:jc w:val="center"/>
              <w:rPr>
                <w:rFonts w:hint="eastAsia" w:ascii="宋体" w:hAnsi="宋体" w:eastAsia="宋体" w:cs="宋体"/>
                <w:color w:val="auto"/>
                <w:kern w:val="0"/>
                <w:sz w:val="24"/>
                <w:szCs w:val="24"/>
                <w:highlight w:val="none"/>
              </w:rPr>
            </w:pPr>
          </w:p>
          <w:p w14:paraId="3BF84584">
            <w:pPr>
              <w:spacing w:line="42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总</w:t>
            </w:r>
          </w:p>
          <w:p w14:paraId="1C10F80A">
            <w:pPr>
              <w:spacing w:line="420" w:lineRule="atLeast"/>
              <w:jc w:val="center"/>
              <w:rPr>
                <w:rFonts w:hint="eastAsia" w:ascii="宋体" w:hAnsi="宋体" w:eastAsia="宋体" w:cs="宋体"/>
                <w:color w:val="auto"/>
                <w:kern w:val="0"/>
                <w:sz w:val="24"/>
                <w:szCs w:val="24"/>
                <w:highlight w:val="none"/>
              </w:rPr>
            </w:pPr>
          </w:p>
          <w:p w14:paraId="2A79F3C3">
            <w:pPr>
              <w:spacing w:line="42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部</w:t>
            </w:r>
          </w:p>
        </w:tc>
        <w:tc>
          <w:tcPr>
            <w:tcW w:w="1495" w:type="dxa"/>
            <w:noWrap w:val="0"/>
            <w:vAlign w:val="top"/>
          </w:tcPr>
          <w:p w14:paraId="5E6A39C7">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项目主管</w:t>
            </w:r>
          </w:p>
        </w:tc>
        <w:tc>
          <w:tcPr>
            <w:tcW w:w="1248" w:type="dxa"/>
            <w:noWrap w:val="0"/>
            <w:vAlign w:val="top"/>
          </w:tcPr>
          <w:p w14:paraId="154F668C">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1623A5FF">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6B74C50E">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71695AF6">
            <w:pPr>
              <w:spacing w:line="420" w:lineRule="atLeast"/>
              <w:rPr>
                <w:rFonts w:hint="eastAsia" w:ascii="宋体" w:hAnsi="宋体" w:eastAsia="宋体" w:cs="宋体"/>
                <w:color w:val="auto"/>
                <w:kern w:val="0"/>
                <w:sz w:val="24"/>
                <w:szCs w:val="24"/>
                <w:highlight w:val="none"/>
              </w:rPr>
            </w:pPr>
          </w:p>
        </w:tc>
      </w:tr>
      <w:tr w14:paraId="09A1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7AA3A59F">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52BAD59F">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技术负责人</w:t>
            </w:r>
          </w:p>
        </w:tc>
        <w:tc>
          <w:tcPr>
            <w:tcW w:w="1248" w:type="dxa"/>
            <w:noWrap w:val="0"/>
            <w:vAlign w:val="top"/>
          </w:tcPr>
          <w:p w14:paraId="686AC651">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663DDB78">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4C3401E8">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57267205">
            <w:pPr>
              <w:spacing w:line="420" w:lineRule="atLeast"/>
              <w:rPr>
                <w:rFonts w:hint="eastAsia" w:ascii="宋体" w:hAnsi="宋体" w:eastAsia="宋体" w:cs="宋体"/>
                <w:color w:val="auto"/>
                <w:kern w:val="0"/>
                <w:sz w:val="24"/>
                <w:szCs w:val="24"/>
                <w:highlight w:val="none"/>
              </w:rPr>
            </w:pPr>
          </w:p>
        </w:tc>
      </w:tr>
      <w:tr w14:paraId="43D6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5B2A9AC9">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082328FE">
            <w:pPr>
              <w:spacing w:line="420" w:lineRule="atLeast"/>
              <w:rPr>
                <w:rFonts w:hint="eastAsia" w:ascii="宋体" w:hAnsi="宋体" w:eastAsia="宋体" w:cs="宋体"/>
                <w:color w:val="auto"/>
                <w:kern w:val="0"/>
                <w:sz w:val="24"/>
                <w:szCs w:val="24"/>
                <w:highlight w:val="none"/>
              </w:rPr>
            </w:pPr>
          </w:p>
        </w:tc>
        <w:tc>
          <w:tcPr>
            <w:tcW w:w="1248" w:type="dxa"/>
            <w:noWrap w:val="0"/>
            <w:vAlign w:val="top"/>
          </w:tcPr>
          <w:p w14:paraId="5F25C1AE">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50C0FEC5">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3E5227D8">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35B7E078">
            <w:pPr>
              <w:spacing w:line="420" w:lineRule="atLeast"/>
              <w:rPr>
                <w:rFonts w:hint="eastAsia" w:ascii="宋体" w:hAnsi="宋体" w:eastAsia="宋体" w:cs="宋体"/>
                <w:color w:val="auto"/>
                <w:kern w:val="0"/>
                <w:sz w:val="24"/>
                <w:szCs w:val="24"/>
                <w:highlight w:val="none"/>
              </w:rPr>
            </w:pPr>
          </w:p>
        </w:tc>
      </w:tr>
      <w:tr w14:paraId="4A6C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6025B06D">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5A1DAF28">
            <w:pPr>
              <w:spacing w:line="420" w:lineRule="atLeast"/>
              <w:rPr>
                <w:rFonts w:hint="eastAsia" w:ascii="宋体" w:hAnsi="宋体" w:eastAsia="宋体" w:cs="宋体"/>
                <w:color w:val="auto"/>
                <w:kern w:val="0"/>
                <w:sz w:val="24"/>
                <w:szCs w:val="24"/>
                <w:highlight w:val="none"/>
              </w:rPr>
            </w:pPr>
          </w:p>
        </w:tc>
        <w:tc>
          <w:tcPr>
            <w:tcW w:w="1248" w:type="dxa"/>
            <w:noWrap w:val="0"/>
            <w:vAlign w:val="top"/>
          </w:tcPr>
          <w:p w14:paraId="013C7785">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5642B1CC">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05C730C0">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67461CE3">
            <w:pPr>
              <w:spacing w:line="420" w:lineRule="atLeast"/>
              <w:rPr>
                <w:rFonts w:hint="eastAsia" w:ascii="宋体" w:hAnsi="宋体" w:eastAsia="宋体" w:cs="宋体"/>
                <w:color w:val="auto"/>
                <w:kern w:val="0"/>
                <w:sz w:val="24"/>
                <w:szCs w:val="24"/>
                <w:highlight w:val="none"/>
              </w:rPr>
            </w:pPr>
          </w:p>
        </w:tc>
      </w:tr>
      <w:tr w14:paraId="60FA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0339C50F">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02ED612A">
            <w:pPr>
              <w:spacing w:line="420" w:lineRule="atLeast"/>
              <w:rPr>
                <w:rFonts w:hint="eastAsia" w:ascii="宋体" w:hAnsi="宋体" w:eastAsia="宋体" w:cs="宋体"/>
                <w:color w:val="auto"/>
                <w:kern w:val="0"/>
                <w:sz w:val="24"/>
                <w:szCs w:val="24"/>
                <w:highlight w:val="none"/>
              </w:rPr>
            </w:pPr>
          </w:p>
        </w:tc>
        <w:tc>
          <w:tcPr>
            <w:tcW w:w="1248" w:type="dxa"/>
            <w:noWrap w:val="0"/>
            <w:vAlign w:val="top"/>
          </w:tcPr>
          <w:p w14:paraId="7D5269FF">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118B1306">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4B582C58">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46BE24AE">
            <w:pPr>
              <w:spacing w:line="420" w:lineRule="atLeast"/>
              <w:rPr>
                <w:rFonts w:hint="eastAsia" w:ascii="宋体" w:hAnsi="宋体" w:eastAsia="宋体" w:cs="宋体"/>
                <w:color w:val="auto"/>
                <w:kern w:val="0"/>
                <w:sz w:val="24"/>
                <w:szCs w:val="24"/>
                <w:highlight w:val="none"/>
              </w:rPr>
            </w:pPr>
          </w:p>
        </w:tc>
      </w:tr>
      <w:tr w14:paraId="66FF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4A729773">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3733D67E">
            <w:pPr>
              <w:spacing w:line="420" w:lineRule="atLeast"/>
              <w:rPr>
                <w:rFonts w:hint="eastAsia" w:ascii="宋体" w:hAnsi="宋体" w:eastAsia="宋体" w:cs="宋体"/>
                <w:color w:val="auto"/>
                <w:kern w:val="0"/>
                <w:sz w:val="24"/>
                <w:szCs w:val="24"/>
                <w:highlight w:val="none"/>
              </w:rPr>
            </w:pPr>
          </w:p>
        </w:tc>
        <w:tc>
          <w:tcPr>
            <w:tcW w:w="1248" w:type="dxa"/>
            <w:noWrap w:val="0"/>
            <w:vAlign w:val="top"/>
          </w:tcPr>
          <w:p w14:paraId="08ED3D98">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11322EBF">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06F60FE4">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3F2D1A25">
            <w:pPr>
              <w:spacing w:line="420" w:lineRule="atLeast"/>
              <w:rPr>
                <w:rFonts w:hint="eastAsia" w:ascii="宋体" w:hAnsi="宋体" w:eastAsia="宋体" w:cs="宋体"/>
                <w:color w:val="auto"/>
                <w:kern w:val="0"/>
                <w:sz w:val="24"/>
                <w:szCs w:val="24"/>
                <w:highlight w:val="none"/>
              </w:rPr>
            </w:pPr>
          </w:p>
        </w:tc>
      </w:tr>
      <w:tr w14:paraId="10DD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4C8ED6D3">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0BBF1772">
            <w:pPr>
              <w:spacing w:line="420" w:lineRule="atLeast"/>
              <w:rPr>
                <w:rFonts w:hint="eastAsia" w:ascii="宋体" w:hAnsi="宋体" w:eastAsia="宋体" w:cs="宋体"/>
                <w:color w:val="auto"/>
                <w:kern w:val="0"/>
                <w:sz w:val="24"/>
                <w:szCs w:val="24"/>
                <w:highlight w:val="none"/>
              </w:rPr>
            </w:pPr>
          </w:p>
        </w:tc>
        <w:tc>
          <w:tcPr>
            <w:tcW w:w="1248" w:type="dxa"/>
            <w:noWrap w:val="0"/>
            <w:vAlign w:val="top"/>
          </w:tcPr>
          <w:p w14:paraId="4BC5CEE7">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0D69627A">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6485222D">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264F2B3B">
            <w:pPr>
              <w:spacing w:line="420" w:lineRule="atLeast"/>
              <w:rPr>
                <w:rFonts w:hint="eastAsia" w:ascii="宋体" w:hAnsi="宋体" w:eastAsia="宋体" w:cs="宋体"/>
                <w:color w:val="auto"/>
                <w:kern w:val="0"/>
                <w:sz w:val="24"/>
                <w:szCs w:val="24"/>
                <w:highlight w:val="none"/>
              </w:rPr>
            </w:pPr>
          </w:p>
        </w:tc>
      </w:tr>
      <w:tr w14:paraId="2B3B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restart"/>
            <w:noWrap w:val="0"/>
            <w:vAlign w:val="top"/>
          </w:tcPr>
          <w:p w14:paraId="0673DDDB">
            <w:pPr>
              <w:spacing w:line="420" w:lineRule="atLeast"/>
              <w:rPr>
                <w:rFonts w:hint="eastAsia" w:ascii="宋体" w:hAnsi="宋体" w:eastAsia="宋体" w:cs="宋体"/>
                <w:color w:val="auto"/>
                <w:kern w:val="0"/>
                <w:sz w:val="24"/>
                <w:szCs w:val="24"/>
                <w:highlight w:val="none"/>
              </w:rPr>
            </w:pPr>
          </w:p>
          <w:p w14:paraId="34C80668">
            <w:pPr>
              <w:spacing w:line="420" w:lineRule="atLeast"/>
              <w:rPr>
                <w:rFonts w:hint="eastAsia" w:ascii="宋体" w:hAnsi="宋体" w:eastAsia="宋体" w:cs="宋体"/>
                <w:color w:val="auto"/>
                <w:kern w:val="0"/>
                <w:sz w:val="24"/>
                <w:szCs w:val="24"/>
                <w:highlight w:val="none"/>
              </w:rPr>
            </w:pPr>
          </w:p>
          <w:p w14:paraId="2B1E37D0">
            <w:pPr>
              <w:spacing w:line="42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现</w:t>
            </w:r>
          </w:p>
          <w:p w14:paraId="37ED7323">
            <w:pPr>
              <w:spacing w:line="420" w:lineRule="atLeast"/>
              <w:jc w:val="center"/>
              <w:rPr>
                <w:rFonts w:hint="eastAsia" w:ascii="宋体" w:hAnsi="宋体" w:eastAsia="宋体" w:cs="宋体"/>
                <w:color w:val="auto"/>
                <w:kern w:val="0"/>
                <w:sz w:val="24"/>
                <w:szCs w:val="24"/>
                <w:highlight w:val="none"/>
              </w:rPr>
            </w:pPr>
          </w:p>
          <w:p w14:paraId="1C9CE49B">
            <w:pPr>
              <w:spacing w:line="420" w:lineRule="atLeast"/>
              <w:jc w:val="center"/>
              <w:rPr>
                <w:rFonts w:hint="eastAsia" w:ascii="宋体" w:hAnsi="宋体" w:eastAsia="宋体" w:cs="宋体"/>
                <w:color w:val="auto"/>
                <w:kern w:val="0"/>
                <w:sz w:val="24"/>
                <w:szCs w:val="24"/>
                <w:highlight w:val="none"/>
              </w:rPr>
            </w:pPr>
          </w:p>
          <w:p w14:paraId="693C5D48">
            <w:pPr>
              <w:spacing w:line="42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场</w:t>
            </w:r>
          </w:p>
        </w:tc>
        <w:tc>
          <w:tcPr>
            <w:tcW w:w="1495" w:type="dxa"/>
            <w:noWrap w:val="0"/>
            <w:vAlign w:val="top"/>
          </w:tcPr>
          <w:p w14:paraId="39DC4AD5">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项目负责人</w:t>
            </w:r>
          </w:p>
        </w:tc>
        <w:tc>
          <w:tcPr>
            <w:tcW w:w="1248" w:type="dxa"/>
            <w:noWrap w:val="0"/>
            <w:vAlign w:val="top"/>
          </w:tcPr>
          <w:p w14:paraId="14582E59">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7681D103">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3AD4766F">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0AA7F0CB">
            <w:pPr>
              <w:spacing w:line="420" w:lineRule="atLeast"/>
              <w:rPr>
                <w:rFonts w:hint="eastAsia" w:ascii="宋体" w:hAnsi="宋体" w:eastAsia="宋体" w:cs="宋体"/>
                <w:color w:val="auto"/>
                <w:kern w:val="0"/>
                <w:sz w:val="24"/>
                <w:szCs w:val="24"/>
                <w:highlight w:val="none"/>
              </w:rPr>
            </w:pPr>
          </w:p>
        </w:tc>
      </w:tr>
      <w:tr w14:paraId="74AB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72974822">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5ACF774A">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技术负责人</w:t>
            </w:r>
          </w:p>
        </w:tc>
        <w:tc>
          <w:tcPr>
            <w:tcW w:w="1248" w:type="dxa"/>
            <w:noWrap w:val="0"/>
            <w:vAlign w:val="top"/>
          </w:tcPr>
          <w:p w14:paraId="05A045E1">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3E0B4ADD">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57101F1C">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1A2CAAB4">
            <w:pPr>
              <w:spacing w:line="420" w:lineRule="atLeast"/>
              <w:rPr>
                <w:rFonts w:hint="eastAsia" w:ascii="宋体" w:hAnsi="宋体" w:eastAsia="宋体" w:cs="宋体"/>
                <w:color w:val="auto"/>
                <w:kern w:val="0"/>
                <w:sz w:val="24"/>
                <w:szCs w:val="24"/>
                <w:highlight w:val="none"/>
              </w:rPr>
            </w:pPr>
          </w:p>
        </w:tc>
      </w:tr>
      <w:tr w14:paraId="535A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032CDCC7">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51326FEF">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质量管理</w:t>
            </w:r>
          </w:p>
        </w:tc>
        <w:tc>
          <w:tcPr>
            <w:tcW w:w="1248" w:type="dxa"/>
            <w:noWrap w:val="0"/>
            <w:vAlign w:val="top"/>
          </w:tcPr>
          <w:p w14:paraId="255E3EB9">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42256D95">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15089739">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0EB34B84">
            <w:pPr>
              <w:spacing w:line="420" w:lineRule="atLeast"/>
              <w:rPr>
                <w:rFonts w:hint="eastAsia" w:ascii="宋体" w:hAnsi="宋体" w:eastAsia="宋体" w:cs="宋体"/>
                <w:color w:val="auto"/>
                <w:kern w:val="0"/>
                <w:sz w:val="24"/>
                <w:szCs w:val="24"/>
                <w:highlight w:val="none"/>
              </w:rPr>
            </w:pPr>
          </w:p>
        </w:tc>
      </w:tr>
      <w:tr w14:paraId="19D7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47C5641E">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059EF680">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施工管理</w:t>
            </w:r>
          </w:p>
        </w:tc>
        <w:tc>
          <w:tcPr>
            <w:tcW w:w="1248" w:type="dxa"/>
            <w:noWrap w:val="0"/>
            <w:vAlign w:val="top"/>
          </w:tcPr>
          <w:p w14:paraId="4C186AA4">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08F2C2DC">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24C3EC14">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0401F204">
            <w:pPr>
              <w:spacing w:line="420" w:lineRule="atLeast"/>
              <w:rPr>
                <w:rFonts w:hint="eastAsia" w:ascii="宋体" w:hAnsi="宋体" w:eastAsia="宋体" w:cs="宋体"/>
                <w:color w:val="auto"/>
                <w:kern w:val="0"/>
                <w:sz w:val="24"/>
                <w:szCs w:val="24"/>
                <w:highlight w:val="none"/>
              </w:rPr>
            </w:pPr>
          </w:p>
        </w:tc>
      </w:tr>
      <w:tr w14:paraId="7869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11A81B18">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00C6B03A">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安全管理</w:t>
            </w:r>
          </w:p>
        </w:tc>
        <w:tc>
          <w:tcPr>
            <w:tcW w:w="1248" w:type="dxa"/>
            <w:noWrap w:val="0"/>
            <w:vAlign w:val="top"/>
          </w:tcPr>
          <w:p w14:paraId="7C806FF9">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4B830793">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14E37F1F">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19D1AAA4">
            <w:pPr>
              <w:spacing w:line="420" w:lineRule="atLeast"/>
              <w:rPr>
                <w:rFonts w:hint="eastAsia" w:ascii="宋体" w:hAnsi="宋体" w:eastAsia="宋体" w:cs="宋体"/>
                <w:color w:val="auto"/>
                <w:kern w:val="0"/>
                <w:sz w:val="24"/>
                <w:szCs w:val="24"/>
                <w:highlight w:val="none"/>
              </w:rPr>
            </w:pPr>
          </w:p>
        </w:tc>
      </w:tr>
      <w:tr w14:paraId="0C95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7A01EFC2">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058C29F2">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计划管理</w:t>
            </w:r>
          </w:p>
        </w:tc>
        <w:tc>
          <w:tcPr>
            <w:tcW w:w="1248" w:type="dxa"/>
            <w:noWrap w:val="0"/>
            <w:vAlign w:val="top"/>
          </w:tcPr>
          <w:p w14:paraId="61F7B8DD">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55D09852">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04D68FED">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2E555F3D">
            <w:pPr>
              <w:spacing w:line="420" w:lineRule="atLeast"/>
              <w:rPr>
                <w:rFonts w:hint="eastAsia" w:ascii="宋体" w:hAnsi="宋体" w:eastAsia="宋体" w:cs="宋体"/>
                <w:color w:val="auto"/>
                <w:kern w:val="0"/>
                <w:sz w:val="24"/>
                <w:szCs w:val="24"/>
                <w:highlight w:val="none"/>
              </w:rPr>
            </w:pPr>
          </w:p>
        </w:tc>
      </w:tr>
      <w:tr w14:paraId="0719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64535797">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65226970">
            <w:pPr>
              <w:spacing w:line="42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材料管理</w:t>
            </w:r>
          </w:p>
        </w:tc>
        <w:tc>
          <w:tcPr>
            <w:tcW w:w="1248" w:type="dxa"/>
            <w:noWrap w:val="0"/>
            <w:vAlign w:val="top"/>
          </w:tcPr>
          <w:p w14:paraId="50AB8B8B">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14A539A5">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74AD1391">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6095D867">
            <w:pPr>
              <w:spacing w:line="420" w:lineRule="atLeast"/>
              <w:rPr>
                <w:rFonts w:hint="eastAsia" w:ascii="宋体" w:hAnsi="宋体" w:eastAsia="宋体" w:cs="宋体"/>
                <w:color w:val="auto"/>
                <w:kern w:val="0"/>
                <w:sz w:val="24"/>
                <w:szCs w:val="24"/>
                <w:highlight w:val="none"/>
              </w:rPr>
            </w:pPr>
          </w:p>
        </w:tc>
      </w:tr>
      <w:tr w14:paraId="11DF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04A76ADD">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36A13924">
            <w:pPr>
              <w:spacing w:line="420" w:lineRule="atLeast"/>
              <w:rPr>
                <w:rFonts w:hint="eastAsia" w:ascii="宋体" w:hAnsi="宋体" w:eastAsia="宋体" w:cs="宋体"/>
                <w:color w:val="auto"/>
                <w:kern w:val="0"/>
                <w:sz w:val="24"/>
                <w:szCs w:val="24"/>
                <w:highlight w:val="none"/>
              </w:rPr>
            </w:pPr>
          </w:p>
        </w:tc>
        <w:tc>
          <w:tcPr>
            <w:tcW w:w="1248" w:type="dxa"/>
            <w:noWrap w:val="0"/>
            <w:vAlign w:val="top"/>
          </w:tcPr>
          <w:p w14:paraId="6F300D5B">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6B7F2FBC">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3AC47DD6">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26C7AC9C">
            <w:pPr>
              <w:spacing w:line="420" w:lineRule="atLeast"/>
              <w:rPr>
                <w:rFonts w:hint="eastAsia" w:ascii="宋体" w:hAnsi="宋体" w:eastAsia="宋体" w:cs="宋体"/>
                <w:color w:val="auto"/>
                <w:kern w:val="0"/>
                <w:sz w:val="24"/>
                <w:szCs w:val="24"/>
                <w:highlight w:val="none"/>
              </w:rPr>
            </w:pPr>
          </w:p>
        </w:tc>
      </w:tr>
      <w:tr w14:paraId="203C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5" w:type="dxa"/>
            <w:vMerge w:val="continue"/>
            <w:noWrap w:val="0"/>
            <w:vAlign w:val="top"/>
          </w:tcPr>
          <w:p w14:paraId="37639C3F">
            <w:pPr>
              <w:spacing w:line="420" w:lineRule="atLeast"/>
              <w:rPr>
                <w:rFonts w:hint="eastAsia" w:ascii="宋体" w:hAnsi="宋体" w:eastAsia="宋体" w:cs="宋体"/>
                <w:color w:val="auto"/>
                <w:kern w:val="0"/>
                <w:sz w:val="24"/>
                <w:szCs w:val="24"/>
                <w:highlight w:val="none"/>
              </w:rPr>
            </w:pPr>
          </w:p>
        </w:tc>
        <w:tc>
          <w:tcPr>
            <w:tcW w:w="1495" w:type="dxa"/>
            <w:noWrap w:val="0"/>
            <w:vAlign w:val="top"/>
          </w:tcPr>
          <w:p w14:paraId="5F76FC7D">
            <w:pPr>
              <w:spacing w:line="420" w:lineRule="atLeast"/>
              <w:rPr>
                <w:rFonts w:hint="eastAsia" w:ascii="宋体" w:hAnsi="宋体" w:eastAsia="宋体" w:cs="宋体"/>
                <w:color w:val="auto"/>
                <w:kern w:val="0"/>
                <w:sz w:val="24"/>
                <w:szCs w:val="24"/>
                <w:highlight w:val="none"/>
              </w:rPr>
            </w:pPr>
          </w:p>
        </w:tc>
        <w:tc>
          <w:tcPr>
            <w:tcW w:w="1248" w:type="dxa"/>
            <w:noWrap w:val="0"/>
            <w:vAlign w:val="top"/>
          </w:tcPr>
          <w:p w14:paraId="5E0A5818">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32AFA6F7">
            <w:pPr>
              <w:spacing w:line="420" w:lineRule="atLeast"/>
              <w:rPr>
                <w:rFonts w:hint="eastAsia" w:ascii="宋体" w:hAnsi="宋体" w:eastAsia="宋体" w:cs="宋体"/>
                <w:color w:val="auto"/>
                <w:kern w:val="0"/>
                <w:sz w:val="24"/>
                <w:szCs w:val="24"/>
                <w:highlight w:val="none"/>
              </w:rPr>
            </w:pPr>
          </w:p>
        </w:tc>
        <w:tc>
          <w:tcPr>
            <w:tcW w:w="800" w:type="dxa"/>
            <w:noWrap w:val="0"/>
            <w:vAlign w:val="top"/>
          </w:tcPr>
          <w:p w14:paraId="3A72A9A2">
            <w:pPr>
              <w:spacing w:line="420" w:lineRule="atLeast"/>
              <w:rPr>
                <w:rFonts w:hint="eastAsia" w:ascii="宋体" w:hAnsi="宋体" w:eastAsia="宋体" w:cs="宋体"/>
                <w:color w:val="auto"/>
                <w:kern w:val="0"/>
                <w:sz w:val="24"/>
                <w:szCs w:val="24"/>
                <w:highlight w:val="none"/>
              </w:rPr>
            </w:pPr>
          </w:p>
        </w:tc>
        <w:tc>
          <w:tcPr>
            <w:tcW w:w="3700" w:type="dxa"/>
            <w:noWrap w:val="0"/>
            <w:vAlign w:val="top"/>
          </w:tcPr>
          <w:p w14:paraId="1BB4C919">
            <w:pPr>
              <w:spacing w:line="420" w:lineRule="atLeast"/>
              <w:jc w:val="center"/>
              <w:rPr>
                <w:rFonts w:hint="eastAsia" w:ascii="宋体" w:hAnsi="宋体" w:eastAsia="宋体" w:cs="宋体"/>
                <w:color w:val="auto"/>
                <w:kern w:val="0"/>
                <w:sz w:val="24"/>
                <w:szCs w:val="24"/>
                <w:highlight w:val="none"/>
              </w:rPr>
            </w:pPr>
          </w:p>
        </w:tc>
      </w:tr>
    </w:tbl>
    <w:p w14:paraId="5E9CEB90">
      <w:pPr>
        <w:spacing w:line="420" w:lineRule="atLeast"/>
        <w:rPr>
          <w:rFonts w:hint="eastAsia" w:ascii="宋体" w:hAnsi="宋体" w:eastAsia="宋体" w:cs="宋体"/>
          <w:color w:val="auto"/>
          <w:sz w:val="24"/>
          <w:szCs w:val="24"/>
          <w:highlight w:val="none"/>
        </w:rPr>
      </w:pPr>
    </w:p>
    <w:p w14:paraId="6B560E9B">
      <w:pPr>
        <w:pStyle w:val="7"/>
        <w:rPr>
          <w:rFonts w:hint="eastAsia" w:ascii="宋体" w:hAnsi="宋体" w:cs="宋体"/>
          <w:b/>
          <w:sz w:val="30"/>
          <w:szCs w:val="30"/>
          <w:highlight w:val="none"/>
        </w:rPr>
      </w:pPr>
    </w:p>
    <w:p w14:paraId="377C10E6">
      <w:pPr>
        <w:pStyle w:val="7"/>
        <w:rPr>
          <w:rFonts w:hint="eastAsia" w:ascii="宋体" w:hAnsi="宋体" w:cs="宋体"/>
          <w:b/>
          <w:sz w:val="30"/>
          <w:szCs w:val="30"/>
          <w:highlight w:val="none"/>
        </w:rPr>
      </w:pPr>
    </w:p>
    <w:p w14:paraId="21053634">
      <w:pPr>
        <w:pStyle w:val="47"/>
        <w:jc w:val="both"/>
        <w:rPr>
          <w:rFonts w:hint="eastAsia" w:ascii="宋体" w:hAnsi="宋体" w:cs="宋体"/>
          <w:b/>
          <w:sz w:val="28"/>
          <w:szCs w:val="28"/>
          <w:highlight w:val="none"/>
        </w:rPr>
      </w:pPr>
      <w:r>
        <w:rPr>
          <w:rFonts w:hint="eastAsia" w:ascii="宋体" w:hAnsi="宋体" w:eastAsia="宋体" w:cs="宋体"/>
          <w:b/>
          <w:bCs w:val="0"/>
          <w:kern w:val="2"/>
          <w:sz w:val="21"/>
          <w:szCs w:val="21"/>
          <w:highlight w:val="none"/>
          <w:lang w:val="en-US" w:eastAsia="zh-CN" w:bidi="ar-SA"/>
        </w:rPr>
        <w:t>六、项目负责人简历表</w:t>
      </w:r>
    </w:p>
    <w:p w14:paraId="09507D40">
      <w:pPr>
        <w:pStyle w:val="47"/>
        <w:jc w:val="center"/>
        <w:rPr>
          <w:rFonts w:hint="eastAsia" w:ascii="宋体" w:hAnsi="宋体" w:cs="宋体"/>
          <w:b/>
          <w:sz w:val="28"/>
          <w:szCs w:val="28"/>
          <w:highlight w:val="none"/>
        </w:rPr>
      </w:pPr>
      <w:r>
        <w:rPr>
          <w:rFonts w:hint="eastAsia" w:ascii="宋体" w:hAnsi="宋体" w:cs="宋体"/>
          <w:b/>
          <w:sz w:val="28"/>
          <w:szCs w:val="28"/>
          <w:highlight w:val="none"/>
        </w:rPr>
        <w:t>项目负责人简历表</w:t>
      </w:r>
    </w:p>
    <w:p w14:paraId="515FFDB9">
      <w:pPr>
        <w:pStyle w:val="69"/>
        <w:spacing w:line="400" w:lineRule="exact"/>
        <w:ind w:firstLine="420" w:firstLineChars="200"/>
        <w:rPr>
          <w:rFonts w:hint="eastAsia" w:ascii="宋体" w:hAnsi="宋体" w:cs="宋体"/>
          <w:szCs w:val="21"/>
          <w:highlight w:val="none"/>
        </w:rPr>
      </w:pPr>
    </w:p>
    <w:tbl>
      <w:tblPr>
        <w:tblStyle w:val="22"/>
        <w:tblW w:w="8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6"/>
        <w:gridCol w:w="1273"/>
        <w:gridCol w:w="147"/>
        <w:gridCol w:w="724"/>
        <w:gridCol w:w="250"/>
        <w:gridCol w:w="531"/>
        <w:gridCol w:w="567"/>
        <w:gridCol w:w="769"/>
        <w:gridCol w:w="710"/>
        <w:gridCol w:w="710"/>
        <w:gridCol w:w="1425"/>
      </w:tblGrid>
      <w:tr w14:paraId="1D3D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6" w:type="dxa"/>
            <w:noWrap w:val="0"/>
            <w:vAlign w:val="center"/>
          </w:tcPr>
          <w:p w14:paraId="43C44D5D">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姓  名</w:t>
            </w:r>
          </w:p>
        </w:tc>
        <w:tc>
          <w:tcPr>
            <w:tcW w:w="1273" w:type="dxa"/>
            <w:noWrap w:val="0"/>
            <w:vAlign w:val="center"/>
          </w:tcPr>
          <w:p w14:paraId="6FAB9BCA">
            <w:pPr>
              <w:pStyle w:val="69"/>
              <w:spacing w:line="440" w:lineRule="exact"/>
              <w:jc w:val="center"/>
              <w:rPr>
                <w:rFonts w:hint="eastAsia" w:ascii="宋体" w:hAnsi="宋体" w:cs="宋体"/>
                <w:szCs w:val="21"/>
                <w:highlight w:val="none"/>
              </w:rPr>
            </w:pPr>
          </w:p>
        </w:tc>
        <w:tc>
          <w:tcPr>
            <w:tcW w:w="871" w:type="dxa"/>
            <w:gridSpan w:val="2"/>
            <w:noWrap w:val="0"/>
            <w:vAlign w:val="center"/>
          </w:tcPr>
          <w:p w14:paraId="12FA7CF2">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年 龄</w:t>
            </w:r>
          </w:p>
        </w:tc>
        <w:tc>
          <w:tcPr>
            <w:tcW w:w="1348" w:type="dxa"/>
            <w:gridSpan w:val="3"/>
            <w:noWrap w:val="0"/>
            <w:vAlign w:val="center"/>
          </w:tcPr>
          <w:p w14:paraId="31035D92">
            <w:pPr>
              <w:pStyle w:val="69"/>
              <w:spacing w:line="440" w:lineRule="exact"/>
              <w:jc w:val="center"/>
              <w:rPr>
                <w:rFonts w:hint="eastAsia" w:ascii="宋体" w:hAnsi="宋体" w:cs="宋体"/>
                <w:szCs w:val="21"/>
                <w:highlight w:val="none"/>
              </w:rPr>
            </w:pPr>
          </w:p>
        </w:tc>
        <w:tc>
          <w:tcPr>
            <w:tcW w:w="1479" w:type="dxa"/>
            <w:gridSpan w:val="2"/>
            <w:noWrap w:val="0"/>
            <w:vAlign w:val="center"/>
          </w:tcPr>
          <w:p w14:paraId="0F84A830">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身份证号码</w:t>
            </w:r>
          </w:p>
        </w:tc>
        <w:tc>
          <w:tcPr>
            <w:tcW w:w="2135" w:type="dxa"/>
            <w:gridSpan w:val="2"/>
            <w:noWrap w:val="0"/>
            <w:vAlign w:val="center"/>
          </w:tcPr>
          <w:p w14:paraId="40D36046">
            <w:pPr>
              <w:pStyle w:val="69"/>
              <w:spacing w:line="440" w:lineRule="exact"/>
              <w:rPr>
                <w:rFonts w:hint="eastAsia" w:ascii="宋体" w:hAnsi="宋体" w:cs="宋体"/>
                <w:szCs w:val="21"/>
                <w:highlight w:val="none"/>
              </w:rPr>
            </w:pPr>
          </w:p>
        </w:tc>
      </w:tr>
      <w:tr w14:paraId="1436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6" w:type="dxa"/>
            <w:noWrap w:val="0"/>
            <w:vAlign w:val="center"/>
          </w:tcPr>
          <w:p w14:paraId="4C551454">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职  称</w:t>
            </w:r>
          </w:p>
        </w:tc>
        <w:tc>
          <w:tcPr>
            <w:tcW w:w="1273" w:type="dxa"/>
            <w:noWrap w:val="0"/>
            <w:vAlign w:val="center"/>
          </w:tcPr>
          <w:p w14:paraId="771B73F5">
            <w:pPr>
              <w:pStyle w:val="69"/>
              <w:spacing w:line="440" w:lineRule="exact"/>
              <w:jc w:val="center"/>
              <w:rPr>
                <w:rFonts w:hint="eastAsia" w:ascii="宋体" w:hAnsi="宋体" w:cs="宋体"/>
                <w:szCs w:val="21"/>
                <w:highlight w:val="none"/>
              </w:rPr>
            </w:pPr>
          </w:p>
        </w:tc>
        <w:tc>
          <w:tcPr>
            <w:tcW w:w="871" w:type="dxa"/>
            <w:gridSpan w:val="2"/>
            <w:noWrap w:val="0"/>
            <w:vAlign w:val="center"/>
          </w:tcPr>
          <w:p w14:paraId="6F5A4B54">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职 务</w:t>
            </w:r>
          </w:p>
        </w:tc>
        <w:tc>
          <w:tcPr>
            <w:tcW w:w="1348" w:type="dxa"/>
            <w:gridSpan w:val="3"/>
            <w:noWrap w:val="0"/>
            <w:vAlign w:val="center"/>
          </w:tcPr>
          <w:p w14:paraId="1EF6879D">
            <w:pPr>
              <w:pStyle w:val="69"/>
              <w:spacing w:line="440" w:lineRule="exact"/>
              <w:jc w:val="center"/>
              <w:rPr>
                <w:rFonts w:hint="eastAsia" w:ascii="宋体" w:hAnsi="宋体" w:cs="宋体"/>
                <w:szCs w:val="21"/>
                <w:highlight w:val="none"/>
              </w:rPr>
            </w:pPr>
          </w:p>
        </w:tc>
        <w:tc>
          <w:tcPr>
            <w:tcW w:w="1479" w:type="dxa"/>
            <w:gridSpan w:val="2"/>
            <w:noWrap w:val="0"/>
            <w:vAlign w:val="center"/>
          </w:tcPr>
          <w:p w14:paraId="66A2910C">
            <w:pPr>
              <w:pStyle w:val="69"/>
              <w:spacing w:line="440" w:lineRule="exact"/>
              <w:jc w:val="center"/>
              <w:rPr>
                <w:rFonts w:hint="eastAsia" w:ascii="宋体" w:hAnsi="宋体" w:cs="宋体"/>
                <w:szCs w:val="21"/>
                <w:highlight w:val="none"/>
              </w:rPr>
            </w:pPr>
          </w:p>
        </w:tc>
        <w:tc>
          <w:tcPr>
            <w:tcW w:w="2135" w:type="dxa"/>
            <w:gridSpan w:val="2"/>
            <w:noWrap w:val="0"/>
            <w:vAlign w:val="center"/>
          </w:tcPr>
          <w:p w14:paraId="50D81E41">
            <w:pPr>
              <w:pStyle w:val="69"/>
              <w:spacing w:line="440" w:lineRule="exact"/>
              <w:rPr>
                <w:rFonts w:hint="eastAsia" w:ascii="宋体" w:hAnsi="宋体" w:cs="宋体"/>
                <w:szCs w:val="21"/>
                <w:highlight w:val="none"/>
              </w:rPr>
            </w:pPr>
          </w:p>
        </w:tc>
      </w:tr>
      <w:tr w14:paraId="6AC7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6" w:type="dxa"/>
            <w:noWrap w:val="0"/>
            <w:vAlign w:val="center"/>
          </w:tcPr>
          <w:p w14:paraId="739DA239">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建造师专业等级</w:t>
            </w:r>
          </w:p>
        </w:tc>
        <w:tc>
          <w:tcPr>
            <w:tcW w:w="7106" w:type="dxa"/>
            <w:gridSpan w:val="10"/>
            <w:noWrap w:val="0"/>
            <w:vAlign w:val="center"/>
          </w:tcPr>
          <w:p w14:paraId="029A2D02">
            <w:pPr>
              <w:pStyle w:val="69"/>
              <w:spacing w:line="440" w:lineRule="exact"/>
              <w:jc w:val="center"/>
              <w:rPr>
                <w:rFonts w:hint="eastAsia" w:ascii="宋体" w:hAnsi="宋体" w:cs="宋体"/>
                <w:szCs w:val="21"/>
                <w:highlight w:val="none"/>
              </w:rPr>
            </w:pPr>
          </w:p>
        </w:tc>
      </w:tr>
      <w:tr w14:paraId="588B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6" w:type="dxa"/>
            <w:noWrap w:val="0"/>
            <w:vAlign w:val="center"/>
          </w:tcPr>
          <w:p w14:paraId="11390CDC">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学历</w:t>
            </w:r>
          </w:p>
        </w:tc>
        <w:tc>
          <w:tcPr>
            <w:tcW w:w="2394" w:type="dxa"/>
            <w:gridSpan w:val="4"/>
            <w:noWrap w:val="0"/>
            <w:vAlign w:val="center"/>
          </w:tcPr>
          <w:p w14:paraId="66A7BA9D">
            <w:pPr>
              <w:pStyle w:val="69"/>
              <w:spacing w:line="440" w:lineRule="exact"/>
              <w:jc w:val="center"/>
              <w:rPr>
                <w:rFonts w:hint="eastAsia" w:ascii="宋体" w:hAnsi="宋体" w:cs="宋体"/>
                <w:szCs w:val="21"/>
                <w:highlight w:val="none"/>
              </w:rPr>
            </w:pPr>
          </w:p>
        </w:tc>
        <w:tc>
          <w:tcPr>
            <w:tcW w:w="1867" w:type="dxa"/>
            <w:gridSpan w:val="3"/>
            <w:noWrap w:val="0"/>
            <w:vAlign w:val="center"/>
          </w:tcPr>
          <w:p w14:paraId="4B813C89">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所学专业</w:t>
            </w:r>
          </w:p>
        </w:tc>
        <w:tc>
          <w:tcPr>
            <w:tcW w:w="2845" w:type="dxa"/>
            <w:gridSpan w:val="3"/>
            <w:noWrap w:val="0"/>
            <w:vAlign w:val="center"/>
          </w:tcPr>
          <w:p w14:paraId="6E066B19">
            <w:pPr>
              <w:pStyle w:val="69"/>
              <w:spacing w:line="440" w:lineRule="exact"/>
              <w:rPr>
                <w:rFonts w:hint="eastAsia" w:ascii="宋体" w:hAnsi="宋体" w:cs="宋体"/>
                <w:szCs w:val="21"/>
                <w:highlight w:val="none"/>
              </w:rPr>
            </w:pPr>
          </w:p>
        </w:tc>
      </w:tr>
      <w:tr w14:paraId="16D29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6" w:type="dxa"/>
            <w:noWrap w:val="0"/>
            <w:vAlign w:val="center"/>
          </w:tcPr>
          <w:p w14:paraId="4D319BEE">
            <w:pPr>
              <w:pStyle w:val="69"/>
              <w:spacing w:line="240" w:lineRule="auto"/>
              <w:jc w:val="center"/>
              <w:rPr>
                <w:rFonts w:hint="eastAsia" w:ascii="宋体" w:hAnsi="宋体" w:cs="宋体"/>
                <w:szCs w:val="21"/>
                <w:highlight w:val="none"/>
              </w:rPr>
            </w:pPr>
            <w:r>
              <w:rPr>
                <w:rFonts w:hint="eastAsia" w:ascii="宋体" w:hAnsi="宋体" w:cs="宋体"/>
                <w:szCs w:val="21"/>
                <w:highlight w:val="none"/>
              </w:rPr>
              <w:t>参加工作年限</w:t>
            </w:r>
          </w:p>
        </w:tc>
        <w:tc>
          <w:tcPr>
            <w:tcW w:w="2394" w:type="dxa"/>
            <w:gridSpan w:val="4"/>
            <w:noWrap w:val="0"/>
            <w:vAlign w:val="center"/>
          </w:tcPr>
          <w:p w14:paraId="105CB352">
            <w:pPr>
              <w:pStyle w:val="69"/>
              <w:spacing w:line="240" w:lineRule="auto"/>
              <w:jc w:val="center"/>
              <w:rPr>
                <w:rFonts w:hint="eastAsia" w:ascii="宋体" w:hAnsi="宋体" w:cs="宋体"/>
                <w:szCs w:val="21"/>
                <w:highlight w:val="none"/>
              </w:rPr>
            </w:pPr>
          </w:p>
        </w:tc>
        <w:tc>
          <w:tcPr>
            <w:tcW w:w="1867" w:type="dxa"/>
            <w:gridSpan w:val="3"/>
            <w:noWrap w:val="0"/>
            <w:vAlign w:val="center"/>
          </w:tcPr>
          <w:p w14:paraId="192D4386">
            <w:pPr>
              <w:pStyle w:val="69"/>
              <w:spacing w:line="240" w:lineRule="auto"/>
              <w:jc w:val="center"/>
              <w:rPr>
                <w:rFonts w:hint="eastAsia" w:ascii="宋体" w:hAnsi="宋体" w:cs="宋体"/>
                <w:szCs w:val="21"/>
                <w:highlight w:val="none"/>
              </w:rPr>
            </w:pPr>
            <w:r>
              <w:rPr>
                <w:rFonts w:hint="eastAsia" w:ascii="宋体" w:hAnsi="宋体" w:cs="宋体"/>
                <w:szCs w:val="21"/>
                <w:highlight w:val="none"/>
              </w:rPr>
              <w:t>从事项目负责人年限</w:t>
            </w:r>
          </w:p>
        </w:tc>
        <w:tc>
          <w:tcPr>
            <w:tcW w:w="2845" w:type="dxa"/>
            <w:gridSpan w:val="3"/>
            <w:noWrap w:val="0"/>
            <w:vAlign w:val="center"/>
          </w:tcPr>
          <w:p w14:paraId="6EC1AC0A">
            <w:pPr>
              <w:pStyle w:val="69"/>
              <w:spacing w:line="440" w:lineRule="exact"/>
              <w:rPr>
                <w:rFonts w:hint="eastAsia" w:ascii="宋体" w:hAnsi="宋体" w:cs="宋体"/>
                <w:szCs w:val="21"/>
                <w:highlight w:val="none"/>
              </w:rPr>
            </w:pPr>
          </w:p>
        </w:tc>
      </w:tr>
      <w:tr w14:paraId="2778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12" w:type="dxa"/>
            <w:gridSpan w:val="11"/>
            <w:noWrap w:val="0"/>
            <w:vAlign w:val="center"/>
          </w:tcPr>
          <w:p w14:paraId="5BD7917B">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近年来完成的类似项目情况</w:t>
            </w:r>
          </w:p>
        </w:tc>
      </w:tr>
      <w:tr w14:paraId="67240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1F80F779">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项目名称</w:t>
            </w:r>
          </w:p>
        </w:tc>
        <w:tc>
          <w:tcPr>
            <w:tcW w:w="1420" w:type="dxa"/>
            <w:gridSpan w:val="2"/>
            <w:noWrap w:val="0"/>
            <w:vAlign w:val="top"/>
          </w:tcPr>
          <w:p w14:paraId="3806DBBC">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建设规模</w:t>
            </w:r>
          </w:p>
        </w:tc>
        <w:tc>
          <w:tcPr>
            <w:tcW w:w="1505" w:type="dxa"/>
            <w:gridSpan w:val="3"/>
            <w:noWrap w:val="0"/>
            <w:vAlign w:val="top"/>
          </w:tcPr>
          <w:p w14:paraId="1AB3F5AC">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开、竣工日期</w:t>
            </w:r>
          </w:p>
        </w:tc>
        <w:tc>
          <w:tcPr>
            <w:tcW w:w="1336" w:type="dxa"/>
            <w:gridSpan w:val="2"/>
            <w:noWrap w:val="0"/>
            <w:vAlign w:val="top"/>
          </w:tcPr>
          <w:p w14:paraId="309F3328">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项目描述</w:t>
            </w:r>
          </w:p>
        </w:tc>
        <w:tc>
          <w:tcPr>
            <w:tcW w:w="1420" w:type="dxa"/>
            <w:gridSpan w:val="2"/>
            <w:noWrap w:val="0"/>
            <w:vAlign w:val="top"/>
          </w:tcPr>
          <w:p w14:paraId="11244173">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合同价</w:t>
            </w:r>
          </w:p>
        </w:tc>
        <w:tc>
          <w:tcPr>
            <w:tcW w:w="1425" w:type="dxa"/>
            <w:noWrap w:val="0"/>
            <w:vAlign w:val="top"/>
          </w:tcPr>
          <w:p w14:paraId="2419AF6A">
            <w:pPr>
              <w:pStyle w:val="69"/>
              <w:spacing w:line="440" w:lineRule="exact"/>
              <w:jc w:val="center"/>
              <w:rPr>
                <w:rFonts w:hint="eastAsia" w:ascii="宋体" w:hAnsi="宋体" w:cs="宋体"/>
                <w:szCs w:val="21"/>
                <w:highlight w:val="none"/>
              </w:rPr>
            </w:pPr>
            <w:r>
              <w:rPr>
                <w:rFonts w:hint="eastAsia" w:ascii="宋体" w:hAnsi="宋体" w:cs="宋体"/>
                <w:szCs w:val="21"/>
                <w:highlight w:val="none"/>
              </w:rPr>
              <w:t>其他说明</w:t>
            </w:r>
          </w:p>
        </w:tc>
      </w:tr>
      <w:tr w14:paraId="4ACA9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34D773B9">
            <w:pPr>
              <w:pStyle w:val="69"/>
              <w:spacing w:line="440" w:lineRule="exact"/>
              <w:jc w:val="center"/>
              <w:rPr>
                <w:rFonts w:hint="eastAsia" w:ascii="宋体" w:hAnsi="宋体" w:cs="宋体"/>
                <w:szCs w:val="21"/>
                <w:highlight w:val="none"/>
              </w:rPr>
            </w:pPr>
          </w:p>
        </w:tc>
        <w:tc>
          <w:tcPr>
            <w:tcW w:w="1420" w:type="dxa"/>
            <w:gridSpan w:val="2"/>
            <w:noWrap w:val="0"/>
            <w:vAlign w:val="top"/>
          </w:tcPr>
          <w:p w14:paraId="11922298">
            <w:pPr>
              <w:pStyle w:val="69"/>
              <w:spacing w:line="440" w:lineRule="exact"/>
              <w:jc w:val="center"/>
              <w:rPr>
                <w:rFonts w:hint="eastAsia" w:ascii="宋体" w:hAnsi="宋体" w:cs="宋体"/>
                <w:szCs w:val="21"/>
                <w:highlight w:val="none"/>
              </w:rPr>
            </w:pPr>
          </w:p>
        </w:tc>
        <w:tc>
          <w:tcPr>
            <w:tcW w:w="1505" w:type="dxa"/>
            <w:gridSpan w:val="3"/>
            <w:noWrap w:val="0"/>
            <w:vAlign w:val="top"/>
          </w:tcPr>
          <w:p w14:paraId="6B29D702">
            <w:pPr>
              <w:pStyle w:val="69"/>
              <w:spacing w:line="440" w:lineRule="exact"/>
              <w:jc w:val="center"/>
              <w:rPr>
                <w:rFonts w:hint="eastAsia" w:ascii="宋体" w:hAnsi="宋体" w:cs="宋体"/>
                <w:szCs w:val="21"/>
                <w:highlight w:val="none"/>
              </w:rPr>
            </w:pPr>
          </w:p>
        </w:tc>
        <w:tc>
          <w:tcPr>
            <w:tcW w:w="1336" w:type="dxa"/>
            <w:gridSpan w:val="2"/>
            <w:noWrap w:val="0"/>
            <w:vAlign w:val="top"/>
          </w:tcPr>
          <w:p w14:paraId="5F3F1A4C">
            <w:pPr>
              <w:pStyle w:val="69"/>
              <w:spacing w:line="440" w:lineRule="exact"/>
              <w:jc w:val="center"/>
              <w:rPr>
                <w:rFonts w:hint="eastAsia" w:ascii="宋体" w:hAnsi="宋体" w:cs="宋体"/>
                <w:szCs w:val="21"/>
                <w:highlight w:val="none"/>
              </w:rPr>
            </w:pPr>
          </w:p>
        </w:tc>
        <w:tc>
          <w:tcPr>
            <w:tcW w:w="1420" w:type="dxa"/>
            <w:gridSpan w:val="2"/>
            <w:noWrap w:val="0"/>
            <w:vAlign w:val="top"/>
          </w:tcPr>
          <w:p w14:paraId="38362F89">
            <w:pPr>
              <w:pStyle w:val="69"/>
              <w:spacing w:line="440" w:lineRule="exact"/>
              <w:jc w:val="center"/>
              <w:rPr>
                <w:rFonts w:hint="eastAsia" w:ascii="宋体" w:hAnsi="宋体" w:cs="宋体"/>
                <w:szCs w:val="21"/>
                <w:highlight w:val="none"/>
              </w:rPr>
            </w:pPr>
          </w:p>
        </w:tc>
        <w:tc>
          <w:tcPr>
            <w:tcW w:w="1425" w:type="dxa"/>
            <w:noWrap w:val="0"/>
            <w:vAlign w:val="top"/>
          </w:tcPr>
          <w:p w14:paraId="40DB2D5F">
            <w:pPr>
              <w:pStyle w:val="69"/>
              <w:spacing w:line="440" w:lineRule="exact"/>
              <w:jc w:val="center"/>
              <w:rPr>
                <w:rFonts w:hint="eastAsia" w:ascii="宋体" w:hAnsi="宋体" w:cs="宋体"/>
                <w:szCs w:val="21"/>
                <w:highlight w:val="none"/>
              </w:rPr>
            </w:pPr>
          </w:p>
        </w:tc>
      </w:tr>
      <w:tr w14:paraId="7008D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02C2F0B8">
            <w:pPr>
              <w:pStyle w:val="69"/>
              <w:spacing w:line="440" w:lineRule="exact"/>
              <w:jc w:val="center"/>
              <w:rPr>
                <w:rFonts w:hint="eastAsia" w:ascii="宋体" w:hAnsi="宋体" w:cs="宋体"/>
                <w:szCs w:val="21"/>
                <w:highlight w:val="none"/>
              </w:rPr>
            </w:pPr>
          </w:p>
        </w:tc>
        <w:tc>
          <w:tcPr>
            <w:tcW w:w="1420" w:type="dxa"/>
            <w:gridSpan w:val="2"/>
            <w:noWrap w:val="0"/>
            <w:vAlign w:val="top"/>
          </w:tcPr>
          <w:p w14:paraId="42452E8A">
            <w:pPr>
              <w:pStyle w:val="69"/>
              <w:spacing w:line="440" w:lineRule="exact"/>
              <w:jc w:val="center"/>
              <w:rPr>
                <w:rFonts w:hint="eastAsia" w:ascii="宋体" w:hAnsi="宋体" w:cs="宋体"/>
                <w:szCs w:val="21"/>
                <w:highlight w:val="none"/>
              </w:rPr>
            </w:pPr>
          </w:p>
        </w:tc>
        <w:tc>
          <w:tcPr>
            <w:tcW w:w="1505" w:type="dxa"/>
            <w:gridSpan w:val="3"/>
            <w:noWrap w:val="0"/>
            <w:vAlign w:val="top"/>
          </w:tcPr>
          <w:p w14:paraId="378DEE53">
            <w:pPr>
              <w:pStyle w:val="69"/>
              <w:spacing w:line="440" w:lineRule="exact"/>
              <w:jc w:val="center"/>
              <w:rPr>
                <w:rFonts w:hint="eastAsia" w:ascii="宋体" w:hAnsi="宋体" w:cs="宋体"/>
                <w:szCs w:val="21"/>
                <w:highlight w:val="none"/>
              </w:rPr>
            </w:pPr>
          </w:p>
        </w:tc>
        <w:tc>
          <w:tcPr>
            <w:tcW w:w="1336" w:type="dxa"/>
            <w:gridSpan w:val="2"/>
            <w:noWrap w:val="0"/>
            <w:vAlign w:val="top"/>
          </w:tcPr>
          <w:p w14:paraId="48051D7F">
            <w:pPr>
              <w:pStyle w:val="69"/>
              <w:spacing w:line="440" w:lineRule="exact"/>
              <w:jc w:val="center"/>
              <w:rPr>
                <w:rFonts w:hint="eastAsia" w:ascii="宋体" w:hAnsi="宋体" w:cs="宋体"/>
                <w:szCs w:val="21"/>
                <w:highlight w:val="none"/>
              </w:rPr>
            </w:pPr>
          </w:p>
        </w:tc>
        <w:tc>
          <w:tcPr>
            <w:tcW w:w="1420" w:type="dxa"/>
            <w:gridSpan w:val="2"/>
            <w:noWrap w:val="0"/>
            <w:vAlign w:val="top"/>
          </w:tcPr>
          <w:p w14:paraId="2B2E795D">
            <w:pPr>
              <w:pStyle w:val="69"/>
              <w:spacing w:line="440" w:lineRule="exact"/>
              <w:jc w:val="center"/>
              <w:rPr>
                <w:rFonts w:hint="eastAsia" w:ascii="宋体" w:hAnsi="宋体" w:cs="宋体"/>
                <w:szCs w:val="21"/>
                <w:highlight w:val="none"/>
              </w:rPr>
            </w:pPr>
          </w:p>
        </w:tc>
        <w:tc>
          <w:tcPr>
            <w:tcW w:w="1425" w:type="dxa"/>
            <w:noWrap w:val="0"/>
            <w:vAlign w:val="top"/>
          </w:tcPr>
          <w:p w14:paraId="554F964E">
            <w:pPr>
              <w:pStyle w:val="69"/>
              <w:spacing w:line="440" w:lineRule="exact"/>
              <w:jc w:val="center"/>
              <w:rPr>
                <w:rFonts w:hint="eastAsia" w:ascii="宋体" w:hAnsi="宋体" w:cs="宋体"/>
                <w:szCs w:val="21"/>
                <w:highlight w:val="none"/>
              </w:rPr>
            </w:pPr>
          </w:p>
        </w:tc>
      </w:tr>
      <w:tr w14:paraId="74A26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20EEE28B">
            <w:pPr>
              <w:pStyle w:val="69"/>
              <w:spacing w:line="440" w:lineRule="exact"/>
              <w:jc w:val="center"/>
              <w:rPr>
                <w:rFonts w:hint="eastAsia" w:ascii="宋体" w:hAnsi="宋体" w:cs="宋体"/>
                <w:szCs w:val="21"/>
                <w:highlight w:val="none"/>
              </w:rPr>
            </w:pPr>
          </w:p>
        </w:tc>
        <w:tc>
          <w:tcPr>
            <w:tcW w:w="1420" w:type="dxa"/>
            <w:gridSpan w:val="2"/>
            <w:noWrap w:val="0"/>
            <w:vAlign w:val="top"/>
          </w:tcPr>
          <w:p w14:paraId="5ED8DDF4">
            <w:pPr>
              <w:pStyle w:val="69"/>
              <w:spacing w:line="440" w:lineRule="exact"/>
              <w:jc w:val="center"/>
              <w:rPr>
                <w:rFonts w:hint="eastAsia" w:ascii="宋体" w:hAnsi="宋体" w:cs="宋体"/>
                <w:szCs w:val="21"/>
                <w:highlight w:val="none"/>
              </w:rPr>
            </w:pPr>
          </w:p>
        </w:tc>
        <w:tc>
          <w:tcPr>
            <w:tcW w:w="1505" w:type="dxa"/>
            <w:gridSpan w:val="3"/>
            <w:noWrap w:val="0"/>
            <w:vAlign w:val="top"/>
          </w:tcPr>
          <w:p w14:paraId="253D24CC">
            <w:pPr>
              <w:pStyle w:val="69"/>
              <w:spacing w:line="440" w:lineRule="exact"/>
              <w:jc w:val="center"/>
              <w:rPr>
                <w:rFonts w:hint="eastAsia" w:ascii="宋体" w:hAnsi="宋体" w:cs="宋体"/>
                <w:szCs w:val="21"/>
                <w:highlight w:val="none"/>
              </w:rPr>
            </w:pPr>
          </w:p>
        </w:tc>
        <w:tc>
          <w:tcPr>
            <w:tcW w:w="1336" w:type="dxa"/>
            <w:gridSpan w:val="2"/>
            <w:noWrap w:val="0"/>
            <w:vAlign w:val="top"/>
          </w:tcPr>
          <w:p w14:paraId="5A335F61">
            <w:pPr>
              <w:pStyle w:val="69"/>
              <w:spacing w:line="440" w:lineRule="exact"/>
              <w:jc w:val="center"/>
              <w:rPr>
                <w:rFonts w:hint="eastAsia" w:ascii="宋体" w:hAnsi="宋体" w:cs="宋体"/>
                <w:szCs w:val="21"/>
                <w:highlight w:val="none"/>
              </w:rPr>
            </w:pPr>
          </w:p>
        </w:tc>
        <w:tc>
          <w:tcPr>
            <w:tcW w:w="1420" w:type="dxa"/>
            <w:gridSpan w:val="2"/>
            <w:noWrap w:val="0"/>
            <w:vAlign w:val="top"/>
          </w:tcPr>
          <w:p w14:paraId="614E8B79">
            <w:pPr>
              <w:pStyle w:val="69"/>
              <w:spacing w:line="440" w:lineRule="exact"/>
              <w:jc w:val="center"/>
              <w:rPr>
                <w:rFonts w:hint="eastAsia" w:ascii="宋体" w:hAnsi="宋体" w:cs="宋体"/>
                <w:szCs w:val="21"/>
                <w:highlight w:val="none"/>
              </w:rPr>
            </w:pPr>
          </w:p>
        </w:tc>
        <w:tc>
          <w:tcPr>
            <w:tcW w:w="1425" w:type="dxa"/>
            <w:noWrap w:val="0"/>
            <w:vAlign w:val="top"/>
          </w:tcPr>
          <w:p w14:paraId="00489FA0">
            <w:pPr>
              <w:pStyle w:val="69"/>
              <w:spacing w:line="440" w:lineRule="exact"/>
              <w:jc w:val="center"/>
              <w:rPr>
                <w:rFonts w:hint="eastAsia" w:ascii="宋体" w:hAnsi="宋体" w:cs="宋体"/>
                <w:szCs w:val="21"/>
                <w:highlight w:val="none"/>
              </w:rPr>
            </w:pPr>
          </w:p>
        </w:tc>
      </w:tr>
      <w:tr w14:paraId="7E0F3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30928872">
            <w:pPr>
              <w:pStyle w:val="69"/>
              <w:spacing w:line="440" w:lineRule="exact"/>
              <w:jc w:val="center"/>
              <w:rPr>
                <w:rFonts w:hint="eastAsia" w:ascii="宋体" w:hAnsi="宋体" w:cs="宋体"/>
                <w:szCs w:val="21"/>
                <w:highlight w:val="none"/>
              </w:rPr>
            </w:pPr>
          </w:p>
        </w:tc>
        <w:tc>
          <w:tcPr>
            <w:tcW w:w="1420" w:type="dxa"/>
            <w:gridSpan w:val="2"/>
            <w:noWrap w:val="0"/>
            <w:vAlign w:val="top"/>
          </w:tcPr>
          <w:p w14:paraId="7538FE1E">
            <w:pPr>
              <w:pStyle w:val="69"/>
              <w:spacing w:line="440" w:lineRule="exact"/>
              <w:jc w:val="center"/>
              <w:rPr>
                <w:rFonts w:hint="eastAsia" w:ascii="宋体" w:hAnsi="宋体" w:cs="宋体"/>
                <w:szCs w:val="21"/>
                <w:highlight w:val="none"/>
              </w:rPr>
            </w:pPr>
          </w:p>
        </w:tc>
        <w:tc>
          <w:tcPr>
            <w:tcW w:w="1505" w:type="dxa"/>
            <w:gridSpan w:val="3"/>
            <w:noWrap w:val="0"/>
            <w:vAlign w:val="top"/>
          </w:tcPr>
          <w:p w14:paraId="504B1D72">
            <w:pPr>
              <w:pStyle w:val="69"/>
              <w:spacing w:line="440" w:lineRule="exact"/>
              <w:jc w:val="center"/>
              <w:rPr>
                <w:rFonts w:hint="eastAsia" w:ascii="宋体" w:hAnsi="宋体" w:cs="宋体"/>
                <w:szCs w:val="21"/>
                <w:highlight w:val="none"/>
              </w:rPr>
            </w:pPr>
          </w:p>
        </w:tc>
        <w:tc>
          <w:tcPr>
            <w:tcW w:w="1336" w:type="dxa"/>
            <w:gridSpan w:val="2"/>
            <w:noWrap w:val="0"/>
            <w:vAlign w:val="top"/>
          </w:tcPr>
          <w:p w14:paraId="1FC12B10">
            <w:pPr>
              <w:pStyle w:val="69"/>
              <w:spacing w:line="440" w:lineRule="exact"/>
              <w:jc w:val="center"/>
              <w:rPr>
                <w:rFonts w:hint="eastAsia" w:ascii="宋体" w:hAnsi="宋体" w:cs="宋体"/>
                <w:szCs w:val="21"/>
                <w:highlight w:val="none"/>
              </w:rPr>
            </w:pPr>
          </w:p>
        </w:tc>
        <w:tc>
          <w:tcPr>
            <w:tcW w:w="1420" w:type="dxa"/>
            <w:gridSpan w:val="2"/>
            <w:noWrap w:val="0"/>
            <w:vAlign w:val="top"/>
          </w:tcPr>
          <w:p w14:paraId="623C99CA">
            <w:pPr>
              <w:pStyle w:val="69"/>
              <w:spacing w:line="440" w:lineRule="exact"/>
              <w:jc w:val="center"/>
              <w:rPr>
                <w:rFonts w:hint="eastAsia" w:ascii="宋体" w:hAnsi="宋体" w:cs="宋体"/>
                <w:szCs w:val="21"/>
                <w:highlight w:val="none"/>
              </w:rPr>
            </w:pPr>
          </w:p>
        </w:tc>
        <w:tc>
          <w:tcPr>
            <w:tcW w:w="1425" w:type="dxa"/>
            <w:noWrap w:val="0"/>
            <w:vAlign w:val="top"/>
          </w:tcPr>
          <w:p w14:paraId="74F83D01">
            <w:pPr>
              <w:pStyle w:val="69"/>
              <w:spacing w:line="440" w:lineRule="exact"/>
              <w:jc w:val="center"/>
              <w:rPr>
                <w:rFonts w:hint="eastAsia" w:ascii="宋体" w:hAnsi="宋体" w:cs="宋体"/>
                <w:szCs w:val="21"/>
                <w:highlight w:val="none"/>
              </w:rPr>
            </w:pPr>
          </w:p>
        </w:tc>
      </w:tr>
      <w:tr w14:paraId="42D17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11C924FC">
            <w:pPr>
              <w:pStyle w:val="69"/>
              <w:spacing w:line="440" w:lineRule="exact"/>
              <w:jc w:val="center"/>
              <w:rPr>
                <w:rFonts w:hint="eastAsia" w:ascii="宋体" w:hAnsi="宋体" w:cs="宋体"/>
                <w:szCs w:val="21"/>
                <w:highlight w:val="none"/>
              </w:rPr>
            </w:pPr>
          </w:p>
        </w:tc>
        <w:tc>
          <w:tcPr>
            <w:tcW w:w="1420" w:type="dxa"/>
            <w:gridSpan w:val="2"/>
            <w:noWrap w:val="0"/>
            <w:vAlign w:val="top"/>
          </w:tcPr>
          <w:p w14:paraId="7B466D99">
            <w:pPr>
              <w:pStyle w:val="69"/>
              <w:spacing w:line="440" w:lineRule="exact"/>
              <w:jc w:val="center"/>
              <w:rPr>
                <w:rFonts w:hint="eastAsia" w:ascii="宋体" w:hAnsi="宋体" w:cs="宋体"/>
                <w:szCs w:val="21"/>
                <w:highlight w:val="none"/>
              </w:rPr>
            </w:pPr>
          </w:p>
        </w:tc>
        <w:tc>
          <w:tcPr>
            <w:tcW w:w="1505" w:type="dxa"/>
            <w:gridSpan w:val="3"/>
            <w:noWrap w:val="0"/>
            <w:vAlign w:val="top"/>
          </w:tcPr>
          <w:p w14:paraId="0DEBAEB9">
            <w:pPr>
              <w:pStyle w:val="69"/>
              <w:spacing w:line="440" w:lineRule="exact"/>
              <w:jc w:val="center"/>
              <w:rPr>
                <w:rFonts w:hint="eastAsia" w:ascii="宋体" w:hAnsi="宋体" w:cs="宋体"/>
                <w:szCs w:val="21"/>
                <w:highlight w:val="none"/>
              </w:rPr>
            </w:pPr>
          </w:p>
        </w:tc>
        <w:tc>
          <w:tcPr>
            <w:tcW w:w="1336" w:type="dxa"/>
            <w:gridSpan w:val="2"/>
            <w:noWrap w:val="0"/>
            <w:vAlign w:val="top"/>
          </w:tcPr>
          <w:p w14:paraId="48B0EC37">
            <w:pPr>
              <w:pStyle w:val="69"/>
              <w:spacing w:line="440" w:lineRule="exact"/>
              <w:jc w:val="center"/>
              <w:rPr>
                <w:rFonts w:hint="eastAsia" w:ascii="宋体" w:hAnsi="宋体" w:cs="宋体"/>
                <w:szCs w:val="21"/>
                <w:highlight w:val="none"/>
              </w:rPr>
            </w:pPr>
          </w:p>
        </w:tc>
        <w:tc>
          <w:tcPr>
            <w:tcW w:w="1420" w:type="dxa"/>
            <w:gridSpan w:val="2"/>
            <w:noWrap w:val="0"/>
            <w:vAlign w:val="top"/>
          </w:tcPr>
          <w:p w14:paraId="5AE7C606">
            <w:pPr>
              <w:pStyle w:val="69"/>
              <w:spacing w:line="440" w:lineRule="exact"/>
              <w:jc w:val="center"/>
              <w:rPr>
                <w:rFonts w:hint="eastAsia" w:ascii="宋体" w:hAnsi="宋体" w:cs="宋体"/>
                <w:szCs w:val="21"/>
                <w:highlight w:val="none"/>
              </w:rPr>
            </w:pPr>
          </w:p>
        </w:tc>
        <w:tc>
          <w:tcPr>
            <w:tcW w:w="1425" w:type="dxa"/>
            <w:noWrap w:val="0"/>
            <w:vAlign w:val="top"/>
          </w:tcPr>
          <w:p w14:paraId="0B707CE1">
            <w:pPr>
              <w:pStyle w:val="69"/>
              <w:spacing w:line="440" w:lineRule="exact"/>
              <w:jc w:val="center"/>
              <w:rPr>
                <w:rFonts w:hint="eastAsia" w:ascii="宋体" w:hAnsi="宋体" w:cs="宋体"/>
                <w:szCs w:val="21"/>
                <w:highlight w:val="none"/>
              </w:rPr>
            </w:pPr>
          </w:p>
        </w:tc>
      </w:tr>
      <w:tr w14:paraId="636D3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467C7714">
            <w:pPr>
              <w:pStyle w:val="69"/>
              <w:spacing w:line="440" w:lineRule="exact"/>
              <w:jc w:val="center"/>
              <w:rPr>
                <w:rFonts w:hint="eastAsia" w:ascii="宋体" w:hAnsi="宋体" w:cs="宋体"/>
                <w:szCs w:val="21"/>
                <w:highlight w:val="none"/>
              </w:rPr>
            </w:pPr>
          </w:p>
        </w:tc>
        <w:tc>
          <w:tcPr>
            <w:tcW w:w="1420" w:type="dxa"/>
            <w:gridSpan w:val="2"/>
            <w:noWrap w:val="0"/>
            <w:vAlign w:val="top"/>
          </w:tcPr>
          <w:p w14:paraId="09656026">
            <w:pPr>
              <w:pStyle w:val="69"/>
              <w:spacing w:line="440" w:lineRule="exact"/>
              <w:jc w:val="center"/>
              <w:rPr>
                <w:rFonts w:hint="eastAsia" w:ascii="宋体" w:hAnsi="宋体" w:cs="宋体"/>
                <w:szCs w:val="21"/>
                <w:highlight w:val="none"/>
              </w:rPr>
            </w:pPr>
          </w:p>
        </w:tc>
        <w:tc>
          <w:tcPr>
            <w:tcW w:w="1505" w:type="dxa"/>
            <w:gridSpan w:val="3"/>
            <w:noWrap w:val="0"/>
            <w:vAlign w:val="top"/>
          </w:tcPr>
          <w:p w14:paraId="0EF378EF">
            <w:pPr>
              <w:pStyle w:val="69"/>
              <w:spacing w:line="440" w:lineRule="exact"/>
              <w:jc w:val="center"/>
              <w:rPr>
                <w:rFonts w:hint="eastAsia" w:ascii="宋体" w:hAnsi="宋体" w:cs="宋体"/>
                <w:szCs w:val="21"/>
                <w:highlight w:val="none"/>
              </w:rPr>
            </w:pPr>
          </w:p>
        </w:tc>
        <w:tc>
          <w:tcPr>
            <w:tcW w:w="1336" w:type="dxa"/>
            <w:gridSpan w:val="2"/>
            <w:noWrap w:val="0"/>
            <w:vAlign w:val="top"/>
          </w:tcPr>
          <w:p w14:paraId="41A033E0">
            <w:pPr>
              <w:pStyle w:val="69"/>
              <w:spacing w:line="440" w:lineRule="exact"/>
              <w:jc w:val="center"/>
              <w:rPr>
                <w:rFonts w:hint="eastAsia" w:ascii="宋体" w:hAnsi="宋体" w:cs="宋体"/>
                <w:szCs w:val="21"/>
                <w:highlight w:val="none"/>
              </w:rPr>
            </w:pPr>
          </w:p>
        </w:tc>
        <w:tc>
          <w:tcPr>
            <w:tcW w:w="1420" w:type="dxa"/>
            <w:gridSpan w:val="2"/>
            <w:noWrap w:val="0"/>
            <w:vAlign w:val="top"/>
          </w:tcPr>
          <w:p w14:paraId="1C9E854C">
            <w:pPr>
              <w:pStyle w:val="69"/>
              <w:spacing w:line="440" w:lineRule="exact"/>
              <w:jc w:val="center"/>
              <w:rPr>
                <w:rFonts w:hint="eastAsia" w:ascii="宋体" w:hAnsi="宋体" w:cs="宋体"/>
                <w:szCs w:val="21"/>
                <w:highlight w:val="none"/>
              </w:rPr>
            </w:pPr>
          </w:p>
        </w:tc>
        <w:tc>
          <w:tcPr>
            <w:tcW w:w="1425" w:type="dxa"/>
            <w:noWrap w:val="0"/>
            <w:vAlign w:val="top"/>
          </w:tcPr>
          <w:p w14:paraId="02E0F4B3">
            <w:pPr>
              <w:pStyle w:val="69"/>
              <w:spacing w:line="440" w:lineRule="exact"/>
              <w:jc w:val="center"/>
              <w:rPr>
                <w:rFonts w:hint="eastAsia" w:ascii="宋体" w:hAnsi="宋体" w:cs="宋体"/>
                <w:szCs w:val="21"/>
                <w:highlight w:val="none"/>
              </w:rPr>
            </w:pPr>
          </w:p>
        </w:tc>
      </w:tr>
      <w:tr w14:paraId="650A4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618A362B">
            <w:pPr>
              <w:pStyle w:val="69"/>
              <w:spacing w:line="440" w:lineRule="exact"/>
              <w:jc w:val="center"/>
              <w:rPr>
                <w:rFonts w:hint="eastAsia" w:ascii="宋体" w:hAnsi="宋体" w:cs="宋体"/>
                <w:szCs w:val="21"/>
                <w:highlight w:val="none"/>
              </w:rPr>
            </w:pPr>
          </w:p>
        </w:tc>
        <w:tc>
          <w:tcPr>
            <w:tcW w:w="1420" w:type="dxa"/>
            <w:gridSpan w:val="2"/>
            <w:noWrap w:val="0"/>
            <w:vAlign w:val="top"/>
          </w:tcPr>
          <w:p w14:paraId="3584B908">
            <w:pPr>
              <w:pStyle w:val="69"/>
              <w:spacing w:line="440" w:lineRule="exact"/>
              <w:jc w:val="center"/>
              <w:rPr>
                <w:rFonts w:hint="eastAsia" w:ascii="宋体" w:hAnsi="宋体" w:cs="宋体"/>
                <w:szCs w:val="21"/>
                <w:highlight w:val="none"/>
              </w:rPr>
            </w:pPr>
          </w:p>
        </w:tc>
        <w:tc>
          <w:tcPr>
            <w:tcW w:w="1505" w:type="dxa"/>
            <w:gridSpan w:val="3"/>
            <w:noWrap w:val="0"/>
            <w:vAlign w:val="top"/>
          </w:tcPr>
          <w:p w14:paraId="4527A1E0">
            <w:pPr>
              <w:pStyle w:val="69"/>
              <w:spacing w:line="440" w:lineRule="exact"/>
              <w:jc w:val="center"/>
              <w:rPr>
                <w:rFonts w:hint="eastAsia" w:ascii="宋体" w:hAnsi="宋体" w:cs="宋体"/>
                <w:szCs w:val="21"/>
                <w:highlight w:val="none"/>
              </w:rPr>
            </w:pPr>
          </w:p>
        </w:tc>
        <w:tc>
          <w:tcPr>
            <w:tcW w:w="1336" w:type="dxa"/>
            <w:gridSpan w:val="2"/>
            <w:noWrap w:val="0"/>
            <w:vAlign w:val="top"/>
          </w:tcPr>
          <w:p w14:paraId="04A3D1B7">
            <w:pPr>
              <w:pStyle w:val="69"/>
              <w:spacing w:line="440" w:lineRule="exact"/>
              <w:jc w:val="center"/>
              <w:rPr>
                <w:rFonts w:hint="eastAsia" w:ascii="宋体" w:hAnsi="宋体" w:cs="宋体"/>
                <w:szCs w:val="21"/>
                <w:highlight w:val="none"/>
              </w:rPr>
            </w:pPr>
          </w:p>
        </w:tc>
        <w:tc>
          <w:tcPr>
            <w:tcW w:w="1420" w:type="dxa"/>
            <w:gridSpan w:val="2"/>
            <w:noWrap w:val="0"/>
            <w:vAlign w:val="top"/>
          </w:tcPr>
          <w:p w14:paraId="53B8DF5A">
            <w:pPr>
              <w:pStyle w:val="69"/>
              <w:spacing w:line="440" w:lineRule="exact"/>
              <w:jc w:val="center"/>
              <w:rPr>
                <w:rFonts w:hint="eastAsia" w:ascii="宋体" w:hAnsi="宋体" w:cs="宋体"/>
                <w:szCs w:val="21"/>
                <w:highlight w:val="none"/>
              </w:rPr>
            </w:pPr>
          </w:p>
        </w:tc>
        <w:tc>
          <w:tcPr>
            <w:tcW w:w="1425" w:type="dxa"/>
            <w:noWrap w:val="0"/>
            <w:vAlign w:val="top"/>
          </w:tcPr>
          <w:p w14:paraId="43C712C2">
            <w:pPr>
              <w:pStyle w:val="69"/>
              <w:spacing w:line="440" w:lineRule="exact"/>
              <w:jc w:val="center"/>
              <w:rPr>
                <w:rFonts w:hint="eastAsia" w:ascii="宋体" w:hAnsi="宋体" w:cs="宋体"/>
                <w:szCs w:val="21"/>
                <w:highlight w:val="none"/>
              </w:rPr>
            </w:pPr>
          </w:p>
        </w:tc>
      </w:tr>
      <w:tr w14:paraId="5C45C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12A8C75C">
            <w:pPr>
              <w:pStyle w:val="69"/>
              <w:spacing w:line="440" w:lineRule="exact"/>
              <w:jc w:val="center"/>
              <w:rPr>
                <w:rFonts w:hint="eastAsia" w:ascii="宋体" w:hAnsi="宋体" w:cs="宋体"/>
                <w:szCs w:val="21"/>
                <w:highlight w:val="none"/>
              </w:rPr>
            </w:pPr>
          </w:p>
        </w:tc>
        <w:tc>
          <w:tcPr>
            <w:tcW w:w="1420" w:type="dxa"/>
            <w:gridSpan w:val="2"/>
            <w:noWrap w:val="0"/>
            <w:vAlign w:val="top"/>
          </w:tcPr>
          <w:p w14:paraId="2125F799">
            <w:pPr>
              <w:pStyle w:val="69"/>
              <w:spacing w:line="440" w:lineRule="exact"/>
              <w:jc w:val="center"/>
              <w:rPr>
                <w:rFonts w:hint="eastAsia" w:ascii="宋体" w:hAnsi="宋体" w:cs="宋体"/>
                <w:szCs w:val="21"/>
                <w:highlight w:val="none"/>
              </w:rPr>
            </w:pPr>
          </w:p>
        </w:tc>
        <w:tc>
          <w:tcPr>
            <w:tcW w:w="1505" w:type="dxa"/>
            <w:gridSpan w:val="3"/>
            <w:noWrap w:val="0"/>
            <w:vAlign w:val="top"/>
          </w:tcPr>
          <w:p w14:paraId="194C2548">
            <w:pPr>
              <w:pStyle w:val="69"/>
              <w:spacing w:line="440" w:lineRule="exact"/>
              <w:jc w:val="center"/>
              <w:rPr>
                <w:rFonts w:hint="eastAsia" w:ascii="宋体" w:hAnsi="宋体" w:cs="宋体"/>
                <w:szCs w:val="21"/>
                <w:highlight w:val="none"/>
              </w:rPr>
            </w:pPr>
          </w:p>
        </w:tc>
        <w:tc>
          <w:tcPr>
            <w:tcW w:w="1336" w:type="dxa"/>
            <w:gridSpan w:val="2"/>
            <w:noWrap w:val="0"/>
            <w:vAlign w:val="top"/>
          </w:tcPr>
          <w:p w14:paraId="221D6704">
            <w:pPr>
              <w:pStyle w:val="69"/>
              <w:spacing w:line="440" w:lineRule="exact"/>
              <w:jc w:val="center"/>
              <w:rPr>
                <w:rFonts w:hint="eastAsia" w:ascii="宋体" w:hAnsi="宋体" w:cs="宋体"/>
                <w:szCs w:val="21"/>
                <w:highlight w:val="none"/>
              </w:rPr>
            </w:pPr>
          </w:p>
        </w:tc>
        <w:tc>
          <w:tcPr>
            <w:tcW w:w="1420" w:type="dxa"/>
            <w:gridSpan w:val="2"/>
            <w:noWrap w:val="0"/>
            <w:vAlign w:val="top"/>
          </w:tcPr>
          <w:p w14:paraId="3D24880C">
            <w:pPr>
              <w:pStyle w:val="69"/>
              <w:spacing w:line="440" w:lineRule="exact"/>
              <w:jc w:val="center"/>
              <w:rPr>
                <w:rFonts w:hint="eastAsia" w:ascii="宋体" w:hAnsi="宋体" w:cs="宋体"/>
                <w:szCs w:val="21"/>
                <w:highlight w:val="none"/>
              </w:rPr>
            </w:pPr>
          </w:p>
        </w:tc>
        <w:tc>
          <w:tcPr>
            <w:tcW w:w="1425" w:type="dxa"/>
            <w:noWrap w:val="0"/>
            <w:vAlign w:val="top"/>
          </w:tcPr>
          <w:p w14:paraId="41F9A6C8">
            <w:pPr>
              <w:pStyle w:val="69"/>
              <w:spacing w:line="440" w:lineRule="exact"/>
              <w:jc w:val="center"/>
              <w:rPr>
                <w:rFonts w:hint="eastAsia" w:ascii="宋体" w:hAnsi="宋体" w:cs="宋体"/>
                <w:szCs w:val="21"/>
                <w:highlight w:val="none"/>
              </w:rPr>
            </w:pPr>
          </w:p>
        </w:tc>
      </w:tr>
      <w:tr w14:paraId="2B476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7B8F47DF">
            <w:pPr>
              <w:pStyle w:val="69"/>
              <w:spacing w:line="440" w:lineRule="exact"/>
              <w:jc w:val="center"/>
              <w:rPr>
                <w:rFonts w:hint="eastAsia" w:ascii="宋体" w:hAnsi="宋体" w:cs="宋体"/>
                <w:szCs w:val="21"/>
                <w:highlight w:val="none"/>
              </w:rPr>
            </w:pPr>
          </w:p>
        </w:tc>
        <w:tc>
          <w:tcPr>
            <w:tcW w:w="1420" w:type="dxa"/>
            <w:gridSpan w:val="2"/>
            <w:noWrap w:val="0"/>
            <w:vAlign w:val="top"/>
          </w:tcPr>
          <w:p w14:paraId="58025ADF">
            <w:pPr>
              <w:pStyle w:val="69"/>
              <w:spacing w:line="440" w:lineRule="exact"/>
              <w:jc w:val="center"/>
              <w:rPr>
                <w:rFonts w:hint="eastAsia" w:ascii="宋体" w:hAnsi="宋体" w:cs="宋体"/>
                <w:szCs w:val="21"/>
                <w:highlight w:val="none"/>
              </w:rPr>
            </w:pPr>
          </w:p>
        </w:tc>
        <w:tc>
          <w:tcPr>
            <w:tcW w:w="1505" w:type="dxa"/>
            <w:gridSpan w:val="3"/>
            <w:noWrap w:val="0"/>
            <w:vAlign w:val="top"/>
          </w:tcPr>
          <w:p w14:paraId="59EEE458">
            <w:pPr>
              <w:pStyle w:val="69"/>
              <w:spacing w:line="440" w:lineRule="exact"/>
              <w:jc w:val="center"/>
              <w:rPr>
                <w:rFonts w:hint="eastAsia" w:ascii="宋体" w:hAnsi="宋体" w:cs="宋体"/>
                <w:szCs w:val="21"/>
                <w:highlight w:val="none"/>
              </w:rPr>
            </w:pPr>
          </w:p>
        </w:tc>
        <w:tc>
          <w:tcPr>
            <w:tcW w:w="1336" w:type="dxa"/>
            <w:gridSpan w:val="2"/>
            <w:noWrap w:val="0"/>
            <w:vAlign w:val="top"/>
          </w:tcPr>
          <w:p w14:paraId="66DB235A">
            <w:pPr>
              <w:pStyle w:val="69"/>
              <w:spacing w:line="440" w:lineRule="exact"/>
              <w:jc w:val="center"/>
              <w:rPr>
                <w:rFonts w:hint="eastAsia" w:ascii="宋体" w:hAnsi="宋体" w:cs="宋体"/>
                <w:szCs w:val="21"/>
                <w:highlight w:val="none"/>
              </w:rPr>
            </w:pPr>
          </w:p>
        </w:tc>
        <w:tc>
          <w:tcPr>
            <w:tcW w:w="1420" w:type="dxa"/>
            <w:gridSpan w:val="2"/>
            <w:noWrap w:val="0"/>
            <w:vAlign w:val="top"/>
          </w:tcPr>
          <w:p w14:paraId="6B92C54E">
            <w:pPr>
              <w:pStyle w:val="69"/>
              <w:spacing w:line="440" w:lineRule="exact"/>
              <w:jc w:val="center"/>
              <w:rPr>
                <w:rFonts w:hint="eastAsia" w:ascii="宋体" w:hAnsi="宋体" w:cs="宋体"/>
                <w:szCs w:val="21"/>
                <w:highlight w:val="none"/>
              </w:rPr>
            </w:pPr>
          </w:p>
        </w:tc>
        <w:tc>
          <w:tcPr>
            <w:tcW w:w="1425" w:type="dxa"/>
            <w:noWrap w:val="0"/>
            <w:vAlign w:val="top"/>
          </w:tcPr>
          <w:p w14:paraId="2A87899D">
            <w:pPr>
              <w:pStyle w:val="69"/>
              <w:spacing w:line="440" w:lineRule="exact"/>
              <w:jc w:val="center"/>
              <w:rPr>
                <w:rFonts w:hint="eastAsia" w:ascii="宋体" w:hAnsi="宋体" w:cs="宋体"/>
                <w:szCs w:val="21"/>
                <w:highlight w:val="none"/>
              </w:rPr>
            </w:pPr>
          </w:p>
        </w:tc>
      </w:tr>
      <w:tr w14:paraId="587E1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42653E46">
            <w:pPr>
              <w:pStyle w:val="69"/>
              <w:spacing w:line="440" w:lineRule="exact"/>
              <w:jc w:val="center"/>
              <w:rPr>
                <w:rFonts w:hint="eastAsia" w:ascii="宋体" w:hAnsi="宋体" w:cs="宋体"/>
                <w:szCs w:val="21"/>
                <w:highlight w:val="none"/>
              </w:rPr>
            </w:pPr>
          </w:p>
        </w:tc>
        <w:tc>
          <w:tcPr>
            <w:tcW w:w="1420" w:type="dxa"/>
            <w:gridSpan w:val="2"/>
            <w:noWrap w:val="0"/>
            <w:vAlign w:val="top"/>
          </w:tcPr>
          <w:p w14:paraId="72AD0E96">
            <w:pPr>
              <w:pStyle w:val="69"/>
              <w:spacing w:line="440" w:lineRule="exact"/>
              <w:jc w:val="center"/>
              <w:rPr>
                <w:rFonts w:hint="eastAsia" w:ascii="宋体" w:hAnsi="宋体" w:cs="宋体"/>
                <w:szCs w:val="21"/>
                <w:highlight w:val="none"/>
              </w:rPr>
            </w:pPr>
          </w:p>
        </w:tc>
        <w:tc>
          <w:tcPr>
            <w:tcW w:w="1505" w:type="dxa"/>
            <w:gridSpan w:val="3"/>
            <w:noWrap w:val="0"/>
            <w:vAlign w:val="top"/>
          </w:tcPr>
          <w:p w14:paraId="2F988F0B">
            <w:pPr>
              <w:pStyle w:val="69"/>
              <w:spacing w:line="440" w:lineRule="exact"/>
              <w:jc w:val="center"/>
              <w:rPr>
                <w:rFonts w:hint="eastAsia" w:ascii="宋体" w:hAnsi="宋体" w:cs="宋体"/>
                <w:szCs w:val="21"/>
                <w:highlight w:val="none"/>
              </w:rPr>
            </w:pPr>
          </w:p>
        </w:tc>
        <w:tc>
          <w:tcPr>
            <w:tcW w:w="1336" w:type="dxa"/>
            <w:gridSpan w:val="2"/>
            <w:noWrap w:val="0"/>
            <w:vAlign w:val="top"/>
          </w:tcPr>
          <w:p w14:paraId="026FE5B8">
            <w:pPr>
              <w:pStyle w:val="69"/>
              <w:spacing w:line="440" w:lineRule="exact"/>
              <w:jc w:val="center"/>
              <w:rPr>
                <w:rFonts w:hint="eastAsia" w:ascii="宋体" w:hAnsi="宋体" w:cs="宋体"/>
                <w:szCs w:val="21"/>
                <w:highlight w:val="none"/>
              </w:rPr>
            </w:pPr>
          </w:p>
        </w:tc>
        <w:tc>
          <w:tcPr>
            <w:tcW w:w="1420" w:type="dxa"/>
            <w:gridSpan w:val="2"/>
            <w:noWrap w:val="0"/>
            <w:vAlign w:val="top"/>
          </w:tcPr>
          <w:p w14:paraId="27FA78F9">
            <w:pPr>
              <w:pStyle w:val="69"/>
              <w:spacing w:line="440" w:lineRule="exact"/>
              <w:jc w:val="center"/>
              <w:rPr>
                <w:rFonts w:hint="eastAsia" w:ascii="宋体" w:hAnsi="宋体" w:cs="宋体"/>
                <w:szCs w:val="21"/>
                <w:highlight w:val="none"/>
              </w:rPr>
            </w:pPr>
          </w:p>
        </w:tc>
        <w:tc>
          <w:tcPr>
            <w:tcW w:w="1425" w:type="dxa"/>
            <w:noWrap w:val="0"/>
            <w:vAlign w:val="top"/>
          </w:tcPr>
          <w:p w14:paraId="2568C293">
            <w:pPr>
              <w:pStyle w:val="69"/>
              <w:spacing w:line="440" w:lineRule="exact"/>
              <w:jc w:val="center"/>
              <w:rPr>
                <w:rFonts w:hint="eastAsia" w:ascii="宋体" w:hAnsi="宋体" w:cs="宋体"/>
                <w:szCs w:val="21"/>
                <w:highlight w:val="none"/>
              </w:rPr>
            </w:pPr>
          </w:p>
        </w:tc>
      </w:tr>
      <w:tr w14:paraId="22C1A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16D92C15">
            <w:pPr>
              <w:pStyle w:val="69"/>
              <w:spacing w:line="440" w:lineRule="exact"/>
              <w:jc w:val="center"/>
              <w:rPr>
                <w:rFonts w:hint="eastAsia" w:ascii="宋体" w:hAnsi="宋体" w:cs="宋体"/>
                <w:szCs w:val="21"/>
                <w:highlight w:val="none"/>
              </w:rPr>
            </w:pPr>
          </w:p>
        </w:tc>
        <w:tc>
          <w:tcPr>
            <w:tcW w:w="1420" w:type="dxa"/>
            <w:gridSpan w:val="2"/>
            <w:noWrap w:val="0"/>
            <w:vAlign w:val="top"/>
          </w:tcPr>
          <w:p w14:paraId="010D951B">
            <w:pPr>
              <w:pStyle w:val="69"/>
              <w:spacing w:line="440" w:lineRule="exact"/>
              <w:jc w:val="center"/>
              <w:rPr>
                <w:rFonts w:hint="eastAsia" w:ascii="宋体" w:hAnsi="宋体" w:cs="宋体"/>
                <w:szCs w:val="21"/>
                <w:highlight w:val="none"/>
              </w:rPr>
            </w:pPr>
          </w:p>
        </w:tc>
        <w:tc>
          <w:tcPr>
            <w:tcW w:w="1505" w:type="dxa"/>
            <w:gridSpan w:val="3"/>
            <w:noWrap w:val="0"/>
            <w:vAlign w:val="top"/>
          </w:tcPr>
          <w:p w14:paraId="07FF648E">
            <w:pPr>
              <w:pStyle w:val="69"/>
              <w:spacing w:line="440" w:lineRule="exact"/>
              <w:jc w:val="center"/>
              <w:rPr>
                <w:rFonts w:hint="eastAsia" w:ascii="宋体" w:hAnsi="宋体" w:cs="宋体"/>
                <w:szCs w:val="21"/>
                <w:highlight w:val="none"/>
              </w:rPr>
            </w:pPr>
          </w:p>
        </w:tc>
        <w:tc>
          <w:tcPr>
            <w:tcW w:w="1336" w:type="dxa"/>
            <w:gridSpan w:val="2"/>
            <w:noWrap w:val="0"/>
            <w:vAlign w:val="top"/>
          </w:tcPr>
          <w:p w14:paraId="4B6681D5">
            <w:pPr>
              <w:pStyle w:val="69"/>
              <w:spacing w:line="440" w:lineRule="exact"/>
              <w:jc w:val="center"/>
              <w:rPr>
                <w:rFonts w:hint="eastAsia" w:ascii="宋体" w:hAnsi="宋体" w:cs="宋体"/>
                <w:szCs w:val="21"/>
                <w:highlight w:val="none"/>
              </w:rPr>
            </w:pPr>
          </w:p>
        </w:tc>
        <w:tc>
          <w:tcPr>
            <w:tcW w:w="1420" w:type="dxa"/>
            <w:gridSpan w:val="2"/>
            <w:noWrap w:val="0"/>
            <w:vAlign w:val="top"/>
          </w:tcPr>
          <w:p w14:paraId="0ED88DD8">
            <w:pPr>
              <w:pStyle w:val="69"/>
              <w:spacing w:line="440" w:lineRule="exact"/>
              <w:jc w:val="center"/>
              <w:rPr>
                <w:rFonts w:hint="eastAsia" w:ascii="宋体" w:hAnsi="宋体" w:cs="宋体"/>
                <w:szCs w:val="21"/>
                <w:highlight w:val="none"/>
              </w:rPr>
            </w:pPr>
          </w:p>
        </w:tc>
        <w:tc>
          <w:tcPr>
            <w:tcW w:w="1425" w:type="dxa"/>
            <w:noWrap w:val="0"/>
            <w:vAlign w:val="top"/>
          </w:tcPr>
          <w:p w14:paraId="707F1378">
            <w:pPr>
              <w:pStyle w:val="69"/>
              <w:spacing w:line="440" w:lineRule="exact"/>
              <w:jc w:val="center"/>
              <w:rPr>
                <w:rFonts w:hint="eastAsia" w:ascii="宋体" w:hAnsi="宋体" w:cs="宋体"/>
                <w:szCs w:val="21"/>
                <w:highlight w:val="none"/>
              </w:rPr>
            </w:pPr>
          </w:p>
        </w:tc>
      </w:tr>
      <w:tr w14:paraId="4CA79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46FEBE0E">
            <w:pPr>
              <w:pStyle w:val="69"/>
              <w:spacing w:line="440" w:lineRule="exact"/>
              <w:jc w:val="center"/>
              <w:rPr>
                <w:rFonts w:hint="eastAsia" w:ascii="宋体" w:hAnsi="宋体" w:cs="宋体"/>
                <w:szCs w:val="21"/>
                <w:highlight w:val="none"/>
              </w:rPr>
            </w:pPr>
          </w:p>
        </w:tc>
        <w:tc>
          <w:tcPr>
            <w:tcW w:w="1420" w:type="dxa"/>
            <w:gridSpan w:val="2"/>
            <w:noWrap w:val="0"/>
            <w:vAlign w:val="top"/>
          </w:tcPr>
          <w:p w14:paraId="49523968">
            <w:pPr>
              <w:pStyle w:val="69"/>
              <w:spacing w:line="440" w:lineRule="exact"/>
              <w:jc w:val="center"/>
              <w:rPr>
                <w:rFonts w:hint="eastAsia" w:ascii="宋体" w:hAnsi="宋体" w:cs="宋体"/>
                <w:szCs w:val="21"/>
                <w:highlight w:val="none"/>
              </w:rPr>
            </w:pPr>
          </w:p>
        </w:tc>
        <w:tc>
          <w:tcPr>
            <w:tcW w:w="1505" w:type="dxa"/>
            <w:gridSpan w:val="3"/>
            <w:noWrap w:val="0"/>
            <w:vAlign w:val="top"/>
          </w:tcPr>
          <w:p w14:paraId="569692F1">
            <w:pPr>
              <w:pStyle w:val="69"/>
              <w:spacing w:line="440" w:lineRule="exact"/>
              <w:jc w:val="center"/>
              <w:rPr>
                <w:rFonts w:hint="eastAsia" w:ascii="宋体" w:hAnsi="宋体" w:cs="宋体"/>
                <w:szCs w:val="21"/>
                <w:highlight w:val="none"/>
              </w:rPr>
            </w:pPr>
          </w:p>
        </w:tc>
        <w:tc>
          <w:tcPr>
            <w:tcW w:w="1336" w:type="dxa"/>
            <w:gridSpan w:val="2"/>
            <w:noWrap w:val="0"/>
            <w:vAlign w:val="top"/>
          </w:tcPr>
          <w:p w14:paraId="3BD119FF">
            <w:pPr>
              <w:pStyle w:val="69"/>
              <w:spacing w:line="440" w:lineRule="exact"/>
              <w:jc w:val="center"/>
              <w:rPr>
                <w:rFonts w:hint="eastAsia" w:ascii="宋体" w:hAnsi="宋体" w:cs="宋体"/>
                <w:szCs w:val="21"/>
                <w:highlight w:val="none"/>
              </w:rPr>
            </w:pPr>
          </w:p>
        </w:tc>
        <w:tc>
          <w:tcPr>
            <w:tcW w:w="1420" w:type="dxa"/>
            <w:gridSpan w:val="2"/>
            <w:noWrap w:val="0"/>
            <w:vAlign w:val="top"/>
          </w:tcPr>
          <w:p w14:paraId="0DA28C50">
            <w:pPr>
              <w:pStyle w:val="69"/>
              <w:spacing w:line="440" w:lineRule="exact"/>
              <w:jc w:val="center"/>
              <w:rPr>
                <w:rFonts w:hint="eastAsia" w:ascii="宋体" w:hAnsi="宋体" w:cs="宋体"/>
                <w:szCs w:val="21"/>
                <w:highlight w:val="none"/>
              </w:rPr>
            </w:pPr>
          </w:p>
        </w:tc>
        <w:tc>
          <w:tcPr>
            <w:tcW w:w="1425" w:type="dxa"/>
            <w:noWrap w:val="0"/>
            <w:vAlign w:val="top"/>
          </w:tcPr>
          <w:p w14:paraId="61475818">
            <w:pPr>
              <w:pStyle w:val="69"/>
              <w:spacing w:line="440" w:lineRule="exact"/>
              <w:jc w:val="center"/>
              <w:rPr>
                <w:rFonts w:hint="eastAsia" w:ascii="宋体" w:hAnsi="宋体" w:cs="宋体"/>
                <w:szCs w:val="21"/>
                <w:highlight w:val="none"/>
              </w:rPr>
            </w:pPr>
          </w:p>
        </w:tc>
      </w:tr>
      <w:tr w14:paraId="69278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46A40F1A">
            <w:pPr>
              <w:pStyle w:val="69"/>
              <w:spacing w:line="440" w:lineRule="exact"/>
              <w:jc w:val="center"/>
              <w:rPr>
                <w:rFonts w:hint="eastAsia" w:ascii="宋体" w:hAnsi="宋体" w:cs="宋体"/>
                <w:szCs w:val="21"/>
                <w:highlight w:val="none"/>
              </w:rPr>
            </w:pPr>
          </w:p>
        </w:tc>
        <w:tc>
          <w:tcPr>
            <w:tcW w:w="1420" w:type="dxa"/>
            <w:gridSpan w:val="2"/>
            <w:noWrap w:val="0"/>
            <w:vAlign w:val="top"/>
          </w:tcPr>
          <w:p w14:paraId="35C2FC6B">
            <w:pPr>
              <w:pStyle w:val="69"/>
              <w:spacing w:line="440" w:lineRule="exact"/>
              <w:jc w:val="center"/>
              <w:rPr>
                <w:rFonts w:hint="eastAsia" w:ascii="宋体" w:hAnsi="宋体" w:cs="宋体"/>
                <w:szCs w:val="21"/>
                <w:highlight w:val="none"/>
              </w:rPr>
            </w:pPr>
          </w:p>
        </w:tc>
        <w:tc>
          <w:tcPr>
            <w:tcW w:w="1505" w:type="dxa"/>
            <w:gridSpan w:val="3"/>
            <w:noWrap w:val="0"/>
            <w:vAlign w:val="top"/>
          </w:tcPr>
          <w:p w14:paraId="469EC37B">
            <w:pPr>
              <w:pStyle w:val="69"/>
              <w:spacing w:line="440" w:lineRule="exact"/>
              <w:jc w:val="center"/>
              <w:rPr>
                <w:rFonts w:hint="eastAsia" w:ascii="宋体" w:hAnsi="宋体" w:cs="宋体"/>
                <w:szCs w:val="21"/>
                <w:highlight w:val="none"/>
              </w:rPr>
            </w:pPr>
          </w:p>
        </w:tc>
        <w:tc>
          <w:tcPr>
            <w:tcW w:w="1336" w:type="dxa"/>
            <w:gridSpan w:val="2"/>
            <w:noWrap w:val="0"/>
            <w:vAlign w:val="top"/>
          </w:tcPr>
          <w:p w14:paraId="40F0DD20">
            <w:pPr>
              <w:pStyle w:val="69"/>
              <w:spacing w:line="440" w:lineRule="exact"/>
              <w:jc w:val="center"/>
              <w:rPr>
                <w:rFonts w:hint="eastAsia" w:ascii="宋体" w:hAnsi="宋体" w:cs="宋体"/>
                <w:szCs w:val="21"/>
                <w:highlight w:val="none"/>
              </w:rPr>
            </w:pPr>
          </w:p>
        </w:tc>
        <w:tc>
          <w:tcPr>
            <w:tcW w:w="1420" w:type="dxa"/>
            <w:gridSpan w:val="2"/>
            <w:noWrap w:val="0"/>
            <w:vAlign w:val="top"/>
          </w:tcPr>
          <w:p w14:paraId="0BB10BDC">
            <w:pPr>
              <w:pStyle w:val="69"/>
              <w:spacing w:line="440" w:lineRule="exact"/>
              <w:jc w:val="center"/>
              <w:rPr>
                <w:rFonts w:hint="eastAsia" w:ascii="宋体" w:hAnsi="宋体" w:cs="宋体"/>
                <w:szCs w:val="21"/>
                <w:highlight w:val="none"/>
              </w:rPr>
            </w:pPr>
          </w:p>
        </w:tc>
        <w:tc>
          <w:tcPr>
            <w:tcW w:w="1425" w:type="dxa"/>
            <w:noWrap w:val="0"/>
            <w:vAlign w:val="top"/>
          </w:tcPr>
          <w:p w14:paraId="382008B1">
            <w:pPr>
              <w:pStyle w:val="69"/>
              <w:spacing w:line="440" w:lineRule="exact"/>
              <w:jc w:val="center"/>
              <w:rPr>
                <w:rFonts w:hint="eastAsia" w:ascii="宋体" w:hAnsi="宋体" w:cs="宋体"/>
                <w:szCs w:val="21"/>
                <w:highlight w:val="none"/>
              </w:rPr>
            </w:pPr>
          </w:p>
        </w:tc>
      </w:tr>
      <w:tr w14:paraId="71172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6" w:type="dxa"/>
            <w:noWrap w:val="0"/>
            <w:vAlign w:val="top"/>
          </w:tcPr>
          <w:p w14:paraId="7F73C5A2">
            <w:pPr>
              <w:pStyle w:val="69"/>
              <w:spacing w:line="440" w:lineRule="exact"/>
              <w:jc w:val="center"/>
              <w:rPr>
                <w:rFonts w:hint="eastAsia" w:ascii="宋体" w:hAnsi="宋体" w:cs="宋体"/>
                <w:szCs w:val="21"/>
                <w:highlight w:val="none"/>
              </w:rPr>
            </w:pPr>
          </w:p>
        </w:tc>
        <w:tc>
          <w:tcPr>
            <w:tcW w:w="1420" w:type="dxa"/>
            <w:gridSpan w:val="2"/>
            <w:noWrap w:val="0"/>
            <w:vAlign w:val="top"/>
          </w:tcPr>
          <w:p w14:paraId="59FA62A0">
            <w:pPr>
              <w:pStyle w:val="69"/>
              <w:spacing w:line="440" w:lineRule="exact"/>
              <w:jc w:val="center"/>
              <w:rPr>
                <w:rFonts w:hint="eastAsia" w:ascii="宋体" w:hAnsi="宋体" w:cs="宋体"/>
                <w:szCs w:val="21"/>
                <w:highlight w:val="none"/>
              </w:rPr>
            </w:pPr>
          </w:p>
        </w:tc>
        <w:tc>
          <w:tcPr>
            <w:tcW w:w="1505" w:type="dxa"/>
            <w:gridSpan w:val="3"/>
            <w:noWrap w:val="0"/>
            <w:vAlign w:val="top"/>
          </w:tcPr>
          <w:p w14:paraId="143DD24E">
            <w:pPr>
              <w:pStyle w:val="69"/>
              <w:spacing w:line="440" w:lineRule="exact"/>
              <w:jc w:val="center"/>
              <w:rPr>
                <w:rFonts w:hint="eastAsia" w:ascii="宋体" w:hAnsi="宋体" w:cs="宋体"/>
                <w:szCs w:val="21"/>
                <w:highlight w:val="none"/>
              </w:rPr>
            </w:pPr>
          </w:p>
        </w:tc>
        <w:tc>
          <w:tcPr>
            <w:tcW w:w="1336" w:type="dxa"/>
            <w:gridSpan w:val="2"/>
            <w:noWrap w:val="0"/>
            <w:vAlign w:val="top"/>
          </w:tcPr>
          <w:p w14:paraId="2366588B">
            <w:pPr>
              <w:pStyle w:val="69"/>
              <w:spacing w:line="440" w:lineRule="exact"/>
              <w:jc w:val="center"/>
              <w:rPr>
                <w:rFonts w:hint="eastAsia" w:ascii="宋体" w:hAnsi="宋体" w:cs="宋体"/>
                <w:szCs w:val="21"/>
                <w:highlight w:val="none"/>
              </w:rPr>
            </w:pPr>
          </w:p>
        </w:tc>
        <w:tc>
          <w:tcPr>
            <w:tcW w:w="1420" w:type="dxa"/>
            <w:gridSpan w:val="2"/>
            <w:noWrap w:val="0"/>
            <w:vAlign w:val="top"/>
          </w:tcPr>
          <w:p w14:paraId="5D02EECB">
            <w:pPr>
              <w:pStyle w:val="69"/>
              <w:spacing w:line="440" w:lineRule="exact"/>
              <w:jc w:val="center"/>
              <w:rPr>
                <w:rFonts w:hint="eastAsia" w:ascii="宋体" w:hAnsi="宋体" w:cs="宋体"/>
                <w:szCs w:val="21"/>
                <w:highlight w:val="none"/>
              </w:rPr>
            </w:pPr>
          </w:p>
        </w:tc>
        <w:tc>
          <w:tcPr>
            <w:tcW w:w="1425" w:type="dxa"/>
            <w:noWrap w:val="0"/>
            <w:vAlign w:val="top"/>
          </w:tcPr>
          <w:p w14:paraId="1AEE7853">
            <w:pPr>
              <w:pStyle w:val="69"/>
              <w:spacing w:line="440" w:lineRule="exact"/>
              <w:jc w:val="center"/>
              <w:rPr>
                <w:rFonts w:hint="eastAsia" w:ascii="宋体" w:hAnsi="宋体" w:cs="宋体"/>
                <w:szCs w:val="21"/>
                <w:highlight w:val="none"/>
              </w:rPr>
            </w:pPr>
          </w:p>
        </w:tc>
      </w:tr>
    </w:tbl>
    <w:p w14:paraId="1E4AC205">
      <w:pPr>
        <w:rPr>
          <w:rFonts w:hint="eastAsia" w:ascii="宋体" w:hAnsi="宋体" w:cs="宋体"/>
          <w:kern w:val="0"/>
          <w:szCs w:val="21"/>
          <w:highlight w:val="none"/>
        </w:rPr>
      </w:pPr>
      <w:r>
        <w:rPr>
          <w:rFonts w:hint="eastAsia" w:ascii="宋体" w:hAnsi="宋体" w:cs="宋体"/>
          <w:kern w:val="0"/>
          <w:szCs w:val="21"/>
          <w:highlight w:val="none"/>
        </w:rPr>
        <w:t>说明：投标人编制投标文件时，应将项目负责人</w:t>
      </w:r>
      <w:r>
        <w:rPr>
          <w:rFonts w:hint="eastAsia" w:ascii="宋体" w:hAnsi="宋体" w:cs="宋体"/>
          <w:kern w:val="0"/>
          <w:szCs w:val="21"/>
          <w:highlight w:val="none"/>
          <w:u w:val="single"/>
        </w:rPr>
        <w:t xml:space="preserve">  </w:t>
      </w:r>
      <w:r>
        <w:rPr>
          <w:rFonts w:hint="eastAsia" w:ascii="宋体" w:hAnsi="宋体" w:cs="宋体"/>
          <w:szCs w:val="21"/>
          <w:highlight w:val="none"/>
          <w:u w:val="single"/>
        </w:rPr>
        <w:t>建造师注册证书</w:t>
      </w:r>
      <w:r>
        <w:rPr>
          <w:rFonts w:hint="eastAsia" w:ascii="宋体" w:hAnsi="宋体" w:cs="宋体"/>
          <w:szCs w:val="21"/>
          <w:highlight w:val="none"/>
          <w:u w:val="single"/>
          <w:lang w:eastAsia="zh-CN"/>
        </w:rPr>
        <w:t>和</w:t>
      </w:r>
      <w:r>
        <w:rPr>
          <w:rFonts w:hint="eastAsia" w:ascii="宋体" w:hAnsi="宋体" w:cs="宋体"/>
          <w:szCs w:val="21"/>
          <w:highlight w:val="none"/>
          <w:u w:val="single"/>
        </w:rPr>
        <w:t>安全生产考核合格证（B类证书）</w:t>
      </w:r>
      <w:r>
        <w:rPr>
          <w:rFonts w:hint="eastAsia" w:ascii="宋体" w:hAnsi="宋体" w:cs="宋体"/>
          <w:szCs w:val="21"/>
          <w:highlight w:val="none"/>
          <w:u w:val="single"/>
          <w:lang w:eastAsia="zh-CN"/>
        </w:rPr>
        <w:t>、</w:t>
      </w:r>
      <w:r>
        <w:rPr>
          <w:rFonts w:hint="eastAsia" w:ascii="宋体" w:hAnsi="宋体" w:cs="宋体"/>
          <w:szCs w:val="21"/>
          <w:highlight w:val="none"/>
          <w:u w:val="single"/>
          <w:lang w:val="en-US" w:eastAsia="zh-CN"/>
        </w:rPr>
        <w:t xml:space="preserve"> </w:t>
      </w:r>
      <w:r>
        <w:rPr>
          <w:rFonts w:hint="eastAsia" w:ascii="宋体" w:hAnsi="宋体" w:cs="宋体"/>
          <w:bCs/>
          <w:szCs w:val="21"/>
          <w:highlight w:val="none"/>
          <w:u w:val="single"/>
        </w:rPr>
        <w:t>投标企业与拟派项目负责人双方签订的有效劳</w:t>
      </w:r>
      <w:r>
        <w:rPr>
          <w:rFonts w:hint="eastAsia" w:ascii="宋体" w:hAnsi="宋体" w:eastAsia="宋体" w:cs="宋体"/>
          <w:szCs w:val="21"/>
          <w:highlight w:val="none"/>
          <w:u w:val="single"/>
        </w:rPr>
        <w:t>动合同书</w:t>
      </w:r>
      <w:r>
        <w:rPr>
          <w:rFonts w:hint="eastAsia" w:ascii="宋体" w:hAnsi="宋体" w:eastAsia="宋体" w:cs="宋体"/>
          <w:szCs w:val="21"/>
          <w:highlight w:val="none"/>
          <w:u w:val="single"/>
          <w:lang w:val="en-US" w:eastAsia="zh-CN"/>
        </w:rPr>
        <w:t xml:space="preserve"> </w:t>
      </w:r>
      <w:r>
        <w:rPr>
          <w:rFonts w:hint="eastAsia" w:ascii="宋体" w:hAnsi="宋体" w:cs="宋体"/>
          <w:kern w:val="0"/>
          <w:szCs w:val="21"/>
          <w:highlight w:val="none"/>
        </w:rPr>
        <w:t>作为本表的附件</w:t>
      </w:r>
      <w:r>
        <w:rPr>
          <w:rFonts w:hint="eastAsia" w:ascii="宋体" w:hAnsi="宋体" w:cs="宋体"/>
          <w:kern w:val="0"/>
          <w:szCs w:val="21"/>
          <w:highlight w:val="none"/>
          <w:lang w:eastAsia="zh-CN"/>
        </w:rPr>
        <w:t>，并确保证书真实、有效</w:t>
      </w:r>
      <w:r>
        <w:rPr>
          <w:rFonts w:hint="eastAsia" w:ascii="宋体" w:hAnsi="宋体" w:cs="宋体"/>
          <w:szCs w:val="21"/>
          <w:highlight w:val="none"/>
        </w:rPr>
        <w:t>。</w:t>
      </w:r>
    </w:p>
    <w:p w14:paraId="35588A19">
      <w:pPr>
        <w:rPr>
          <w:rFonts w:hint="eastAsia" w:ascii="宋体" w:hAnsi="宋体" w:eastAsia="宋体" w:cs="宋体"/>
          <w:szCs w:val="21"/>
          <w:highlight w:val="none"/>
          <w:lang w:eastAsia="zh-CN"/>
        </w:rPr>
      </w:pPr>
    </w:p>
    <w:p w14:paraId="7D222665">
      <w:pPr>
        <w:pStyle w:val="66"/>
        <w:numPr>
          <w:ilvl w:val="0"/>
          <w:numId w:val="0"/>
        </w:numPr>
        <w:outlineLvl w:val="2"/>
        <w:rPr>
          <w:rFonts w:hint="eastAsia" w:ascii="宋体" w:hAnsi="宋体" w:eastAsia="宋体" w:cs="宋体"/>
          <w:sz w:val="21"/>
          <w:szCs w:val="21"/>
          <w:highlight w:val="none"/>
        </w:rPr>
      </w:pPr>
      <w:bookmarkStart w:id="1897" w:name="_Toc13732"/>
      <w:bookmarkStart w:id="1898" w:name="_Toc1165"/>
      <w:bookmarkStart w:id="1899" w:name="_Toc21119"/>
      <w:bookmarkStart w:id="1900" w:name="_Toc781"/>
      <w:bookmarkStart w:id="1901" w:name="_Toc6066"/>
      <w:bookmarkStart w:id="1902" w:name="_Toc26412"/>
      <w:bookmarkStart w:id="1903" w:name="_Toc16415"/>
      <w:bookmarkStart w:id="1904" w:name="_Toc25286"/>
      <w:bookmarkStart w:id="1905" w:name="_Toc23247"/>
      <w:bookmarkStart w:id="1906" w:name="_Toc18995"/>
      <w:bookmarkStart w:id="1907" w:name="_Toc28186"/>
      <w:bookmarkStart w:id="1908" w:name="_Toc22593"/>
      <w:bookmarkStart w:id="1909" w:name="_Toc5211"/>
      <w:bookmarkStart w:id="1910" w:name="_Toc28993"/>
      <w:bookmarkStart w:id="1911" w:name="_Toc9893"/>
      <w:r>
        <w:rPr>
          <w:rFonts w:hint="eastAsia" w:ascii="宋体" w:hAnsi="宋体" w:eastAsia="宋体"/>
          <w:sz w:val="21"/>
          <w:szCs w:val="21"/>
          <w:highlight w:val="none"/>
        </w:rPr>
        <w:br w:type="page"/>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Start w:id="1912" w:name="_Toc12540"/>
      <w:bookmarkStart w:id="1913" w:name="_Toc23356"/>
      <w:bookmarkStart w:id="1914" w:name="_Toc25014"/>
      <w:bookmarkStart w:id="1915" w:name="_Toc27728"/>
      <w:bookmarkStart w:id="1916" w:name="_Toc16118"/>
      <w:bookmarkStart w:id="1917" w:name="_Toc29236"/>
      <w:bookmarkStart w:id="1918" w:name="_Toc376"/>
      <w:bookmarkStart w:id="1919" w:name="_Toc2410"/>
      <w:bookmarkStart w:id="1920" w:name="_Toc32740"/>
      <w:bookmarkStart w:id="1921" w:name="_Toc18245"/>
      <w:bookmarkStart w:id="1922" w:name="_Toc24147"/>
      <w:bookmarkStart w:id="1923" w:name="_Toc5502"/>
      <w:r>
        <w:rPr>
          <w:rFonts w:hint="eastAsia" w:ascii="宋体" w:hAnsi="宋体" w:eastAsia="宋体"/>
          <w:sz w:val="21"/>
          <w:szCs w:val="21"/>
          <w:highlight w:val="none"/>
          <w:lang w:eastAsia="zh-CN"/>
        </w:rPr>
        <w:t>七、</w:t>
      </w:r>
      <w:r>
        <w:rPr>
          <w:rFonts w:hint="eastAsia" w:ascii="宋体" w:hAnsi="宋体" w:eastAsia="宋体" w:cs="宋体"/>
          <w:sz w:val="21"/>
          <w:szCs w:val="21"/>
          <w:highlight w:val="none"/>
        </w:rPr>
        <w:t>承诺书</w:t>
      </w:r>
      <w:bookmarkEnd w:id="1912"/>
      <w:bookmarkEnd w:id="1913"/>
      <w:bookmarkEnd w:id="1914"/>
      <w:bookmarkEnd w:id="1915"/>
      <w:bookmarkEnd w:id="1916"/>
      <w:bookmarkEnd w:id="1917"/>
      <w:bookmarkEnd w:id="1918"/>
      <w:bookmarkEnd w:id="1919"/>
      <w:bookmarkEnd w:id="1920"/>
      <w:bookmarkEnd w:id="1921"/>
      <w:bookmarkEnd w:id="1922"/>
      <w:bookmarkEnd w:id="1923"/>
    </w:p>
    <w:p w14:paraId="6BF1500E">
      <w:pPr>
        <w:pStyle w:val="3"/>
        <w:pageBreakBefore w:val="0"/>
        <w:kinsoku/>
        <w:wordWrap/>
        <w:overflowPunct/>
        <w:topLinePunct w:val="0"/>
        <w:autoSpaceDE/>
        <w:autoSpaceDN/>
        <w:bidi w:val="0"/>
        <w:adjustRightInd/>
        <w:spacing w:before="0" w:after="0" w:line="360" w:lineRule="auto"/>
        <w:ind w:right="0" w:rightChars="0"/>
        <w:jc w:val="center"/>
        <w:textAlignment w:val="auto"/>
        <w:rPr>
          <w:rFonts w:hint="eastAsia" w:ascii="宋体" w:hAnsi="宋体" w:eastAsia="宋体" w:cs="宋体"/>
          <w:b/>
          <w:bCs w:val="0"/>
          <w:kern w:val="2"/>
          <w:sz w:val="28"/>
          <w:szCs w:val="28"/>
          <w:highlight w:val="none"/>
          <w:lang w:val="en-US" w:eastAsia="zh-CN" w:bidi="ar-SA"/>
        </w:rPr>
      </w:pPr>
      <w:bookmarkStart w:id="1924" w:name="_Toc25349"/>
      <w:r>
        <w:rPr>
          <w:rFonts w:hint="eastAsia" w:ascii="宋体" w:hAnsi="宋体" w:eastAsia="宋体" w:cs="宋体"/>
          <w:b/>
          <w:bCs w:val="0"/>
          <w:kern w:val="2"/>
          <w:sz w:val="28"/>
          <w:szCs w:val="28"/>
          <w:highlight w:val="none"/>
          <w:lang w:val="en-US" w:eastAsia="zh-CN" w:bidi="ar-SA"/>
        </w:rPr>
        <w:t>诚信承诺书</w:t>
      </w:r>
      <w:bookmarkEnd w:id="1924"/>
    </w:p>
    <w:p w14:paraId="0CF1A033">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jc w:val="left"/>
        <w:textAlignment w:val="auto"/>
        <w:rPr>
          <w:rFonts w:hint="eastAsia" w:ascii="宋体" w:hAnsi="宋体" w:eastAsia="宋体" w:cs="宋体"/>
          <w:color w:val="auto"/>
          <w:sz w:val="21"/>
          <w:szCs w:val="21"/>
          <w:highlight w:val="none"/>
          <w:u w:val="single"/>
          <w:lang w:eastAsia="zh-CN"/>
        </w:rPr>
      </w:pPr>
    </w:p>
    <w:p w14:paraId="0F21286F">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lang w:eastAsia="zh-CN"/>
        </w:rPr>
        <w:t>（招标人）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DC012C6">
      <w:pPr>
        <w:keepNext w:val="0"/>
        <w:keepLines w:val="0"/>
        <w:pageBreakBefore w:val="0"/>
        <w:kinsoku/>
        <w:wordWrap/>
        <w:overflowPunct/>
        <w:topLinePunct w:val="0"/>
        <w:autoSpaceDE/>
        <w:autoSpaceDN/>
        <w:bidi w:val="0"/>
        <w:adjustRightInd/>
        <w:spacing w:line="360" w:lineRule="auto"/>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我方已认真阅读了本项目的招标文件，现就本次投标，作出如下承诺：</w:t>
      </w:r>
    </w:p>
    <w:p w14:paraId="07160130">
      <w:pPr>
        <w:keepNext w:val="0"/>
        <w:keepLines w:val="0"/>
        <w:pageBreakBefore w:val="0"/>
        <w:kinsoku/>
        <w:wordWrap/>
        <w:overflowPunct/>
        <w:topLinePunct w:val="0"/>
        <w:autoSpaceDE/>
        <w:autoSpaceDN/>
        <w:bidi w:val="0"/>
        <w:adjustRightInd/>
        <w:spacing w:line="360" w:lineRule="auto"/>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我方拟派项目负责人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无在建工程，如果我方经本工程评标委员会评定为中标候选人，在公示期间被他人举报并经核实，确认拟派项目负责人有在建工程，且不符合江苏省建设厅“苏建规字（2017）1号”《 省住房和城乡建设厅关于改革和完善房屋建筑和市政基础设施工程招标投标制度的实施意见》附件二《江苏省房屋建筑和市政基础设施工程施工招标资格审查办法》第十条第五款的规定，你方即可取消我方中标候选人资格。</w:t>
      </w:r>
    </w:p>
    <w:p w14:paraId="63A97E7A">
      <w:pPr>
        <w:keepNext w:val="0"/>
        <w:keepLines w:val="0"/>
        <w:pageBreakBefore w:val="0"/>
        <w:kinsoku/>
        <w:wordWrap/>
        <w:overflowPunct/>
        <w:topLinePunct w:val="0"/>
        <w:autoSpaceDE/>
        <w:autoSpaceDN/>
        <w:bidi w:val="0"/>
        <w:adjustRightInd/>
        <w:spacing w:line="360" w:lineRule="auto"/>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2.我方拟派项目管理机构成员是我单位正式员工，具备相应的从业能力，且已缴纳养老保险和签订劳动合同。</w:t>
      </w:r>
    </w:p>
    <w:p w14:paraId="33200A39">
      <w:pPr>
        <w:keepNext w:val="0"/>
        <w:keepLines w:val="0"/>
        <w:pageBreakBefore w:val="0"/>
        <w:kinsoku/>
        <w:wordWrap/>
        <w:overflowPunct/>
        <w:topLinePunct w:val="0"/>
        <w:autoSpaceDE/>
        <w:autoSpaceDN/>
        <w:bidi w:val="0"/>
        <w:adjustRightInd/>
        <w:spacing w:line="360" w:lineRule="auto"/>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3.我方承诺在本次投标过程中无弄虚作假和串通投标等违法、违规行为，并愿意承担因弄虚作假和串通投标所引起的一切法律责任。</w:t>
      </w:r>
    </w:p>
    <w:p w14:paraId="1E13F1E7">
      <w:pPr>
        <w:keepNext w:val="0"/>
        <w:keepLines w:val="0"/>
        <w:pageBreakBefore w:val="0"/>
        <w:kinsoku/>
        <w:wordWrap/>
        <w:overflowPunct/>
        <w:topLinePunct w:val="0"/>
        <w:autoSpaceDE/>
        <w:autoSpaceDN/>
        <w:bidi w:val="0"/>
        <w:adjustRightInd/>
        <w:spacing w:line="360" w:lineRule="auto"/>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4.我方承诺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遵守指令、不擅离职守。我方委托代理人将坚持全程参加开评标会议，积极响应招标人的指令和操作要求，不擅离职守，始终保持通讯顺畅，因我方原因导致</w:t>
      </w:r>
      <w:r>
        <w:rPr>
          <w:rFonts w:hint="eastAsia" w:ascii="宋体" w:hAnsi="宋体" w:eastAsia="宋体" w:cs="宋体"/>
          <w:color w:val="auto"/>
          <w:sz w:val="21"/>
          <w:szCs w:val="21"/>
          <w:highlight w:val="none"/>
          <w:lang w:eastAsia="zh-CN"/>
        </w:rPr>
        <w:t>贵单位或代理机构</w:t>
      </w:r>
      <w:r>
        <w:rPr>
          <w:rFonts w:hint="eastAsia" w:ascii="宋体" w:hAnsi="宋体" w:eastAsia="宋体" w:cs="宋体"/>
          <w:color w:val="auto"/>
          <w:sz w:val="21"/>
          <w:szCs w:val="21"/>
          <w:highlight w:val="none"/>
        </w:rPr>
        <w:t>无法</w:t>
      </w:r>
      <w:r>
        <w:rPr>
          <w:rFonts w:hint="eastAsia" w:ascii="宋体" w:hAnsi="宋体" w:eastAsia="宋体" w:cs="宋体"/>
          <w:color w:val="auto"/>
          <w:sz w:val="21"/>
          <w:szCs w:val="21"/>
          <w:highlight w:val="none"/>
          <w:lang w:eastAsia="zh-CN"/>
        </w:rPr>
        <w:t>与我单位</w:t>
      </w:r>
      <w:r>
        <w:rPr>
          <w:rFonts w:hint="eastAsia" w:ascii="宋体" w:hAnsi="宋体" w:eastAsia="宋体" w:cs="宋体"/>
          <w:color w:val="auto"/>
          <w:sz w:val="21"/>
          <w:szCs w:val="21"/>
          <w:highlight w:val="none"/>
        </w:rPr>
        <w:t>建立起联系的，即视为我方认可招标人的处置决定，接受包括终止投标资格在内的任何处理结果。</w:t>
      </w:r>
    </w:p>
    <w:p w14:paraId="0131C3C0">
      <w:pPr>
        <w:keepNext w:val="0"/>
        <w:keepLines w:val="0"/>
        <w:pageBreakBefore w:val="0"/>
        <w:kinsoku/>
        <w:wordWrap/>
        <w:overflowPunct/>
        <w:topLinePunct w:val="0"/>
        <w:autoSpaceDE/>
        <w:autoSpaceDN/>
        <w:bidi w:val="0"/>
        <w:adjustRightInd/>
        <w:spacing w:line="360" w:lineRule="auto"/>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5.我方承诺不向招标人或评标委员会成员或相关人员行贿，以牟取中标。</w:t>
      </w:r>
    </w:p>
    <w:p w14:paraId="2718CFCF">
      <w:pPr>
        <w:keepNext w:val="0"/>
        <w:keepLines w:val="0"/>
        <w:pageBreakBefore w:val="0"/>
        <w:kinsoku/>
        <w:wordWrap/>
        <w:overflowPunct/>
        <w:topLinePunct w:val="0"/>
        <w:autoSpaceDE/>
        <w:autoSpaceDN/>
        <w:bidi w:val="0"/>
        <w:adjustRightInd/>
        <w:spacing w:line="360" w:lineRule="auto"/>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6.我方承诺不存在围标串标、借资质挂靠、恶意竞标等违法违规行为。</w:t>
      </w:r>
    </w:p>
    <w:p w14:paraId="7A43B7F9">
      <w:pPr>
        <w:keepNext w:val="0"/>
        <w:keepLines w:val="0"/>
        <w:pageBreakBefore w:val="0"/>
        <w:kinsoku/>
        <w:wordWrap/>
        <w:overflowPunct/>
        <w:topLinePunct w:val="0"/>
        <w:autoSpaceDE/>
        <w:autoSpaceDN/>
        <w:bidi w:val="0"/>
        <w:adjustRightInd/>
        <w:spacing w:line="360" w:lineRule="auto"/>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7.如我方中标：</w:t>
      </w:r>
    </w:p>
    <w:p w14:paraId="289DFA56">
      <w:pPr>
        <w:keepNext w:val="0"/>
        <w:keepLines w:val="0"/>
        <w:pageBreakBefore w:val="0"/>
        <w:kinsoku/>
        <w:wordWrap/>
        <w:overflowPunct/>
        <w:topLinePunct w:val="0"/>
        <w:autoSpaceDE/>
        <w:autoSpaceDN/>
        <w:bidi w:val="0"/>
        <w:adjustRightInd/>
        <w:spacing w:line="360" w:lineRule="auto"/>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我方承诺在收到中标通知书后，在招标文件规定的期限内与你方签订合同。</w:t>
      </w:r>
    </w:p>
    <w:p w14:paraId="2CE2739C">
      <w:pPr>
        <w:keepNext w:val="0"/>
        <w:keepLines w:val="0"/>
        <w:pageBreakBefore w:val="0"/>
        <w:kinsoku/>
        <w:wordWrap/>
        <w:overflowPunct/>
        <w:topLinePunct w:val="0"/>
        <w:autoSpaceDE/>
        <w:autoSpaceDN/>
        <w:bidi w:val="0"/>
        <w:adjustRightInd/>
        <w:spacing w:line="360" w:lineRule="auto"/>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我方承诺按照招标文件规定向你方递交履约担保。</w:t>
      </w:r>
    </w:p>
    <w:p w14:paraId="54E60957">
      <w:pPr>
        <w:keepNext w:val="0"/>
        <w:keepLines w:val="0"/>
        <w:pageBreakBefore w:val="0"/>
        <w:kinsoku/>
        <w:wordWrap/>
        <w:overflowPunct/>
        <w:topLinePunct w:val="0"/>
        <w:autoSpaceDE/>
        <w:autoSpaceDN/>
        <w:bidi w:val="0"/>
        <w:adjustRightInd/>
        <w:spacing w:line="360" w:lineRule="auto"/>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我方若违反上述承诺内容，自愿接受取消投标、中标资格、并作为不良行为记入本单位信用档案（公示），接受相关部门调查处理。</w:t>
      </w:r>
    </w:p>
    <w:p w14:paraId="3DF32B41">
      <w:pPr>
        <w:pStyle w:val="40"/>
        <w:rPr>
          <w:rFonts w:hint="eastAsia" w:ascii="宋体" w:hAnsi="宋体" w:eastAsia="宋体" w:cs="宋体"/>
          <w:color w:val="auto"/>
          <w:sz w:val="21"/>
          <w:szCs w:val="21"/>
          <w:highlight w:val="none"/>
        </w:rPr>
      </w:pPr>
    </w:p>
    <w:p w14:paraId="1008B058">
      <w:pPr>
        <w:rPr>
          <w:rFonts w:hint="eastAsia"/>
          <w:highlight w:val="none"/>
        </w:rPr>
      </w:pPr>
    </w:p>
    <w:p w14:paraId="7E9F9199">
      <w:pPr>
        <w:keepNext w:val="0"/>
        <w:keepLines w:val="0"/>
        <w:pageBreakBefore w:val="0"/>
        <w:kinsoku/>
        <w:wordWrap/>
        <w:overflowPunct/>
        <w:topLinePunct w:val="0"/>
        <w:autoSpaceDE/>
        <w:autoSpaceDN/>
        <w:bidi w:val="0"/>
        <w:adjustRightInd/>
        <w:spacing w:line="360" w:lineRule="auto"/>
        <w:ind w:left="0" w:leftChars="0" w:right="0" w:rightChars="0" w:firstLine="3675" w:firstLineChars="17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投 标 人：（盖单位公章）          </w:t>
      </w:r>
    </w:p>
    <w:p w14:paraId="4AD92946">
      <w:pPr>
        <w:keepNext w:val="0"/>
        <w:keepLines w:val="0"/>
        <w:pageBreakBefore w:val="0"/>
        <w:kinsoku/>
        <w:wordWrap/>
        <w:overflowPunct/>
        <w:topLinePunct w:val="0"/>
        <w:autoSpaceDE/>
        <w:autoSpaceDN/>
        <w:bidi w:val="0"/>
        <w:adjustRightInd/>
        <w:spacing w:line="360" w:lineRule="auto"/>
        <w:ind w:left="0" w:leftChars="0" w:right="0" w:rightChars="0" w:firstLine="424" w:firstLineChars="20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法定代表人或其委托代理人：（签字或盖章）</w:t>
      </w:r>
    </w:p>
    <w:p w14:paraId="6E89D62C">
      <w:pPr>
        <w:bidi w:val="0"/>
        <w:spacing w:line="360" w:lineRule="auto"/>
        <w:jc w:val="center"/>
        <w:rPr>
          <w:rFonts w:hint="eastAsia"/>
          <w:b w:val="0"/>
          <w:bCs w:val="0"/>
          <w:sz w:val="21"/>
          <w:szCs w:val="22"/>
          <w:highlight w:val="none"/>
          <w:lang w:val="en-US" w:eastAsia="zh-CN"/>
        </w:rPr>
      </w:pPr>
      <w:r>
        <w:rPr>
          <w:rFonts w:hint="eastAsia"/>
          <w:b w:val="0"/>
          <w:bCs w:val="0"/>
          <w:sz w:val="21"/>
          <w:szCs w:val="22"/>
          <w:highlight w:val="none"/>
          <w:lang w:val="en-US" w:eastAsia="zh-CN"/>
        </w:rPr>
        <w:t xml:space="preserve">                      年    月    日</w:t>
      </w:r>
    </w:p>
    <w:p w14:paraId="70A683DD">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highlight w:val="none"/>
        </w:rPr>
      </w:pPr>
      <w:r>
        <w:rPr>
          <w:rFonts w:hint="eastAsia"/>
          <w:highlight w:val="none"/>
        </w:rPr>
        <w:br w:type="page"/>
      </w:r>
      <w:r>
        <w:rPr>
          <w:rFonts w:hint="eastAsia" w:ascii="宋体" w:hAnsi="宋体" w:eastAsia="宋体" w:cs="宋体"/>
          <w:b/>
          <w:bCs/>
          <w:sz w:val="21"/>
          <w:szCs w:val="21"/>
          <w:highlight w:val="none"/>
          <w:lang w:eastAsia="zh-CN"/>
        </w:rPr>
        <w:t>八</w:t>
      </w:r>
      <w:r>
        <w:rPr>
          <w:rFonts w:hint="eastAsia" w:ascii="宋体" w:hAnsi="宋体" w:eastAsia="宋体" w:cs="宋体"/>
          <w:b/>
          <w:bCs/>
          <w:sz w:val="21"/>
          <w:szCs w:val="21"/>
          <w:highlight w:val="none"/>
        </w:rPr>
        <w:t>、投标函</w:t>
      </w:r>
      <w:bookmarkEnd w:id="1862"/>
      <w:bookmarkEnd w:id="1863"/>
      <w:bookmarkEnd w:id="1864"/>
      <w:bookmarkEnd w:id="1865"/>
      <w:bookmarkEnd w:id="1866"/>
      <w:bookmarkEnd w:id="1867"/>
      <w:bookmarkEnd w:id="1868"/>
      <w:bookmarkEnd w:id="1869"/>
      <w:bookmarkEnd w:id="1870"/>
      <w:bookmarkEnd w:id="1871"/>
      <w:bookmarkEnd w:id="1872"/>
      <w:bookmarkEnd w:id="1874"/>
    </w:p>
    <w:p w14:paraId="5E8E111D">
      <w:pPr>
        <w:pStyle w:val="45"/>
        <w:jc w:val="center"/>
        <w:rPr>
          <w:rFonts w:hint="eastAsia" w:ascii="宋体" w:hAnsi="宋体" w:cs="宋体"/>
          <w:b/>
          <w:sz w:val="28"/>
          <w:szCs w:val="28"/>
          <w:highlight w:val="none"/>
        </w:rPr>
      </w:pPr>
      <w:r>
        <w:rPr>
          <w:rFonts w:hint="eastAsia" w:ascii="宋体" w:hAnsi="宋体" w:cs="宋体"/>
          <w:b/>
          <w:sz w:val="28"/>
          <w:szCs w:val="28"/>
          <w:highlight w:val="none"/>
        </w:rPr>
        <w:t>投标函</w:t>
      </w:r>
    </w:p>
    <w:p w14:paraId="61E562A0">
      <w:pPr>
        <w:adjustRightInd w:val="0"/>
        <w:spacing w:line="360" w:lineRule="auto"/>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9135B85">
      <w:pPr>
        <w:adjustRightInd w:val="0"/>
        <w:spacing w:line="360" w:lineRule="auto"/>
        <w:ind w:firstLine="630" w:firstLineChars="300"/>
        <w:jc w:val="left"/>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 根据已收到的</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（工程名称） 工程的招标文件，我方经仔细研究招标文件全部内容并对现场进行踏勘后，愿遵守《中华人民共和国招标投标法》等有关法律文件的规定，并愿以人民币（大写）</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[¥（小写）</w:t>
      </w:r>
      <w:r>
        <w:rPr>
          <w:rFonts w:hint="eastAsia" w:ascii="宋体" w:hAnsi="宋体" w:eastAsia="宋体" w:cs="宋体"/>
          <w:color w:val="auto"/>
          <w:kern w:val="0"/>
          <w:sz w:val="21"/>
          <w:szCs w:val="21"/>
          <w:highlight w:val="none"/>
          <w:u w:val="single"/>
        </w:rPr>
        <w:t xml:space="preserve">               元</w:t>
      </w:r>
      <w:r>
        <w:rPr>
          <w:rFonts w:hint="eastAsia" w:ascii="宋体" w:hAnsi="宋体" w:eastAsia="宋体" w:cs="宋体"/>
          <w:color w:val="auto"/>
          <w:kern w:val="0"/>
          <w:sz w:val="21"/>
          <w:szCs w:val="21"/>
          <w:highlight w:val="none"/>
        </w:rPr>
        <w:t>］的总价，按招标文件的要求承包本次招标范围内的全部工程，修补工程中的任何缺陷。</w:t>
      </w:r>
    </w:p>
    <w:p w14:paraId="18F8BEA3">
      <w:pPr>
        <w:adjustRightInd w:val="0"/>
        <w:spacing w:line="360" w:lineRule="auto"/>
        <w:ind w:firstLine="420" w:firstLineChars="200"/>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（二）我方保证在收到贵单位发出的书面开工令后立即开工，并保证在工期</w:t>
      </w:r>
      <w:r>
        <w:rPr>
          <w:rFonts w:hint="eastAsia" w:ascii="宋体" w:hAnsi="宋体" w:eastAsia="宋体" w:cs="宋体"/>
          <w:color w:val="auto"/>
          <w:kern w:val="0"/>
          <w:sz w:val="21"/>
          <w:szCs w:val="21"/>
          <w:highlight w:val="none"/>
          <w:u w:val="single"/>
        </w:rPr>
        <w:t>（      ）</w:t>
      </w:r>
      <w:r>
        <w:rPr>
          <w:rFonts w:hint="eastAsia" w:ascii="宋体" w:hAnsi="宋体" w:eastAsia="宋体" w:cs="宋体"/>
          <w:color w:val="auto"/>
          <w:kern w:val="0"/>
          <w:sz w:val="21"/>
          <w:szCs w:val="21"/>
          <w:highlight w:val="none"/>
        </w:rPr>
        <w:t>日历天内竣工并移交整个工程及相关资料。</w:t>
      </w:r>
    </w:p>
    <w:p w14:paraId="197F9F4F">
      <w:pPr>
        <w:widowControl/>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（三）我方保证本工程质量达到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05785F53">
      <w:pPr>
        <w:widowControl/>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（四）如果我方中标，我方承诺在收到中标通知书后，在中标通知书规定的期限内与贵方签订合同，并将按照招标文件规定的时间、数额提交履约保证金和中标差额保证金。</w:t>
      </w:r>
    </w:p>
    <w:p w14:paraId="60197D1B">
      <w:pPr>
        <w:adjustRightInd w:val="0"/>
        <w:spacing w:line="360" w:lineRule="auto"/>
        <w:ind w:firstLine="482"/>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五</w:t>
      </w:r>
      <w:r>
        <w:rPr>
          <w:rFonts w:hint="eastAsia" w:ascii="宋体" w:hAnsi="宋体" w:eastAsia="宋体" w:cs="宋体"/>
          <w:color w:val="auto"/>
          <w:kern w:val="0"/>
          <w:sz w:val="21"/>
          <w:szCs w:val="21"/>
          <w:highlight w:val="none"/>
        </w:rPr>
        <w:t>）贵单位的招标文件、中标通知书和本投标文件将构成约束我们双方的合同。</w:t>
      </w:r>
    </w:p>
    <w:p w14:paraId="03066F6B">
      <w:pPr>
        <w:adjustRightInd w:val="0"/>
        <w:spacing w:line="360" w:lineRule="auto"/>
        <w:textAlignment w:val="baseline"/>
        <w:rPr>
          <w:rFonts w:hint="eastAsia" w:ascii="宋体" w:hAnsi="宋体" w:eastAsia="宋体" w:cs="宋体"/>
          <w:color w:val="auto"/>
          <w:kern w:val="0"/>
          <w:sz w:val="21"/>
          <w:szCs w:val="21"/>
          <w:highlight w:val="none"/>
        </w:rPr>
      </w:pPr>
    </w:p>
    <w:p w14:paraId="6DAE572C">
      <w:pPr>
        <w:adjustRightInd w:val="0"/>
        <w:spacing w:line="360" w:lineRule="auto"/>
        <w:textAlignment w:val="baseline"/>
        <w:rPr>
          <w:rFonts w:hint="eastAsia" w:ascii="宋体" w:hAnsi="宋体" w:eastAsia="宋体" w:cs="宋体"/>
          <w:color w:val="auto"/>
          <w:kern w:val="0"/>
          <w:sz w:val="21"/>
          <w:szCs w:val="21"/>
          <w:highlight w:val="none"/>
        </w:rPr>
      </w:pPr>
    </w:p>
    <w:p w14:paraId="744051FF">
      <w:pPr>
        <w:adjustRightInd w:val="0"/>
        <w:spacing w:line="360" w:lineRule="auto"/>
        <w:textAlignment w:val="baseline"/>
        <w:rPr>
          <w:rFonts w:hint="eastAsia" w:ascii="宋体" w:hAnsi="宋体" w:eastAsia="宋体" w:cs="宋体"/>
          <w:color w:val="auto"/>
          <w:kern w:val="0"/>
          <w:sz w:val="21"/>
          <w:szCs w:val="21"/>
          <w:highlight w:val="none"/>
        </w:rPr>
      </w:pPr>
    </w:p>
    <w:p w14:paraId="7C5F4EF2">
      <w:pPr>
        <w:adjustRightInd w:val="0"/>
        <w:spacing w:line="360" w:lineRule="auto"/>
        <w:textAlignment w:val="baseline"/>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投标人（盖法人章）：</w:t>
      </w:r>
      <w:r>
        <w:rPr>
          <w:rFonts w:hint="eastAsia" w:ascii="宋体" w:hAnsi="宋体" w:eastAsia="宋体" w:cs="宋体"/>
          <w:color w:val="auto"/>
          <w:kern w:val="0"/>
          <w:sz w:val="21"/>
          <w:szCs w:val="21"/>
          <w:highlight w:val="none"/>
          <w:u w:val="single"/>
        </w:rPr>
        <w:t xml:space="preserve">                               </w:t>
      </w:r>
    </w:p>
    <w:p w14:paraId="23D632B7">
      <w:pPr>
        <w:adjustRightInd w:val="0"/>
        <w:spacing w:line="360" w:lineRule="auto"/>
        <w:textAlignment w:val="baseline"/>
        <w:rPr>
          <w:rFonts w:hint="eastAsia" w:ascii="宋体" w:hAnsi="宋体" w:eastAsia="宋体" w:cs="宋体"/>
          <w:color w:val="auto"/>
          <w:kern w:val="0"/>
          <w:sz w:val="21"/>
          <w:szCs w:val="21"/>
          <w:highlight w:val="none"/>
        </w:rPr>
      </w:pPr>
    </w:p>
    <w:p w14:paraId="1A6EC516">
      <w:pPr>
        <w:adjustRightInd w:val="0"/>
        <w:spacing w:line="360" w:lineRule="auto"/>
        <w:textAlignment w:val="baseline"/>
        <w:rPr>
          <w:rFonts w:hint="eastAsia" w:ascii="宋体" w:hAnsi="宋体" w:eastAsia="宋体" w:cs="宋体"/>
          <w:color w:val="auto"/>
          <w:kern w:val="0"/>
          <w:sz w:val="21"/>
          <w:szCs w:val="21"/>
          <w:highlight w:val="none"/>
          <w:u w:val="single"/>
          <w:lang w:eastAsia="zh-CN"/>
        </w:rPr>
      </w:pPr>
      <w:r>
        <w:rPr>
          <w:rFonts w:hint="eastAsia" w:ascii="宋体" w:hAnsi="宋体" w:eastAsia="宋体" w:cs="宋体"/>
          <w:color w:val="auto"/>
          <w:kern w:val="0"/>
          <w:sz w:val="21"/>
          <w:szCs w:val="21"/>
          <w:highlight w:val="none"/>
        </w:rPr>
        <w:t>法定代表人或委托代理人（签字或盖章）：</w:t>
      </w:r>
      <w:r>
        <w:rPr>
          <w:rFonts w:hint="eastAsia" w:ascii="宋体" w:hAnsi="宋体" w:eastAsia="宋体" w:cs="宋体"/>
          <w:color w:val="auto"/>
          <w:kern w:val="0"/>
          <w:sz w:val="21"/>
          <w:szCs w:val="21"/>
          <w:highlight w:val="none"/>
          <w:u w:val="single"/>
        </w:rPr>
        <w:t xml:space="preserve">                        </w:t>
      </w:r>
    </w:p>
    <w:p w14:paraId="2D92CFBC">
      <w:pPr>
        <w:adjustRightInd w:val="0"/>
        <w:spacing w:line="360" w:lineRule="auto"/>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w:t>
      </w:r>
    </w:p>
    <w:p w14:paraId="7EF9E307">
      <w:pPr>
        <w:adjustRightInd w:val="0"/>
        <w:spacing w:line="360" w:lineRule="auto"/>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日期：</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 xml:space="preserve"> </w:t>
      </w:r>
    </w:p>
    <w:p w14:paraId="07DF862E">
      <w:pPr>
        <w:pStyle w:val="45"/>
        <w:spacing w:line="400" w:lineRule="exact"/>
        <w:ind w:firstLine="420" w:firstLineChars="200"/>
        <w:rPr>
          <w:rFonts w:hint="eastAsia" w:ascii="宋体" w:hAnsi="宋体" w:cs="宋体"/>
          <w:sz w:val="21"/>
          <w:szCs w:val="21"/>
          <w:highlight w:val="none"/>
        </w:rPr>
      </w:pPr>
    </w:p>
    <w:p w14:paraId="5FF85951">
      <w:pPr>
        <w:pStyle w:val="54"/>
        <w:rPr>
          <w:rFonts w:hint="eastAsia" w:ascii="宋体" w:hAnsi="宋体" w:eastAsia="宋体" w:cs="宋体"/>
          <w:sz w:val="21"/>
          <w:szCs w:val="21"/>
          <w:highlight w:val="none"/>
        </w:rPr>
      </w:pPr>
    </w:p>
    <w:p w14:paraId="17072E0C">
      <w:pPr>
        <w:pStyle w:val="54"/>
        <w:rPr>
          <w:rFonts w:hint="eastAsia" w:ascii="宋体" w:hAnsi="宋体" w:eastAsia="宋体" w:cs="宋体"/>
          <w:sz w:val="21"/>
          <w:szCs w:val="21"/>
          <w:highlight w:val="none"/>
        </w:rPr>
      </w:pPr>
    </w:p>
    <w:p w14:paraId="2D643F2E">
      <w:pPr>
        <w:pStyle w:val="54"/>
        <w:rPr>
          <w:rFonts w:hint="eastAsia" w:ascii="宋体" w:hAnsi="宋体" w:eastAsia="宋体" w:cs="宋体"/>
          <w:sz w:val="21"/>
          <w:szCs w:val="21"/>
          <w:highlight w:val="none"/>
        </w:rPr>
      </w:pPr>
    </w:p>
    <w:sectPr>
      <w:headerReference r:id="rId12" w:type="default"/>
      <w:footerReference r:id="rId13" w:type="default"/>
      <w:type w:val="continuous"/>
      <w:pgSz w:w="11906" w:h="16838"/>
      <w:pgMar w:top="1440" w:right="1286" w:bottom="1440" w:left="16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1" w:usb1="080E0000" w:usb2="00000000" w:usb3="00000000" w:csb0="00040000" w:csb1="00000000"/>
  </w:font>
  <w:font w:name="monospace">
    <w:altName w:val="Noto Sans SC"/>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Wingdings 2">
    <w:altName w:val="Wingdings"/>
    <w:panose1 w:val="05020102010507070707"/>
    <w:charset w:val="02"/>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altName w:val="微软雅黑"/>
    <w:panose1 w:val="03000509000000000000"/>
    <w:charset w:val="86"/>
    <w:family w:val="auto"/>
    <w:pitch w:val="default"/>
    <w:sig w:usb0="00000001" w:usb1="080E0000" w:usb2="00000000" w:usb3="00000000" w:csb0="0004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Noto Sans SC">
    <w:panose1 w:val="020B0200000000000000"/>
    <w:charset w:val="86"/>
    <w:family w:val="auto"/>
    <w:pitch w:val="default"/>
    <w:sig w:usb0="20000083" w:usb1="2ADF3C10" w:usb2="00000016" w:usb3="00000000" w:csb0="60060107"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A14C4">
    <w:pPr>
      <w:pStyle w:val="15"/>
      <w:jc w:val="center"/>
      <w:rPr>
        <w:rStyle w:val="25"/>
      </w:rPr>
    </w:pPr>
  </w:p>
  <w:p w14:paraId="5DE6E0A5">
    <w:pPr>
      <w:pStyle w:val="15"/>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63715">
    <w:pPr>
      <w:pStyle w:val="15"/>
      <w:framePr w:wrap="around" w:vAnchor="text" w:hAnchor="margin" w:xAlign="center" w:y="1"/>
      <w:rPr>
        <w:rStyle w:val="25"/>
      </w:rPr>
    </w:pPr>
    <w:r>
      <w:fldChar w:fldCharType="begin"/>
    </w:r>
    <w:r>
      <w:rPr>
        <w:rStyle w:val="25"/>
        <w:highlight w:val="white"/>
      </w:rPr>
      <w:instrText xml:space="preserve">PAGE  </w:instrText>
    </w:r>
    <w:r>
      <w:fldChar w:fldCharType="separate"/>
    </w:r>
    <w:r>
      <w:fldChar w:fldCharType="end"/>
    </w:r>
  </w:p>
  <w:p w14:paraId="3A370DF8">
    <w:pPr>
      <w:pStyle w:val="1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B8936">
    <w:pPr>
      <w:pStyle w:val="15"/>
      <w:jc w:val="center"/>
      <w:rPr>
        <w:rStyle w:val="25"/>
      </w:rPr>
    </w:pPr>
  </w:p>
  <w:p w14:paraId="04EED7E5">
    <w:pPr>
      <w:pStyle w:val="15"/>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87DFF">
    <w:pPr>
      <w:pStyle w:val="15"/>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C29F0">
    <w:pPr>
      <w:pStyle w:val="15"/>
      <w:jc w:val="right"/>
      <w:rPr>
        <w:rFonts w:hint="eastAsia"/>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-111125</wp:posOffset>
              </wp:positionV>
              <wp:extent cx="1828800" cy="1828800"/>
              <wp:effectExtent l="0" t="0" r="0" b="0"/>
              <wp:wrapNone/>
              <wp:docPr id="2"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CB13C4">
                          <w:pPr>
                            <w:pStyle w:val="15"/>
                            <w:rPr>
                              <w:rStyle w:val="25"/>
                            </w:rPr>
                          </w:pPr>
                          <w:r>
                            <w:fldChar w:fldCharType="begin"/>
                          </w:r>
                          <w:r>
                            <w:rPr>
                              <w:rStyle w:val="25"/>
                              <w:highlight w:val="white"/>
                            </w:rPr>
                            <w:instrText xml:space="preserve">PAGE  </w:instrText>
                          </w:r>
                          <w:r>
                            <w:fldChar w:fldCharType="separate"/>
                          </w:r>
                          <w:r>
                            <w:rPr>
                              <w:rStyle w:val="25"/>
                              <w:highlight w:val="white"/>
                            </w:rPr>
                            <w:t>102</w:t>
                          </w:r>
                          <w:r>
                            <w:fldChar w:fldCharType="end"/>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8.75pt;height:144pt;width:144pt;mso-position-horizontal:right;mso-position-horizontal-relative:margin;mso-wrap-style:none;z-index:251660288;mso-width-relative:page;mso-height-relative:page;" filled="f" stroked="f" coordsize="21600,21600" o:gfxdata="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G3FR2NQAAAAIAQAADwAAAAAA&#10;AAABACAAAAAiAAAAZHJzL2Rvd25yZXYueG1sUEsBAhQAFAAAAAgAh07iQPPtwwbeAQAAvwMAAA4A&#10;AAAAAAAAAQAgAAAAIwEAAGRycy9lMm9Eb2MueG1sUEsFBgAAAAAGAAYAWQEAAHMFAAAAAA==&#10;">
              <v:fill on="f" focussize="0,0"/>
              <v:stroke on="f"/>
              <v:imagedata o:title=""/>
              <o:lock v:ext="edit" aspectratio="f"/>
              <v:textbox inset="0mm,0mm,0mm,0mm" style="mso-fit-shape-to-text:t;">
                <w:txbxContent>
                  <w:p w14:paraId="27CB13C4">
                    <w:pPr>
                      <w:pStyle w:val="15"/>
                      <w:rPr>
                        <w:rStyle w:val="25"/>
                      </w:rPr>
                    </w:pPr>
                    <w:r>
                      <w:fldChar w:fldCharType="begin"/>
                    </w:r>
                    <w:r>
                      <w:rPr>
                        <w:rStyle w:val="25"/>
                        <w:highlight w:val="white"/>
                      </w:rPr>
                      <w:instrText xml:space="preserve">PAGE  </w:instrText>
                    </w:r>
                    <w:r>
                      <w:fldChar w:fldCharType="separate"/>
                    </w:r>
                    <w:r>
                      <w:rPr>
                        <w:rStyle w:val="25"/>
                        <w:highlight w:val="white"/>
                      </w:rPr>
                      <w:t>102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B3D22">
    <w:pPr>
      <w:pStyle w:val="15"/>
    </w:pPr>
    <w:r>
      <w:rPr>
        <w:sz w:val="18"/>
      </w:rPr>
      <mc:AlternateContent>
        <mc:Choice Requires="wps">
          <w:drawing>
            <wp:anchor distT="0" distB="0" distL="114300" distR="114300" simplePos="0" relativeHeight="251662336" behindDoc="0" locked="0" layoutInCell="1" allowOverlap="1">
              <wp:simplePos x="0" y="0"/>
              <wp:positionH relativeFrom="margin">
                <wp:posOffset>5547995</wp:posOffset>
              </wp:positionH>
              <wp:positionV relativeFrom="paragraph">
                <wp:posOffset>133350</wp:posOffset>
              </wp:positionV>
              <wp:extent cx="319405" cy="13716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319405" cy="137160"/>
                      </a:xfrm>
                      <a:prstGeom prst="rect">
                        <a:avLst/>
                      </a:prstGeom>
                      <a:noFill/>
                      <a:ln>
                        <a:noFill/>
                      </a:ln>
                    </wps:spPr>
                    <wps:txbx>
                      <w:txbxContent>
                        <w:p w14:paraId="79B35066">
                          <w:pPr>
                            <w:pStyle w:val="15"/>
                            <w:rPr>
                              <w:sz w:val="15"/>
                              <w:szCs w:val="15"/>
                            </w:rPr>
                          </w:pP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p>
                      </w:txbxContent>
                    </wps:txbx>
                    <wps:bodyPr vert="horz" wrap="square" lIns="0" tIns="0" rIns="0" bIns="0" anchor="t" anchorCtr="0" upright="0"/>
                  </wps:wsp>
                </a:graphicData>
              </a:graphic>
            </wp:anchor>
          </w:drawing>
        </mc:Choice>
        <mc:Fallback>
          <w:pict>
            <v:shape id="文本框 63" o:spid="_x0000_s1026" o:spt="202" type="#_x0000_t202" style="position:absolute;left:0pt;margin-left:436.85pt;margin-top:10.5pt;height:10.8pt;width:25.15pt;mso-position-horizontal-relative:margin;z-index:251662336;mso-width-relative:page;mso-height-relative:page;" filled="f" stroked="f" coordsize="21600,21600" o:gfxdata="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X2vYh2QAAAAkBAAAPAAAA&#10;AAAAAAEAIAAAACIAAABkcnMvZG93bnJldi54bWxQSwECFAAUAAAACACHTuJA4+1b+dsBAAClAwAA&#10;DgAAAAAAAAABACAAAAAoAQAAZHJzL2Uyb0RvYy54bWxQSwUGAAAAAAYABgBZAQAAdQUAAAAA&#10;">
              <v:fill on="f" focussize="0,0"/>
              <v:stroke on="f"/>
              <v:imagedata o:title=""/>
              <o:lock v:ext="edit" aspectratio="f"/>
              <v:textbox inset="0mm,0mm,0mm,0mm">
                <w:txbxContent>
                  <w:p w14:paraId="79B35066">
                    <w:pPr>
                      <w:pStyle w:val="15"/>
                      <w:rPr>
                        <w:sz w:val="15"/>
                        <w:szCs w:val="15"/>
                      </w:rPr>
                    </w:pP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p>
                </w:txbxContent>
              </v:textbox>
            </v:shape>
          </w:pict>
        </mc:Fallback>
      </mc:AlternateContent>
    </w:r>
    <w:r>
      <w:rPr>
        <w:sz w:val="18"/>
      </w:rPr>
      <w:drawing>
        <wp:inline distT="0" distB="0" distL="114300" distR="114300">
          <wp:extent cx="532130" cy="328930"/>
          <wp:effectExtent l="0" t="0" r="1270" b="13970"/>
          <wp:docPr id="6" name="图片 1" descr="万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万隆"/>
                  <pic:cNvPicPr>
                    <a:picLocks noChangeAspect="1"/>
                  </pic:cNvPicPr>
                </pic:nvPicPr>
                <pic:blipFill>
                  <a:blip r:embed="rId1"/>
                  <a:stretch>
                    <a:fillRect/>
                  </a:stretch>
                </pic:blipFill>
                <pic:spPr>
                  <a:xfrm>
                    <a:off x="0" y="0"/>
                    <a:ext cx="532130" cy="328930"/>
                  </a:xfrm>
                  <a:prstGeom prst="rect">
                    <a:avLst/>
                  </a:prstGeom>
                  <a:noFill/>
                  <a:ln>
                    <a:noFill/>
                  </a:ln>
                </pic:spPr>
              </pic:pic>
            </a:graphicData>
          </a:graphic>
        </wp:inline>
      </w:drawing>
    </w:r>
    <w:r>
      <w:rPr>
        <w:rFonts w:hint="eastAsia"/>
        <w:sz w:val="18"/>
        <w:lang w:val="en-US" w:eastAsia="zh-C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D373D">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-111125</wp:posOffset>
              </wp:positionV>
              <wp:extent cx="1828800" cy="1828800"/>
              <wp:effectExtent l="0" t="0" r="0" b="0"/>
              <wp:wrapNone/>
              <wp:docPr id="5"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C64DB7">
                          <w:pPr>
                            <w:pStyle w:val="15"/>
                          </w:pPr>
                          <w:r>
                            <w:fldChar w:fldCharType="begin"/>
                          </w:r>
                          <w:r>
                            <w:instrText xml:space="preserve"> PAGE  \* MERGEFORMAT </w:instrText>
                          </w:r>
                          <w:r>
                            <w:fldChar w:fldCharType="separate"/>
                          </w:r>
                          <w:r>
                            <w:t>99</w:t>
                          </w:r>
                          <w:r>
                            <w:fldChar w:fldCharType="end"/>
                          </w:r>
                        </w:p>
                      </w:txbxContent>
                    </wps:txbx>
                    <wps:bodyPr vert="horz" wrap="none" lIns="0" tIns="0" rIns="0" bIns="0" anchor="t" anchorCtr="0" upright="0">
                      <a:spAutoFit/>
                    </wps:bodyPr>
                  </wps:wsp>
                </a:graphicData>
              </a:graphic>
            </wp:anchor>
          </w:drawing>
        </mc:Choice>
        <mc:Fallback>
          <w:pict>
            <v:shape id="文本框 64" o:spid="_x0000_s1026" o:spt="202" type="#_x0000_t202" style="position:absolute;left:0pt;margin-top:-8.75pt;height:144pt;width:144pt;mso-position-horizontal:right;mso-position-horizontal-relative:margin;mso-wrap-style:none;z-index:251663360;mso-width-relative:page;mso-height-relative:page;" filled="f" stroked="f" coordsize="21600,21600" o:gfxdata="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txUdjUAAAACAEAAA8AAAAA&#10;AAAAAQAgAAAAIgAAAGRycy9kb3ducmV2LnhtbFBLAQIUABQAAAAIAIdO4kD+vmvl3wEAAL8DAAAO&#10;AAAAAAAAAAEAIAAAACMBAABkcnMvZTJvRG9jLnhtbFBLBQYAAAAABgAGAFkBAAB0BQAAAAA=&#10;">
              <v:fill on="f" focussize="0,0"/>
              <v:stroke on="f"/>
              <v:imagedata o:title=""/>
              <o:lock v:ext="edit" aspectratio="f"/>
              <v:textbox inset="0mm,0mm,0mm,0mm" style="mso-fit-shape-to-text:t;">
                <w:txbxContent>
                  <w:p w14:paraId="41C64DB7">
                    <w:pPr>
                      <w:pStyle w:val="15"/>
                    </w:pPr>
                    <w:r>
                      <w:fldChar w:fldCharType="begin"/>
                    </w:r>
                    <w:r>
                      <w:instrText xml:space="preserve"> PAGE  \* MERGEFORMAT </w:instrText>
                    </w:r>
                    <w:r>
                      <w:fldChar w:fldCharType="separate"/>
                    </w:r>
                    <w:r>
                      <w:t>99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3F620">
    <w:pPr>
      <w:pStyle w:val="15"/>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-111125</wp:posOffset>
              </wp:positionV>
              <wp:extent cx="1828800" cy="1828800"/>
              <wp:effectExtent l="0" t="0" r="0" b="0"/>
              <wp:wrapNone/>
              <wp:docPr id="3"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C37E95">
                          <w:pPr>
                            <w:pStyle w:val="15"/>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0" o:spid="_x0000_s1026" o:spt="202" type="#_x0000_t202" style="position:absolute;left:0pt;margin-top:-8.75pt;height:144pt;width:144pt;mso-position-horizontal:right;mso-position-horizontal-relative:margin;mso-wrap-style:none;z-index:251661312;mso-width-relative:page;mso-height-relative:page;" filled="f" stroked="f" coordsize="21600,21600" o:gfxdata="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bcVHY1AAAAAgBAAAPAAAAAAAA&#10;AAEAIAAAACIAAABkcnMvZG93bnJldi54bWxQSwECFAAUAAAACACHTuJAnmP4pt0BAAC/AwAADgAA&#10;AAAAAAABACAAAAAjAQAAZHJzL2Uyb0RvYy54bWxQSwUGAAAAAAYABgBZAQAAcgUAAAAA&#10;">
              <v:fill on="f" focussize="0,0"/>
              <v:stroke on="f"/>
              <v:imagedata o:title=""/>
              <o:lock v:ext="edit" aspectratio="f"/>
              <v:textbox inset="0mm,0mm,0mm,0mm" style="mso-fit-shape-to-text:t;">
                <w:txbxContent>
                  <w:p w14:paraId="78C37E95">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ACC31">
    <w:pPr>
      <w:pStyle w:val="15"/>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-111125</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A9B463">
                          <w:pPr>
                            <w:pStyle w:val="15"/>
                            <w:jc w:val="center"/>
                          </w:pPr>
                          <w:r>
                            <w:rPr>
                              <w:rStyle w:val="25"/>
                              <w:rFonts w:hint="eastAsia" w:ascii="宋体" w:hAnsi="宋体" w:cs="宋体"/>
                            </w:rPr>
                            <w:fldChar w:fldCharType="begin"/>
                          </w:r>
                          <w:r>
                            <w:rPr>
                              <w:rStyle w:val="25"/>
                              <w:rFonts w:hint="eastAsia" w:ascii="宋体" w:hAnsi="宋体" w:cs="宋体"/>
                            </w:rPr>
                            <w:instrText xml:space="preserve"> PAGE </w:instrText>
                          </w:r>
                          <w:r>
                            <w:rPr>
                              <w:rStyle w:val="25"/>
                              <w:rFonts w:hint="eastAsia" w:ascii="宋体" w:hAnsi="宋体" w:cs="宋体"/>
                            </w:rPr>
                            <w:fldChar w:fldCharType="separate"/>
                          </w:r>
                          <w:r>
                            <w:rPr>
                              <w:rStyle w:val="25"/>
                              <w:rFonts w:hint="eastAsia" w:ascii="宋体" w:hAnsi="宋体" w:cs="宋体"/>
                            </w:rPr>
                            <w:t>2</w:t>
                          </w:r>
                          <w:r>
                            <w:rPr>
                              <w:rStyle w:val="25"/>
                              <w:rFonts w:hint="eastAsia" w:ascii="宋体" w:hAnsi="宋体" w:cs="宋体"/>
                            </w:rP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8.75pt;height:144pt;width:144pt;mso-position-horizontal:right;mso-position-horizontal-relative:margin;mso-wrap-style:none;z-index:251659264;mso-width-relative:page;mso-height-relative:page;" filled="f" stroked="f" coordsize="21600,21600" o:gfxdata="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G3FR2NQAAAAIAQAADwAAAAAA&#10;AAABACAAAAAiAAAAZHJzL2Rvd25yZXYueG1sUEsBAhQAFAAAAAgAh07iQBY+TKveAQAAvgMAAA4A&#10;AAAAAAAAAQAgAAAAIwEAAGRycy9lMm9Eb2MueG1sUEsFBgAAAAAGAAYAWQEAAHMFAAAAAA==&#10;">
              <v:fill on="f" focussize="0,0"/>
              <v:stroke on="f"/>
              <v:imagedata o:title=""/>
              <o:lock v:ext="edit" aspectratio="f"/>
              <v:textbox inset="0mm,0mm,0mm,0mm" style="mso-fit-shape-to-text:t;">
                <w:txbxContent>
                  <w:p w14:paraId="3DA9B463">
                    <w:pPr>
                      <w:pStyle w:val="15"/>
                      <w:jc w:val="center"/>
                    </w:pPr>
                    <w:r>
                      <w:rPr>
                        <w:rStyle w:val="25"/>
                        <w:rFonts w:hint="eastAsia" w:ascii="宋体" w:hAnsi="宋体" w:cs="宋体"/>
                      </w:rPr>
                      <w:fldChar w:fldCharType="begin"/>
                    </w:r>
                    <w:r>
                      <w:rPr>
                        <w:rStyle w:val="25"/>
                        <w:rFonts w:hint="eastAsia" w:ascii="宋体" w:hAnsi="宋体" w:cs="宋体"/>
                      </w:rPr>
                      <w:instrText xml:space="preserve"> PAGE </w:instrText>
                    </w:r>
                    <w:r>
                      <w:rPr>
                        <w:rStyle w:val="25"/>
                        <w:rFonts w:hint="eastAsia" w:ascii="宋体" w:hAnsi="宋体" w:cs="宋体"/>
                      </w:rPr>
                      <w:fldChar w:fldCharType="separate"/>
                    </w:r>
                    <w:r>
                      <w:rPr>
                        <w:rStyle w:val="25"/>
                        <w:rFonts w:hint="eastAsia" w:ascii="宋体" w:hAnsi="宋体" w:cs="宋体"/>
                      </w:rPr>
                      <w:t>2</w:t>
                    </w:r>
                    <w:r>
                      <w:rPr>
                        <w:rStyle w:val="25"/>
                        <w:rFonts w:hint="eastAsia" w:ascii="宋体" w:hAnsi="宋体" w:cs="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4D169">
    <w:pPr>
      <w:spacing w:line="360" w:lineRule="auto"/>
      <w:jc w:val="center"/>
      <w:rPr>
        <w:u w:val="single"/>
      </w:rPr>
    </w:pPr>
    <w:r>
      <w:rPr>
        <w:rFonts w:hint="eastAsia" w:ascii="宋体" w:hAnsi="宋体" w:eastAsia="宋体" w:cs="宋体"/>
        <w:b w:val="0"/>
        <w:bCs w:val="0"/>
        <w:sz w:val="15"/>
        <w:szCs w:val="15"/>
        <w:u w:val="single"/>
        <w:lang w:eastAsia="zh-CN"/>
      </w:rPr>
      <w:t>南通轨道交通部分站点非机动车换乘停车优化改造施工项目</w:t>
    </w:r>
    <w:r>
      <w:rPr>
        <w:rFonts w:hint="eastAsia" w:ascii="宋体" w:hAnsi="宋体" w:eastAsia="宋体" w:cs="宋体"/>
        <w:b w:val="0"/>
        <w:bCs w:val="0"/>
        <w:sz w:val="15"/>
        <w:szCs w:val="15"/>
        <w:u w:val="single"/>
      </w:rPr>
      <w:t>第1批次工程施工招标</w:t>
    </w:r>
    <w:r>
      <w:rPr>
        <w:rFonts w:hint="eastAsia" w:ascii="宋体" w:hAnsi="宋体" w:eastAsia="宋体" w:cs="宋体"/>
        <w:b w:val="0"/>
        <w:bCs w:val="0"/>
        <w:sz w:val="15"/>
        <w:szCs w:val="15"/>
        <w:u w:val="single"/>
        <w:lang w:val="en-US" w:eastAsia="zh-CN"/>
      </w:rPr>
      <w:t xml:space="preserve">                                   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E892D">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94A18"/>
    <w:multiLevelType w:val="singleLevel"/>
    <w:tmpl w:val="88C94A18"/>
    <w:lvl w:ilvl="0" w:tentative="0">
      <w:start w:val="1"/>
      <w:numFmt w:val="decimal"/>
      <w:suff w:val="nothing"/>
      <w:lvlText w:val="（%1）"/>
      <w:lvlJc w:val="left"/>
    </w:lvl>
  </w:abstractNum>
  <w:abstractNum w:abstractNumId="1">
    <w:nsid w:val="B25FC064"/>
    <w:multiLevelType w:val="singleLevel"/>
    <w:tmpl w:val="B25FC064"/>
    <w:lvl w:ilvl="0" w:tentative="0">
      <w:start w:val="1"/>
      <w:numFmt w:val="chineseCounting"/>
      <w:suff w:val="nothing"/>
      <w:lvlText w:val="%1、"/>
      <w:lvlJc w:val="left"/>
      <w:rPr>
        <w:rFonts w:hint="eastAsia"/>
      </w:rPr>
    </w:lvl>
  </w:abstractNum>
  <w:abstractNum w:abstractNumId="2">
    <w:nsid w:val="C4F16211"/>
    <w:multiLevelType w:val="singleLevel"/>
    <w:tmpl w:val="C4F16211"/>
    <w:lvl w:ilvl="0" w:tentative="0">
      <w:start w:val="16"/>
      <w:numFmt w:val="decimal"/>
      <w:suff w:val="space"/>
      <w:lvlText w:val="%1."/>
      <w:lvlJc w:val="left"/>
    </w:lvl>
  </w:abstractNum>
  <w:abstractNum w:abstractNumId="3">
    <w:nsid w:val="DFED1644"/>
    <w:multiLevelType w:val="singleLevel"/>
    <w:tmpl w:val="DFED1644"/>
    <w:lvl w:ilvl="0" w:tentative="0">
      <w:start w:val="1"/>
      <w:numFmt w:val="decimal"/>
      <w:suff w:val="nothing"/>
      <w:lvlText w:val="（%1）"/>
      <w:lvlJc w:val="left"/>
    </w:lvl>
  </w:abstractNum>
  <w:abstractNum w:abstractNumId="4">
    <w:nsid w:val="3C2CF229"/>
    <w:multiLevelType w:val="singleLevel"/>
    <w:tmpl w:val="3C2CF229"/>
    <w:lvl w:ilvl="0" w:tentative="0">
      <w:start w:val="10"/>
      <w:numFmt w:val="decimal"/>
      <w:suff w:val="nothing"/>
      <w:lvlText w:val="（%1）"/>
      <w:lvlJc w:val="left"/>
    </w:lvl>
  </w:abstractNum>
  <w:abstractNum w:abstractNumId="5">
    <w:nsid w:val="3FC2C159"/>
    <w:multiLevelType w:val="singleLevel"/>
    <w:tmpl w:val="3FC2C159"/>
    <w:lvl w:ilvl="0" w:tentative="0">
      <w:start w:val="4"/>
      <w:numFmt w:val="decimal"/>
      <w:suff w:val="nothing"/>
      <w:lvlText w:val="%1．"/>
      <w:lvlJc w:val="left"/>
    </w:lvl>
  </w:abstractNum>
  <w:abstractNum w:abstractNumId="6">
    <w:nsid w:val="548DD468"/>
    <w:multiLevelType w:val="singleLevel"/>
    <w:tmpl w:val="548DD468"/>
    <w:lvl w:ilvl="0" w:tentative="0">
      <w:start w:val="1"/>
      <w:numFmt w:val="decimal"/>
      <w:suff w:val="nothing"/>
      <w:lvlText w:val="（%1）"/>
      <w:lvlJc w:val="left"/>
    </w:lvl>
  </w:abstractNum>
  <w:abstractNum w:abstractNumId="7">
    <w:nsid w:val="640C601B"/>
    <w:multiLevelType w:val="multilevel"/>
    <w:tmpl w:val="640C601B"/>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pStyle w:val="43"/>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8">
    <w:nsid w:val="71BA2C82"/>
    <w:multiLevelType w:val="multilevel"/>
    <w:tmpl w:val="71BA2C82"/>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5"/>
  </w:num>
  <w:num w:numId="3">
    <w:abstractNumId w:val="8"/>
  </w:num>
  <w:num w:numId="4">
    <w:abstractNumId w:val="0"/>
  </w:num>
  <w:num w:numId="5">
    <w:abstractNumId w:val="4"/>
  </w:num>
  <w:num w:numId="6">
    <w:abstractNumId w:val="3"/>
  </w:num>
  <w:num w:numId="7">
    <w:abstractNumId w:val="2"/>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3NTUxOTlhZDNmM2YzZWIwNWNjNDUwNmFkOTQ3NmUifQ=="/>
  </w:docVars>
  <w:rsids>
    <w:rsidRoot w:val="00CC5B2C"/>
    <w:rsid w:val="00063204"/>
    <w:rsid w:val="00136E85"/>
    <w:rsid w:val="001D5AC0"/>
    <w:rsid w:val="00561DF7"/>
    <w:rsid w:val="005F204C"/>
    <w:rsid w:val="006E0B8B"/>
    <w:rsid w:val="00773914"/>
    <w:rsid w:val="0098388D"/>
    <w:rsid w:val="009C6F3C"/>
    <w:rsid w:val="00AA4A02"/>
    <w:rsid w:val="00AE1718"/>
    <w:rsid w:val="00BF16E6"/>
    <w:rsid w:val="00C06343"/>
    <w:rsid w:val="00CC0019"/>
    <w:rsid w:val="00CC5B2C"/>
    <w:rsid w:val="00D17737"/>
    <w:rsid w:val="00DE0057"/>
    <w:rsid w:val="00DE47E5"/>
    <w:rsid w:val="00E541CD"/>
    <w:rsid w:val="00FF449A"/>
    <w:rsid w:val="013C2474"/>
    <w:rsid w:val="015170E8"/>
    <w:rsid w:val="01623AA7"/>
    <w:rsid w:val="01942BE3"/>
    <w:rsid w:val="01B14C06"/>
    <w:rsid w:val="02900BE7"/>
    <w:rsid w:val="036839EA"/>
    <w:rsid w:val="03A82039"/>
    <w:rsid w:val="03CC21CB"/>
    <w:rsid w:val="043F1D3E"/>
    <w:rsid w:val="04523F2F"/>
    <w:rsid w:val="04AD710B"/>
    <w:rsid w:val="04B638C9"/>
    <w:rsid w:val="04BE5341"/>
    <w:rsid w:val="05196B38"/>
    <w:rsid w:val="05267C3F"/>
    <w:rsid w:val="05484989"/>
    <w:rsid w:val="05CF14A7"/>
    <w:rsid w:val="065B0067"/>
    <w:rsid w:val="066737B7"/>
    <w:rsid w:val="07060CE0"/>
    <w:rsid w:val="071C6FC5"/>
    <w:rsid w:val="0796494F"/>
    <w:rsid w:val="081E2391"/>
    <w:rsid w:val="08236132"/>
    <w:rsid w:val="0841381E"/>
    <w:rsid w:val="084D31AF"/>
    <w:rsid w:val="0889718D"/>
    <w:rsid w:val="095347F5"/>
    <w:rsid w:val="09B94900"/>
    <w:rsid w:val="09BD6890"/>
    <w:rsid w:val="0A5B7E05"/>
    <w:rsid w:val="0A95236C"/>
    <w:rsid w:val="0A9A4C22"/>
    <w:rsid w:val="0ABB4734"/>
    <w:rsid w:val="0B4638FA"/>
    <w:rsid w:val="0BA23811"/>
    <w:rsid w:val="0C34471F"/>
    <w:rsid w:val="0C4015EA"/>
    <w:rsid w:val="0C530BF2"/>
    <w:rsid w:val="0DA10224"/>
    <w:rsid w:val="0DB241E0"/>
    <w:rsid w:val="0DCB35EB"/>
    <w:rsid w:val="0E080770"/>
    <w:rsid w:val="0E5434E9"/>
    <w:rsid w:val="0E6E1D53"/>
    <w:rsid w:val="0E8A44E6"/>
    <w:rsid w:val="0EB06C7A"/>
    <w:rsid w:val="0ECD223A"/>
    <w:rsid w:val="0F5B71F4"/>
    <w:rsid w:val="0F704352"/>
    <w:rsid w:val="0F7F00F1"/>
    <w:rsid w:val="0FE663C2"/>
    <w:rsid w:val="10FE2632"/>
    <w:rsid w:val="11765524"/>
    <w:rsid w:val="117874EE"/>
    <w:rsid w:val="11830B32"/>
    <w:rsid w:val="118C241D"/>
    <w:rsid w:val="11AC2E47"/>
    <w:rsid w:val="11B81041"/>
    <w:rsid w:val="12062D4C"/>
    <w:rsid w:val="122B51F3"/>
    <w:rsid w:val="123677AA"/>
    <w:rsid w:val="12692AC8"/>
    <w:rsid w:val="12836311"/>
    <w:rsid w:val="12877329"/>
    <w:rsid w:val="12886F8E"/>
    <w:rsid w:val="12AC7B51"/>
    <w:rsid w:val="12B427A8"/>
    <w:rsid w:val="13224D15"/>
    <w:rsid w:val="1327650B"/>
    <w:rsid w:val="132A7240"/>
    <w:rsid w:val="135A6DDB"/>
    <w:rsid w:val="1388162C"/>
    <w:rsid w:val="138C54D3"/>
    <w:rsid w:val="139F1C4F"/>
    <w:rsid w:val="13AE2C6A"/>
    <w:rsid w:val="13B80194"/>
    <w:rsid w:val="142A4142"/>
    <w:rsid w:val="143C0CA7"/>
    <w:rsid w:val="145C2684"/>
    <w:rsid w:val="146B50E8"/>
    <w:rsid w:val="14E80F27"/>
    <w:rsid w:val="15027387"/>
    <w:rsid w:val="15050086"/>
    <w:rsid w:val="15434BA5"/>
    <w:rsid w:val="15703044"/>
    <w:rsid w:val="15D313AB"/>
    <w:rsid w:val="167D231E"/>
    <w:rsid w:val="1880142C"/>
    <w:rsid w:val="18945627"/>
    <w:rsid w:val="19121FD6"/>
    <w:rsid w:val="19276E82"/>
    <w:rsid w:val="1932564A"/>
    <w:rsid w:val="199E1ABC"/>
    <w:rsid w:val="19DD6587"/>
    <w:rsid w:val="1A613215"/>
    <w:rsid w:val="1A9A6727"/>
    <w:rsid w:val="1AAF023E"/>
    <w:rsid w:val="1ABA5823"/>
    <w:rsid w:val="1B1028A4"/>
    <w:rsid w:val="1B59213E"/>
    <w:rsid w:val="1BF73705"/>
    <w:rsid w:val="1C2344FA"/>
    <w:rsid w:val="1C7319FA"/>
    <w:rsid w:val="1CEE6C3F"/>
    <w:rsid w:val="1D175E0D"/>
    <w:rsid w:val="1D2B4CE9"/>
    <w:rsid w:val="1D344C11"/>
    <w:rsid w:val="1D4110DC"/>
    <w:rsid w:val="1D5B4D6D"/>
    <w:rsid w:val="1D6152DA"/>
    <w:rsid w:val="1D6A113E"/>
    <w:rsid w:val="1D8845C0"/>
    <w:rsid w:val="1DC403FE"/>
    <w:rsid w:val="1DE24E96"/>
    <w:rsid w:val="1DE55F0B"/>
    <w:rsid w:val="1E004DEC"/>
    <w:rsid w:val="1E5B61CE"/>
    <w:rsid w:val="1E955864"/>
    <w:rsid w:val="1EA90859"/>
    <w:rsid w:val="1EB85342"/>
    <w:rsid w:val="1EB90258"/>
    <w:rsid w:val="1F5D3815"/>
    <w:rsid w:val="1F82397B"/>
    <w:rsid w:val="1FFF4276"/>
    <w:rsid w:val="204171BD"/>
    <w:rsid w:val="20456D06"/>
    <w:rsid w:val="204E3241"/>
    <w:rsid w:val="20686980"/>
    <w:rsid w:val="20855903"/>
    <w:rsid w:val="21B84562"/>
    <w:rsid w:val="21E60631"/>
    <w:rsid w:val="21FD6F46"/>
    <w:rsid w:val="222C2779"/>
    <w:rsid w:val="2315202E"/>
    <w:rsid w:val="23162AB3"/>
    <w:rsid w:val="237064BA"/>
    <w:rsid w:val="23A61E5A"/>
    <w:rsid w:val="23C15FD1"/>
    <w:rsid w:val="241A0F8C"/>
    <w:rsid w:val="24883A94"/>
    <w:rsid w:val="24BB5F3A"/>
    <w:rsid w:val="24CE2420"/>
    <w:rsid w:val="251C461B"/>
    <w:rsid w:val="259057E9"/>
    <w:rsid w:val="25CC4910"/>
    <w:rsid w:val="25D42B7E"/>
    <w:rsid w:val="260C5D80"/>
    <w:rsid w:val="261B3491"/>
    <w:rsid w:val="266B2453"/>
    <w:rsid w:val="26E86A6C"/>
    <w:rsid w:val="27675295"/>
    <w:rsid w:val="27934430"/>
    <w:rsid w:val="27F8367E"/>
    <w:rsid w:val="2818196B"/>
    <w:rsid w:val="28477FEC"/>
    <w:rsid w:val="2885273C"/>
    <w:rsid w:val="289433AC"/>
    <w:rsid w:val="2907142C"/>
    <w:rsid w:val="297A0404"/>
    <w:rsid w:val="297B3BC8"/>
    <w:rsid w:val="298E0913"/>
    <w:rsid w:val="2A926466"/>
    <w:rsid w:val="2A9A007E"/>
    <w:rsid w:val="2AC54C84"/>
    <w:rsid w:val="2B0425F6"/>
    <w:rsid w:val="2B574474"/>
    <w:rsid w:val="2B760FD0"/>
    <w:rsid w:val="2B85734E"/>
    <w:rsid w:val="2C0B2222"/>
    <w:rsid w:val="2C3F2C8B"/>
    <w:rsid w:val="2C463387"/>
    <w:rsid w:val="2CAA0F4A"/>
    <w:rsid w:val="2D3A4195"/>
    <w:rsid w:val="2D9708A4"/>
    <w:rsid w:val="2DB126A6"/>
    <w:rsid w:val="2E057E65"/>
    <w:rsid w:val="2E627C15"/>
    <w:rsid w:val="2E7B4E8A"/>
    <w:rsid w:val="2E7D3097"/>
    <w:rsid w:val="2EE67CD4"/>
    <w:rsid w:val="2F2A767A"/>
    <w:rsid w:val="2F741FA7"/>
    <w:rsid w:val="2F95350D"/>
    <w:rsid w:val="30110DE2"/>
    <w:rsid w:val="301F2888"/>
    <w:rsid w:val="305D7426"/>
    <w:rsid w:val="30B91725"/>
    <w:rsid w:val="30FB6151"/>
    <w:rsid w:val="31BD3104"/>
    <w:rsid w:val="32195113"/>
    <w:rsid w:val="323734DE"/>
    <w:rsid w:val="32B647D2"/>
    <w:rsid w:val="32D965A5"/>
    <w:rsid w:val="32FD6E57"/>
    <w:rsid w:val="330110F1"/>
    <w:rsid w:val="33B64B03"/>
    <w:rsid w:val="33BD6C60"/>
    <w:rsid w:val="33C80101"/>
    <w:rsid w:val="33DE7E86"/>
    <w:rsid w:val="34251DEB"/>
    <w:rsid w:val="342A7568"/>
    <w:rsid w:val="34A51AF9"/>
    <w:rsid w:val="34C62FA5"/>
    <w:rsid w:val="34F47201"/>
    <w:rsid w:val="35274194"/>
    <w:rsid w:val="35426AC9"/>
    <w:rsid w:val="360915BF"/>
    <w:rsid w:val="362D016B"/>
    <w:rsid w:val="36C50230"/>
    <w:rsid w:val="36F82E62"/>
    <w:rsid w:val="378A7751"/>
    <w:rsid w:val="379F2925"/>
    <w:rsid w:val="38100F25"/>
    <w:rsid w:val="383503D4"/>
    <w:rsid w:val="38685765"/>
    <w:rsid w:val="388A1731"/>
    <w:rsid w:val="38A8605B"/>
    <w:rsid w:val="38BB7B3D"/>
    <w:rsid w:val="39180AEB"/>
    <w:rsid w:val="397115FB"/>
    <w:rsid w:val="39816E89"/>
    <w:rsid w:val="39892F61"/>
    <w:rsid w:val="3A04533E"/>
    <w:rsid w:val="3A054634"/>
    <w:rsid w:val="3A7A6AD0"/>
    <w:rsid w:val="3AA813D4"/>
    <w:rsid w:val="3AE707F3"/>
    <w:rsid w:val="3AF9494C"/>
    <w:rsid w:val="3AFB06C4"/>
    <w:rsid w:val="3B304812"/>
    <w:rsid w:val="3B463501"/>
    <w:rsid w:val="3BB628EC"/>
    <w:rsid w:val="3C570EF3"/>
    <w:rsid w:val="3C594ECC"/>
    <w:rsid w:val="3C9371D7"/>
    <w:rsid w:val="3DE74CF8"/>
    <w:rsid w:val="3E1C7039"/>
    <w:rsid w:val="3E2945BC"/>
    <w:rsid w:val="3E4811F1"/>
    <w:rsid w:val="3EE002FD"/>
    <w:rsid w:val="3F002AAC"/>
    <w:rsid w:val="3F312907"/>
    <w:rsid w:val="3F3917BB"/>
    <w:rsid w:val="3F542A99"/>
    <w:rsid w:val="3FAA6784"/>
    <w:rsid w:val="3FDE5539"/>
    <w:rsid w:val="3FF62F45"/>
    <w:rsid w:val="40023E09"/>
    <w:rsid w:val="402973A5"/>
    <w:rsid w:val="40890521"/>
    <w:rsid w:val="409E261F"/>
    <w:rsid w:val="40DA2FC9"/>
    <w:rsid w:val="4169029F"/>
    <w:rsid w:val="419E7FFC"/>
    <w:rsid w:val="41C3005C"/>
    <w:rsid w:val="41F93484"/>
    <w:rsid w:val="41FA06AE"/>
    <w:rsid w:val="42097F4F"/>
    <w:rsid w:val="42AC20DF"/>
    <w:rsid w:val="42BE6BA7"/>
    <w:rsid w:val="42CE4911"/>
    <w:rsid w:val="42EA1947"/>
    <w:rsid w:val="435E7881"/>
    <w:rsid w:val="43BB30E7"/>
    <w:rsid w:val="443D1527"/>
    <w:rsid w:val="446564F0"/>
    <w:rsid w:val="44A65B45"/>
    <w:rsid w:val="44B41D30"/>
    <w:rsid w:val="45227371"/>
    <w:rsid w:val="452F5B3A"/>
    <w:rsid w:val="45886900"/>
    <w:rsid w:val="45B47DEE"/>
    <w:rsid w:val="45B625C9"/>
    <w:rsid w:val="45CD7101"/>
    <w:rsid w:val="45F53F83"/>
    <w:rsid w:val="46A605F6"/>
    <w:rsid w:val="46B50DCA"/>
    <w:rsid w:val="46E949BB"/>
    <w:rsid w:val="46FF778E"/>
    <w:rsid w:val="470923BB"/>
    <w:rsid w:val="4718679D"/>
    <w:rsid w:val="477B5067"/>
    <w:rsid w:val="47830694"/>
    <w:rsid w:val="47A735E5"/>
    <w:rsid w:val="47B556D7"/>
    <w:rsid w:val="47BE0573"/>
    <w:rsid w:val="47E00617"/>
    <w:rsid w:val="47E36D53"/>
    <w:rsid w:val="47F82104"/>
    <w:rsid w:val="488567A0"/>
    <w:rsid w:val="48AB372A"/>
    <w:rsid w:val="494E56CC"/>
    <w:rsid w:val="49E24AA9"/>
    <w:rsid w:val="49F64E79"/>
    <w:rsid w:val="4AD90602"/>
    <w:rsid w:val="4B326241"/>
    <w:rsid w:val="4BEE156E"/>
    <w:rsid w:val="4C5C2F8D"/>
    <w:rsid w:val="4C716A38"/>
    <w:rsid w:val="4CD947ED"/>
    <w:rsid w:val="4D364A57"/>
    <w:rsid w:val="4D3F2FDD"/>
    <w:rsid w:val="4E022DCC"/>
    <w:rsid w:val="4E964534"/>
    <w:rsid w:val="4EF4621E"/>
    <w:rsid w:val="4EF91787"/>
    <w:rsid w:val="4F0F2539"/>
    <w:rsid w:val="4F101158"/>
    <w:rsid w:val="4F5D5052"/>
    <w:rsid w:val="4F5E0983"/>
    <w:rsid w:val="501F7356"/>
    <w:rsid w:val="50473D61"/>
    <w:rsid w:val="50B1445A"/>
    <w:rsid w:val="50D42407"/>
    <w:rsid w:val="50D43A3A"/>
    <w:rsid w:val="50DA0B5C"/>
    <w:rsid w:val="50E679EA"/>
    <w:rsid w:val="513557E7"/>
    <w:rsid w:val="513E423F"/>
    <w:rsid w:val="5194640A"/>
    <w:rsid w:val="51C1209E"/>
    <w:rsid w:val="521C62D4"/>
    <w:rsid w:val="52726B33"/>
    <w:rsid w:val="528C2795"/>
    <w:rsid w:val="52CD0AE6"/>
    <w:rsid w:val="52D51675"/>
    <w:rsid w:val="53420E0D"/>
    <w:rsid w:val="53803A05"/>
    <w:rsid w:val="53F046E7"/>
    <w:rsid w:val="542045BF"/>
    <w:rsid w:val="54410770"/>
    <w:rsid w:val="54911B19"/>
    <w:rsid w:val="55452810"/>
    <w:rsid w:val="55684751"/>
    <w:rsid w:val="557C2C81"/>
    <w:rsid w:val="56022424"/>
    <w:rsid w:val="565F12B9"/>
    <w:rsid w:val="56B44761"/>
    <w:rsid w:val="56FA0B1B"/>
    <w:rsid w:val="573A381D"/>
    <w:rsid w:val="573D5C29"/>
    <w:rsid w:val="5794182D"/>
    <w:rsid w:val="57BD0AE2"/>
    <w:rsid w:val="57C1650C"/>
    <w:rsid w:val="580352F1"/>
    <w:rsid w:val="587F27ED"/>
    <w:rsid w:val="58873140"/>
    <w:rsid w:val="5889510A"/>
    <w:rsid w:val="58A837E2"/>
    <w:rsid w:val="58C16652"/>
    <w:rsid w:val="58D746F8"/>
    <w:rsid w:val="59062862"/>
    <w:rsid w:val="590658B2"/>
    <w:rsid w:val="592442AB"/>
    <w:rsid w:val="595B08A7"/>
    <w:rsid w:val="59B94BE9"/>
    <w:rsid w:val="5A0C7908"/>
    <w:rsid w:val="5A604EC4"/>
    <w:rsid w:val="5AC95C92"/>
    <w:rsid w:val="5ACC24AE"/>
    <w:rsid w:val="5B0647F0"/>
    <w:rsid w:val="5B6A581A"/>
    <w:rsid w:val="5B836859"/>
    <w:rsid w:val="5B8D6CBF"/>
    <w:rsid w:val="5BB406F0"/>
    <w:rsid w:val="5BC71588"/>
    <w:rsid w:val="5BD73637"/>
    <w:rsid w:val="5BD959E1"/>
    <w:rsid w:val="5C252129"/>
    <w:rsid w:val="5C2C6E98"/>
    <w:rsid w:val="5CDE7FAB"/>
    <w:rsid w:val="5D092AA9"/>
    <w:rsid w:val="5D5F215B"/>
    <w:rsid w:val="5D83037A"/>
    <w:rsid w:val="5DD005AB"/>
    <w:rsid w:val="5DE74136"/>
    <w:rsid w:val="5E1A119B"/>
    <w:rsid w:val="5EAE1426"/>
    <w:rsid w:val="5EEC2CB4"/>
    <w:rsid w:val="5EFD5F0A"/>
    <w:rsid w:val="5F0B0627"/>
    <w:rsid w:val="5F141327"/>
    <w:rsid w:val="5F8D5FB6"/>
    <w:rsid w:val="5FA40A7B"/>
    <w:rsid w:val="5FB03F82"/>
    <w:rsid w:val="5FD65DC8"/>
    <w:rsid w:val="5FF72914"/>
    <w:rsid w:val="604271FC"/>
    <w:rsid w:val="60C200B9"/>
    <w:rsid w:val="60CC2038"/>
    <w:rsid w:val="60F60CF8"/>
    <w:rsid w:val="614657C2"/>
    <w:rsid w:val="61655B26"/>
    <w:rsid w:val="617F7591"/>
    <w:rsid w:val="618B5004"/>
    <w:rsid w:val="61C4541E"/>
    <w:rsid w:val="6217568F"/>
    <w:rsid w:val="62275413"/>
    <w:rsid w:val="627C20B0"/>
    <w:rsid w:val="62821FCD"/>
    <w:rsid w:val="62A0052D"/>
    <w:rsid w:val="62EF1E31"/>
    <w:rsid w:val="637214ED"/>
    <w:rsid w:val="63AB687C"/>
    <w:rsid w:val="63D3192F"/>
    <w:rsid w:val="63F0010D"/>
    <w:rsid w:val="63FE6962"/>
    <w:rsid w:val="64105E96"/>
    <w:rsid w:val="642D7FCF"/>
    <w:rsid w:val="645061F7"/>
    <w:rsid w:val="648A46E4"/>
    <w:rsid w:val="64AD0DD2"/>
    <w:rsid w:val="64AD49D2"/>
    <w:rsid w:val="64DE5C3E"/>
    <w:rsid w:val="64E07E49"/>
    <w:rsid w:val="65240694"/>
    <w:rsid w:val="654843CE"/>
    <w:rsid w:val="65B53EBC"/>
    <w:rsid w:val="65B57F02"/>
    <w:rsid w:val="65E240AB"/>
    <w:rsid w:val="663407E0"/>
    <w:rsid w:val="668F3463"/>
    <w:rsid w:val="66F439A1"/>
    <w:rsid w:val="6703077D"/>
    <w:rsid w:val="6752773A"/>
    <w:rsid w:val="679A2E90"/>
    <w:rsid w:val="67A8574B"/>
    <w:rsid w:val="6818192D"/>
    <w:rsid w:val="68330BEE"/>
    <w:rsid w:val="6842701C"/>
    <w:rsid w:val="685A43CD"/>
    <w:rsid w:val="68F95994"/>
    <w:rsid w:val="69154E13"/>
    <w:rsid w:val="69C47F7A"/>
    <w:rsid w:val="69D82F18"/>
    <w:rsid w:val="6AE83F12"/>
    <w:rsid w:val="6AFD409F"/>
    <w:rsid w:val="6B2331E9"/>
    <w:rsid w:val="6B497E56"/>
    <w:rsid w:val="6B526D02"/>
    <w:rsid w:val="6B655563"/>
    <w:rsid w:val="6B7F16F5"/>
    <w:rsid w:val="6C081CD2"/>
    <w:rsid w:val="6C7041BF"/>
    <w:rsid w:val="6CE4695B"/>
    <w:rsid w:val="6D963ECA"/>
    <w:rsid w:val="6D967C55"/>
    <w:rsid w:val="6D9A66D3"/>
    <w:rsid w:val="6E112780"/>
    <w:rsid w:val="6E146DCC"/>
    <w:rsid w:val="6E27085A"/>
    <w:rsid w:val="6E954C1C"/>
    <w:rsid w:val="6EC470F9"/>
    <w:rsid w:val="6F0A1E85"/>
    <w:rsid w:val="6F0F4163"/>
    <w:rsid w:val="6F484F7F"/>
    <w:rsid w:val="6F5E3986"/>
    <w:rsid w:val="6F9E7295"/>
    <w:rsid w:val="6FA5043E"/>
    <w:rsid w:val="6FB60E68"/>
    <w:rsid w:val="702E15A7"/>
    <w:rsid w:val="70337222"/>
    <w:rsid w:val="707324D0"/>
    <w:rsid w:val="70A32120"/>
    <w:rsid w:val="70AC7790"/>
    <w:rsid w:val="70BD3926"/>
    <w:rsid w:val="70C16D9F"/>
    <w:rsid w:val="70E622A1"/>
    <w:rsid w:val="71240DF6"/>
    <w:rsid w:val="71265794"/>
    <w:rsid w:val="712B4B58"/>
    <w:rsid w:val="712F564E"/>
    <w:rsid w:val="715E25A1"/>
    <w:rsid w:val="722D5B19"/>
    <w:rsid w:val="72695938"/>
    <w:rsid w:val="727368A6"/>
    <w:rsid w:val="72E651DB"/>
    <w:rsid w:val="73A37C8D"/>
    <w:rsid w:val="73C2712D"/>
    <w:rsid w:val="740B40F1"/>
    <w:rsid w:val="74380E77"/>
    <w:rsid w:val="7493587C"/>
    <w:rsid w:val="75060B0F"/>
    <w:rsid w:val="752640D3"/>
    <w:rsid w:val="754E39D8"/>
    <w:rsid w:val="7605782D"/>
    <w:rsid w:val="760E0B12"/>
    <w:rsid w:val="766200BA"/>
    <w:rsid w:val="76740D50"/>
    <w:rsid w:val="76857A13"/>
    <w:rsid w:val="768A6BBD"/>
    <w:rsid w:val="769E5561"/>
    <w:rsid w:val="76C1790D"/>
    <w:rsid w:val="774823DA"/>
    <w:rsid w:val="77C270DE"/>
    <w:rsid w:val="77C351F1"/>
    <w:rsid w:val="780D5F65"/>
    <w:rsid w:val="784604CA"/>
    <w:rsid w:val="7897045A"/>
    <w:rsid w:val="78FE7BA3"/>
    <w:rsid w:val="795230BD"/>
    <w:rsid w:val="795310F0"/>
    <w:rsid w:val="795C3D8E"/>
    <w:rsid w:val="79694470"/>
    <w:rsid w:val="79E93803"/>
    <w:rsid w:val="7A3251AA"/>
    <w:rsid w:val="7A392094"/>
    <w:rsid w:val="7A456C8B"/>
    <w:rsid w:val="7B5554B4"/>
    <w:rsid w:val="7B6D4D36"/>
    <w:rsid w:val="7B952FCC"/>
    <w:rsid w:val="7BC67D0B"/>
    <w:rsid w:val="7C360B69"/>
    <w:rsid w:val="7C844991"/>
    <w:rsid w:val="7D5F6580"/>
    <w:rsid w:val="7D910439"/>
    <w:rsid w:val="7DDB16B4"/>
    <w:rsid w:val="7E064983"/>
    <w:rsid w:val="7E2A254B"/>
    <w:rsid w:val="7F1D2DA8"/>
    <w:rsid w:val="7FEF6800"/>
    <w:rsid w:val="D6CF6A7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宋体" w:hAnsi="宋体" w:eastAsia="宋体" w:cs="宋体"/>
      <w:b/>
      <w:bCs/>
      <w:kern w:val="44"/>
      <w:sz w:val="36"/>
      <w:szCs w:val="44"/>
    </w:rPr>
  </w:style>
  <w:style w:type="paragraph" w:styleId="3">
    <w:name w:val="heading 2"/>
    <w:basedOn w:val="1"/>
    <w:next w:val="1"/>
    <w:link w:val="37"/>
    <w:qFormat/>
    <w:uiPriority w:val="0"/>
    <w:pPr>
      <w:keepNext/>
      <w:keepLines/>
      <w:spacing w:before="260" w:after="260" w:line="416" w:lineRule="auto"/>
      <w:outlineLvl w:val="1"/>
    </w:pPr>
    <w:rPr>
      <w:rFonts w:ascii="Arial" w:hAnsi="Arial" w:eastAsia="宋体"/>
      <w:b/>
      <w:bCs/>
      <w:sz w:val="28"/>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line="360" w:lineRule="auto"/>
      <w:outlineLvl w:val="3"/>
    </w:pPr>
    <w:rPr>
      <w:rFonts w:ascii="Arial" w:hAnsi="Arial"/>
      <w:b/>
      <w:bCs/>
      <w:szCs w:val="28"/>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character" w:default="1" w:styleId="24">
    <w:name w:val="Default Paragraph Font"/>
    <w:semiHidden/>
    <w:uiPriority w:val="0"/>
  </w:style>
  <w:style w:type="table" w:default="1" w:styleId="22">
    <w:name w:val="Normal Table"/>
    <w:semiHidden/>
    <w:uiPriority w:val="0"/>
    <w:tblPr>
      <w:tblStyle w:val="22"/>
      <w:tblCellMar>
        <w:top w:w="0" w:type="dxa"/>
        <w:left w:w="108" w:type="dxa"/>
        <w:bottom w:w="0" w:type="dxa"/>
        <w:right w:w="108" w:type="dxa"/>
      </w:tblCellMar>
    </w:tblPr>
  </w:style>
  <w:style w:type="paragraph" w:styleId="7">
    <w:name w:val="Normal Indent"/>
    <w:basedOn w:val="1"/>
    <w:qFormat/>
    <w:uiPriority w:val="0"/>
    <w:pPr>
      <w:ind w:firstLine="420" w:firstLineChars="200"/>
    </w:pPr>
  </w:style>
  <w:style w:type="paragraph" w:styleId="8">
    <w:name w:val="toa heading"/>
    <w:basedOn w:val="1"/>
    <w:next w:val="1"/>
    <w:semiHidden/>
    <w:qFormat/>
    <w:uiPriority w:val="0"/>
    <w:pPr>
      <w:jc w:val="center"/>
    </w:pPr>
    <w:rPr>
      <w:rFonts w:ascii="Arial" w:hAnsi="Arial" w:eastAsia="黑体"/>
      <w:sz w:val="36"/>
    </w:rPr>
  </w:style>
  <w:style w:type="paragraph" w:styleId="9">
    <w:name w:val="annotation text"/>
    <w:basedOn w:val="1"/>
    <w:link w:val="38"/>
    <w:uiPriority w:val="0"/>
    <w:pPr>
      <w:jc w:val="left"/>
    </w:pPr>
  </w:style>
  <w:style w:type="paragraph" w:styleId="10">
    <w:name w:val="Body Text 3"/>
    <w:basedOn w:val="1"/>
    <w:uiPriority w:val="0"/>
    <w:rPr>
      <w:rFonts w:ascii="宋体"/>
      <w:sz w:val="24"/>
      <w:szCs w:val="20"/>
    </w:rPr>
  </w:style>
  <w:style w:type="paragraph" w:styleId="11">
    <w:name w:val="Body Text"/>
    <w:basedOn w:val="1"/>
    <w:qFormat/>
    <w:uiPriority w:val="0"/>
    <w:rPr>
      <w:rFonts w:ascii="仿宋_GB2312" w:hAnsi="宋体" w:eastAsia="仿宋_GB2312"/>
      <w:sz w:val="24"/>
      <w:szCs w:val="24"/>
    </w:rPr>
  </w:style>
  <w:style w:type="paragraph" w:styleId="12">
    <w:name w:val="Block Text"/>
    <w:basedOn w:val="1"/>
    <w:qFormat/>
    <w:uiPriority w:val="0"/>
    <w:pPr>
      <w:ind w:left="-716" w:leftChars="-342" w:right="-874" w:rightChars="-416" w:hanging="2"/>
    </w:pPr>
    <w:rPr>
      <w:sz w:val="28"/>
    </w:rPr>
  </w:style>
  <w:style w:type="paragraph" w:styleId="13">
    <w:name w:val="toc 3"/>
    <w:basedOn w:val="1"/>
    <w:next w:val="1"/>
    <w:uiPriority w:val="39"/>
    <w:pPr>
      <w:ind w:left="840" w:leftChars="400"/>
    </w:pPr>
  </w:style>
  <w:style w:type="paragraph" w:styleId="14">
    <w:name w:val="Plain Text"/>
    <w:basedOn w:val="1"/>
    <w:qFormat/>
    <w:uiPriority w:val="99"/>
    <w:rPr>
      <w:rFonts w:ascii="宋体" w:hAnsi="Courier New"/>
    </w:rPr>
  </w:style>
  <w:style w:type="paragraph" w:styleId="15">
    <w:name w:val="footer"/>
    <w:basedOn w:val="1"/>
    <w:uiPriority w:val="0"/>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spacing w:line="440" w:lineRule="exact"/>
    </w:pPr>
  </w:style>
  <w:style w:type="paragraph" w:styleId="18">
    <w:name w:val="toc 2"/>
    <w:basedOn w:val="1"/>
    <w:next w:val="1"/>
    <w:qFormat/>
    <w:uiPriority w:val="39"/>
    <w:pPr>
      <w:ind w:left="420" w:leftChars="200"/>
    </w:pPr>
  </w:style>
  <w:style w:type="paragraph" w:styleId="19">
    <w:name w:val="Normal (Web)"/>
    <w:basedOn w:val="1"/>
    <w:uiPriority w:val="0"/>
    <w:pPr>
      <w:widowControl/>
      <w:spacing w:before="100" w:beforeAutospacing="1" w:after="100" w:afterAutospacing="1"/>
      <w:jc w:val="left"/>
    </w:pPr>
    <w:rPr>
      <w:rFonts w:ascii="宋体" w:hAnsi="宋体"/>
      <w:kern w:val="0"/>
      <w:sz w:val="24"/>
      <w:szCs w:val="24"/>
    </w:rPr>
  </w:style>
  <w:style w:type="paragraph" w:styleId="20">
    <w:name w:val="index 1"/>
    <w:basedOn w:val="1"/>
    <w:next w:val="1"/>
    <w:semiHidden/>
    <w:uiPriority w:val="0"/>
    <w:pPr>
      <w:spacing w:line="220" w:lineRule="exact"/>
      <w:jc w:val="center"/>
    </w:pPr>
    <w:rPr>
      <w:rFonts w:ascii="仿宋_GB2312" w:eastAsia="仿宋_GB2312"/>
      <w:szCs w:val="21"/>
    </w:rPr>
  </w:style>
  <w:style w:type="paragraph" w:styleId="21">
    <w:name w:val="annotation subject"/>
    <w:basedOn w:val="9"/>
    <w:next w:val="9"/>
    <w:link w:val="39"/>
    <w:uiPriority w:val="0"/>
    <w:rPr>
      <w:b/>
      <w:bCs/>
    </w:rPr>
  </w:style>
  <w:style w:type="table" w:styleId="23">
    <w:name w:val="Table Grid"/>
    <w:basedOn w:val="22"/>
    <w:uiPriority w:val="0"/>
    <w:pPr>
      <w:widowControl w:val="0"/>
      <w:jc w:val="both"/>
    </w:pPr>
    <w:tblPr>
      <w:tblStyle w:val="2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uiPriority w:val="0"/>
  </w:style>
  <w:style w:type="character" w:styleId="26">
    <w:name w:val="FollowedHyperlink"/>
    <w:basedOn w:val="24"/>
    <w:uiPriority w:val="0"/>
    <w:rPr>
      <w:color w:val="800080"/>
      <w:u w:val="none"/>
    </w:rPr>
  </w:style>
  <w:style w:type="character" w:styleId="27">
    <w:name w:val="HTML Definition"/>
    <w:basedOn w:val="24"/>
    <w:uiPriority w:val="0"/>
  </w:style>
  <w:style w:type="character" w:styleId="28">
    <w:name w:val="HTML Typewriter"/>
    <w:basedOn w:val="24"/>
    <w:uiPriority w:val="0"/>
    <w:rPr>
      <w:rFonts w:ascii="monospace" w:hAnsi="monospace" w:eastAsia="monospace" w:cs="monospace"/>
      <w:sz w:val="20"/>
    </w:rPr>
  </w:style>
  <w:style w:type="character" w:styleId="29">
    <w:name w:val="HTML Acronym"/>
    <w:basedOn w:val="24"/>
    <w:uiPriority w:val="0"/>
  </w:style>
  <w:style w:type="character" w:styleId="30">
    <w:name w:val="HTML Variable"/>
    <w:basedOn w:val="24"/>
    <w:uiPriority w:val="0"/>
  </w:style>
  <w:style w:type="character" w:styleId="31">
    <w:name w:val="Hyperlink"/>
    <w:qFormat/>
    <w:uiPriority w:val="99"/>
    <w:rPr>
      <w:color w:val="000000"/>
      <w:u w:val="none"/>
    </w:rPr>
  </w:style>
  <w:style w:type="character" w:styleId="32">
    <w:name w:val="HTML Code"/>
    <w:basedOn w:val="24"/>
    <w:uiPriority w:val="0"/>
    <w:rPr>
      <w:rFonts w:hint="default" w:ascii="monospace" w:hAnsi="monospace" w:eastAsia="monospace" w:cs="monospace"/>
      <w:sz w:val="20"/>
    </w:rPr>
  </w:style>
  <w:style w:type="character" w:styleId="33">
    <w:name w:val="annotation reference"/>
    <w:uiPriority w:val="0"/>
    <w:rPr>
      <w:sz w:val="21"/>
      <w:szCs w:val="21"/>
    </w:rPr>
  </w:style>
  <w:style w:type="character" w:styleId="34">
    <w:name w:val="HTML Cite"/>
    <w:basedOn w:val="24"/>
    <w:uiPriority w:val="0"/>
  </w:style>
  <w:style w:type="character" w:styleId="35">
    <w:name w:val="HTML Keyboard"/>
    <w:basedOn w:val="24"/>
    <w:uiPriority w:val="0"/>
    <w:rPr>
      <w:rFonts w:hint="default" w:ascii="monospace" w:hAnsi="monospace" w:eastAsia="monospace" w:cs="monospace"/>
      <w:sz w:val="20"/>
    </w:rPr>
  </w:style>
  <w:style w:type="character" w:styleId="36">
    <w:name w:val="HTML Sample"/>
    <w:basedOn w:val="24"/>
    <w:uiPriority w:val="0"/>
    <w:rPr>
      <w:rFonts w:hint="default" w:ascii="monospace" w:hAnsi="monospace" w:eastAsia="monospace" w:cs="monospace"/>
    </w:rPr>
  </w:style>
  <w:style w:type="character" w:customStyle="1" w:styleId="37">
    <w:name w:val="标题 2 字符"/>
    <w:link w:val="3"/>
    <w:uiPriority w:val="0"/>
    <w:rPr>
      <w:rFonts w:ascii="Arial" w:hAnsi="Arial" w:eastAsia="宋体"/>
      <w:b/>
      <w:bCs/>
      <w:sz w:val="28"/>
      <w:szCs w:val="32"/>
    </w:rPr>
  </w:style>
  <w:style w:type="character" w:customStyle="1" w:styleId="38">
    <w:name w:val="批注文字 字符"/>
    <w:link w:val="9"/>
    <w:uiPriority w:val="0"/>
    <w:rPr>
      <w:kern w:val="2"/>
      <w:sz w:val="21"/>
      <w:szCs w:val="24"/>
    </w:rPr>
  </w:style>
  <w:style w:type="character" w:customStyle="1" w:styleId="39">
    <w:name w:val="批注主题 字符"/>
    <w:link w:val="21"/>
    <w:uiPriority w:val="0"/>
    <w:rPr>
      <w:b/>
      <w:bCs/>
      <w:kern w:val="2"/>
      <w:sz w:val="21"/>
      <w:szCs w:val="24"/>
    </w:rPr>
  </w:style>
  <w:style w:type="paragraph" w:customStyle="1" w:styleId="40">
    <w:name w:val="段"/>
    <w:basedOn w:val="1"/>
    <w:next w:val="1"/>
    <w:qFormat/>
    <w:uiPriority w:val="0"/>
    <w:pPr>
      <w:widowControl/>
      <w:autoSpaceDE w:val="0"/>
      <w:autoSpaceDN w:val="0"/>
      <w:ind w:firstLine="200" w:firstLineChars="200"/>
    </w:pPr>
    <w:rPr>
      <w:rFonts w:hint="eastAsia" w:ascii="宋体"/>
      <w:kern w:val="0"/>
      <w:szCs w:val="20"/>
    </w:rPr>
  </w:style>
  <w:style w:type="paragraph" w:customStyle="1" w:styleId="41">
    <w:name w:val="样式 标题 2 + Times New Roman 四号 非加粗 段前: 5 磅 段后: 0 磅 行距: 固定值 20..."/>
    <w:basedOn w:val="3"/>
    <w:uiPriority w:val="0"/>
    <w:pPr>
      <w:spacing w:before="100" w:after="0" w:line="400" w:lineRule="exact"/>
    </w:pPr>
    <w:rPr>
      <w:rFonts w:ascii="宋体" w:hAnsi="宋体" w:cs="宋体"/>
      <w:bCs w:val="0"/>
      <w:szCs w:val="20"/>
    </w:rPr>
  </w:style>
  <w:style w:type="paragraph" w:customStyle="1" w:styleId="42">
    <w:name w:val="Normal"/>
    <w:next w:val="43"/>
    <w:qFormat/>
    <w:uiPriority w:val="0"/>
    <w:pPr>
      <w:widowControl w:val="0"/>
      <w:jc w:val="both"/>
    </w:pPr>
    <w:rPr>
      <w:rFonts w:ascii="Calibri" w:hAnsi="Calibri"/>
      <w:kern w:val="2"/>
      <w:sz w:val="21"/>
      <w:szCs w:val="24"/>
      <w:lang w:val="en-US" w:eastAsia="zh-CN" w:bidi="ar-SA"/>
    </w:rPr>
  </w:style>
  <w:style w:type="paragraph" w:customStyle="1" w:styleId="43">
    <w:name w:val="Heading 4"/>
    <w:basedOn w:val="42"/>
    <w:next w:val="42"/>
    <w:qFormat/>
    <w:uiPriority w:val="9"/>
    <w:pPr>
      <w:keepNext/>
      <w:keepLines/>
      <w:numPr>
        <w:ilvl w:val="3"/>
        <w:numId w:val="1"/>
      </w:numPr>
      <w:spacing w:before="120" w:after="120"/>
      <w:outlineLvl w:val="3"/>
    </w:pPr>
    <w:rPr>
      <w:rFonts w:ascii="Cambria" w:hAnsi="Cambria"/>
      <w:b/>
      <w:bCs/>
      <w:kern w:val="0"/>
      <w:sz w:val="28"/>
      <w:szCs w:val="28"/>
    </w:rPr>
  </w:style>
  <w:style w:type="paragraph" w:customStyle="1" w:styleId="44">
    <w:name w:val="样式 标题 3 + (中文) 黑体 小四 非加粗 段前: 7.8 磅 段后: 0 磅 行距: 固定值 20 磅"/>
    <w:basedOn w:val="4"/>
    <w:uiPriority w:val="0"/>
    <w:pPr>
      <w:spacing w:before="0" w:after="0" w:line="400" w:lineRule="exact"/>
    </w:pPr>
    <w:rPr>
      <w:rFonts w:eastAsia="黑体" w:cs="宋体"/>
      <w:b w:val="0"/>
      <w:bCs w:val="0"/>
      <w:sz w:val="24"/>
      <w:szCs w:val="20"/>
    </w:rPr>
  </w:style>
  <w:style w:type="paragraph" w:customStyle="1" w:styleId="45">
    <w:name w:val="正文_0_0"/>
    <w:qFormat/>
    <w:uiPriority w:val="0"/>
    <w:pPr>
      <w:widowControl w:val="0"/>
      <w:jc w:val="both"/>
    </w:pPr>
    <w:rPr>
      <w:rFonts w:ascii="Calibri" w:hAnsi="Calibri"/>
      <w:kern w:val="2"/>
      <w:sz w:val="21"/>
      <w:szCs w:val="22"/>
      <w:lang w:val="en-US" w:eastAsia="zh-CN" w:bidi="ar-SA"/>
    </w:rPr>
  </w:style>
  <w:style w:type="paragraph" w:customStyle="1" w:styleId="46">
    <w:name w:val="正文_2"/>
    <w:qFormat/>
    <w:uiPriority w:val="0"/>
    <w:pPr>
      <w:widowControl w:val="0"/>
      <w:jc w:val="both"/>
    </w:pPr>
    <w:rPr>
      <w:rFonts w:ascii="Calibri" w:hAnsi="Calibri"/>
      <w:kern w:val="2"/>
      <w:sz w:val="21"/>
      <w:szCs w:val="22"/>
      <w:lang w:val="en-US" w:eastAsia="zh-CN" w:bidi="ar-SA"/>
    </w:rPr>
  </w:style>
  <w:style w:type="paragraph" w:customStyle="1" w:styleId="47">
    <w:name w:val="正文_9"/>
    <w:qFormat/>
    <w:uiPriority w:val="0"/>
    <w:pPr>
      <w:widowControl w:val="0"/>
      <w:jc w:val="both"/>
    </w:pPr>
    <w:rPr>
      <w:rFonts w:ascii="Calibri" w:hAnsi="Calibri"/>
      <w:kern w:val="2"/>
      <w:sz w:val="21"/>
      <w:szCs w:val="22"/>
      <w:lang w:val="en-US" w:eastAsia="zh-CN" w:bidi="ar-SA"/>
    </w:rPr>
  </w:style>
  <w:style w:type="paragraph" w:customStyle="1" w:styleId="48">
    <w:name w:val="正文_10"/>
    <w:qFormat/>
    <w:uiPriority w:val="0"/>
    <w:pPr>
      <w:widowControl w:val="0"/>
      <w:jc w:val="both"/>
    </w:pPr>
    <w:rPr>
      <w:rFonts w:ascii="Calibri" w:hAnsi="Calibri"/>
      <w:kern w:val="2"/>
      <w:sz w:val="21"/>
      <w:szCs w:val="22"/>
      <w:lang w:val="en-US" w:eastAsia="zh-CN" w:bidi="ar-SA"/>
    </w:rPr>
  </w:style>
  <w:style w:type="paragraph" w:customStyle="1" w:styleId="49">
    <w:name w:val="正文_12"/>
    <w:qFormat/>
    <w:uiPriority w:val="0"/>
    <w:pPr>
      <w:widowControl w:val="0"/>
      <w:jc w:val="both"/>
    </w:pPr>
    <w:rPr>
      <w:rFonts w:ascii="Calibri" w:hAnsi="Calibri"/>
      <w:kern w:val="2"/>
      <w:sz w:val="21"/>
      <w:szCs w:val="22"/>
      <w:lang w:val="en-US" w:eastAsia="zh-CN" w:bidi="ar-SA"/>
    </w:rPr>
  </w:style>
  <w:style w:type="paragraph" w:customStyle="1" w:styleId="50">
    <w:name w:val="正文_14"/>
    <w:qFormat/>
    <w:uiPriority w:val="0"/>
    <w:pPr>
      <w:widowControl w:val="0"/>
      <w:jc w:val="both"/>
    </w:pPr>
    <w:rPr>
      <w:rFonts w:ascii="Calibri" w:hAnsi="Calibri"/>
      <w:kern w:val="2"/>
      <w:sz w:val="21"/>
      <w:szCs w:val="22"/>
      <w:lang w:val="en-US" w:eastAsia="zh-CN" w:bidi="ar-SA"/>
    </w:rPr>
  </w:style>
  <w:style w:type="paragraph" w:customStyle="1" w:styleId="51">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52">
    <w:name w:val="_Style 3"/>
    <w:basedOn w:val="1"/>
    <w:next w:val="1"/>
    <w:qFormat/>
    <w:uiPriority w:val="0"/>
    <w:pPr>
      <w:tabs>
        <w:tab w:val="left" w:pos="360"/>
      </w:tabs>
    </w:pPr>
    <w:rPr>
      <w:rFonts w:ascii="Times New Roman" w:hAnsi="Times New Roman"/>
      <w:szCs w:val="20"/>
    </w:rPr>
  </w:style>
  <w:style w:type="paragraph" w:customStyle="1" w:styleId="53">
    <w:name w:val="正文_1_0"/>
    <w:qFormat/>
    <w:uiPriority w:val="0"/>
    <w:pPr>
      <w:widowControl w:val="0"/>
      <w:jc w:val="both"/>
    </w:pPr>
    <w:rPr>
      <w:rFonts w:ascii="Calibri" w:hAnsi="Calibri"/>
      <w:kern w:val="2"/>
      <w:sz w:val="21"/>
      <w:szCs w:val="22"/>
      <w:lang w:val="en-US" w:eastAsia="zh-CN" w:bidi="ar-SA"/>
    </w:rPr>
  </w:style>
  <w:style w:type="paragraph" w:customStyle="1" w:styleId="54">
    <w:name w:val="Normal_11"/>
    <w:qFormat/>
    <w:uiPriority w:val="0"/>
    <w:rPr>
      <w:rFonts w:ascii="黑体" w:hAnsi="黑体" w:eastAsia="黑体"/>
      <w:b/>
      <w:sz w:val="32"/>
      <w:szCs w:val="24"/>
      <w:lang w:val="en-US" w:eastAsia="zh-CN" w:bidi="ar-SA"/>
    </w:rPr>
  </w:style>
  <w:style w:type="paragraph" w:customStyle="1" w:styleId="55">
    <w:name w:val="Normal_33"/>
    <w:qFormat/>
    <w:uiPriority w:val="0"/>
    <w:pPr>
      <w:widowControl w:val="0"/>
      <w:jc w:val="both"/>
    </w:pPr>
    <w:rPr>
      <w:rFonts w:ascii="Calibri" w:hAnsi="Calibri"/>
      <w:kern w:val="2"/>
      <w:sz w:val="21"/>
      <w:szCs w:val="22"/>
      <w:lang w:val="en-US" w:eastAsia="zh-CN" w:bidi="ar-SA"/>
    </w:rPr>
  </w:style>
  <w:style w:type="paragraph" w:customStyle="1" w:styleId="56">
    <w:name w:val="Normal_0"/>
    <w:qFormat/>
    <w:uiPriority w:val="0"/>
    <w:rPr>
      <w:rFonts w:ascii="黑体" w:hAnsi="黑体" w:eastAsia="黑体"/>
      <w:b/>
      <w:sz w:val="32"/>
      <w:szCs w:val="24"/>
      <w:lang w:val="en-US" w:eastAsia="zh-CN" w:bidi="ar-SA"/>
    </w:rPr>
  </w:style>
  <w:style w:type="paragraph" w:customStyle="1" w:styleId="57">
    <w:name w:val="Normal_2"/>
    <w:qFormat/>
    <w:uiPriority w:val="0"/>
    <w:rPr>
      <w:rFonts w:ascii="黑体" w:hAnsi="黑体" w:eastAsia="黑体"/>
      <w:b/>
      <w:sz w:val="32"/>
      <w:szCs w:val="24"/>
      <w:lang w:val="en-US" w:eastAsia="zh-CN" w:bidi="ar-SA"/>
    </w:rPr>
  </w:style>
  <w:style w:type="paragraph" w:customStyle="1" w:styleId="58">
    <w:name w:val="正文_1"/>
    <w:qFormat/>
    <w:uiPriority w:val="0"/>
    <w:pPr>
      <w:widowControl w:val="0"/>
      <w:jc w:val="both"/>
    </w:pPr>
    <w:rPr>
      <w:rFonts w:ascii="Calibri" w:hAnsi="Calibri"/>
      <w:kern w:val="2"/>
      <w:sz w:val="21"/>
      <w:szCs w:val="22"/>
      <w:lang w:val="en-US" w:eastAsia="zh-CN" w:bidi="ar-SA"/>
    </w:rPr>
  </w:style>
  <w:style w:type="paragraph" w:customStyle="1" w:styleId="59">
    <w:name w:val="Normal_3"/>
    <w:qFormat/>
    <w:uiPriority w:val="0"/>
    <w:rPr>
      <w:rFonts w:ascii="黑体" w:hAnsi="黑体" w:eastAsia="黑体"/>
      <w:b/>
      <w:sz w:val="32"/>
      <w:szCs w:val="24"/>
      <w:lang w:val="en-US" w:eastAsia="zh-CN" w:bidi="ar-SA"/>
    </w:rPr>
  </w:style>
  <w:style w:type="paragraph" w:customStyle="1" w:styleId="60">
    <w:name w:val="Normal_4"/>
    <w:qFormat/>
    <w:uiPriority w:val="0"/>
    <w:rPr>
      <w:rFonts w:ascii="黑体" w:hAnsi="黑体" w:eastAsia="黑体"/>
      <w:b/>
      <w:sz w:val="32"/>
      <w:szCs w:val="24"/>
      <w:lang w:val="en-US" w:eastAsia="zh-CN" w:bidi="ar-SA"/>
    </w:rPr>
  </w:style>
  <w:style w:type="paragraph" w:customStyle="1" w:styleId="61">
    <w:name w:val="Normal_5"/>
    <w:qFormat/>
    <w:uiPriority w:val="0"/>
    <w:rPr>
      <w:rFonts w:ascii="黑体" w:hAnsi="黑体" w:eastAsia="黑体"/>
      <w:b/>
      <w:sz w:val="32"/>
      <w:szCs w:val="24"/>
      <w:lang w:val="en-US" w:eastAsia="zh-CN" w:bidi="ar-SA"/>
    </w:rPr>
  </w:style>
  <w:style w:type="paragraph" w:customStyle="1" w:styleId="62">
    <w:name w:val="Normal_6"/>
    <w:qFormat/>
    <w:uiPriority w:val="0"/>
    <w:rPr>
      <w:rFonts w:ascii="黑体" w:hAnsi="黑体" w:eastAsia="黑体"/>
      <w:b/>
      <w:sz w:val="32"/>
      <w:szCs w:val="24"/>
      <w:lang w:val="en-US" w:eastAsia="zh-CN" w:bidi="ar-SA"/>
    </w:rPr>
  </w:style>
  <w:style w:type="paragraph" w:customStyle="1" w:styleId="63">
    <w:name w:val="正文_4"/>
    <w:qFormat/>
    <w:uiPriority w:val="0"/>
    <w:pPr>
      <w:widowControl w:val="0"/>
      <w:jc w:val="both"/>
    </w:pPr>
    <w:rPr>
      <w:rFonts w:ascii="Calibri" w:hAnsi="Calibri"/>
      <w:kern w:val="2"/>
      <w:sz w:val="21"/>
      <w:szCs w:val="22"/>
      <w:lang w:val="en-US" w:eastAsia="zh-CN" w:bidi="ar-SA"/>
    </w:rPr>
  </w:style>
  <w:style w:type="paragraph" w:customStyle="1" w:styleId="64">
    <w:name w:val="Normal_7"/>
    <w:qFormat/>
    <w:uiPriority w:val="0"/>
    <w:rPr>
      <w:rFonts w:ascii="黑体" w:hAnsi="黑体" w:eastAsia="黑体"/>
      <w:b/>
      <w:sz w:val="32"/>
      <w:szCs w:val="24"/>
      <w:lang w:val="en-US" w:eastAsia="zh-CN" w:bidi="ar-SA"/>
    </w:rPr>
  </w:style>
  <w:style w:type="paragraph" w:customStyle="1" w:styleId="65">
    <w:name w:val="正文_7"/>
    <w:qFormat/>
    <w:uiPriority w:val="0"/>
    <w:pPr>
      <w:widowControl w:val="0"/>
      <w:jc w:val="both"/>
    </w:pPr>
    <w:rPr>
      <w:rFonts w:ascii="Calibri" w:hAnsi="Calibri"/>
      <w:kern w:val="2"/>
      <w:sz w:val="21"/>
      <w:szCs w:val="22"/>
      <w:lang w:val="en-US" w:eastAsia="zh-CN" w:bidi="ar-SA"/>
    </w:rPr>
  </w:style>
  <w:style w:type="paragraph" w:customStyle="1" w:styleId="66">
    <w:name w:val="Normal_9"/>
    <w:qFormat/>
    <w:uiPriority w:val="0"/>
    <w:rPr>
      <w:rFonts w:ascii="黑体" w:hAnsi="黑体" w:eastAsia="黑体"/>
      <w:b/>
      <w:sz w:val="32"/>
      <w:szCs w:val="24"/>
      <w:lang w:val="en-US" w:eastAsia="zh-CN" w:bidi="ar-SA"/>
    </w:rPr>
  </w:style>
  <w:style w:type="paragraph" w:customStyle="1" w:styleId="67">
    <w:name w:val="正文_8"/>
    <w:qFormat/>
    <w:uiPriority w:val="0"/>
    <w:pPr>
      <w:widowControl w:val="0"/>
      <w:jc w:val="both"/>
    </w:pPr>
    <w:rPr>
      <w:rFonts w:ascii="Calibri" w:hAnsi="Calibri"/>
      <w:kern w:val="2"/>
      <w:sz w:val="21"/>
      <w:szCs w:val="22"/>
      <w:lang w:val="en-US" w:eastAsia="zh-CN" w:bidi="ar-SA"/>
    </w:rPr>
  </w:style>
  <w:style w:type="paragraph" w:customStyle="1" w:styleId="68">
    <w:name w:val="目录 1_0"/>
    <w:basedOn w:val="67"/>
    <w:next w:val="67"/>
    <w:qFormat/>
    <w:uiPriority w:val="39"/>
    <w:pPr>
      <w:spacing w:line="440" w:lineRule="exact"/>
      <w:jc w:val="center"/>
    </w:pPr>
    <w:rPr>
      <w:rFonts w:ascii="Calibri" w:hAnsi="Calibri" w:eastAsia="宋体" w:cs="Times New Roman"/>
    </w:rPr>
  </w:style>
  <w:style w:type="paragraph" w:customStyle="1" w:styleId="69">
    <w:name w:val="正文_6"/>
    <w:qFormat/>
    <w:uiPriority w:val="0"/>
    <w:pPr>
      <w:widowControl w:val="0"/>
      <w:jc w:val="both"/>
    </w:pPr>
    <w:rPr>
      <w:rFonts w:ascii="Calibri" w:hAnsi="Calibri"/>
      <w:kern w:val="2"/>
      <w:sz w:val="21"/>
      <w:szCs w:val="22"/>
      <w:lang w:val="en-US" w:eastAsia="zh-CN" w:bidi="ar-SA"/>
    </w:rPr>
  </w:style>
  <w:style w:type="paragraph" w:customStyle="1" w:styleId="70">
    <w:name w:val="Normal_10"/>
    <w:qFormat/>
    <w:uiPriority w:val="0"/>
    <w:rPr>
      <w:rFonts w:ascii="黑体" w:hAnsi="黑体" w:eastAsia="黑体"/>
      <w:b/>
      <w:sz w:val="32"/>
      <w:szCs w:val="24"/>
      <w:lang w:val="en-US" w:eastAsia="zh-CN" w:bidi="ar-SA"/>
    </w:rPr>
  </w:style>
  <w:style w:type="character" w:customStyle="1" w:styleId="71">
    <w:name w:val="hover"/>
    <w:basedOn w:val="24"/>
    <w:uiPriority w:val="0"/>
    <w:rPr>
      <w:shd w:val="clear" w:color="auto" w:fill="EEEEEE"/>
    </w:rPr>
  </w:style>
  <w:style w:type="character" w:customStyle="1" w:styleId="72">
    <w:name w:val="old"/>
    <w:basedOn w:val="24"/>
    <w:uiPriority w:val="0"/>
    <w:rPr>
      <w:color w:val="999999"/>
    </w:rPr>
  </w:style>
  <w:style w:type="character" w:customStyle="1" w:styleId="73">
    <w:name w:val="hour_am"/>
    <w:basedOn w:val="24"/>
    <w:uiPriority w:val="0"/>
  </w:style>
  <w:style w:type="character" w:customStyle="1" w:styleId="74">
    <w:name w:val="hour_pm"/>
    <w:basedOn w:val="24"/>
    <w:uiPriority w:val="0"/>
  </w:style>
  <w:style w:type="character" w:customStyle="1" w:styleId="75">
    <w:name w:val="glyphicon"/>
    <w:basedOn w:val="24"/>
    <w:uiPriority w:val="0"/>
  </w:style>
  <w:style w:type="paragraph" w:styleId="76">
    <w:name w:val="List Paragraph"/>
    <w:basedOn w:val="1"/>
    <w:qFormat/>
    <w:uiPriority w:val="1"/>
    <w:pPr>
      <w:ind w:left="640" w:firstLine="420"/>
    </w:pPr>
  </w:style>
  <w:style w:type="paragraph" w:customStyle="1" w:styleId="77">
    <w:name w:val="flType"/>
    <w:basedOn w:val="1"/>
    <w:qFormat/>
    <w:uiPriority w:val="0"/>
    <w:pPr>
      <w:adjustRightInd w:val="0"/>
      <w:spacing w:after="284" w:line="113" w:lineRule="atLeast"/>
      <w:jc w:val="center"/>
      <w:textAlignment w:val="baseline"/>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header" Target="header2.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92</Pages>
  <Words>3547</Words>
  <Characters>3966</Characters>
  <Lines>1743</Lines>
  <Paragraphs>490</Paragraphs>
  <TotalTime>0</TotalTime>
  <ScaleCrop>false</ScaleCrop>
  <LinksUpToDate>false</LinksUpToDate>
  <CharactersWithSpaces>4201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2025-12-03T11:02:00Z</dcterms:created>
  <dc:creator>Administrator</dc:creator>
  <cp:lastModifiedBy>cjjing</cp:lastModifiedBy>
  <cp:lastPrinted>2026-04-21T06:47:18Z</cp:lastPrinted>
  <dcterms:modified xsi:type="dcterms:W3CDTF">2026-10-10T08:52:54Z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eyJoZGlkIjoiZjRhYjQ1OWYyZDdkMGQ0N2UzODU1NTcxYzRhYTMwMWEiLCJ1c2VySWQiOiIxMjk4OTI4MTgwIn0=</vt:lpwstr>
  </property>
  <property fmtid="{D5CDD505-2E9C-101B-9397-08002B2CF9AE}" pid="4" name="ICV">
    <vt:lpwstr>2005E7C12FC74DC2980EA99E9378B3FE_13</vt:lpwstr>
  </property>
</Properties>
</file>