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D48B6">
      <w:pPr>
        <w:tabs>
          <w:tab w:val="left" w:pos="6300"/>
        </w:tabs>
        <w:snapToGrid w:val="0"/>
        <w:spacing w:line="440" w:lineRule="exact"/>
        <w:ind w:right="-941" w:rightChars="-448"/>
        <w:jc w:val="both"/>
        <w:rPr>
          <w:rFonts w:hint="eastAsia" w:ascii="宋体" w:hAnsi="宋体" w:eastAsia="宋体" w:cs="宋体"/>
          <w:b/>
          <w:sz w:val="52"/>
          <w:szCs w:val="52"/>
          <w:highlight w:val="none"/>
        </w:rPr>
      </w:pPr>
    </w:p>
    <w:p w14:paraId="485B2EA1">
      <w:pPr>
        <w:tabs>
          <w:tab w:val="left" w:pos="6300"/>
        </w:tabs>
        <w:snapToGrid w:val="0"/>
        <w:spacing w:line="360" w:lineRule="auto"/>
        <w:ind w:right="-941" w:rightChars="-448"/>
        <w:rPr>
          <w:rFonts w:hint="eastAsia" w:ascii="宋体" w:hAnsi="宋体" w:eastAsia="宋体" w:cs="宋体"/>
          <w:b/>
          <w:sz w:val="52"/>
          <w:szCs w:val="52"/>
          <w:highlight w:val="none"/>
        </w:rPr>
      </w:pPr>
    </w:p>
    <w:p w14:paraId="53EE12F4">
      <w:pPr>
        <w:spacing w:line="360" w:lineRule="auto"/>
        <w:ind w:right="-338" w:rightChars="-161"/>
        <w:jc w:val="center"/>
        <w:rPr>
          <w:rFonts w:hint="eastAsia" w:ascii="宋体" w:hAnsi="宋体" w:eastAsia="宋体" w:cs="宋体"/>
          <w:b/>
          <w:sz w:val="52"/>
          <w:szCs w:val="52"/>
          <w:highlight w:val="none"/>
          <w:lang w:eastAsia="zh-CN"/>
        </w:rPr>
      </w:pPr>
      <w:r>
        <w:rPr>
          <w:rFonts w:hint="eastAsia" w:ascii="宋体" w:hAnsi="宋体" w:eastAsia="宋体" w:cs="宋体"/>
          <w:b/>
          <w:sz w:val="52"/>
          <w:szCs w:val="52"/>
          <w:highlight w:val="none"/>
          <w:lang w:eastAsia="zh-CN"/>
        </w:rPr>
        <w:t>招采中心速通门及人脸识别设备</w:t>
      </w:r>
    </w:p>
    <w:p w14:paraId="25B14B70">
      <w:pPr>
        <w:spacing w:line="360" w:lineRule="auto"/>
        <w:ind w:right="-338" w:rightChars="-161"/>
        <w:jc w:val="center"/>
        <w:rPr>
          <w:rFonts w:hint="eastAsia" w:ascii="宋体" w:hAnsi="宋体" w:eastAsia="宋体" w:cs="宋体"/>
          <w:b/>
          <w:sz w:val="52"/>
          <w:szCs w:val="52"/>
          <w:highlight w:val="none"/>
          <w:lang w:eastAsia="zh-CN"/>
        </w:rPr>
      </w:pPr>
      <w:r>
        <w:rPr>
          <w:rFonts w:hint="eastAsia" w:ascii="宋体" w:hAnsi="宋体" w:eastAsia="宋体" w:cs="宋体"/>
          <w:b/>
          <w:sz w:val="52"/>
          <w:szCs w:val="52"/>
          <w:highlight w:val="none"/>
          <w:lang w:eastAsia="zh-CN"/>
        </w:rPr>
        <w:t>采购项目</w:t>
      </w:r>
    </w:p>
    <w:p w14:paraId="2CA89B6E">
      <w:pPr>
        <w:spacing w:line="360" w:lineRule="auto"/>
        <w:ind w:right="-338" w:rightChars="-161"/>
        <w:jc w:val="center"/>
        <w:rPr>
          <w:rFonts w:hint="eastAsia" w:ascii="宋体" w:hAnsi="宋体" w:eastAsia="宋体" w:cs="宋体"/>
          <w:b/>
          <w:sz w:val="100"/>
          <w:szCs w:val="100"/>
          <w:highlight w:val="none"/>
          <w:lang w:eastAsia="zh-CN"/>
        </w:rPr>
      </w:pPr>
    </w:p>
    <w:p w14:paraId="005A26EE">
      <w:pPr>
        <w:spacing w:line="360" w:lineRule="auto"/>
        <w:ind w:right="-338" w:rightChars="-161"/>
        <w:jc w:val="center"/>
        <w:rPr>
          <w:rFonts w:hint="eastAsia" w:ascii="宋体" w:hAnsi="宋体" w:eastAsia="宋体" w:cs="宋体"/>
          <w:b/>
          <w:sz w:val="100"/>
          <w:szCs w:val="100"/>
          <w:highlight w:val="none"/>
        </w:rPr>
      </w:pPr>
      <w:r>
        <w:rPr>
          <w:rFonts w:hint="eastAsia" w:ascii="宋体" w:hAnsi="宋体" w:eastAsia="宋体" w:cs="宋体"/>
          <w:b/>
          <w:sz w:val="100"/>
          <w:szCs w:val="100"/>
          <w:highlight w:val="none"/>
        </w:rPr>
        <w:t>询价文件</w:t>
      </w:r>
    </w:p>
    <w:p w14:paraId="1D9425DF">
      <w:pPr>
        <w:spacing w:line="360" w:lineRule="auto"/>
        <w:ind w:right="-338" w:rightChars="-161"/>
        <w:rPr>
          <w:rFonts w:hint="eastAsia" w:ascii="宋体" w:hAnsi="宋体" w:eastAsia="宋体" w:cs="宋体"/>
          <w:sz w:val="36"/>
          <w:szCs w:val="36"/>
          <w:highlight w:val="none"/>
        </w:rPr>
      </w:pPr>
    </w:p>
    <w:p w14:paraId="577D9256">
      <w:pPr>
        <w:keepNext/>
        <w:spacing w:line="360" w:lineRule="auto"/>
        <w:ind w:right="-338" w:rightChars="-161"/>
        <w:jc w:val="center"/>
        <w:rPr>
          <w:rFonts w:hint="eastAsia" w:ascii="宋体" w:hAnsi="宋体" w:eastAsia="宋体" w:cs="宋体"/>
          <w:sz w:val="36"/>
          <w:szCs w:val="36"/>
          <w:highlight w:val="none"/>
        </w:rPr>
      </w:pPr>
    </w:p>
    <w:p w14:paraId="0763C98F">
      <w:pPr>
        <w:spacing w:line="440" w:lineRule="exact"/>
        <w:ind w:right="-338" w:rightChars="-161"/>
        <w:jc w:val="center"/>
        <w:rPr>
          <w:rFonts w:hint="eastAsia" w:ascii="宋体" w:hAnsi="宋体" w:eastAsia="宋体" w:cs="宋体"/>
          <w:b/>
          <w:sz w:val="36"/>
          <w:highlight w:val="none"/>
        </w:rPr>
      </w:pPr>
    </w:p>
    <w:p w14:paraId="1A381E09">
      <w:pPr>
        <w:spacing w:line="440" w:lineRule="exact"/>
        <w:ind w:right="-338" w:rightChars="-161"/>
        <w:jc w:val="center"/>
        <w:rPr>
          <w:rFonts w:hint="eastAsia" w:ascii="宋体" w:hAnsi="宋体" w:eastAsia="宋体" w:cs="宋体"/>
          <w:b/>
          <w:sz w:val="36"/>
          <w:highlight w:val="none"/>
        </w:rPr>
      </w:pPr>
    </w:p>
    <w:p w14:paraId="6C319827">
      <w:pPr>
        <w:tabs>
          <w:tab w:val="left" w:pos="8715"/>
        </w:tabs>
        <w:spacing w:line="360" w:lineRule="auto"/>
        <w:ind w:right="-338" w:rightChars="-161"/>
        <w:jc w:val="center"/>
        <w:rPr>
          <w:rFonts w:hint="eastAsia" w:ascii="宋体" w:hAnsi="宋体" w:eastAsia="宋体" w:cs="宋体"/>
          <w:bCs/>
          <w:spacing w:val="19"/>
          <w:kern w:val="0"/>
          <w:sz w:val="30"/>
          <w:szCs w:val="30"/>
          <w:highlight w:val="none"/>
        </w:rPr>
      </w:pPr>
    </w:p>
    <w:p w14:paraId="45A701AF">
      <w:pPr>
        <w:tabs>
          <w:tab w:val="left" w:pos="8715"/>
        </w:tabs>
        <w:spacing w:line="360" w:lineRule="auto"/>
        <w:ind w:right="-338" w:rightChars="-161"/>
        <w:jc w:val="center"/>
        <w:rPr>
          <w:rFonts w:hint="eastAsia" w:ascii="宋体" w:hAnsi="宋体" w:eastAsia="宋体" w:cs="宋体"/>
          <w:bCs/>
          <w:kern w:val="0"/>
          <w:sz w:val="30"/>
          <w:szCs w:val="30"/>
          <w:highlight w:val="none"/>
        </w:rPr>
      </w:pPr>
    </w:p>
    <w:p w14:paraId="32F8779C">
      <w:pPr>
        <w:tabs>
          <w:tab w:val="left" w:pos="8715"/>
        </w:tabs>
        <w:spacing w:line="360" w:lineRule="auto"/>
        <w:ind w:right="-338" w:rightChars="-161"/>
        <w:jc w:val="center"/>
        <w:rPr>
          <w:rFonts w:hint="eastAsia" w:ascii="宋体" w:hAnsi="宋体" w:eastAsia="宋体" w:cs="宋体"/>
          <w:bCs/>
          <w:kern w:val="0"/>
          <w:sz w:val="30"/>
          <w:szCs w:val="30"/>
          <w:highlight w:val="none"/>
        </w:rPr>
      </w:pPr>
    </w:p>
    <w:p w14:paraId="6B0D442C">
      <w:pPr>
        <w:tabs>
          <w:tab w:val="left" w:pos="8715"/>
        </w:tabs>
        <w:spacing w:line="360" w:lineRule="auto"/>
        <w:ind w:right="-338" w:rightChars="-161"/>
        <w:jc w:val="center"/>
        <w:rPr>
          <w:rFonts w:hint="eastAsia" w:ascii="宋体" w:hAnsi="宋体" w:eastAsia="宋体" w:cs="宋体"/>
          <w:bCs/>
          <w:kern w:val="0"/>
          <w:sz w:val="30"/>
          <w:szCs w:val="30"/>
          <w:highlight w:val="none"/>
        </w:rPr>
      </w:pPr>
    </w:p>
    <w:p w14:paraId="011157C5">
      <w:pPr>
        <w:tabs>
          <w:tab w:val="left" w:pos="8715"/>
        </w:tabs>
        <w:spacing w:line="360" w:lineRule="auto"/>
        <w:ind w:right="-338" w:rightChars="-161"/>
        <w:jc w:val="center"/>
        <w:rPr>
          <w:rFonts w:hint="eastAsia" w:ascii="宋体" w:hAnsi="宋体" w:eastAsia="宋体" w:cs="宋体"/>
          <w:bCs/>
          <w:kern w:val="0"/>
          <w:sz w:val="30"/>
          <w:szCs w:val="30"/>
          <w:highlight w:val="none"/>
          <w:lang w:eastAsia="zh-CN"/>
        </w:rPr>
      </w:pPr>
      <w:r>
        <w:rPr>
          <w:rFonts w:hint="eastAsia" w:ascii="宋体" w:hAnsi="宋体" w:eastAsia="宋体" w:cs="宋体"/>
          <w:bCs/>
          <w:spacing w:val="30"/>
          <w:kern w:val="0"/>
          <w:sz w:val="30"/>
          <w:szCs w:val="30"/>
          <w:highlight w:val="none"/>
          <w:fitText w:val="5700" w:id="22949350"/>
        </w:rPr>
        <w:t>采购人：</w:t>
      </w:r>
      <w:r>
        <w:rPr>
          <w:rFonts w:hint="eastAsia" w:ascii="宋体" w:hAnsi="宋体" w:eastAsia="宋体" w:cs="宋体"/>
          <w:bCs/>
          <w:spacing w:val="30"/>
          <w:kern w:val="0"/>
          <w:sz w:val="30"/>
          <w:szCs w:val="30"/>
          <w:highlight w:val="none"/>
          <w:fitText w:val="5700" w:id="22949350"/>
          <w:lang w:eastAsia="zh-CN"/>
        </w:rPr>
        <w:t>南通轨道资源开发有限公</w:t>
      </w:r>
      <w:r>
        <w:rPr>
          <w:rFonts w:hint="eastAsia" w:ascii="宋体" w:hAnsi="宋体" w:eastAsia="宋体" w:cs="宋体"/>
          <w:bCs/>
          <w:spacing w:val="0"/>
          <w:kern w:val="0"/>
          <w:sz w:val="30"/>
          <w:szCs w:val="30"/>
          <w:highlight w:val="none"/>
          <w:fitText w:val="5700" w:id="22949350"/>
          <w:lang w:eastAsia="zh-CN"/>
        </w:rPr>
        <w:t>司</w:t>
      </w:r>
    </w:p>
    <w:p w14:paraId="1160C79B">
      <w:pPr>
        <w:tabs>
          <w:tab w:val="left" w:pos="8715"/>
        </w:tabs>
        <w:spacing w:line="360" w:lineRule="auto"/>
        <w:ind w:right="-338" w:rightChars="-161"/>
        <w:jc w:val="center"/>
        <w:rPr>
          <w:rFonts w:hint="eastAsia" w:ascii="宋体" w:hAnsi="宋体" w:eastAsia="宋体" w:cs="宋体"/>
          <w:bCs/>
          <w:spacing w:val="28"/>
          <w:kern w:val="0"/>
          <w:sz w:val="30"/>
          <w:szCs w:val="30"/>
          <w:highlight w:val="none"/>
          <w:lang w:eastAsia="zh-CN"/>
        </w:rPr>
      </w:pPr>
      <w:r>
        <w:rPr>
          <w:rFonts w:hint="eastAsia" w:ascii="宋体" w:hAnsi="宋体" w:eastAsia="宋体" w:cs="宋体"/>
          <w:bCs/>
          <w:kern w:val="0"/>
          <w:sz w:val="30"/>
          <w:szCs w:val="30"/>
          <w:highlight w:val="none"/>
        </w:rPr>
        <w:t>招标</w:t>
      </w:r>
      <w:r>
        <w:rPr>
          <w:rFonts w:hint="eastAsia" w:ascii="宋体" w:hAnsi="宋体" w:eastAsia="宋体" w:cs="宋体"/>
          <w:bCs/>
          <w:spacing w:val="18"/>
          <w:kern w:val="0"/>
          <w:sz w:val="30"/>
          <w:szCs w:val="30"/>
          <w:highlight w:val="none"/>
          <w:fitText w:val="5700" w:id="1944275033"/>
        </w:rPr>
        <w:t>代理机构：</w:t>
      </w:r>
      <w:r>
        <w:rPr>
          <w:rFonts w:hint="eastAsia" w:ascii="宋体" w:hAnsi="宋体" w:eastAsia="宋体" w:cs="宋体"/>
          <w:bCs/>
          <w:spacing w:val="18"/>
          <w:kern w:val="0"/>
          <w:sz w:val="30"/>
          <w:szCs w:val="30"/>
          <w:highlight w:val="none"/>
          <w:fitText w:val="5700" w:id="1944275033"/>
          <w:lang w:eastAsia="zh-CN"/>
        </w:rPr>
        <w:t>山东国盛项目管理有限公</w:t>
      </w:r>
      <w:r>
        <w:rPr>
          <w:rFonts w:hint="eastAsia" w:ascii="宋体" w:hAnsi="宋体" w:eastAsia="宋体" w:cs="宋体"/>
          <w:bCs/>
          <w:spacing w:val="12"/>
          <w:kern w:val="0"/>
          <w:sz w:val="30"/>
          <w:szCs w:val="30"/>
          <w:highlight w:val="none"/>
          <w:fitText w:val="5700" w:id="1944275033"/>
          <w:lang w:eastAsia="zh-CN"/>
        </w:rPr>
        <w:t>司</w:t>
      </w:r>
    </w:p>
    <w:p w14:paraId="48D65123">
      <w:pPr>
        <w:spacing w:line="360" w:lineRule="auto"/>
        <w:ind w:right="-338" w:rightChars="-161"/>
        <w:jc w:val="center"/>
        <w:rPr>
          <w:rFonts w:hint="eastAsia" w:ascii="宋体" w:hAnsi="宋体" w:eastAsia="宋体" w:cs="宋体"/>
          <w:bCs/>
          <w:sz w:val="30"/>
          <w:szCs w:val="30"/>
          <w:highlight w:val="none"/>
        </w:rPr>
      </w:pPr>
      <w:r>
        <w:rPr>
          <w:rFonts w:hint="eastAsia" w:ascii="宋体" w:hAnsi="宋体" w:eastAsia="宋体" w:cs="宋体"/>
          <w:bCs/>
          <w:sz w:val="30"/>
          <w:szCs w:val="30"/>
          <w:highlight w:val="none"/>
        </w:rPr>
        <w:t>2026年</w:t>
      </w:r>
      <w:r>
        <w:rPr>
          <w:rFonts w:hint="eastAsia" w:ascii="宋体" w:hAnsi="宋体" w:eastAsia="宋体" w:cs="宋体"/>
          <w:bCs/>
          <w:sz w:val="30"/>
          <w:szCs w:val="30"/>
          <w:highlight w:val="none"/>
          <w:lang w:val="en-US" w:eastAsia="zh-CN"/>
        </w:rPr>
        <w:t>10</w:t>
      </w:r>
      <w:r>
        <w:rPr>
          <w:rFonts w:hint="eastAsia" w:ascii="宋体" w:hAnsi="宋体" w:eastAsia="宋体" w:cs="宋体"/>
          <w:bCs/>
          <w:sz w:val="30"/>
          <w:szCs w:val="30"/>
          <w:highlight w:val="none"/>
        </w:rPr>
        <w:t>月</w:t>
      </w:r>
    </w:p>
    <w:p w14:paraId="4901F48E">
      <w:pPr>
        <w:ind w:right="-338" w:rightChars="-161"/>
        <w:jc w:val="center"/>
        <w:rPr>
          <w:rFonts w:hint="eastAsia" w:ascii="宋体" w:hAnsi="宋体" w:eastAsia="宋体" w:cs="宋体"/>
          <w:b/>
          <w:sz w:val="32"/>
          <w:szCs w:val="32"/>
          <w:highlight w:val="none"/>
          <w:lang w:val="zh-CN"/>
        </w:rPr>
        <w:sectPr>
          <w:headerReference r:id="rId3" w:type="default"/>
          <w:pgSz w:w="11906" w:h="16838"/>
          <w:pgMar w:top="1418" w:right="1531" w:bottom="1418" w:left="1474" w:header="851" w:footer="992" w:gutter="0"/>
          <w:pgBorders>
            <w:top w:val="none" w:sz="0" w:space="0"/>
            <w:left w:val="none" w:sz="0" w:space="0"/>
            <w:bottom w:val="none" w:sz="0" w:space="0"/>
            <w:right w:val="none" w:sz="0" w:space="0"/>
          </w:pgBorders>
          <w:cols w:space="720" w:num="1"/>
          <w:titlePg/>
          <w:docGrid w:type="lines" w:linePitch="312" w:charSpace="0"/>
        </w:sectPr>
      </w:pPr>
    </w:p>
    <w:sdt>
      <w:sdtPr>
        <w:rPr>
          <w:rFonts w:ascii="宋体" w:hAnsi="宋体" w:eastAsia="宋体" w:cstheme="minorBidi"/>
          <w:b/>
          <w:bCs/>
          <w:kern w:val="2"/>
          <w:sz w:val="28"/>
          <w:szCs w:val="32"/>
          <w:highlight w:val="none"/>
          <w:lang w:val="en-US" w:eastAsia="zh-CN" w:bidi="ar-SA"/>
        </w:rPr>
        <w:id w:val="147465050"/>
        <w15:color w:val="DBDBDB"/>
        <w:docPartObj>
          <w:docPartGallery w:val="Table of Contents"/>
          <w:docPartUnique/>
        </w:docPartObj>
      </w:sdtPr>
      <w:sdtEndPr>
        <w:rPr>
          <w:rFonts w:hint="eastAsia" w:ascii="宋体" w:hAnsi="宋体" w:eastAsia="宋体" w:cstheme="minorBidi"/>
          <w:b/>
          <w:bCs/>
          <w:kern w:val="2"/>
          <w:sz w:val="28"/>
          <w:szCs w:val="32"/>
          <w:highlight w:val="none"/>
          <w:lang w:val="zh-CN" w:eastAsia="zh-CN" w:bidi="ar-SA"/>
        </w:rPr>
      </w:sdtEndPr>
      <w:sdtContent>
        <w:p w14:paraId="6064F933">
          <w:pPr>
            <w:spacing w:before="0" w:beforeLines="0" w:after="0" w:afterLines="0" w:line="240" w:lineRule="auto"/>
            <w:ind w:left="0" w:leftChars="0" w:right="0" w:rightChars="0" w:firstLine="0" w:firstLineChars="0"/>
            <w:jc w:val="center"/>
            <w:rPr>
              <w:b/>
              <w:bCs/>
              <w:sz w:val="28"/>
              <w:szCs w:val="32"/>
              <w:highlight w:val="none"/>
            </w:rPr>
          </w:pPr>
          <w:bookmarkStart w:id="0" w:name="_Toc11846"/>
          <w:r>
            <w:rPr>
              <w:rFonts w:ascii="宋体" w:hAnsi="宋体" w:eastAsia="宋体"/>
              <w:b/>
              <w:bCs/>
              <w:sz w:val="28"/>
              <w:szCs w:val="32"/>
              <w:highlight w:val="none"/>
            </w:rPr>
            <w:t>目</w:t>
          </w:r>
          <w:r>
            <w:rPr>
              <w:rFonts w:hint="eastAsia" w:ascii="宋体" w:hAnsi="宋体" w:eastAsia="宋体"/>
              <w:b/>
              <w:bCs/>
              <w:sz w:val="28"/>
              <w:szCs w:val="32"/>
              <w:highlight w:val="none"/>
              <w:lang w:val="en-US" w:eastAsia="zh-CN"/>
            </w:rPr>
            <w:t xml:space="preserve"> </w:t>
          </w:r>
          <w:r>
            <w:rPr>
              <w:rFonts w:ascii="宋体" w:hAnsi="宋体" w:eastAsia="宋体"/>
              <w:b/>
              <w:bCs/>
              <w:sz w:val="28"/>
              <w:szCs w:val="32"/>
              <w:highlight w:val="none"/>
            </w:rPr>
            <w:t>录</w:t>
          </w:r>
        </w:p>
        <w:p w14:paraId="6F80E70E">
          <w:pPr>
            <w:pStyle w:val="17"/>
            <w:tabs>
              <w:tab w:val="right" w:leader="dot" w:pos="8731"/>
            </w:tabs>
            <w:spacing w:line="360" w:lineRule="auto"/>
            <w:rPr>
              <w:rFonts w:hint="eastAsia" w:ascii="宋体" w:hAnsi="宋体" w:eastAsia="宋体" w:cs="宋体"/>
              <w:b/>
              <w:sz w:val="21"/>
              <w:szCs w:val="21"/>
              <w:highlight w:val="none"/>
              <w:lang w:val="zh-CN"/>
            </w:rPr>
          </w:pPr>
        </w:p>
        <w:p w14:paraId="244CD4BB">
          <w:pPr>
            <w:pStyle w:val="17"/>
            <w:tabs>
              <w:tab w:val="right" w:leader="dot" w:pos="8731"/>
            </w:tabs>
            <w:spacing w:line="360" w:lineRule="auto"/>
            <w:rPr>
              <w:rFonts w:hint="eastAsia" w:ascii="宋体" w:hAnsi="宋体" w:eastAsia="宋体" w:cs="宋体"/>
              <w:b/>
              <w:bCs/>
              <w:sz w:val="21"/>
              <w:szCs w:val="21"/>
              <w:highlight w:val="none"/>
            </w:rPr>
          </w:pPr>
          <w:r>
            <w:rPr>
              <w:rFonts w:hint="eastAsia" w:ascii="宋体" w:hAnsi="宋体" w:eastAsia="宋体" w:cs="宋体"/>
              <w:b/>
              <w:sz w:val="21"/>
              <w:szCs w:val="21"/>
              <w:highlight w:val="none"/>
              <w:lang w:val="zh-CN"/>
            </w:rPr>
            <w:fldChar w:fldCharType="begin"/>
          </w:r>
          <w:r>
            <w:rPr>
              <w:rFonts w:hint="eastAsia" w:ascii="宋体" w:hAnsi="宋体" w:eastAsia="宋体" w:cs="宋体"/>
              <w:b/>
              <w:sz w:val="21"/>
              <w:szCs w:val="21"/>
              <w:highlight w:val="none"/>
              <w:lang w:val="zh-CN"/>
            </w:rPr>
            <w:instrText xml:space="preserve">TOC \o "1-2" \h \u </w:instrText>
          </w:r>
          <w:r>
            <w:rPr>
              <w:rFonts w:hint="eastAsia" w:ascii="宋体" w:hAnsi="宋体" w:eastAsia="宋体" w:cs="宋体"/>
              <w:b/>
              <w:sz w:val="21"/>
              <w:szCs w:val="21"/>
              <w:highlight w:val="none"/>
              <w:lang w:val="zh-CN"/>
            </w:rPr>
            <w:fldChar w:fldCharType="separate"/>
          </w:r>
          <w:r>
            <w:rPr>
              <w:rFonts w:hint="eastAsia" w:ascii="宋体" w:hAnsi="宋体" w:eastAsia="宋体" w:cs="宋体"/>
              <w:b/>
              <w:bCs/>
              <w:sz w:val="21"/>
              <w:szCs w:val="21"/>
              <w:highlight w:val="none"/>
              <w:lang w:val="zh-CN"/>
            </w:rPr>
            <w:fldChar w:fldCharType="begin"/>
          </w:r>
          <w:r>
            <w:rPr>
              <w:rFonts w:hint="eastAsia" w:ascii="宋体" w:hAnsi="宋体" w:eastAsia="宋体" w:cs="宋体"/>
              <w:b/>
              <w:bCs/>
              <w:sz w:val="21"/>
              <w:szCs w:val="21"/>
              <w:highlight w:val="none"/>
              <w:lang w:val="zh-CN"/>
            </w:rPr>
            <w:instrText xml:space="preserve"> HYPERLINK \l _Toc5584 </w:instrText>
          </w:r>
          <w:r>
            <w:rPr>
              <w:rFonts w:hint="eastAsia" w:ascii="宋体" w:hAnsi="宋体" w:eastAsia="宋体" w:cs="宋体"/>
              <w:b/>
              <w:bCs/>
              <w:sz w:val="21"/>
              <w:szCs w:val="21"/>
              <w:highlight w:val="none"/>
              <w:lang w:val="zh-CN"/>
            </w:rPr>
            <w:fldChar w:fldCharType="separate"/>
          </w:r>
          <w:r>
            <w:rPr>
              <w:rFonts w:hint="eastAsia" w:ascii="宋体" w:hAnsi="宋体" w:eastAsia="宋体" w:cs="宋体"/>
              <w:b/>
              <w:bCs/>
              <w:sz w:val="21"/>
              <w:szCs w:val="21"/>
              <w:highlight w:val="none"/>
              <w:lang w:val="zh-CN"/>
            </w:rPr>
            <w:t>第</w:t>
          </w:r>
          <w:r>
            <w:rPr>
              <w:rFonts w:hint="eastAsia" w:ascii="宋体" w:hAnsi="宋体" w:eastAsia="宋体" w:cs="宋体"/>
              <w:b/>
              <w:bCs/>
              <w:sz w:val="21"/>
              <w:szCs w:val="21"/>
              <w:highlight w:val="none"/>
            </w:rPr>
            <w:t>一章</w:t>
          </w:r>
          <w:r>
            <w:rPr>
              <w:rFonts w:hint="eastAsia" w:ascii="宋体" w:hAnsi="宋体" w:eastAsia="宋体" w:cs="宋体"/>
              <w:b/>
              <w:bCs/>
              <w:sz w:val="21"/>
              <w:szCs w:val="21"/>
              <w:highlight w:val="none"/>
              <w:lang w:val="zh-CN"/>
            </w:rPr>
            <w:t xml:space="preserve">  </w:t>
          </w:r>
          <w:r>
            <w:rPr>
              <w:rFonts w:hint="eastAsia" w:ascii="宋体" w:hAnsi="宋体" w:eastAsia="宋体" w:cs="宋体"/>
              <w:b/>
              <w:bCs/>
              <w:sz w:val="21"/>
              <w:szCs w:val="21"/>
              <w:highlight w:val="none"/>
            </w:rPr>
            <w:t>询价公告</w:t>
          </w:r>
          <w:r>
            <w:rPr>
              <w:rFonts w:hint="eastAsia" w:ascii="宋体" w:hAnsi="宋体" w:eastAsia="宋体" w:cs="宋体"/>
              <w:b/>
              <w:bCs/>
              <w:sz w:val="21"/>
              <w:szCs w:val="21"/>
              <w:highlight w:val="none"/>
            </w:rPr>
            <w:tab/>
          </w:r>
          <w:r>
            <w:rPr>
              <w:rFonts w:hint="eastAsia" w:ascii="宋体" w:hAnsi="宋体" w:eastAsia="宋体" w:cs="宋体"/>
              <w:b/>
              <w:bCs/>
              <w:sz w:val="21"/>
              <w:szCs w:val="21"/>
              <w:highlight w:val="none"/>
            </w:rPr>
            <w:fldChar w:fldCharType="begin"/>
          </w:r>
          <w:r>
            <w:rPr>
              <w:rFonts w:hint="eastAsia" w:ascii="宋体" w:hAnsi="宋体" w:eastAsia="宋体" w:cs="宋体"/>
              <w:b/>
              <w:bCs/>
              <w:sz w:val="21"/>
              <w:szCs w:val="21"/>
              <w:highlight w:val="none"/>
            </w:rPr>
            <w:instrText xml:space="preserve"> PAGEREF _Toc5584 \h </w:instrText>
          </w:r>
          <w:r>
            <w:rPr>
              <w:rFonts w:hint="eastAsia" w:ascii="宋体" w:hAnsi="宋体" w:eastAsia="宋体" w:cs="宋体"/>
              <w:b/>
              <w:bCs/>
              <w:sz w:val="21"/>
              <w:szCs w:val="21"/>
              <w:highlight w:val="none"/>
            </w:rPr>
            <w:fldChar w:fldCharType="separate"/>
          </w:r>
          <w:r>
            <w:rPr>
              <w:rFonts w:hint="eastAsia" w:ascii="宋体" w:hAnsi="宋体" w:eastAsia="宋体" w:cs="宋体"/>
              <w:b/>
              <w:bCs/>
              <w:sz w:val="21"/>
              <w:szCs w:val="21"/>
              <w:highlight w:val="none"/>
            </w:rPr>
            <w:t>1</w:t>
          </w:r>
          <w:r>
            <w:rPr>
              <w:rFonts w:hint="eastAsia" w:ascii="宋体" w:hAnsi="宋体" w:eastAsia="宋体" w:cs="宋体"/>
              <w:b/>
              <w:bCs/>
              <w:sz w:val="21"/>
              <w:szCs w:val="21"/>
              <w:highlight w:val="none"/>
            </w:rPr>
            <w:fldChar w:fldCharType="end"/>
          </w:r>
          <w:r>
            <w:rPr>
              <w:rFonts w:hint="eastAsia" w:ascii="宋体" w:hAnsi="宋体" w:eastAsia="宋体" w:cs="宋体"/>
              <w:b/>
              <w:bCs/>
              <w:sz w:val="21"/>
              <w:szCs w:val="21"/>
              <w:highlight w:val="none"/>
              <w:lang w:val="zh-CN"/>
            </w:rPr>
            <w:fldChar w:fldCharType="end"/>
          </w:r>
        </w:p>
        <w:p w14:paraId="7E7C14C5">
          <w:pPr>
            <w:pStyle w:val="18"/>
            <w:tabs>
              <w:tab w:val="right" w:leader="dot" w:pos="8731"/>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_Toc2409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kern w:val="0"/>
              <w:sz w:val="21"/>
              <w:szCs w:val="21"/>
              <w:highlight w:val="none"/>
            </w:rPr>
            <w:t>一、</w:t>
          </w:r>
          <w:r>
            <w:rPr>
              <w:rFonts w:hint="eastAsia" w:ascii="宋体" w:hAnsi="宋体" w:eastAsia="宋体" w:cs="宋体"/>
              <w:bCs/>
              <w:kern w:val="0"/>
              <w:sz w:val="21"/>
              <w:szCs w:val="21"/>
              <w:highlight w:val="none"/>
              <w:lang w:val="en-US" w:eastAsia="zh-CN"/>
            </w:rPr>
            <w:t>采购</w:t>
          </w:r>
          <w:r>
            <w:rPr>
              <w:rFonts w:hint="eastAsia" w:ascii="宋体" w:hAnsi="宋体" w:eastAsia="宋体" w:cs="宋体"/>
              <w:bCs/>
              <w:kern w:val="0"/>
              <w:sz w:val="21"/>
              <w:szCs w:val="21"/>
              <w:highlight w:val="none"/>
            </w:rPr>
            <w:t>内容及预算</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_Toc2409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lang w:val="zh-CN"/>
            </w:rPr>
            <w:fldChar w:fldCharType="end"/>
          </w:r>
        </w:p>
        <w:p w14:paraId="0D994CAC">
          <w:pPr>
            <w:pStyle w:val="18"/>
            <w:tabs>
              <w:tab w:val="right" w:leader="dot" w:pos="8731"/>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_Toc9174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kern w:val="0"/>
              <w:sz w:val="21"/>
              <w:szCs w:val="21"/>
              <w:highlight w:val="none"/>
            </w:rPr>
            <w:t>二、供应商资格要求</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_Toc9174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lang w:val="zh-CN"/>
            </w:rPr>
            <w:fldChar w:fldCharType="end"/>
          </w:r>
        </w:p>
        <w:p w14:paraId="26B428D1">
          <w:pPr>
            <w:pStyle w:val="18"/>
            <w:tabs>
              <w:tab w:val="right" w:leader="dot" w:pos="8731"/>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_Toc6358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kern w:val="0"/>
              <w:sz w:val="21"/>
              <w:szCs w:val="21"/>
              <w:highlight w:val="none"/>
            </w:rPr>
            <w:t>三、获取询价文件</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_Toc6358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lang w:val="zh-CN"/>
            </w:rPr>
            <w:fldChar w:fldCharType="end"/>
          </w:r>
        </w:p>
        <w:p w14:paraId="3CC3C44E">
          <w:pPr>
            <w:pStyle w:val="18"/>
            <w:tabs>
              <w:tab w:val="right" w:leader="dot" w:pos="8731"/>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_Toc16687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kern w:val="0"/>
              <w:sz w:val="21"/>
              <w:szCs w:val="21"/>
              <w:highlight w:val="none"/>
            </w:rPr>
            <w:t>四、询价响应文件的递交</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_Toc16687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lang w:val="zh-CN"/>
            </w:rPr>
            <w:fldChar w:fldCharType="end"/>
          </w:r>
        </w:p>
        <w:p w14:paraId="0A908D91">
          <w:pPr>
            <w:pStyle w:val="18"/>
            <w:tabs>
              <w:tab w:val="right" w:leader="dot" w:pos="8731"/>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_Toc30086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kern w:val="0"/>
              <w:sz w:val="21"/>
              <w:szCs w:val="21"/>
              <w:highlight w:val="none"/>
            </w:rPr>
            <w:t>五、补充说明</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_Toc30086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lang w:val="zh-CN"/>
            </w:rPr>
            <w:fldChar w:fldCharType="end"/>
          </w:r>
        </w:p>
        <w:p w14:paraId="18A13A8D">
          <w:pPr>
            <w:pStyle w:val="18"/>
            <w:tabs>
              <w:tab w:val="right" w:leader="dot" w:pos="8731"/>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_Toc17931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kern w:val="0"/>
              <w:sz w:val="21"/>
              <w:szCs w:val="21"/>
              <w:highlight w:val="none"/>
            </w:rPr>
            <w:t>六、联系方式</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_Toc17931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lang w:val="zh-CN"/>
            </w:rPr>
            <w:fldChar w:fldCharType="end"/>
          </w:r>
        </w:p>
        <w:p w14:paraId="72EB69C0">
          <w:pPr>
            <w:pStyle w:val="18"/>
            <w:tabs>
              <w:tab w:val="right" w:leader="dot" w:pos="8731"/>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_Toc27341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kern w:val="0"/>
              <w:sz w:val="21"/>
              <w:szCs w:val="21"/>
              <w:highlight w:val="none"/>
            </w:rPr>
            <w:t>七、异议处理方式</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_Toc27341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lang w:val="zh-CN"/>
            </w:rPr>
            <w:fldChar w:fldCharType="end"/>
          </w:r>
        </w:p>
        <w:p w14:paraId="4C3448A1">
          <w:pPr>
            <w:pStyle w:val="17"/>
            <w:tabs>
              <w:tab w:val="right" w:leader="dot" w:pos="8731"/>
            </w:tabs>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zh-CN"/>
            </w:rPr>
            <w:fldChar w:fldCharType="begin"/>
          </w:r>
          <w:r>
            <w:rPr>
              <w:rFonts w:hint="eastAsia" w:ascii="宋体" w:hAnsi="宋体" w:eastAsia="宋体" w:cs="宋体"/>
              <w:b/>
              <w:bCs/>
              <w:sz w:val="21"/>
              <w:szCs w:val="21"/>
              <w:highlight w:val="none"/>
              <w:lang w:val="zh-CN"/>
            </w:rPr>
            <w:instrText xml:space="preserve"> HYPERLINK \l _Toc23753 </w:instrText>
          </w:r>
          <w:r>
            <w:rPr>
              <w:rFonts w:hint="eastAsia" w:ascii="宋体" w:hAnsi="宋体" w:eastAsia="宋体" w:cs="宋体"/>
              <w:b/>
              <w:bCs/>
              <w:sz w:val="21"/>
              <w:szCs w:val="21"/>
              <w:highlight w:val="none"/>
              <w:lang w:val="zh-CN"/>
            </w:rPr>
            <w:fldChar w:fldCharType="separate"/>
          </w:r>
          <w:r>
            <w:rPr>
              <w:rFonts w:hint="eastAsia" w:ascii="宋体" w:hAnsi="宋体" w:eastAsia="宋体" w:cs="宋体"/>
              <w:b/>
              <w:bCs/>
              <w:sz w:val="21"/>
              <w:szCs w:val="21"/>
              <w:highlight w:val="none"/>
              <w:lang w:val="zh-CN"/>
            </w:rPr>
            <w:t>第</w:t>
          </w:r>
          <w:r>
            <w:rPr>
              <w:rFonts w:hint="eastAsia" w:ascii="宋体" w:hAnsi="宋体" w:eastAsia="宋体" w:cs="宋体"/>
              <w:b/>
              <w:bCs/>
              <w:sz w:val="21"/>
              <w:szCs w:val="21"/>
              <w:highlight w:val="none"/>
            </w:rPr>
            <w:t>二章</w:t>
          </w:r>
          <w:r>
            <w:rPr>
              <w:rFonts w:hint="eastAsia" w:ascii="宋体" w:hAnsi="宋体" w:eastAsia="宋体" w:cs="宋体"/>
              <w:b/>
              <w:bCs/>
              <w:sz w:val="21"/>
              <w:szCs w:val="21"/>
              <w:highlight w:val="none"/>
              <w:lang w:val="zh-CN"/>
            </w:rPr>
            <w:t xml:space="preserve">  </w:t>
          </w:r>
          <w:r>
            <w:rPr>
              <w:rFonts w:hint="eastAsia" w:ascii="宋体" w:hAnsi="宋体" w:eastAsia="宋体" w:cs="宋体"/>
              <w:b/>
              <w:bCs/>
              <w:sz w:val="21"/>
              <w:szCs w:val="21"/>
              <w:highlight w:val="none"/>
              <w:lang w:val="en-US" w:eastAsia="zh-CN"/>
            </w:rPr>
            <w:t>项目需求</w:t>
          </w:r>
          <w:r>
            <w:rPr>
              <w:rFonts w:hint="eastAsia" w:ascii="宋体" w:hAnsi="宋体" w:eastAsia="宋体" w:cs="宋体"/>
              <w:b/>
              <w:bCs/>
              <w:sz w:val="21"/>
              <w:szCs w:val="21"/>
              <w:highlight w:val="none"/>
            </w:rPr>
            <w:tab/>
          </w:r>
          <w:r>
            <w:rPr>
              <w:rFonts w:hint="eastAsia" w:ascii="宋体" w:hAnsi="宋体" w:eastAsia="宋体" w:cs="宋体"/>
              <w:b/>
              <w:bCs/>
              <w:sz w:val="21"/>
              <w:szCs w:val="21"/>
              <w:highlight w:val="none"/>
            </w:rPr>
            <w:fldChar w:fldCharType="begin"/>
          </w:r>
          <w:r>
            <w:rPr>
              <w:rFonts w:hint="eastAsia" w:ascii="宋体" w:hAnsi="宋体" w:eastAsia="宋体" w:cs="宋体"/>
              <w:b/>
              <w:bCs/>
              <w:sz w:val="21"/>
              <w:szCs w:val="21"/>
              <w:highlight w:val="none"/>
            </w:rPr>
            <w:instrText xml:space="preserve"> PAGEREF _Toc23753 \h </w:instrText>
          </w:r>
          <w:r>
            <w:rPr>
              <w:rFonts w:hint="eastAsia" w:ascii="宋体" w:hAnsi="宋体" w:eastAsia="宋体" w:cs="宋体"/>
              <w:b/>
              <w:bCs/>
              <w:sz w:val="21"/>
              <w:szCs w:val="21"/>
              <w:highlight w:val="none"/>
            </w:rPr>
            <w:fldChar w:fldCharType="separate"/>
          </w:r>
          <w:r>
            <w:rPr>
              <w:rFonts w:hint="eastAsia" w:ascii="宋体" w:hAnsi="宋体" w:eastAsia="宋体" w:cs="宋体"/>
              <w:b/>
              <w:bCs/>
              <w:sz w:val="21"/>
              <w:szCs w:val="21"/>
              <w:highlight w:val="none"/>
            </w:rPr>
            <w:t>3</w:t>
          </w:r>
          <w:r>
            <w:rPr>
              <w:rFonts w:hint="eastAsia" w:ascii="宋体" w:hAnsi="宋体" w:eastAsia="宋体" w:cs="宋体"/>
              <w:b/>
              <w:bCs/>
              <w:sz w:val="21"/>
              <w:szCs w:val="21"/>
              <w:highlight w:val="none"/>
            </w:rPr>
            <w:fldChar w:fldCharType="end"/>
          </w:r>
          <w:r>
            <w:rPr>
              <w:rFonts w:hint="eastAsia" w:ascii="宋体" w:hAnsi="宋体" w:eastAsia="宋体" w:cs="宋体"/>
              <w:b/>
              <w:bCs/>
              <w:sz w:val="21"/>
              <w:szCs w:val="21"/>
              <w:highlight w:val="none"/>
              <w:lang w:val="zh-CN"/>
            </w:rPr>
            <w:fldChar w:fldCharType="end"/>
          </w:r>
        </w:p>
        <w:p w14:paraId="549FDC6A">
          <w:pPr>
            <w:pStyle w:val="17"/>
            <w:tabs>
              <w:tab w:val="right" w:leader="dot" w:pos="8731"/>
            </w:tabs>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zh-CN"/>
            </w:rPr>
            <w:fldChar w:fldCharType="begin"/>
          </w:r>
          <w:r>
            <w:rPr>
              <w:rFonts w:hint="eastAsia" w:ascii="宋体" w:hAnsi="宋体" w:eastAsia="宋体" w:cs="宋体"/>
              <w:b/>
              <w:bCs/>
              <w:sz w:val="21"/>
              <w:szCs w:val="21"/>
              <w:highlight w:val="none"/>
              <w:lang w:val="zh-CN"/>
            </w:rPr>
            <w:instrText xml:space="preserve"> HYPERLINK \l _Toc25314 </w:instrText>
          </w:r>
          <w:r>
            <w:rPr>
              <w:rFonts w:hint="eastAsia" w:ascii="宋体" w:hAnsi="宋体" w:eastAsia="宋体" w:cs="宋体"/>
              <w:b/>
              <w:bCs/>
              <w:sz w:val="21"/>
              <w:szCs w:val="21"/>
              <w:highlight w:val="none"/>
              <w:lang w:val="zh-CN"/>
            </w:rPr>
            <w:fldChar w:fldCharType="separate"/>
          </w:r>
          <w:r>
            <w:rPr>
              <w:rFonts w:hint="eastAsia" w:ascii="宋体" w:hAnsi="宋体" w:eastAsia="宋体" w:cs="宋体"/>
              <w:b/>
              <w:bCs/>
              <w:sz w:val="21"/>
              <w:szCs w:val="21"/>
              <w:highlight w:val="none"/>
              <w:lang w:val="en-US" w:eastAsia="zh-CN"/>
            </w:rPr>
            <w:t xml:space="preserve">第三章  </w:t>
          </w:r>
          <w:r>
            <w:rPr>
              <w:rFonts w:hint="eastAsia" w:ascii="宋体" w:hAnsi="宋体" w:eastAsia="宋体" w:cs="宋体"/>
              <w:b/>
              <w:bCs/>
              <w:sz w:val="21"/>
              <w:szCs w:val="21"/>
              <w:highlight w:val="none"/>
            </w:rPr>
            <w:t>合同条款</w:t>
          </w:r>
          <w:r>
            <w:rPr>
              <w:rFonts w:hint="eastAsia" w:ascii="宋体" w:hAnsi="宋体" w:eastAsia="宋体" w:cs="宋体"/>
              <w:b/>
              <w:bCs/>
              <w:sz w:val="21"/>
              <w:szCs w:val="21"/>
              <w:highlight w:val="none"/>
            </w:rPr>
            <w:tab/>
          </w:r>
          <w:r>
            <w:rPr>
              <w:rFonts w:hint="eastAsia" w:ascii="宋体" w:hAnsi="宋体" w:eastAsia="宋体" w:cs="宋体"/>
              <w:b/>
              <w:bCs/>
              <w:sz w:val="21"/>
              <w:szCs w:val="21"/>
              <w:highlight w:val="none"/>
            </w:rPr>
            <w:fldChar w:fldCharType="begin"/>
          </w:r>
          <w:r>
            <w:rPr>
              <w:rFonts w:hint="eastAsia" w:ascii="宋体" w:hAnsi="宋体" w:eastAsia="宋体" w:cs="宋体"/>
              <w:b/>
              <w:bCs/>
              <w:sz w:val="21"/>
              <w:szCs w:val="21"/>
              <w:highlight w:val="none"/>
            </w:rPr>
            <w:instrText xml:space="preserve"> PAGEREF _Toc25314 \h </w:instrText>
          </w:r>
          <w:r>
            <w:rPr>
              <w:rFonts w:hint="eastAsia" w:ascii="宋体" w:hAnsi="宋体" w:eastAsia="宋体" w:cs="宋体"/>
              <w:b/>
              <w:bCs/>
              <w:sz w:val="21"/>
              <w:szCs w:val="21"/>
              <w:highlight w:val="none"/>
            </w:rPr>
            <w:fldChar w:fldCharType="separate"/>
          </w:r>
          <w:r>
            <w:rPr>
              <w:rFonts w:hint="eastAsia" w:ascii="宋体" w:hAnsi="宋体" w:eastAsia="宋体" w:cs="宋体"/>
              <w:b/>
              <w:bCs/>
              <w:sz w:val="21"/>
              <w:szCs w:val="21"/>
              <w:highlight w:val="none"/>
            </w:rPr>
            <w:t>6</w:t>
          </w:r>
          <w:r>
            <w:rPr>
              <w:rFonts w:hint="eastAsia" w:ascii="宋体" w:hAnsi="宋体" w:eastAsia="宋体" w:cs="宋体"/>
              <w:b/>
              <w:bCs/>
              <w:sz w:val="21"/>
              <w:szCs w:val="21"/>
              <w:highlight w:val="none"/>
            </w:rPr>
            <w:fldChar w:fldCharType="end"/>
          </w:r>
          <w:r>
            <w:rPr>
              <w:rFonts w:hint="eastAsia" w:ascii="宋体" w:hAnsi="宋体" w:eastAsia="宋体" w:cs="宋体"/>
              <w:b/>
              <w:bCs/>
              <w:sz w:val="21"/>
              <w:szCs w:val="21"/>
              <w:highlight w:val="none"/>
              <w:lang w:val="zh-CN"/>
            </w:rPr>
            <w:fldChar w:fldCharType="end"/>
          </w:r>
        </w:p>
        <w:p w14:paraId="112DD63E">
          <w:pPr>
            <w:pStyle w:val="17"/>
            <w:tabs>
              <w:tab w:val="right" w:leader="dot" w:pos="8731"/>
            </w:tabs>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zh-CN"/>
            </w:rPr>
            <w:fldChar w:fldCharType="begin"/>
          </w:r>
          <w:r>
            <w:rPr>
              <w:rFonts w:hint="eastAsia" w:ascii="宋体" w:hAnsi="宋体" w:eastAsia="宋体" w:cs="宋体"/>
              <w:b/>
              <w:bCs/>
              <w:sz w:val="21"/>
              <w:szCs w:val="21"/>
              <w:highlight w:val="none"/>
              <w:lang w:val="zh-CN"/>
            </w:rPr>
            <w:instrText xml:space="preserve"> HYPERLINK \l _Toc23460 </w:instrText>
          </w:r>
          <w:r>
            <w:rPr>
              <w:rFonts w:hint="eastAsia" w:ascii="宋体" w:hAnsi="宋体" w:eastAsia="宋体" w:cs="宋体"/>
              <w:b/>
              <w:bCs/>
              <w:sz w:val="21"/>
              <w:szCs w:val="21"/>
              <w:highlight w:val="none"/>
              <w:lang w:val="zh-CN"/>
            </w:rPr>
            <w:fldChar w:fldCharType="separate"/>
          </w:r>
          <w:r>
            <w:rPr>
              <w:rFonts w:hint="eastAsia" w:ascii="宋体" w:hAnsi="宋体" w:eastAsia="宋体" w:cs="宋体"/>
              <w:b/>
              <w:bCs/>
              <w:sz w:val="21"/>
              <w:szCs w:val="21"/>
              <w:highlight w:val="none"/>
              <w:lang w:val="zh-CN"/>
            </w:rPr>
            <w:t>第</w:t>
          </w:r>
          <w:r>
            <w:rPr>
              <w:rFonts w:hint="eastAsia" w:ascii="宋体" w:hAnsi="宋体" w:eastAsia="宋体" w:cs="宋体"/>
              <w:b/>
              <w:bCs/>
              <w:sz w:val="21"/>
              <w:szCs w:val="21"/>
              <w:highlight w:val="none"/>
              <w:lang w:val="en-US" w:eastAsia="zh-CN"/>
            </w:rPr>
            <w:t>四</w:t>
          </w:r>
          <w:r>
            <w:rPr>
              <w:rFonts w:hint="eastAsia" w:ascii="宋体" w:hAnsi="宋体" w:eastAsia="宋体" w:cs="宋体"/>
              <w:b/>
              <w:bCs/>
              <w:sz w:val="21"/>
              <w:szCs w:val="21"/>
              <w:highlight w:val="none"/>
              <w:lang w:val="zh-CN"/>
            </w:rPr>
            <w:t>章  响应文件组成</w:t>
          </w:r>
          <w:r>
            <w:rPr>
              <w:rFonts w:hint="eastAsia" w:ascii="宋体" w:hAnsi="宋体" w:eastAsia="宋体" w:cs="宋体"/>
              <w:b/>
              <w:bCs/>
              <w:sz w:val="21"/>
              <w:szCs w:val="21"/>
              <w:highlight w:val="none"/>
            </w:rPr>
            <w:tab/>
          </w:r>
          <w:r>
            <w:rPr>
              <w:rFonts w:hint="eastAsia" w:ascii="宋体" w:hAnsi="宋体" w:eastAsia="宋体" w:cs="宋体"/>
              <w:b/>
              <w:bCs/>
              <w:sz w:val="21"/>
              <w:szCs w:val="21"/>
              <w:highlight w:val="none"/>
            </w:rPr>
            <w:fldChar w:fldCharType="begin"/>
          </w:r>
          <w:r>
            <w:rPr>
              <w:rFonts w:hint="eastAsia" w:ascii="宋体" w:hAnsi="宋体" w:eastAsia="宋体" w:cs="宋体"/>
              <w:b/>
              <w:bCs/>
              <w:sz w:val="21"/>
              <w:szCs w:val="21"/>
              <w:highlight w:val="none"/>
            </w:rPr>
            <w:instrText xml:space="preserve"> PAGEREF _Toc23460 \h </w:instrText>
          </w:r>
          <w:r>
            <w:rPr>
              <w:rFonts w:hint="eastAsia" w:ascii="宋体" w:hAnsi="宋体" w:eastAsia="宋体" w:cs="宋体"/>
              <w:b/>
              <w:bCs/>
              <w:sz w:val="21"/>
              <w:szCs w:val="21"/>
              <w:highlight w:val="none"/>
            </w:rPr>
            <w:fldChar w:fldCharType="separate"/>
          </w:r>
          <w:r>
            <w:rPr>
              <w:rFonts w:hint="eastAsia" w:ascii="宋体" w:hAnsi="宋体" w:eastAsia="宋体" w:cs="宋体"/>
              <w:b/>
              <w:bCs/>
              <w:sz w:val="21"/>
              <w:szCs w:val="21"/>
              <w:highlight w:val="none"/>
            </w:rPr>
            <w:t>12</w:t>
          </w:r>
          <w:r>
            <w:rPr>
              <w:rFonts w:hint="eastAsia" w:ascii="宋体" w:hAnsi="宋体" w:eastAsia="宋体" w:cs="宋体"/>
              <w:b/>
              <w:bCs/>
              <w:sz w:val="21"/>
              <w:szCs w:val="21"/>
              <w:highlight w:val="none"/>
            </w:rPr>
            <w:fldChar w:fldCharType="end"/>
          </w:r>
          <w:r>
            <w:rPr>
              <w:rFonts w:hint="eastAsia" w:ascii="宋体" w:hAnsi="宋体" w:eastAsia="宋体" w:cs="宋体"/>
              <w:b/>
              <w:bCs/>
              <w:sz w:val="21"/>
              <w:szCs w:val="21"/>
              <w:highlight w:val="none"/>
              <w:lang w:val="zh-CN"/>
            </w:rPr>
            <w:fldChar w:fldCharType="end"/>
          </w:r>
        </w:p>
        <w:p w14:paraId="6D88377A">
          <w:pPr>
            <w:bidi w:val="0"/>
            <w:rPr>
              <w:rFonts w:hint="eastAsia"/>
              <w:highlight w:val="none"/>
              <w:lang w:val="zh-CN" w:eastAsia="zh-CN"/>
            </w:rPr>
          </w:pPr>
          <w:r>
            <w:rPr>
              <w:rFonts w:hint="eastAsia"/>
              <w:highlight w:val="none"/>
              <w:lang w:val="zh-CN"/>
            </w:rPr>
            <w:fldChar w:fldCharType="end"/>
          </w:r>
        </w:p>
      </w:sdtContent>
    </w:sdt>
    <w:p w14:paraId="2FDF513F">
      <w:pPr>
        <w:keepNext/>
        <w:spacing w:line="360" w:lineRule="auto"/>
        <w:jc w:val="center"/>
        <w:outlineLvl w:val="0"/>
        <w:rPr>
          <w:rFonts w:hint="eastAsia" w:ascii="宋体" w:hAnsi="宋体" w:eastAsia="宋体" w:cs="宋体"/>
          <w:kern w:val="2"/>
          <w:sz w:val="21"/>
          <w:szCs w:val="30"/>
          <w:highlight w:val="none"/>
          <w:lang w:val="zh-CN" w:eastAsia="zh-CN" w:bidi="ar-SA"/>
        </w:rPr>
        <w:sectPr>
          <w:footerReference r:id="rId5" w:type="default"/>
          <w:headerReference r:id="rId4" w:type="even"/>
          <w:pgSz w:w="11907" w:h="16840"/>
          <w:pgMar w:top="1418" w:right="1418" w:bottom="1418" w:left="1418" w:header="720" w:footer="720" w:gutter="340"/>
          <w:pgBorders>
            <w:top w:val="none" w:sz="0" w:space="0"/>
            <w:left w:val="none" w:sz="0" w:space="0"/>
            <w:bottom w:val="none" w:sz="0" w:space="0"/>
            <w:right w:val="none" w:sz="0" w:space="0"/>
          </w:pgBorders>
          <w:pgNumType w:start="1"/>
          <w:cols w:space="720" w:num="1"/>
          <w:docGrid w:linePitch="312" w:charSpace="2048"/>
        </w:sectPr>
      </w:pPr>
    </w:p>
    <w:p w14:paraId="6B0FD29C">
      <w:pPr>
        <w:keepNext/>
        <w:spacing w:line="360" w:lineRule="auto"/>
        <w:jc w:val="center"/>
        <w:outlineLvl w:val="0"/>
        <w:rPr>
          <w:rFonts w:hint="eastAsia" w:ascii="宋体" w:hAnsi="宋体" w:eastAsia="宋体" w:cs="宋体"/>
          <w:b/>
          <w:sz w:val="30"/>
          <w:szCs w:val="30"/>
          <w:highlight w:val="none"/>
        </w:rPr>
      </w:pPr>
      <w:bookmarkStart w:id="1" w:name="_Toc5584"/>
      <w:r>
        <w:rPr>
          <w:rFonts w:hint="eastAsia" w:ascii="宋体" w:hAnsi="宋体" w:eastAsia="宋体" w:cs="宋体"/>
          <w:b/>
          <w:sz w:val="30"/>
          <w:szCs w:val="30"/>
          <w:highlight w:val="none"/>
          <w:lang w:val="zh-CN"/>
        </w:rPr>
        <w:t>第</w:t>
      </w:r>
      <w:r>
        <w:rPr>
          <w:rFonts w:hint="eastAsia" w:ascii="宋体" w:hAnsi="宋体" w:eastAsia="宋体" w:cs="宋体"/>
          <w:b/>
          <w:sz w:val="30"/>
          <w:szCs w:val="30"/>
          <w:highlight w:val="none"/>
        </w:rPr>
        <w:t>一章</w:t>
      </w:r>
      <w:r>
        <w:rPr>
          <w:rFonts w:hint="eastAsia" w:ascii="宋体" w:hAnsi="宋体" w:eastAsia="宋体" w:cs="宋体"/>
          <w:b/>
          <w:sz w:val="30"/>
          <w:szCs w:val="30"/>
          <w:highlight w:val="none"/>
          <w:lang w:val="zh-CN"/>
        </w:rPr>
        <w:t xml:space="preserve">  </w:t>
      </w:r>
      <w:r>
        <w:rPr>
          <w:rFonts w:hint="eastAsia" w:ascii="宋体" w:hAnsi="宋体" w:eastAsia="宋体" w:cs="宋体"/>
          <w:b/>
          <w:sz w:val="30"/>
          <w:szCs w:val="30"/>
          <w:highlight w:val="none"/>
        </w:rPr>
        <w:t>询价公告</w:t>
      </w:r>
      <w:bookmarkEnd w:id="0"/>
      <w:bookmarkEnd w:id="1"/>
    </w:p>
    <w:p w14:paraId="3A98AD3B">
      <w:pPr>
        <w:spacing w:line="360" w:lineRule="auto"/>
        <w:ind w:firstLine="420" w:firstLineChars="200"/>
        <w:rPr>
          <w:rFonts w:hint="eastAsia" w:ascii="宋体" w:hAnsi="宋体" w:eastAsia="宋体" w:cs="宋体"/>
          <w:szCs w:val="21"/>
          <w:highlight w:val="none"/>
          <w:lang w:eastAsia="zh-CN"/>
        </w:rPr>
      </w:pPr>
    </w:p>
    <w:p w14:paraId="590FA182">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eastAsia="zh-CN"/>
        </w:rPr>
        <w:t>南通轨道资源开发有限公司</w:t>
      </w:r>
      <w:r>
        <w:rPr>
          <w:rFonts w:hint="eastAsia" w:ascii="宋体" w:hAnsi="宋体" w:eastAsia="宋体" w:cs="宋体"/>
          <w:szCs w:val="21"/>
          <w:highlight w:val="none"/>
        </w:rPr>
        <w:t>对“</w:t>
      </w:r>
      <w:r>
        <w:rPr>
          <w:rFonts w:hint="eastAsia" w:ascii="宋体" w:hAnsi="宋体" w:eastAsia="宋体" w:cs="宋体"/>
          <w:szCs w:val="21"/>
          <w:highlight w:val="none"/>
          <w:lang w:eastAsia="zh-CN"/>
        </w:rPr>
        <w:t>招采中心速通门及人脸识别设备采购项目</w:t>
      </w:r>
      <w:r>
        <w:rPr>
          <w:rFonts w:hint="eastAsia" w:ascii="宋体" w:hAnsi="宋体" w:eastAsia="宋体" w:cs="宋体"/>
          <w:szCs w:val="21"/>
          <w:highlight w:val="none"/>
        </w:rPr>
        <w:t>”进行公开询价，诚邀符合条件的单位参加。</w:t>
      </w:r>
    </w:p>
    <w:p w14:paraId="47B3D55D">
      <w:pPr>
        <w:autoSpaceDE w:val="0"/>
        <w:autoSpaceDN w:val="0"/>
        <w:adjustRightInd w:val="0"/>
        <w:spacing w:line="360" w:lineRule="auto"/>
        <w:jc w:val="left"/>
        <w:outlineLvl w:val="1"/>
        <w:rPr>
          <w:rFonts w:hint="eastAsia" w:ascii="宋体" w:hAnsi="宋体" w:eastAsia="宋体" w:cs="宋体"/>
          <w:b/>
          <w:bCs/>
          <w:color w:val="000000"/>
          <w:kern w:val="0"/>
          <w:szCs w:val="21"/>
          <w:highlight w:val="none"/>
        </w:rPr>
      </w:pPr>
      <w:bookmarkStart w:id="2" w:name="_Toc1891"/>
      <w:bookmarkStart w:id="3" w:name="_Toc2409"/>
      <w:r>
        <w:rPr>
          <w:rFonts w:hint="eastAsia" w:ascii="宋体" w:hAnsi="宋体" w:eastAsia="宋体" w:cs="宋体"/>
          <w:b/>
          <w:bCs/>
          <w:color w:val="000000"/>
          <w:kern w:val="0"/>
          <w:szCs w:val="21"/>
          <w:highlight w:val="none"/>
        </w:rPr>
        <w:t>一、</w:t>
      </w:r>
      <w:r>
        <w:rPr>
          <w:rFonts w:hint="eastAsia" w:ascii="宋体" w:hAnsi="宋体" w:eastAsia="宋体" w:cs="宋体"/>
          <w:b/>
          <w:bCs/>
          <w:color w:val="000000"/>
          <w:kern w:val="0"/>
          <w:szCs w:val="21"/>
          <w:highlight w:val="none"/>
          <w:lang w:val="en-US" w:eastAsia="zh-CN"/>
        </w:rPr>
        <w:t>采购</w:t>
      </w:r>
      <w:r>
        <w:rPr>
          <w:rFonts w:hint="eastAsia" w:ascii="宋体" w:hAnsi="宋体" w:eastAsia="宋体" w:cs="宋体"/>
          <w:b/>
          <w:bCs/>
          <w:color w:val="000000"/>
          <w:kern w:val="0"/>
          <w:szCs w:val="21"/>
          <w:highlight w:val="none"/>
        </w:rPr>
        <w:t>内容及预算</w:t>
      </w:r>
      <w:bookmarkEnd w:id="2"/>
      <w:bookmarkEnd w:id="3"/>
    </w:p>
    <w:p w14:paraId="590D2228">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1.采购</w:t>
      </w:r>
      <w:r>
        <w:rPr>
          <w:rFonts w:hint="eastAsia" w:ascii="宋体" w:hAnsi="宋体" w:eastAsia="宋体" w:cs="宋体"/>
          <w:szCs w:val="21"/>
          <w:highlight w:val="none"/>
        </w:rPr>
        <w:t>内容：</w:t>
      </w:r>
      <w:r>
        <w:rPr>
          <w:rFonts w:hint="eastAsia" w:ascii="宋体" w:hAnsi="宋体" w:eastAsia="宋体" w:cs="宋体"/>
          <w:szCs w:val="21"/>
          <w:highlight w:val="none"/>
          <w:lang w:eastAsia="zh-CN"/>
        </w:rPr>
        <w:t>速通门（道闸）、人脸识别终端及配套布线辅材的供货、运输、安装、调试、与既有系统对接及验收</w:t>
      </w:r>
      <w:r>
        <w:rPr>
          <w:rFonts w:hint="eastAsia" w:ascii="宋体" w:hAnsi="宋体" w:eastAsia="宋体" w:cs="宋体"/>
          <w:szCs w:val="21"/>
          <w:highlight w:val="none"/>
        </w:rPr>
        <w:t>。</w:t>
      </w:r>
    </w:p>
    <w:p w14:paraId="39EE66DB">
      <w:pPr>
        <w:pStyle w:val="11"/>
        <w:autoSpaceDE w:val="0"/>
        <w:autoSpaceDN w:val="0"/>
        <w:spacing w:line="360" w:lineRule="auto"/>
        <w:ind w:right="261" w:firstLine="420" w:firstLineChars="200"/>
        <w:rPr>
          <w:rFonts w:hint="eastAsia" w:ascii="宋体" w:hAnsi="宋体" w:eastAsia="宋体" w:cs="宋体"/>
          <w:spacing w:val="-1"/>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项目最高限价（含税）：</w:t>
      </w:r>
      <w:r>
        <w:rPr>
          <w:rFonts w:hint="eastAsia" w:ascii="宋体" w:hAnsi="宋体" w:eastAsia="宋体" w:cs="宋体"/>
          <w:sz w:val="21"/>
          <w:szCs w:val="21"/>
          <w:highlight w:val="none"/>
          <w:lang w:val="en-US" w:eastAsia="zh-CN"/>
        </w:rPr>
        <w:t>9.99</w:t>
      </w:r>
      <w:r>
        <w:rPr>
          <w:rFonts w:hint="eastAsia" w:ascii="宋体" w:hAnsi="宋体" w:eastAsia="宋体" w:cs="宋体"/>
          <w:sz w:val="21"/>
          <w:szCs w:val="21"/>
          <w:highlight w:val="none"/>
        </w:rPr>
        <w:t>万元。</w:t>
      </w:r>
    </w:p>
    <w:p w14:paraId="09ECA9D1">
      <w:pPr>
        <w:autoSpaceDE w:val="0"/>
        <w:autoSpaceDN w:val="0"/>
        <w:adjustRightInd w:val="0"/>
        <w:spacing w:line="360" w:lineRule="auto"/>
        <w:jc w:val="left"/>
        <w:outlineLvl w:val="1"/>
        <w:rPr>
          <w:rFonts w:hint="eastAsia" w:ascii="宋体" w:hAnsi="宋体" w:eastAsia="宋体" w:cs="宋体"/>
          <w:b/>
          <w:bCs/>
          <w:color w:val="000000"/>
          <w:kern w:val="0"/>
          <w:szCs w:val="21"/>
          <w:highlight w:val="none"/>
        </w:rPr>
      </w:pPr>
      <w:bookmarkStart w:id="4" w:name="_Toc9174"/>
      <w:bookmarkStart w:id="5" w:name="_Toc22749"/>
      <w:r>
        <w:rPr>
          <w:rFonts w:hint="eastAsia" w:ascii="宋体" w:hAnsi="宋体" w:eastAsia="宋体" w:cs="宋体"/>
          <w:b/>
          <w:bCs/>
          <w:color w:val="000000"/>
          <w:kern w:val="0"/>
          <w:szCs w:val="21"/>
          <w:highlight w:val="none"/>
        </w:rPr>
        <w:t>二、供应商资格要求</w:t>
      </w:r>
      <w:bookmarkEnd w:id="4"/>
      <w:bookmarkEnd w:id="5"/>
    </w:p>
    <w:p w14:paraId="573B6AA0">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1.</w:t>
      </w:r>
      <w:r>
        <w:rPr>
          <w:rFonts w:hint="eastAsia" w:ascii="宋体" w:hAnsi="宋体" w:eastAsia="宋体" w:cs="宋体"/>
          <w:szCs w:val="21"/>
          <w:highlight w:val="none"/>
        </w:rPr>
        <w:t>供应商须是具有独立法人资格的企事业单位，同时持有有效的营业执照或事业单位法人证书。</w:t>
      </w:r>
    </w:p>
    <w:p w14:paraId="0640B839">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2.自2023年1月1日至今，</w:t>
      </w:r>
      <w:r>
        <w:rPr>
          <w:rFonts w:hint="eastAsia" w:ascii="宋体" w:hAnsi="宋体" w:eastAsia="宋体" w:cs="宋体"/>
          <w:szCs w:val="21"/>
          <w:highlight w:val="none"/>
        </w:rPr>
        <w:t>供应商</w:t>
      </w:r>
      <w:r>
        <w:rPr>
          <w:rFonts w:hint="eastAsia" w:ascii="宋体" w:hAnsi="宋体" w:eastAsia="宋体" w:cs="宋体"/>
          <w:szCs w:val="21"/>
          <w:highlight w:val="none"/>
          <w:lang w:val="en-US" w:eastAsia="zh-CN"/>
        </w:rPr>
        <w:t>至少具有一个合同金额5万元及以上的类似业绩（含道闸供货及安装，业绩时间以合同签订时间为准，业绩金额以合同金额为准，若无法体现合同金额，另须提供发票或业主证明）。</w:t>
      </w:r>
    </w:p>
    <w:p w14:paraId="13B5E315">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3.</w:t>
      </w:r>
      <w:r>
        <w:rPr>
          <w:rFonts w:hint="eastAsia" w:ascii="宋体" w:hAnsi="宋体" w:eastAsia="宋体" w:cs="宋体"/>
          <w:szCs w:val="21"/>
          <w:highlight w:val="none"/>
        </w:rPr>
        <w:t>与采购人存在利害关系可能影响采购公正性的法人、其他组织或者个人，不得参加本项目询价；单位负责人为同一人或者存在控股、管理关系的不同单位，不得参加本项目询价。</w:t>
      </w:r>
    </w:p>
    <w:p w14:paraId="43D55CD8">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本项目不接受联合体投标。</w:t>
      </w:r>
    </w:p>
    <w:p w14:paraId="6B57977E">
      <w:pPr>
        <w:autoSpaceDE w:val="0"/>
        <w:autoSpaceDN w:val="0"/>
        <w:adjustRightInd w:val="0"/>
        <w:spacing w:line="360" w:lineRule="auto"/>
        <w:jc w:val="left"/>
        <w:outlineLvl w:val="1"/>
        <w:rPr>
          <w:rFonts w:hint="eastAsia" w:ascii="宋体" w:hAnsi="宋体" w:eastAsia="宋体" w:cs="宋体"/>
          <w:b/>
          <w:bCs/>
          <w:color w:val="000000"/>
          <w:kern w:val="0"/>
          <w:szCs w:val="21"/>
          <w:highlight w:val="none"/>
        </w:rPr>
      </w:pPr>
      <w:bookmarkStart w:id="6" w:name="_Toc16718"/>
      <w:bookmarkStart w:id="7" w:name="_Toc6358"/>
      <w:bookmarkStart w:id="8" w:name="_Toc7599"/>
      <w:r>
        <w:rPr>
          <w:rFonts w:hint="eastAsia" w:ascii="宋体" w:hAnsi="宋体" w:eastAsia="宋体" w:cs="宋体"/>
          <w:b/>
          <w:bCs/>
          <w:color w:val="000000"/>
          <w:kern w:val="0"/>
          <w:szCs w:val="21"/>
          <w:highlight w:val="none"/>
        </w:rPr>
        <w:t>三、获取</w:t>
      </w:r>
      <w:bookmarkEnd w:id="6"/>
      <w:r>
        <w:rPr>
          <w:rFonts w:hint="eastAsia" w:ascii="宋体" w:hAnsi="宋体" w:eastAsia="宋体" w:cs="宋体"/>
          <w:b/>
          <w:bCs/>
          <w:color w:val="000000"/>
          <w:kern w:val="0"/>
          <w:szCs w:val="21"/>
          <w:highlight w:val="none"/>
        </w:rPr>
        <w:t>询价文件</w:t>
      </w:r>
      <w:bookmarkEnd w:id="7"/>
    </w:p>
    <w:p w14:paraId="1A5BB27D">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本公告在南通轨道交通集团有限公司官网、中国招标投标公共服务平台上发布。</w:t>
      </w:r>
    </w:p>
    <w:p w14:paraId="4ADB26AC">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有意参加本项目询价的单位，请在南通轨道交通集团有限公司官网本公告下方获取电子询价文件。</w:t>
      </w:r>
    </w:p>
    <w:p w14:paraId="54677657">
      <w:pPr>
        <w:autoSpaceDE w:val="0"/>
        <w:autoSpaceDN w:val="0"/>
        <w:adjustRightInd w:val="0"/>
        <w:spacing w:line="360" w:lineRule="auto"/>
        <w:jc w:val="left"/>
        <w:outlineLvl w:val="1"/>
        <w:rPr>
          <w:rFonts w:hint="eastAsia" w:ascii="宋体" w:hAnsi="宋体" w:eastAsia="宋体" w:cs="宋体"/>
          <w:b/>
          <w:bCs/>
          <w:color w:val="000000"/>
          <w:kern w:val="0"/>
          <w:szCs w:val="21"/>
          <w:highlight w:val="none"/>
        </w:rPr>
      </w:pPr>
      <w:bookmarkStart w:id="9" w:name="_Toc16687"/>
      <w:r>
        <w:rPr>
          <w:rFonts w:hint="eastAsia" w:ascii="宋体" w:hAnsi="宋体" w:eastAsia="宋体" w:cs="宋体"/>
          <w:b/>
          <w:bCs/>
          <w:color w:val="000000"/>
          <w:kern w:val="0"/>
          <w:szCs w:val="21"/>
          <w:highlight w:val="none"/>
        </w:rPr>
        <w:t>四、询价响应文件的递交</w:t>
      </w:r>
      <w:bookmarkEnd w:id="8"/>
      <w:bookmarkEnd w:id="9"/>
    </w:p>
    <w:p w14:paraId="1B0DA4AE">
      <w:pPr>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1.响应文件递交起止时间：2026年10月28日9时00分-9时30分（北京时间，下同）</w:t>
      </w:r>
    </w:p>
    <w:p w14:paraId="74EB6B24">
      <w:pPr>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2.响应文件递交截止时间：2026年10月28日9时30分</w:t>
      </w:r>
    </w:p>
    <w:p w14:paraId="33364F14">
      <w:pPr>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3.响应文件递交地点：南通市崇川区崇川路158号地铁大厦15楼1506开标室。</w:t>
      </w:r>
    </w:p>
    <w:p w14:paraId="7692EBE3">
      <w:pPr>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4.逾期送达的或者未送达指定地点的响应文件，采购人不予受理。</w:t>
      </w:r>
    </w:p>
    <w:p w14:paraId="7DB1C0EA">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5.</w:t>
      </w:r>
      <w:r>
        <w:rPr>
          <w:rFonts w:hint="eastAsia" w:ascii="宋体" w:hAnsi="宋体" w:eastAsia="宋体" w:cs="宋体"/>
          <w:szCs w:val="21"/>
          <w:highlight w:val="none"/>
        </w:rPr>
        <w:t>询价响应文件须</w:t>
      </w:r>
      <w:r>
        <w:rPr>
          <w:rFonts w:hint="eastAsia" w:ascii="宋体" w:hAnsi="宋体" w:eastAsia="宋体" w:cs="宋体"/>
          <w:szCs w:val="21"/>
          <w:highlight w:val="none"/>
          <w:lang w:val="en-US" w:eastAsia="zh-CN"/>
        </w:rPr>
        <w:t>采用A4版面，</w:t>
      </w:r>
      <w:r>
        <w:rPr>
          <w:rFonts w:hint="eastAsia" w:ascii="宋体" w:hAnsi="宋体" w:eastAsia="宋体" w:cs="宋体"/>
          <w:szCs w:val="21"/>
          <w:highlight w:val="none"/>
        </w:rPr>
        <w:t>装订成册，一正二副，具体格式详见第三章《响应文件组成》。</w:t>
      </w:r>
    </w:p>
    <w:p w14:paraId="2742CA05">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密封要求：供应商须将询价响应文件用文件袋密封并加盖公章，文件袋上注明项目名称、单位名称。</w:t>
      </w:r>
    </w:p>
    <w:p w14:paraId="484CE2C7">
      <w:pPr>
        <w:autoSpaceDE w:val="0"/>
        <w:autoSpaceDN w:val="0"/>
        <w:adjustRightInd w:val="0"/>
        <w:spacing w:line="360" w:lineRule="auto"/>
        <w:jc w:val="left"/>
        <w:outlineLvl w:val="1"/>
        <w:rPr>
          <w:rFonts w:hint="eastAsia" w:ascii="宋体" w:hAnsi="宋体" w:eastAsia="宋体" w:cs="宋体"/>
          <w:b/>
          <w:bCs/>
          <w:color w:val="000000"/>
          <w:kern w:val="0"/>
          <w:szCs w:val="21"/>
          <w:highlight w:val="none"/>
        </w:rPr>
      </w:pPr>
      <w:bookmarkStart w:id="10" w:name="_Toc30086"/>
      <w:bookmarkStart w:id="11" w:name="_Toc29803"/>
      <w:r>
        <w:rPr>
          <w:rFonts w:hint="eastAsia" w:ascii="宋体" w:hAnsi="宋体" w:eastAsia="宋体" w:cs="宋体"/>
          <w:b/>
          <w:bCs/>
          <w:color w:val="000000"/>
          <w:kern w:val="0"/>
          <w:szCs w:val="21"/>
          <w:highlight w:val="none"/>
        </w:rPr>
        <w:t>五、补充说明</w:t>
      </w:r>
      <w:bookmarkEnd w:id="10"/>
      <w:bookmarkEnd w:id="11"/>
    </w:p>
    <w:p w14:paraId="48A4D8A4">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1.</w:t>
      </w:r>
      <w:r>
        <w:rPr>
          <w:rFonts w:hint="eastAsia" w:ascii="宋体" w:hAnsi="宋体" w:eastAsia="宋体" w:cs="宋体"/>
          <w:szCs w:val="21"/>
          <w:highlight w:val="none"/>
        </w:rPr>
        <w:t>报价超过最高限价的为无效响应文件。</w:t>
      </w:r>
    </w:p>
    <w:p w14:paraId="7717D814">
      <w:pPr>
        <w:spacing w:line="360" w:lineRule="auto"/>
        <w:ind w:firstLine="422" w:firstLineChars="200"/>
        <w:rPr>
          <w:rFonts w:hint="eastAsia" w:ascii="宋体" w:hAnsi="宋体" w:eastAsia="宋体" w:cs="宋体"/>
          <w:szCs w:val="21"/>
          <w:highlight w:val="none"/>
        </w:rPr>
      </w:pPr>
      <w:r>
        <w:rPr>
          <w:rFonts w:hint="eastAsia" w:ascii="宋体" w:hAnsi="宋体" w:eastAsia="宋体" w:cs="宋体"/>
          <w:b/>
          <w:bCs/>
          <w:szCs w:val="21"/>
          <w:highlight w:val="none"/>
          <w:lang w:val="en-US" w:eastAsia="zh-CN"/>
        </w:rPr>
        <w:t>2.</w:t>
      </w:r>
      <w:r>
        <w:rPr>
          <w:rFonts w:hint="eastAsia" w:ascii="宋体" w:hAnsi="宋体" w:eastAsia="宋体" w:cs="宋体"/>
          <w:b/>
          <w:bCs/>
          <w:szCs w:val="21"/>
          <w:highlight w:val="none"/>
        </w:rPr>
        <w:t>由评标委员会对供应商的资格进行审查，对未通过审查的供应商，告知原因。评标委员会对合格供应商的响应文件进行评审，按照质量和服务均能满足询价采购文件实质性响应要求且报价最低的原则，确定成交供应商。报价如有相同者，由采购人抽签确定成交供应商。</w:t>
      </w:r>
    </w:p>
    <w:p w14:paraId="25018A99">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3.</w:t>
      </w:r>
      <w:r>
        <w:rPr>
          <w:rFonts w:hint="eastAsia" w:ascii="宋体" w:hAnsi="宋体" w:eastAsia="宋体" w:cs="宋体"/>
          <w:szCs w:val="21"/>
          <w:highlight w:val="none"/>
        </w:rPr>
        <w:t>若某标段参与询价的供应商不足三家时，该标段流标。</w:t>
      </w:r>
    </w:p>
    <w:p w14:paraId="472EE85F">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若通过资格审查的供应商不足三家时，该标段流标。</w:t>
      </w:r>
    </w:p>
    <w:p w14:paraId="132978DB">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5.供应商应详细阅读询价文件的全部内容，供应商对询价文件有疑问或异议的，请在2026年10月25</w:t>
      </w:r>
      <w:r>
        <w:rPr>
          <w:rFonts w:hint="eastAsia" w:ascii="宋体" w:hAnsi="宋体" w:eastAsia="宋体" w:cs="宋体"/>
          <w:szCs w:val="21"/>
          <w:highlight w:val="none"/>
          <w:lang w:val="en-US" w:eastAsia="zh-CN"/>
        </w:rPr>
        <w:fldChar w:fldCharType="begin"/>
      </w:r>
      <w:r>
        <w:rPr>
          <w:rFonts w:hint="eastAsia" w:ascii="宋体" w:hAnsi="宋体" w:eastAsia="宋体" w:cs="宋体"/>
          <w:szCs w:val="21"/>
          <w:highlight w:val="none"/>
          <w:lang w:val="en-US" w:eastAsia="zh-CN"/>
        </w:rPr>
        <w:instrText xml:space="preserve"> HYPERLINK "mailto:日9时00分前以电子邮件形式提出询问或疑问（word版，邮箱为3257573920@qq.com），未在规定时间内提出询问或疑问的，视同申请人理解并接受本询价文件所有内容，由此引起的损失自负。" </w:instrText>
      </w:r>
      <w:r>
        <w:rPr>
          <w:rFonts w:hint="eastAsia" w:ascii="宋体" w:hAnsi="宋体" w:eastAsia="宋体" w:cs="宋体"/>
          <w:szCs w:val="21"/>
          <w:highlight w:val="none"/>
          <w:lang w:val="en-US" w:eastAsia="zh-CN"/>
        </w:rPr>
        <w:fldChar w:fldCharType="separate"/>
      </w:r>
      <w:r>
        <w:rPr>
          <w:rFonts w:hint="eastAsia" w:ascii="宋体" w:hAnsi="宋体" w:eastAsia="宋体" w:cs="宋体"/>
          <w:szCs w:val="21"/>
          <w:highlight w:val="none"/>
          <w:lang w:val="en-US" w:eastAsia="zh-CN"/>
        </w:rPr>
        <w:t>日14时00分前以电子邮件形式提出询问或疑问（word版，邮箱为2226458151@qq.com），未在规定时间内提出询问或疑问的，视同响应人理解并接受本询价文件所有内容，由此引起的损失自负。</w:t>
      </w:r>
      <w:r>
        <w:rPr>
          <w:rFonts w:hint="eastAsia" w:ascii="宋体" w:hAnsi="宋体" w:eastAsia="宋体" w:cs="宋体"/>
          <w:szCs w:val="21"/>
          <w:highlight w:val="none"/>
          <w:lang w:val="en-US" w:eastAsia="zh-CN"/>
        </w:rPr>
        <w:fldChar w:fldCharType="end"/>
      </w:r>
      <w:r>
        <w:rPr>
          <w:rFonts w:hint="eastAsia" w:ascii="宋体" w:hAnsi="宋体" w:eastAsia="宋体" w:cs="宋体"/>
          <w:szCs w:val="21"/>
          <w:highlight w:val="none"/>
          <w:lang w:val="en-US" w:eastAsia="zh-CN"/>
        </w:rPr>
        <w:t>答疑或澄清文件</w:t>
      </w:r>
      <w:r>
        <w:rPr>
          <w:rFonts w:hint="eastAsia" w:ascii="宋体" w:hAnsi="宋体" w:eastAsia="宋体" w:cs="宋体"/>
          <w:szCs w:val="21"/>
          <w:highlight w:val="none"/>
        </w:rPr>
        <w:t>会</w:t>
      </w:r>
      <w:r>
        <w:rPr>
          <w:rFonts w:hint="eastAsia" w:ascii="宋体" w:hAnsi="宋体" w:eastAsia="宋体" w:cs="宋体"/>
          <w:szCs w:val="21"/>
          <w:highlight w:val="none"/>
          <w:lang w:val="en-US" w:eastAsia="zh-CN"/>
        </w:rPr>
        <w:t>以公告</w:t>
      </w:r>
      <w:r>
        <w:rPr>
          <w:rFonts w:hint="eastAsia" w:ascii="宋体" w:hAnsi="宋体" w:eastAsia="宋体" w:cs="宋体"/>
          <w:szCs w:val="21"/>
          <w:highlight w:val="none"/>
        </w:rPr>
        <w:t>形式在南通轨道交通集团有限公司官网发布，供应商应及时查看，因供应商错看漏看引起的一切问题由供应商自行承担。</w:t>
      </w:r>
    </w:p>
    <w:p w14:paraId="6D9567B7">
      <w:pPr>
        <w:spacing w:line="360" w:lineRule="auto"/>
        <w:ind w:firstLine="420" w:firstLineChars="200"/>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6.供应商可自行踏勘现场，如需踏勘，请与采购人联系。</w:t>
      </w:r>
    </w:p>
    <w:p w14:paraId="17B8C434">
      <w:pPr>
        <w:autoSpaceDE w:val="0"/>
        <w:autoSpaceDN w:val="0"/>
        <w:adjustRightInd w:val="0"/>
        <w:spacing w:line="360" w:lineRule="auto"/>
        <w:jc w:val="left"/>
        <w:outlineLvl w:val="1"/>
        <w:rPr>
          <w:rFonts w:hint="eastAsia" w:ascii="宋体" w:hAnsi="宋体" w:eastAsia="宋体" w:cs="宋体"/>
          <w:b/>
          <w:bCs/>
          <w:szCs w:val="21"/>
          <w:highlight w:val="none"/>
        </w:rPr>
      </w:pPr>
      <w:bookmarkStart w:id="12" w:name="_Toc19921"/>
      <w:bookmarkStart w:id="13" w:name="_Toc17931"/>
      <w:r>
        <w:rPr>
          <w:rFonts w:hint="eastAsia" w:ascii="宋体" w:hAnsi="宋体" w:eastAsia="宋体" w:cs="宋体"/>
          <w:b/>
          <w:bCs/>
          <w:color w:val="000000"/>
          <w:kern w:val="0"/>
          <w:szCs w:val="21"/>
          <w:highlight w:val="none"/>
        </w:rPr>
        <w:t>六、联系方式</w:t>
      </w:r>
      <w:bookmarkEnd w:id="12"/>
      <w:bookmarkEnd w:id="13"/>
      <w:r>
        <w:rPr>
          <w:rFonts w:hint="eastAsia" w:ascii="宋体" w:hAnsi="宋体" w:eastAsia="宋体" w:cs="宋体"/>
          <w:b/>
          <w:bCs/>
          <w:color w:val="000000"/>
          <w:kern w:val="0"/>
          <w:szCs w:val="21"/>
          <w:highlight w:val="none"/>
        </w:rPr>
        <w:t xml:space="preserve"> </w:t>
      </w:r>
    </w:p>
    <w:p w14:paraId="264BC7F3">
      <w:pPr>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rPr>
        <w:t>采购人：</w:t>
      </w:r>
      <w:r>
        <w:rPr>
          <w:rFonts w:hint="eastAsia" w:ascii="宋体" w:hAnsi="宋体" w:eastAsia="宋体" w:cs="宋体"/>
          <w:szCs w:val="21"/>
          <w:highlight w:val="none"/>
          <w:lang w:eastAsia="zh-CN"/>
        </w:rPr>
        <w:t>南通轨道资源开发有限公司</w:t>
      </w:r>
    </w:p>
    <w:p w14:paraId="434C1F31">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联系地址：南通市崇川区崇川路158号18楼</w:t>
      </w:r>
    </w:p>
    <w:p w14:paraId="18FEB954">
      <w:pPr>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rPr>
        <w:t>联系人：</w:t>
      </w:r>
      <w:r>
        <w:rPr>
          <w:rFonts w:hint="eastAsia" w:ascii="宋体" w:hAnsi="宋体" w:eastAsia="宋体" w:cs="宋体"/>
          <w:szCs w:val="21"/>
          <w:highlight w:val="none"/>
          <w:lang w:val="en-US" w:eastAsia="zh-CN"/>
        </w:rPr>
        <w:t>郭</w:t>
      </w:r>
      <w:r>
        <w:rPr>
          <w:rFonts w:hint="eastAsia" w:ascii="宋体" w:hAnsi="宋体" w:eastAsia="宋体" w:cs="宋体"/>
          <w:szCs w:val="21"/>
          <w:highlight w:val="none"/>
        </w:rPr>
        <w:t>女士</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0513-80813997</w:t>
      </w:r>
    </w:p>
    <w:p w14:paraId="189709B7">
      <w:pPr>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rPr>
        <w:t>招标代理机构：</w:t>
      </w:r>
      <w:r>
        <w:rPr>
          <w:rFonts w:hint="eastAsia" w:ascii="宋体" w:hAnsi="宋体" w:eastAsia="宋体" w:cs="宋体"/>
          <w:szCs w:val="21"/>
          <w:highlight w:val="none"/>
          <w:lang w:eastAsia="zh-CN"/>
        </w:rPr>
        <w:t>山东国盛项目管理有限公司</w:t>
      </w:r>
    </w:p>
    <w:p w14:paraId="755C6314">
      <w:pPr>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rPr>
        <w:t>联系人：李先生</w:t>
      </w:r>
      <w:r>
        <w:rPr>
          <w:rFonts w:hint="eastAsia" w:ascii="宋体" w:hAnsi="宋体" w:eastAsia="宋体" w:cs="宋体"/>
          <w:szCs w:val="21"/>
          <w:highlight w:val="none"/>
          <w:lang w:val="en-US" w:eastAsia="zh-CN"/>
        </w:rPr>
        <w:t>,15192029263</w:t>
      </w:r>
    </w:p>
    <w:p w14:paraId="08D35B0D">
      <w:pPr>
        <w:autoSpaceDE w:val="0"/>
        <w:autoSpaceDN w:val="0"/>
        <w:adjustRightInd w:val="0"/>
        <w:spacing w:line="360" w:lineRule="auto"/>
        <w:jc w:val="left"/>
        <w:outlineLvl w:val="1"/>
        <w:rPr>
          <w:rFonts w:hint="eastAsia" w:ascii="宋体" w:hAnsi="宋体" w:eastAsia="宋体" w:cs="宋体"/>
          <w:b/>
          <w:bCs/>
          <w:color w:val="000000"/>
          <w:kern w:val="0"/>
          <w:szCs w:val="21"/>
          <w:highlight w:val="none"/>
        </w:rPr>
      </w:pPr>
      <w:bookmarkStart w:id="14" w:name="_Toc18794"/>
      <w:bookmarkStart w:id="15" w:name="_Toc27341"/>
      <w:bookmarkStart w:id="16" w:name="_Toc318"/>
      <w:r>
        <w:rPr>
          <w:rFonts w:hint="eastAsia" w:ascii="宋体" w:hAnsi="宋体" w:eastAsia="宋体" w:cs="宋体"/>
          <w:b/>
          <w:bCs/>
          <w:color w:val="000000"/>
          <w:kern w:val="0"/>
          <w:szCs w:val="21"/>
          <w:highlight w:val="none"/>
        </w:rPr>
        <w:t>七、异议处理方式</w:t>
      </w:r>
      <w:bookmarkEnd w:id="14"/>
      <w:bookmarkEnd w:id="15"/>
      <w:bookmarkEnd w:id="16"/>
    </w:p>
    <w:p w14:paraId="2F58A743">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供应商或者其他利害关系人对询价文件有异议的，应当向采购人提出。受理异议人：曹老师；电话：18862941616（请在工作时间上午9：00－11：30，下午13：30－17：30联系）；通信地址：南通市崇川区崇川路158号18楼。</w:t>
      </w:r>
    </w:p>
    <w:p w14:paraId="77158F40">
      <w:pPr>
        <w:rPr>
          <w:rFonts w:hint="eastAsia" w:ascii="宋体" w:hAnsi="宋体" w:eastAsia="宋体" w:cs="宋体"/>
          <w:b/>
          <w:sz w:val="30"/>
          <w:szCs w:val="30"/>
          <w:highlight w:val="none"/>
          <w:lang w:val="zh-CN"/>
        </w:rPr>
      </w:pPr>
      <w:bookmarkStart w:id="17" w:name="_Toc4603"/>
      <w:bookmarkStart w:id="18" w:name="_Toc16980"/>
      <w:bookmarkStart w:id="19" w:name="_Toc26234"/>
      <w:bookmarkStart w:id="20" w:name="_Toc5473"/>
      <w:bookmarkStart w:id="21" w:name="_Toc21586"/>
      <w:bookmarkStart w:id="22" w:name="_Toc26512"/>
      <w:bookmarkStart w:id="23" w:name="_Toc13754"/>
      <w:bookmarkStart w:id="24" w:name="_Toc3186"/>
      <w:bookmarkStart w:id="25" w:name="_Toc11213"/>
      <w:bookmarkStart w:id="26" w:name="_Toc388189057"/>
      <w:bookmarkStart w:id="27" w:name="_Toc459729770"/>
      <w:bookmarkStart w:id="28" w:name="_Toc4774"/>
      <w:bookmarkStart w:id="29" w:name="_Toc4287"/>
      <w:bookmarkStart w:id="30" w:name="_Toc25272"/>
      <w:bookmarkStart w:id="31" w:name="_Toc20216"/>
      <w:bookmarkStart w:id="32" w:name="_Toc52196410"/>
      <w:bookmarkStart w:id="33" w:name="_Toc11253"/>
      <w:bookmarkStart w:id="34" w:name="_Toc467764294"/>
      <w:bookmarkStart w:id="35" w:name="_Toc514430468"/>
      <w:bookmarkStart w:id="36" w:name="_Toc8487"/>
      <w:bookmarkStart w:id="37" w:name="_Toc49268611"/>
      <w:bookmarkStart w:id="38" w:name="_Toc20816"/>
      <w:bookmarkStart w:id="39" w:name="_Toc455145948"/>
      <w:bookmarkStart w:id="40" w:name="_Toc21196"/>
      <w:bookmarkStart w:id="41" w:name="_Toc31787"/>
      <w:r>
        <w:rPr>
          <w:rFonts w:hint="eastAsia" w:ascii="宋体" w:hAnsi="宋体" w:eastAsia="宋体" w:cs="宋体"/>
          <w:b/>
          <w:sz w:val="30"/>
          <w:szCs w:val="30"/>
          <w:highlight w:val="none"/>
          <w:lang w:val="zh-CN"/>
        </w:rPr>
        <w:br w:type="page"/>
      </w:r>
    </w:p>
    <w:p w14:paraId="275694EB">
      <w:pPr>
        <w:keepNext/>
        <w:spacing w:line="360" w:lineRule="auto"/>
        <w:jc w:val="center"/>
        <w:outlineLvl w:val="0"/>
        <w:rPr>
          <w:rFonts w:hint="eastAsia" w:ascii="宋体" w:hAnsi="宋体" w:eastAsia="宋体" w:cs="宋体"/>
          <w:b/>
          <w:sz w:val="30"/>
          <w:szCs w:val="30"/>
          <w:highlight w:val="none"/>
          <w:lang w:val="en-US" w:eastAsia="zh-CN"/>
        </w:rPr>
      </w:pPr>
      <w:bookmarkStart w:id="42" w:name="_Toc23753"/>
      <w:r>
        <w:rPr>
          <w:rFonts w:hint="eastAsia" w:ascii="宋体" w:hAnsi="宋体" w:eastAsia="宋体" w:cs="宋体"/>
          <w:b/>
          <w:sz w:val="30"/>
          <w:szCs w:val="30"/>
          <w:highlight w:val="none"/>
          <w:lang w:val="zh-CN"/>
        </w:rPr>
        <w:t>第</w:t>
      </w:r>
      <w:r>
        <w:rPr>
          <w:rFonts w:hint="eastAsia" w:ascii="宋体" w:hAnsi="宋体" w:eastAsia="宋体" w:cs="宋体"/>
          <w:b/>
          <w:sz w:val="30"/>
          <w:szCs w:val="30"/>
          <w:highlight w:val="none"/>
        </w:rPr>
        <w:t>二章</w:t>
      </w:r>
      <w:r>
        <w:rPr>
          <w:rFonts w:hint="eastAsia" w:ascii="宋体" w:hAnsi="宋体" w:eastAsia="宋体" w:cs="宋体"/>
          <w:b/>
          <w:sz w:val="30"/>
          <w:szCs w:val="30"/>
          <w:highlight w:val="none"/>
          <w:lang w:val="zh-CN"/>
        </w:rPr>
        <w:t xml:space="preserve">  </w:t>
      </w:r>
      <w:r>
        <w:rPr>
          <w:rFonts w:hint="eastAsia" w:ascii="宋体" w:hAnsi="宋体" w:eastAsia="宋体" w:cs="宋体"/>
          <w:b/>
          <w:sz w:val="30"/>
          <w:szCs w:val="30"/>
          <w:highlight w:val="none"/>
          <w:lang w:val="en-US" w:eastAsia="zh-CN"/>
        </w:rPr>
        <w:t>项目需求</w:t>
      </w:r>
      <w:bookmarkEnd w:id="42"/>
    </w:p>
    <w:p w14:paraId="0CFB0692">
      <w:pPr>
        <w:spacing w:line="360" w:lineRule="auto"/>
        <w:ind w:firstLine="420" w:firstLineChars="200"/>
        <w:rPr>
          <w:rFonts w:hint="eastAsia" w:ascii="宋体" w:hAnsi="宋体" w:eastAsia="宋体" w:cs="宋体"/>
          <w:szCs w:val="21"/>
          <w:highlight w:val="none"/>
          <w:lang w:eastAsia="zh-CN"/>
        </w:rPr>
      </w:pPr>
    </w:p>
    <w:p w14:paraId="5399555B">
      <w:pPr>
        <w:autoSpaceDE w:val="0"/>
        <w:autoSpaceDN w:val="0"/>
        <w:adjustRightInd w:val="0"/>
        <w:spacing w:line="360" w:lineRule="auto"/>
        <w:jc w:val="left"/>
        <w:outlineLvl w:val="1"/>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lang w:eastAsia="zh-CN"/>
        </w:rPr>
        <w:t>一、编制说明</w:t>
      </w:r>
    </w:p>
    <w:p w14:paraId="38CBED7A">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eastAsia="zh-CN"/>
        </w:rPr>
        <w:t>本项目为招采中心评标区出入管控所需速通门（道闸）及人脸识别设备的采购、安装与系统集成。本需求书遵循</w:t>
      </w:r>
      <w:r>
        <w:rPr>
          <w:rFonts w:hint="eastAsia" w:ascii="宋体" w:hAnsi="宋体" w:eastAsia="宋体" w:cs="宋体"/>
          <w:szCs w:val="21"/>
          <w:highlight w:val="none"/>
        </w:rPr>
        <w:t>"</w:t>
      </w:r>
      <w:r>
        <w:rPr>
          <w:rFonts w:hint="eastAsia" w:ascii="宋体" w:hAnsi="宋体" w:eastAsia="宋体" w:cs="宋体"/>
          <w:szCs w:val="21"/>
          <w:highlight w:val="none"/>
          <w:lang w:eastAsia="zh-CN"/>
        </w:rPr>
        <w:t>性能与功能导向、品牌中性、适度从宽</w:t>
      </w:r>
      <w:r>
        <w:rPr>
          <w:rFonts w:hint="eastAsia" w:ascii="宋体" w:hAnsi="宋体" w:eastAsia="宋体" w:cs="宋体"/>
          <w:szCs w:val="21"/>
          <w:highlight w:val="none"/>
        </w:rPr>
        <w:t>"</w:t>
      </w:r>
      <w:r>
        <w:rPr>
          <w:rFonts w:hint="eastAsia" w:ascii="宋体" w:hAnsi="宋体" w:eastAsia="宋体" w:cs="宋体"/>
          <w:szCs w:val="21"/>
          <w:highlight w:val="none"/>
          <w:lang w:eastAsia="zh-CN"/>
        </w:rPr>
        <w:t>的原则编制：</w:t>
      </w:r>
    </w:p>
    <w:p w14:paraId="13CFB214">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1. </w:t>
      </w:r>
      <w:r>
        <w:rPr>
          <w:rFonts w:hint="eastAsia" w:ascii="宋体" w:hAnsi="宋体" w:eastAsia="宋体" w:cs="宋体"/>
          <w:szCs w:val="21"/>
          <w:highlight w:val="none"/>
          <w:lang w:eastAsia="zh-CN"/>
        </w:rPr>
        <w:t>所列技术参数均为最低性能/功能门槛，投标产品满足或优于本需求书要求均可参与；凡注明</w:t>
      </w:r>
      <w:r>
        <w:rPr>
          <w:rFonts w:hint="eastAsia" w:ascii="宋体" w:hAnsi="宋体" w:eastAsia="宋体" w:cs="宋体"/>
          <w:szCs w:val="21"/>
          <w:highlight w:val="none"/>
        </w:rPr>
        <w:t>"</w:t>
      </w:r>
      <w:r>
        <w:rPr>
          <w:rFonts w:hint="eastAsia" w:ascii="宋体" w:hAnsi="宋体" w:eastAsia="宋体" w:cs="宋体"/>
          <w:szCs w:val="21"/>
          <w:highlight w:val="none"/>
          <w:lang w:eastAsia="zh-CN"/>
        </w:rPr>
        <w:t>或同等档次及以上</w:t>
      </w:r>
      <w:r>
        <w:rPr>
          <w:rFonts w:hint="eastAsia" w:ascii="宋体" w:hAnsi="宋体" w:eastAsia="宋体" w:cs="宋体"/>
          <w:szCs w:val="21"/>
          <w:highlight w:val="none"/>
        </w:rPr>
        <w:t>""</w:t>
      </w:r>
      <w:r>
        <w:rPr>
          <w:rFonts w:hint="eastAsia" w:ascii="宋体" w:hAnsi="宋体" w:eastAsia="宋体" w:cs="宋体"/>
          <w:szCs w:val="21"/>
          <w:highlight w:val="none"/>
          <w:lang w:eastAsia="zh-CN"/>
        </w:rPr>
        <w:t>或相当于</w:t>
      </w:r>
      <w:r>
        <w:rPr>
          <w:rFonts w:hint="eastAsia" w:ascii="宋体" w:hAnsi="宋体" w:eastAsia="宋体" w:cs="宋体"/>
          <w:szCs w:val="21"/>
          <w:highlight w:val="none"/>
        </w:rPr>
        <w:t>"</w:t>
      </w:r>
      <w:r>
        <w:rPr>
          <w:rFonts w:hint="eastAsia" w:ascii="宋体" w:hAnsi="宋体" w:eastAsia="宋体" w:cs="宋体"/>
          <w:szCs w:val="21"/>
          <w:highlight w:val="none"/>
          <w:lang w:eastAsia="zh-CN"/>
        </w:rPr>
        <w:t>之处，供应商可提供技术参数相当的其他品牌或型号。</w:t>
      </w:r>
    </w:p>
    <w:p w14:paraId="11F4793A">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2. </w:t>
      </w:r>
      <w:r>
        <w:rPr>
          <w:rFonts w:hint="eastAsia" w:ascii="宋体" w:hAnsi="宋体" w:eastAsia="宋体" w:cs="宋体"/>
          <w:szCs w:val="21"/>
          <w:highlight w:val="none"/>
          <w:lang w:eastAsia="zh-CN"/>
        </w:rPr>
        <w:t>本需求书不指定任何特定品牌、型号或生产厂商；涉及具体数值的，均为为保障使用功能而设定的合理下限或上限。</w:t>
      </w:r>
    </w:p>
    <w:p w14:paraId="60F38573">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3. </w:t>
      </w:r>
      <w:r>
        <w:rPr>
          <w:rFonts w:hint="eastAsia" w:ascii="宋体" w:hAnsi="宋体" w:eastAsia="宋体" w:cs="宋体"/>
          <w:szCs w:val="21"/>
          <w:highlight w:val="none"/>
          <w:lang w:eastAsia="zh-CN"/>
        </w:rPr>
        <w:t>除本需求书明确的最低要求外，供应商可在满足功能的前提下自行优化方案。</w:t>
      </w:r>
    </w:p>
    <w:p w14:paraId="73C26F5F">
      <w:pPr>
        <w:autoSpaceDE w:val="0"/>
        <w:autoSpaceDN w:val="0"/>
        <w:adjustRightInd w:val="0"/>
        <w:spacing w:line="360" w:lineRule="auto"/>
        <w:jc w:val="left"/>
        <w:outlineLvl w:val="1"/>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lang w:eastAsia="zh-CN"/>
        </w:rPr>
        <w:t>二、项目概况</w:t>
      </w:r>
    </w:p>
    <w:p w14:paraId="6BEDEA68">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1. </w:t>
      </w:r>
      <w:r>
        <w:rPr>
          <w:rFonts w:hint="eastAsia" w:ascii="宋体" w:hAnsi="宋体" w:eastAsia="宋体" w:cs="宋体"/>
          <w:szCs w:val="21"/>
          <w:highlight w:val="none"/>
          <w:lang w:eastAsia="zh-CN"/>
        </w:rPr>
        <w:t>项目名称：招采中心速通门及人脸识别设备采购项目。</w:t>
      </w:r>
    </w:p>
    <w:p w14:paraId="44461AD4">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2. </w:t>
      </w:r>
      <w:r>
        <w:rPr>
          <w:rFonts w:hint="eastAsia" w:ascii="宋体" w:hAnsi="宋体" w:eastAsia="宋体" w:cs="宋体"/>
          <w:szCs w:val="21"/>
          <w:highlight w:val="none"/>
          <w:lang w:eastAsia="zh-CN"/>
        </w:rPr>
        <w:t>交货及安装地点：</w:t>
      </w:r>
      <w:r>
        <w:rPr>
          <w:rFonts w:hint="eastAsia" w:ascii="宋体" w:hAnsi="宋体" w:eastAsia="宋体" w:cs="宋体"/>
          <w:szCs w:val="21"/>
          <w:highlight w:val="none"/>
          <w:lang w:val="en-US" w:eastAsia="zh-CN"/>
        </w:rPr>
        <w:t>采购</w:t>
      </w:r>
      <w:r>
        <w:rPr>
          <w:rFonts w:hint="eastAsia" w:ascii="宋体" w:hAnsi="宋体" w:eastAsia="宋体" w:cs="宋体"/>
          <w:szCs w:val="21"/>
          <w:highlight w:val="none"/>
          <w:lang w:eastAsia="zh-CN"/>
        </w:rPr>
        <w:t>人指定区域（招采中心评标区）。</w:t>
      </w:r>
    </w:p>
    <w:p w14:paraId="6DDB99DA">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3. </w:t>
      </w:r>
      <w:r>
        <w:rPr>
          <w:rFonts w:hint="eastAsia" w:ascii="宋体" w:hAnsi="宋体" w:eastAsia="宋体" w:cs="宋体"/>
          <w:szCs w:val="21"/>
          <w:highlight w:val="none"/>
          <w:lang w:eastAsia="zh-CN"/>
        </w:rPr>
        <w:t>采购内容：速通门（道闸）、人脸识别终端及配套布线辅材的供货、运输、安装、调试、与既有系统对接及验收。</w:t>
      </w:r>
    </w:p>
    <w:p w14:paraId="5B707CF7">
      <w:pPr>
        <w:autoSpaceDE w:val="0"/>
        <w:autoSpaceDN w:val="0"/>
        <w:adjustRightInd w:val="0"/>
        <w:spacing w:line="360" w:lineRule="auto"/>
        <w:jc w:val="left"/>
        <w:outlineLvl w:val="1"/>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lang w:eastAsia="zh-CN"/>
        </w:rPr>
        <w:t>三、</w:t>
      </w:r>
      <w:r>
        <w:rPr>
          <w:rFonts w:hint="eastAsia" w:ascii="宋体" w:hAnsi="宋体" w:eastAsia="宋体" w:cs="宋体"/>
          <w:b/>
          <w:bCs/>
          <w:color w:val="000000"/>
          <w:kern w:val="0"/>
          <w:szCs w:val="21"/>
          <w:highlight w:val="none"/>
          <w:lang w:val="en-US" w:eastAsia="zh-CN"/>
        </w:rPr>
        <w:t>采购</w:t>
      </w:r>
      <w:r>
        <w:rPr>
          <w:rFonts w:hint="eastAsia" w:ascii="宋体" w:hAnsi="宋体" w:eastAsia="宋体" w:cs="宋体"/>
          <w:b/>
          <w:bCs/>
          <w:color w:val="000000"/>
          <w:kern w:val="0"/>
          <w:szCs w:val="21"/>
          <w:highlight w:val="none"/>
          <w:lang w:eastAsia="zh-CN"/>
        </w:rPr>
        <w:t>范围及主要技术要求</w:t>
      </w:r>
    </w:p>
    <w:p w14:paraId="0C44A567">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eastAsia="zh-CN"/>
        </w:rPr>
        <w:t>（一）速通门（单通道）</w:t>
      </w:r>
    </w:p>
    <w:p w14:paraId="5F5C86F0">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eastAsia="zh-CN"/>
        </w:rPr>
        <w:t>用于评标区人员进出物理管控，须与采购人人脸识别终端及</w:t>
      </w:r>
      <w:r>
        <w:rPr>
          <w:rFonts w:hint="eastAsia" w:ascii="宋体" w:hAnsi="宋体" w:eastAsia="宋体" w:cs="宋体"/>
          <w:szCs w:val="21"/>
          <w:highlight w:val="none"/>
          <w:lang w:val="en-US" w:eastAsia="zh-CN"/>
        </w:rPr>
        <w:t>招采系统</w:t>
      </w:r>
      <w:r>
        <w:rPr>
          <w:rFonts w:hint="eastAsia" w:ascii="宋体" w:hAnsi="宋体" w:eastAsia="宋体" w:cs="宋体"/>
          <w:szCs w:val="21"/>
          <w:highlight w:val="none"/>
          <w:lang w:eastAsia="zh-CN"/>
        </w:rPr>
        <w:t>联动，实现授权人员通行、非授权拦截、进出记录留痕。</w:t>
      </w:r>
    </w:p>
    <w:tbl>
      <w:tblPr>
        <w:tblStyle w:val="22"/>
        <w:tblW w:w="4993" w:type="pct"/>
        <w:tblInd w:w="0" w:type="dxa"/>
        <w:tblLayout w:type="autofit"/>
        <w:tblCellMar>
          <w:top w:w="0" w:type="dxa"/>
          <w:left w:w="108" w:type="dxa"/>
          <w:bottom w:w="0" w:type="dxa"/>
          <w:right w:w="108" w:type="dxa"/>
        </w:tblCellMar>
      </w:tblPr>
      <w:tblGrid>
        <w:gridCol w:w="1917"/>
        <w:gridCol w:w="6802"/>
      </w:tblGrid>
      <w:tr w14:paraId="0F0B8D32">
        <w:tblPrEx>
          <w:tblCellMar>
            <w:top w:w="0" w:type="dxa"/>
            <w:left w:w="108" w:type="dxa"/>
            <w:bottom w:w="0" w:type="dxa"/>
            <w:right w:w="108" w:type="dxa"/>
          </w:tblCellMar>
        </w:tblPrEx>
        <w:trPr>
          <w:trHeight w:val="213" w:hRule="atLeast"/>
        </w:trPr>
        <w:tc>
          <w:tcPr>
            <w:tcW w:w="1099"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13FC1FD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项目</w:t>
            </w:r>
          </w:p>
        </w:tc>
        <w:tc>
          <w:tcPr>
            <w:tcW w:w="39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7B40379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技术 / 功能要求（最低门槛，满足或优于均可）</w:t>
            </w:r>
          </w:p>
        </w:tc>
      </w:tr>
      <w:tr w14:paraId="4A59A090">
        <w:tblPrEx>
          <w:tblCellMar>
            <w:top w:w="0" w:type="dxa"/>
            <w:left w:w="108" w:type="dxa"/>
            <w:bottom w:w="0" w:type="dxa"/>
            <w:right w:w="108" w:type="dxa"/>
          </w:tblCellMar>
        </w:tblPrEx>
        <w:trPr>
          <w:trHeight w:val="404" w:hRule="atLeast"/>
        </w:trPr>
        <w:tc>
          <w:tcPr>
            <w:tcW w:w="1099"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527FF93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通道形式</w:t>
            </w:r>
          </w:p>
        </w:tc>
        <w:tc>
          <w:tcPr>
            <w:tcW w:w="39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622E9F3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Cs w:val="21"/>
                <w:highlight w:val="none"/>
              </w:rPr>
            </w:pPr>
            <w:r>
              <w:rPr>
                <w:rFonts w:hint="eastAsia" w:ascii="宋体" w:hAnsi="宋体" w:eastAsia="宋体" w:cs="宋体"/>
                <w:szCs w:val="21"/>
                <w:highlight w:val="none"/>
              </w:rPr>
              <w:t>单通道速通门（摆动式或同类型），通道净宽满足单人正常通行，并兼顾无障碍及应急疏散需要（建议净宽  900mm ～ 1300mm ，</w:t>
            </w:r>
            <w:r>
              <w:rPr>
                <w:rFonts w:hint="eastAsia" w:ascii="宋体" w:hAnsi="宋体" w:eastAsia="宋体" w:cs="宋体"/>
                <w:szCs w:val="21"/>
                <w:highlight w:val="none"/>
                <w:lang w:eastAsia="zh-CN"/>
              </w:rPr>
              <w:t>供应商</w:t>
            </w:r>
            <w:r>
              <w:rPr>
                <w:rFonts w:hint="eastAsia" w:ascii="宋体" w:hAnsi="宋体" w:eastAsia="宋体" w:cs="宋体"/>
                <w:szCs w:val="21"/>
                <w:highlight w:val="none"/>
              </w:rPr>
              <w:t>据此深化）。</w:t>
            </w:r>
          </w:p>
        </w:tc>
      </w:tr>
      <w:tr w14:paraId="034A09FB">
        <w:tblPrEx>
          <w:tblCellMar>
            <w:top w:w="0" w:type="dxa"/>
            <w:left w:w="108" w:type="dxa"/>
            <w:bottom w:w="0" w:type="dxa"/>
            <w:right w:w="108" w:type="dxa"/>
          </w:tblCellMar>
        </w:tblPrEx>
        <w:trPr>
          <w:trHeight w:val="308" w:hRule="atLeast"/>
        </w:trPr>
        <w:tc>
          <w:tcPr>
            <w:tcW w:w="1099"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06341F2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主体结构</w:t>
            </w:r>
          </w:p>
        </w:tc>
        <w:tc>
          <w:tcPr>
            <w:tcW w:w="39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14E4E81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Cs w:val="21"/>
                <w:highlight w:val="none"/>
              </w:rPr>
            </w:pPr>
            <w:r>
              <w:rPr>
                <w:rFonts w:hint="eastAsia" w:ascii="宋体" w:hAnsi="宋体" w:eastAsia="宋体" w:cs="宋体"/>
                <w:szCs w:val="21"/>
                <w:highlight w:val="none"/>
              </w:rPr>
              <w:t>立柱 / 箱体采用优质不锈钢等耐腐蚀材质，结构强度满足长期频繁使用不变形；壁厚不小于  2.0mm 。</w:t>
            </w:r>
          </w:p>
        </w:tc>
      </w:tr>
      <w:tr w14:paraId="75F1147C">
        <w:tblPrEx>
          <w:tblCellMar>
            <w:top w:w="0" w:type="dxa"/>
            <w:left w:w="108" w:type="dxa"/>
            <w:bottom w:w="0" w:type="dxa"/>
            <w:right w:w="108" w:type="dxa"/>
          </w:tblCellMar>
        </w:tblPrEx>
        <w:trPr>
          <w:trHeight w:val="308" w:hRule="atLeast"/>
        </w:trPr>
        <w:tc>
          <w:tcPr>
            <w:tcW w:w="1099"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3F4C880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驱动方式</w:t>
            </w:r>
          </w:p>
        </w:tc>
        <w:tc>
          <w:tcPr>
            <w:tcW w:w="39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420E0C4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Cs w:val="21"/>
                <w:highlight w:val="none"/>
              </w:rPr>
            </w:pPr>
            <w:r>
              <w:rPr>
                <w:rFonts w:hint="eastAsia" w:ascii="宋体" w:hAnsi="宋体" w:eastAsia="宋体" w:cs="宋体"/>
                <w:szCs w:val="21"/>
                <w:highlight w:val="none"/>
              </w:rPr>
              <w:t>采用高精度电机驱动（如伺服电机等同类产品），具备精准定位、缓启缓停、运行平稳、噪音低的特点。</w:t>
            </w:r>
          </w:p>
        </w:tc>
      </w:tr>
      <w:tr w14:paraId="133C5E8C">
        <w:tblPrEx>
          <w:tblCellMar>
            <w:top w:w="0" w:type="dxa"/>
            <w:left w:w="108" w:type="dxa"/>
            <w:bottom w:w="0" w:type="dxa"/>
            <w:right w:w="108" w:type="dxa"/>
          </w:tblCellMar>
        </w:tblPrEx>
        <w:trPr>
          <w:trHeight w:val="308" w:hRule="atLeast"/>
        </w:trPr>
        <w:tc>
          <w:tcPr>
            <w:tcW w:w="1099"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3203BA9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机芯可靠性</w:t>
            </w:r>
          </w:p>
        </w:tc>
        <w:tc>
          <w:tcPr>
            <w:tcW w:w="39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273F4DB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Cs w:val="21"/>
                <w:highlight w:val="none"/>
              </w:rPr>
            </w:pPr>
            <w:r>
              <w:rPr>
                <w:rFonts w:hint="eastAsia" w:ascii="宋体" w:hAnsi="宋体" w:eastAsia="宋体" w:cs="宋体"/>
                <w:szCs w:val="21"/>
                <w:highlight w:val="none"/>
              </w:rPr>
              <w:t>采用高可靠离合 / 阻尼机芯，设计使用寿命长、故障率低</w:t>
            </w:r>
            <w:r>
              <w:rPr>
                <w:rFonts w:hint="eastAsia" w:ascii="宋体" w:hAnsi="宋体" w:eastAsia="宋体" w:cs="宋体"/>
                <w:szCs w:val="21"/>
                <w:highlight w:val="none"/>
                <w:lang w:eastAsia="zh-CN"/>
              </w:rPr>
              <w:t>，平均无故障运行次数不低于</w:t>
            </w:r>
            <w:r>
              <w:rPr>
                <w:rFonts w:hint="eastAsia" w:ascii="宋体" w:hAnsi="宋体" w:eastAsia="宋体" w:cs="宋体"/>
                <w:szCs w:val="21"/>
                <w:highlight w:val="none"/>
                <w:lang w:val="en-US" w:eastAsia="zh-CN"/>
              </w:rPr>
              <w:t>5000万次，或提供等效可靠性证明</w:t>
            </w:r>
            <w:r>
              <w:rPr>
                <w:rFonts w:hint="eastAsia" w:ascii="宋体" w:hAnsi="宋体" w:eastAsia="宋体" w:cs="宋体"/>
                <w:szCs w:val="21"/>
                <w:highlight w:val="none"/>
              </w:rPr>
              <w:t>。</w:t>
            </w:r>
          </w:p>
        </w:tc>
      </w:tr>
      <w:tr w14:paraId="203CC948">
        <w:tblPrEx>
          <w:tblCellMar>
            <w:top w:w="0" w:type="dxa"/>
            <w:left w:w="108" w:type="dxa"/>
            <w:bottom w:w="0" w:type="dxa"/>
            <w:right w:w="108" w:type="dxa"/>
          </w:tblCellMar>
        </w:tblPrEx>
        <w:trPr>
          <w:trHeight w:val="308" w:hRule="atLeast"/>
        </w:trPr>
        <w:tc>
          <w:tcPr>
            <w:tcW w:w="1099"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0147341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环境适应性</w:t>
            </w:r>
          </w:p>
        </w:tc>
        <w:tc>
          <w:tcPr>
            <w:tcW w:w="39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0C8E53D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Cs w:val="21"/>
                <w:highlight w:val="none"/>
              </w:rPr>
            </w:pPr>
            <w:r>
              <w:rPr>
                <w:rFonts w:hint="eastAsia" w:ascii="宋体" w:hAnsi="宋体" w:eastAsia="宋体" w:cs="宋体"/>
                <w:szCs w:val="21"/>
                <w:highlight w:val="none"/>
              </w:rPr>
              <w:t>室内安装；工作环境温度  0℃ ～ +50℃ 、相对湿度 ≤95%  不凝露，适应空调异常等常见工况。</w:t>
            </w:r>
          </w:p>
        </w:tc>
      </w:tr>
      <w:tr w14:paraId="0A1D15E3">
        <w:tblPrEx>
          <w:tblCellMar>
            <w:top w:w="0" w:type="dxa"/>
            <w:left w:w="108" w:type="dxa"/>
            <w:bottom w:w="0" w:type="dxa"/>
            <w:right w:w="108" w:type="dxa"/>
          </w:tblCellMar>
        </w:tblPrEx>
        <w:trPr>
          <w:trHeight w:val="308" w:hRule="atLeast"/>
        </w:trPr>
        <w:tc>
          <w:tcPr>
            <w:tcW w:w="1099"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71E3FC0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控制与通信</w:t>
            </w:r>
          </w:p>
        </w:tc>
        <w:tc>
          <w:tcPr>
            <w:tcW w:w="39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54C34B3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Cs w:val="21"/>
                <w:highlight w:val="none"/>
              </w:rPr>
            </w:pPr>
            <w:r>
              <w:rPr>
                <w:rFonts w:hint="eastAsia" w:ascii="宋体" w:hAnsi="宋体" w:eastAsia="宋体" w:cs="宋体"/>
                <w:szCs w:val="21"/>
                <w:highlight w:val="none"/>
              </w:rPr>
              <w:t>支持标准控制输入（干接点 / 电平 / 脉冲等）及标准工业通信接口（如  RS485  等），便于与门禁控制器及</w:t>
            </w:r>
            <w:r>
              <w:rPr>
                <w:rFonts w:hint="eastAsia" w:ascii="宋体" w:hAnsi="宋体" w:eastAsia="宋体" w:cs="宋体"/>
                <w:szCs w:val="21"/>
                <w:highlight w:val="none"/>
                <w:lang w:val="en-US" w:eastAsia="zh-CN"/>
              </w:rPr>
              <w:t>招采系统</w:t>
            </w:r>
            <w:r>
              <w:rPr>
                <w:rFonts w:hint="eastAsia" w:ascii="宋体" w:hAnsi="宋体" w:eastAsia="宋体" w:cs="宋体"/>
                <w:szCs w:val="21"/>
                <w:highlight w:val="none"/>
              </w:rPr>
              <w:t>对接集成。</w:t>
            </w:r>
          </w:p>
        </w:tc>
      </w:tr>
      <w:tr w14:paraId="3512BE08">
        <w:tblPrEx>
          <w:tblCellMar>
            <w:top w:w="0" w:type="dxa"/>
            <w:left w:w="108" w:type="dxa"/>
            <w:bottom w:w="0" w:type="dxa"/>
            <w:right w:w="108" w:type="dxa"/>
          </w:tblCellMar>
        </w:tblPrEx>
        <w:trPr>
          <w:trHeight w:val="213" w:hRule="atLeast"/>
        </w:trPr>
        <w:tc>
          <w:tcPr>
            <w:tcW w:w="1099"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13127F6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摆门材质</w:t>
            </w:r>
          </w:p>
        </w:tc>
        <w:tc>
          <w:tcPr>
            <w:tcW w:w="39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1A8E0F3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Cs w:val="21"/>
                <w:highlight w:val="none"/>
              </w:rPr>
            </w:pPr>
            <w:r>
              <w:rPr>
                <w:rFonts w:hint="eastAsia" w:ascii="宋体" w:hAnsi="宋体" w:eastAsia="宋体" w:cs="宋体"/>
                <w:szCs w:val="21"/>
                <w:highlight w:val="none"/>
              </w:rPr>
              <w:t>亚克力或钢化玻璃等安全通透材质，破碎后不伤人。</w:t>
            </w:r>
          </w:p>
        </w:tc>
      </w:tr>
      <w:tr w14:paraId="78C3226B">
        <w:tblPrEx>
          <w:tblCellMar>
            <w:top w:w="0" w:type="dxa"/>
            <w:left w:w="108" w:type="dxa"/>
            <w:bottom w:w="0" w:type="dxa"/>
            <w:right w:w="108" w:type="dxa"/>
          </w:tblCellMar>
        </w:tblPrEx>
        <w:trPr>
          <w:trHeight w:val="213" w:hRule="atLeast"/>
        </w:trPr>
        <w:tc>
          <w:tcPr>
            <w:tcW w:w="1099"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505333F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通行能力</w:t>
            </w:r>
          </w:p>
        </w:tc>
        <w:tc>
          <w:tcPr>
            <w:tcW w:w="39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209F589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Cs w:val="21"/>
                <w:highlight w:val="none"/>
              </w:rPr>
            </w:pPr>
            <w:r>
              <w:rPr>
                <w:rFonts w:hint="eastAsia" w:ascii="宋体" w:hAnsi="宋体" w:eastAsia="宋体" w:cs="宋体"/>
                <w:szCs w:val="21"/>
                <w:highlight w:val="none"/>
              </w:rPr>
              <w:t>高峰期通行能力不低于  30  人 / 分钟，满足开评标集中进出需求。</w:t>
            </w:r>
          </w:p>
        </w:tc>
      </w:tr>
      <w:tr w14:paraId="3828B974">
        <w:tblPrEx>
          <w:tblCellMar>
            <w:top w:w="0" w:type="dxa"/>
            <w:left w:w="108" w:type="dxa"/>
            <w:bottom w:w="0" w:type="dxa"/>
            <w:right w:w="108" w:type="dxa"/>
          </w:tblCellMar>
        </w:tblPrEx>
        <w:trPr>
          <w:trHeight w:val="218" w:hRule="atLeast"/>
        </w:trPr>
        <w:tc>
          <w:tcPr>
            <w:tcW w:w="1099"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78DE165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方向控制</w:t>
            </w:r>
          </w:p>
        </w:tc>
        <w:tc>
          <w:tcPr>
            <w:tcW w:w="39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5798516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Cs w:val="21"/>
                <w:highlight w:val="none"/>
              </w:rPr>
            </w:pPr>
            <w:r>
              <w:rPr>
                <w:rFonts w:hint="eastAsia" w:ascii="宋体" w:hAnsi="宋体" w:eastAsia="宋体" w:cs="宋体"/>
                <w:szCs w:val="21"/>
                <w:highlight w:val="none"/>
              </w:rPr>
              <w:t>摆杆转向支持单向、双向可设，按管理需要灵活配置。</w:t>
            </w:r>
          </w:p>
        </w:tc>
      </w:tr>
    </w:tbl>
    <w:p w14:paraId="6EA9E5C1">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eastAsia="zh-CN"/>
        </w:rPr>
        <w:t>（二）人脸识别终端</w:t>
      </w:r>
    </w:p>
    <w:p w14:paraId="62971602">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部署在速通门上</w:t>
      </w:r>
      <w:r>
        <w:rPr>
          <w:rFonts w:hint="eastAsia" w:ascii="宋体" w:hAnsi="宋体" w:eastAsia="宋体" w:cs="宋体"/>
          <w:szCs w:val="21"/>
          <w:highlight w:val="none"/>
          <w:lang w:eastAsia="zh-CN"/>
        </w:rPr>
        <w:t>，与招采系统对接，按预约信息对进入评标区人员进行身份核验与授权放行，并完整记录人员进出时间，满足招投标保密与可追溯要求。</w:t>
      </w:r>
    </w:p>
    <w:tbl>
      <w:tblPr>
        <w:tblStyle w:val="22"/>
        <w:tblW w:w="5000" w:type="pct"/>
        <w:tblInd w:w="0" w:type="dxa"/>
        <w:tblLayout w:type="autofit"/>
        <w:tblCellMar>
          <w:top w:w="0" w:type="dxa"/>
          <w:left w:w="108" w:type="dxa"/>
          <w:bottom w:w="0" w:type="dxa"/>
          <w:right w:w="108" w:type="dxa"/>
        </w:tblCellMar>
      </w:tblPr>
      <w:tblGrid>
        <w:gridCol w:w="1921"/>
        <w:gridCol w:w="6810"/>
      </w:tblGrid>
      <w:tr w14:paraId="1DA84C77">
        <w:tblPrEx>
          <w:tblCellMar>
            <w:top w:w="0" w:type="dxa"/>
            <w:left w:w="108" w:type="dxa"/>
            <w:bottom w:w="0" w:type="dxa"/>
            <w:right w:w="108" w:type="dxa"/>
          </w:tblCellMar>
        </w:tblPrEx>
        <w:tc>
          <w:tcPr>
            <w:tcW w:w="11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2784D80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项目</w:t>
            </w:r>
          </w:p>
        </w:tc>
        <w:tc>
          <w:tcPr>
            <w:tcW w:w="39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4895E45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技术 / 功能要求（最低门槛，满足或优于均可）</w:t>
            </w:r>
          </w:p>
        </w:tc>
      </w:tr>
      <w:tr w14:paraId="0936F2C5">
        <w:tblPrEx>
          <w:tblCellMar>
            <w:top w:w="0" w:type="dxa"/>
            <w:left w:w="108" w:type="dxa"/>
            <w:bottom w:w="0" w:type="dxa"/>
            <w:right w:w="108" w:type="dxa"/>
          </w:tblCellMar>
        </w:tblPrEx>
        <w:tc>
          <w:tcPr>
            <w:tcW w:w="11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52EFC70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核心功能</w:t>
            </w:r>
          </w:p>
        </w:tc>
        <w:tc>
          <w:tcPr>
            <w:tcW w:w="39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6DBCBEF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Cs w:val="21"/>
                <w:highlight w:val="none"/>
              </w:rPr>
            </w:pPr>
            <w:r>
              <w:rPr>
                <w:rFonts w:hint="eastAsia" w:ascii="宋体" w:hAnsi="宋体" w:eastAsia="宋体" w:cs="宋体"/>
                <w:szCs w:val="21"/>
                <w:highlight w:val="none"/>
              </w:rPr>
              <w:t>支持与</w:t>
            </w:r>
            <w:r>
              <w:rPr>
                <w:rFonts w:hint="eastAsia" w:ascii="宋体" w:hAnsi="宋体" w:eastAsia="宋体" w:cs="宋体"/>
                <w:szCs w:val="21"/>
                <w:highlight w:val="none"/>
                <w:lang w:eastAsia="zh-CN"/>
              </w:rPr>
              <w:t>采购人</w:t>
            </w:r>
            <w:r>
              <w:rPr>
                <w:rFonts w:hint="eastAsia" w:ascii="宋体" w:hAnsi="宋体" w:eastAsia="宋体" w:cs="宋体"/>
                <w:szCs w:val="21"/>
                <w:highlight w:val="none"/>
              </w:rPr>
              <w:t>场地管理系统 / 招采系统对接，依据预约授权信息对人员放行；支持记录人员进出评标区时间，数据可追溯。</w:t>
            </w:r>
          </w:p>
        </w:tc>
      </w:tr>
      <w:tr w14:paraId="6740B2DA">
        <w:tblPrEx>
          <w:tblCellMar>
            <w:top w:w="0" w:type="dxa"/>
            <w:left w:w="108" w:type="dxa"/>
            <w:bottom w:w="0" w:type="dxa"/>
            <w:right w:w="108" w:type="dxa"/>
          </w:tblCellMar>
        </w:tblPrEx>
        <w:tc>
          <w:tcPr>
            <w:tcW w:w="11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0BCDB8B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处理能力</w:t>
            </w:r>
          </w:p>
        </w:tc>
        <w:tc>
          <w:tcPr>
            <w:tcW w:w="39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4C7BF99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Cs w:val="21"/>
                <w:highlight w:val="none"/>
              </w:rPr>
            </w:pPr>
            <w:r>
              <w:rPr>
                <w:rFonts w:hint="eastAsia" w:ascii="宋体" w:hAnsi="宋体" w:eastAsia="宋体" w:cs="宋体"/>
                <w:szCs w:val="21"/>
                <w:highlight w:val="none"/>
              </w:rPr>
              <w:t>内存 ≥2GB （类型不限，满足系统与人脸算法运行）；内置存储 ≥16GB 。</w:t>
            </w:r>
          </w:p>
        </w:tc>
      </w:tr>
      <w:tr w14:paraId="53AF889B">
        <w:tblPrEx>
          <w:tblCellMar>
            <w:top w:w="0" w:type="dxa"/>
            <w:left w:w="108" w:type="dxa"/>
            <w:bottom w:w="0" w:type="dxa"/>
            <w:right w:w="108" w:type="dxa"/>
          </w:tblCellMar>
        </w:tblPrEx>
        <w:tc>
          <w:tcPr>
            <w:tcW w:w="11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3696F07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显示交互</w:t>
            </w:r>
          </w:p>
        </w:tc>
        <w:tc>
          <w:tcPr>
            <w:tcW w:w="39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2C83DC2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Cs w:val="21"/>
                <w:highlight w:val="none"/>
              </w:rPr>
            </w:pPr>
            <w:r>
              <w:rPr>
                <w:rFonts w:hint="eastAsia" w:ascii="宋体" w:hAnsi="宋体" w:eastAsia="宋体" w:cs="宋体"/>
                <w:szCs w:val="21"/>
                <w:highlight w:val="none"/>
              </w:rPr>
              <w:t>显示模块 ≥8  英寸，支持触摸操作，便于现场人脸核验与信息提示。</w:t>
            </w:r>
          </w:p>
        </w:tc>
      </w:tr>
      <w:tr w14:paraId="15C8FCDD">
        <w:tblPrEx>
          <w:tblCellMar>
            <w:top w:w="0" w:type="dxa"/>
            <w:left w:w="108" w:type="dxa"/>
            <w:bottom w:w="0" w:type="dxa"/>
            <w:right w:w="108" w:type="dxa"/>
          </w:tblCellMar>
        </w:tblPrEx>
        <w:tc>
          <w:tcPr>
            <w:tcW w:w="11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273072B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身份核验</w:t>
            </w:r>
          </w:p>
        </w:tc>
        <w:tc>
          <w:tcPr>
            <w:tcW w:w="39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55A7EB6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Cs w:val="21"/>
                <w:highlight w:val="none"/>
              </w:rPr>
            </w:pPr>
            <w:r>
              <w:rPr>
                <w:rFonts w:hint="eastAsia" w:ascii="宋体" w:hAnsi="宋体" w:eastAsia="宋体" w:cs="宋体"/>
                <w:szCs w:val="21"/>
                <w:highlight w:val="none"/>
              </w:rPr>
              <w:t>双目摄像头，像素 ≥200  万，支持活体检测，可防范照片、视频、面具等伪造攻击，确保人证一致。</w:t>
            </w:r>
          </w:p>
        </w:tc>
      </w:tr>
      <w:tr w14:paraId="0E4407C7">
        <w:tblPrEx>
          <w:tblCellMar>
            <w:top w:w="0" w:type="dxa"/>
            <w:left w:w="108" w:type="dxa"/>
            <w:bottom w:w="0" w:type="dxa"/>
            <w:right w:w="108" w:type="dxa"/>
          </w:tblCellMar>
        </w:tblPrEx>
        <w:tc>
          <w:tcPr>
            <w:tcW w:w="11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37491DC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多因子认证</w:t>
            </w:r>
          </w:p>
        </w:tc>
        <w:tc>
          <w:tcPr>
            <w:tcW w:w="39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04A3E32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Cs w:val="21"/>
                <w:highlight w:val="none"/>
              </w:rPr>
            </w:pPr>
            <w:r>
              <w:rPr>
                <w:rFonts w:hint="eastAsia" w:ascii="宋体" w:hAnsi="宋体" w:eastAsia="宋体" w:cs="宋体"/>
                <w:szCs w:val="21"/>
                <w:highlight w:val="none"/>
              </w:rPr>
              <w:t>内置二代居民身份证读卡模块（符合相关国家标准）及指纹识别模块；指纹容量 ≥30000  枚，人脸容量 ≥10000  张。</w:t>
            </w:r>
          </w:p>
        </w:tc>
      </w:tr>
      <w:tr w14:paraId="240B78C0">
        <w:tblPrEx>
          <w:tblCellMar>
            <w:top w:w="0" w:type="dxa"/>
            <w:left w:w="108" w:type="dxa"/>
            <w:bottom w:w="0" w:type="dxa"/>
            <w:right w:w="108" w:type="dxa"/>
          </w:tblCellMar>
        </w:tblPrEx>
        <w:tc>
          <w:tcPr>
            <w:tcW w:w="11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7AA868C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接口</w:t>
            </w:r>
          </w:p>
        </w:tc>
        <w:tc>
          <w:tcPr>
            <w:tcW w:w="39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2CA748F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Cs w:val="21"/>
                <w:highlight w:val="none"/>
              </w:rPr>
            </w:pPr>
            <w:r>
              <w:rPr>
                <w:rFonts w:hint="eastAsia" w:ascii="宋体" w:hAnsi="宋体" w:eastAsia="宋体" w:cs="宋体"/>
                <w:szCs w:val="21"/>
                <w:highlight w:val="none"/>
              </w:rPr>
              <w:t>具备标准网络接口（ RJ45/TCP-IP ）及常用扩展接口（如  USB 、 RS232/485 、韦根等），便于组网与对接。</w:t>
            </w:r>
          </w:p>
        </w:tc>
      </w:tr>
      <w:tr w14:paraId="1BDB9FAC">
        <w:tblPrEx>
          <w:tblCellMar>
            <w:top w:w="0" w:type="dxa"/>
            <w:left w:w="108" w:type="dxa"/>
            <w:bottom w:w="0" w:type="dxa"/>
            <w:right w:w="108" w:type="dxa"/>
          </w:tblCellMar>
        </w:tblPrEx>
        <w:tc>
          <w:tcPr>
            <w:tcW w:w="11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793DBB4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供电与防护</w:t>
            </w:r>
          </w:p>
        </w:tc>
        <w:tc>
          <w:tcPr>
            <w:tcW w:w="39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7E79CAD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Cs w:val="21"/>
                <w:highlight w:val="none"/>
              </w:rPr>
            </w:pPr>
            <w:r>
              <w:rPr>
                <w:rFonts w:hint="eastAsia" w:ascii="宋体" w:hAnsi="宋体" w:eastAsia="宋体" w:cs="宋体"/>
                <w:szCs w:val="21"/>
                <w:highlight w:val="none"/>
              </w:rPr>
              <w:t>配套  DC 12V  电源适配器；机身防护等级不低于  IP54 （或同等），适应室内环境。</w:t>
            </w:r>
          </w:p>
        </w:tc>
      </w:tr>
      <w:tr w14:paraId="31CF4EA7">
        <w:tblPrEx>
          <w:tblCellMar>
            <w:top w:w="0" w:type="dxa"/>
            <w:left w:w="108" w:type="dxa"/>
            <w:bottom w:w="0" w:type="dxa"/>
            <w:right w:w="108" w:type="dxa"/>
          </w:tblCellMar>
        </w:tblPrEx>
        <w:tc>
          <w:tcPr>
            <w:tcW w:w="11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1526697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安装</w:t>
            </w:r>
          </w:p>
        </w:tc>
        <w:tc>
          <w:tcPr>
            <w:tcW w:w="3900" w:type="pct"/>
            <w:tcBorders>
              <w:top w:val="single" w:color="000000" w:sz="6" w:space="0"/>
              <w:left w:val="single" w:color="000000" w:sz="6" w:space="0"/>
              <w:bottom w:val="single" w:color="000000" w:sz="6" w:space="0"/>
              <w:right w:val="single" w:color="000000" w:sz="6" w:space="0"/>
            </w:tcBorders>
            <w:tcMar>
              <w:top w:w="160" w:type="dxa"/>
              <w:left w:w="120" w:type="dxa"/>
              <w:bottom w:w="160" w:type="dxa"/>
              <w:right w:w="120" w:type="dxa"/>
            </w:tcMar>
            <w:vAlign w:val="center"/>
          </w:tcPr>
          <w:p w14:paraId="20E4743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Cs w:val="21"/>
                <w:highlight w:val="none"/>
              </w:rPr>
            </w:pPr>
            <w:r>
              <w:rPr>
                <w:rFonts w:hint="eastAsia" w:ascii="宋体" w:hAnsi="宋体" w:eastAsia="宋体" w:cs="宋体"/>
                <w:szCs w:val="21"/>
                <w:highlight w:val="none"/>
              </w:rPr>
              <w:t>提供定制支架，稳固安装于速通门上，保证识别角度与整体美观。</w:t>
            </w:r>
          </w:p>
        </w:tc>
      </w:tr>
    </w:tbl>
    <w:p w14:paraId="5C6FD5B8">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eastAsia="zh-CN"/>
        </w:rPr>
        <w:t>（三）布线辅材</w:t>
      </w:r>
    </w:p>
    <w:p w14:paraId="2CFC9F83">
      <w:pPr>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包含新增设备组网所需的线缆、桥架</w:t>
      </w:r>
      <w:r>
        <w:rPr>
          <w:rFonts w:hint="eastAsia" w:ascii="宋体" w:hAnsi="宋体" w:eastAsia="宋体" w:cs="宋体"/>
          <w:szCs w:val="21"/>
          <w:highlight w:val="none"/>
        </w:rPr>
        <w:t>/</w:t>
      </w:r>
      <w:r>
        <w:rPr>
          <w:rFonts w:hint="eastAsia" w:ascii="宋体" w:hAnsi="宋体" w:eastAsia="宋体" w:cs="宋体"/>
          <w:szCs w:val="21"/>
          <w:highlight w:val="none"/>
          <w:lang w:eastAsia="zh-CN"/>
        </w:rPr>
        <w:t>管材、接头、电源线路及施工辅材等，按项包干，由供应商统筹考虑并包含在报价内，采购人不再另行计费。具体要求以现场踏勘及实际安装需要为准。</w:t>
      </w:r>
    </w:p>
    <w:p w14:paraId="01D0F6CA">
      <w:pPr>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kern w:val="2"/>
          <w:sz w:val="21"/>
          <w:szCs w:val="21"/>
          <w:highlight w:val="none"/>
          <w:lang w:val="en-US" w:eastAsia="zh-CN" w:bidi="ar-SA"/>
        </w:rPr>
        <w:t>（四）</w:t>
      </w:r>
      <w:r>
        <w:rPr>
          <w:rFonts w:hint="eastAsia" w:ascii="宋体" w:hAnsi="宋体" w:eastAsia="宋体" w:cs="宋体"/>
          <w:szCs w:val="21"/>
          <w:highlight w:val="none"/>
          <w:lang w:eastAsia="zh-CN"/>
        </w:rPr>
        <w:t>系统对接及接口要求</w:t>
      </w:r>
    </w:p>
    <w:p w14:paraId="52AA68CA">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eastAsia="zh-CN"/>
        </w:rPr>
        <w:t>速通门、人脸识别终端须与招采系统实现数据联动，供应商应提供标准、开放的对接接口，并自行踏勘现场、充分了解既有招采系统的接口条件与对接要求，负责完成与既有系统的对接、适配与联调。前述对接、适配、接口开发及调试等一切费用均包含在投标总价内，采购人不另行支付，亦不就接口开放与配合承担额外责任。</w:t>
      </w:r>
    </w:p>
    <w:p w14:paraId="39386F36">
      <w:pPr>
        <w:autoSpaceDE w:val="0"/>
        <w:autoSpaceDN w:val="0"/>
        <w:adjustRightInd w:val="0"/>
        <w:spacing w:line="360" w:lineRule="auto"/>
        <w:jc w:val="left"/>
        <w:outlineLvl w:val="1"/>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lang w:eastAsia="zh-CN"/>
        </w:rPr>
        <w:t>五、商务要求</w:t>
      </w:r>
    </w:p>
    <w:p w14:paraId="217D7CEA">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1. </w:t>
      </w:r>
      <w:r>
        <w:rPr>
          <w:rFonts w:hint="eastAsia" w:ascii="宋体" w:hAnsi="宋体" w:eastAsia="宋体" w:cs="宋体"/>
          <w:szCs w:val="21"/>
          <w:highlight w:val="none"/>
          <w:lang w:eastAsia="zh-CN"/>
        </w:rPr>
        <w:t>工期：自合同签订之日起，原则上不超过</w:t>
      </w:r>
      <w:r>
        <w:rPr>
          <w:rFonts w:hint="eastAsia" w:ascii="宋体" w:hAnsi="宋体" w:eastAsia="宋体" w:cs="宋体"/>
          <w:szCs w:val="21"/>
          <w:highlight w:val="none"/>
        </w:rPr>
        <w:t xml:space="preserve"> </w:t>
      </w:r>
      <w:r>
        <w:rPr>
          <w:rFonts w:hint="eastAsia" w:ascii="宋体" w:hAnsi="宋体" w:eastAsia="宋体" w:cs="宋体"/>
          <w:szCs w:val="21"/>
          <w:highlight w:val="none"/>
          <w:lang w:val="en-US" w:eastAsia="zh-CN"/>
        </w:rPr>
        <w:t>45</w:t>
      </w:r>
      <w:r>
        <w:rPr>
          <w:rFonts w:hint="eastAsia" w:ascii="宋体" w:hAnsi="宋体" w:eastAsia="宋体" w:cs="宋体"/>
          <w:szCs w:val="21"/>
          <w:highlight w:val="none"/>
        </w:rPr>
        <w:t xml:space="preserve"> </w:t>
      </w:r>
      <w:r>
        <w:rPr>
          <w:rFonts w:hint="eastAsia" w:ascii="宋体" w:hAnsi="宋体" w:eastAsia="宋体" w:cs="宋体"/>
          <w:szCs w:val="21"/>
          <w:highlight w:val="none"/>
          <w:lang w:eastAsia="zh-CN"/>
        </w:rPr>
        <w:t>个日历天内完成供货、安装、调试、系统对接及验收（具体以</w:t>
      </w:r>
      <w:r>
        <w:rPr>
          <w:rFonts w:hint="eastAsia" w:ascii="宋体" w:hAnsi="宋体" w:eastAsia="宋体" w:cs="宋体"/>
          <w:szCs w:val="21"/>
          <w:highlight w:val="none"/>
          <w:lang w:val="en-US" w:eastAsia="zh-CN"/>
        </w:rPr>
        <w:t>甲方要求</w:t>
      </w:r>
      <w:r>
        <w:rPr>
          <w:rFonts w:hint="eastAsia" w:ascii="宋体" w:hAnsi="宋体" w:eastAsia="宋体" w:cs="宋体"/>
          <w:szCs w:val="21"/>
          <w:highlight w:val="none"/>
          <w:lang w:eastAsia="zh-CN"/>
        </w:rPr>
        <w:t>为准）。延误按合同约定承担违约责任。</w:t>
      </w:r>
    </w:p>
    <w:p w14:paraId="37432D8F">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2. </w:t>
      </w:r>
      <w:r>
        <w:rPr>
          <w:rFonts w:hint="eastAsia" w:ascii="宋体" w:hAnsi="宋体" w:eastAsia="宋体" w:cs="宋体"/>
          <w:szCs w:val="21"/>
          <w:highlight w:val="none"/>
          <w:lang w:eastAsia="zh-CN"/>
        </w:rPr>
        <w:t>质保期：自验收合格之日起，整机质保不少于</w:t>
      </w:r>
      <w:r>
        <w:rPr>
          <w:rFonts w:hint="eastAsia" w:ascii="宋体" w:hAnsi="宋体" w:eastAsia="宋体" w:cs="宋体"/>
          <w:szCs w:val="21"/>
          <w:highlight w:val="none"/>
        </w:rPr>
        <w:t xml:space="preserve"> 2 </w:t>
      </w:r>
      <w:r>
        <w:rPr>
          <w:rFonts w:hint="eastAsia" w:ascii="宋体" w:hAnsi="宋体" w:eastAsia="宋体" w:cs="宋体"/>
          <w:szCs w:val="21"/>
          <w:highlight w:val="none"/>
          <w:lang w:eastAsia="zh-CN"/>
        </w:rPr>
        <w:t>年；质保期内非人为故障，供应商应在接到通知后</w:t>
      </w:r>
      <w:r>
        <w:rPr>
          <w:rFonts w:hint="eastAsia" w:ascii="宋体" w:hAnsi="宋体" w:eastAsia="宋体" w:cs="宋体"/>
          <w:szCs w:val="21"/>
          <w:highlight w:val="none"/>
        </w:rPr>
        <w:t xml:space="preserve"> 4 </w:t>
      </w:r>
      <w:r>
        <w:rPr>
          <w:rFonts w:hint="eastAsia" w:ascii="宋体" w:hAnsi="宋体" w:eastAsia="宋体" w:cs="宋体"/>
          <w:szCs w:val="21"/>
          <w:highlight w:val="none"/>
          <w:lang w:eastAsia="zh-CN"/>
        </w:rPr>
        <w:t>小时内响应、</w:t>
      </w:r>
      <w:r>
        <w:rPr>
          <w:rFonts w:hint="eastAsia" w:ascii="宋体" w:hAnsi="宋体" w:eastAsia="宋体" w:cs="宋体"/>
          <w:szCs w:val="21"/>
          <w:highlight w:val="none"/>
        </w:rPr>
        <w:t xml:space="preserve">24 </w:t>
      </w:r>
      <w:r>
        <w:rPr>
          <w:rFonts w:hint="eastAsia" w:ascii="宋体" w:hAnsi="宋体" w:eastAsia="宋体" w:cs="宋体"/>
          <w:szCs w:val="21"/>
          <w:highlight w:val="none"/>
          <w:lang w:eastAsia="zh-CN"/>
        </w:rPr>
        <w:t>小时内修复或更换。</w:t>
      </w:r>
    </w:p>
    <w:p w14:paraId="6CC67B93">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 售后与长期可用性保障</w:t>
      </w:r>
      <w:r>
        <w:rPr>
          <w:rFonts w:hint="eastAsia" w:ascii="宋体" w:hAnsi="宋体" w:eastAsia="宋体" w:cs="宋体"/>
          <w:szCs w:val="21"/>
          <w:highlight w:val="none"/>
          <w:lang w:eastAsia="zh-CN"/>
        </w:rPr>
        <w:t>：质保期外，供应商承诺继续提供有偿维修与长期备品备件供应，并在设备验收后</w:t>
      </w:r>
      <w:r>
        <w:rPr>
          <w:rFonts w:hint="eastAsia" w:ascii="宋体" w:hAnsi="宋体" w:eastAsia="宋体" w:cs="宋体"/>
          <w:szCs w:val="21"/>
          <w:highlight w:val="none"/>
          <w:lang w:val="en-US" w:eastAsia="zh-CN"/>
        </w:rPr>
        <w:t>10</w:t>
      </w:r>
      <w:r>
        <w:rPr>
          <w:rFonts w:hint="eastAsia" w:ascii="宋体" w:hAnsi="宋体" w:eastAsia="宋体" w:cs="宋体"/>
          <w:szCs w:val="21"/>
          <w:highlight w:val="none"/>
          <w:lang w:eastAsia="zh-CN"/>
        </w:rPr>
        <w:t>年内同步保障所供设备与招采系统的接口及联动功能持续可用：若招采系统升级、改造导致既有接口不兼容，供应商应提供免费的适配改造或等效兼容方案，确保数据联动不中断，采购人不另行支付费用；备品备件价格不高于中标单价或市场公允价格。设备停产时须提前通知采购人，并保障替代型号的兼容与可对接。</w:t>
      </w:r>
    </w:p>
    <w:p w14:paraId="5B44E7A9">
      <w:pPr>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rPr>
        <w:t xml:space="preserve">4. </w:t>
      </w:r>
      <w:r>
        <w:rPr>
          <w:rFonts w:hint="eastAsia" w:ascii="宋体" w:hAnsi="宋体" w:eastAsia="宋体" w:cs="宋体"/>
          <w:szCs w:val="21"/>
          <w:highlight w:val="none"/>
          <w:lang w:eastAsia="zh-CN"/>
        </w:rPr>
        <w:t>验收：设备型号、数量、功能符合需求书及合同；与既有系统对接成功、运行稳定；资料（合格证、说明书、对接测试报告等）齐全后办理结算。</w:t>
      </w:r>
    </w:p>
    <w:p w14:paraId="7A4FEDF6">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5.</w:t>
      </w:r>
      <w:r>
        <w:rPr>
          <w:rFonts w:hint="eastAsia" w:ascii="宋体" w:hAnsi="宋体" w:eastAsia="宋体" w:cs="宋体"/>
          <w:szCs w:val="21"/>
          <w:highlight w:val="none"/>
        </w:rPr>
        <w:t>报价包干范围</w:t>
      </w:r>
      <w:r>
        <w:rPr>
          <w:rFonts w:hint="eastAsia" w:ascii="宋体" w:hAnsi="宋体" w:eastAsia="宋体" w:cs="宋体"/>
          <w:szCs w:val="21"/>
          <w:highlight w:val="none"/>
          <w:lang w:eastAsia="zh-CN"/>
        </w:rPr>
        <w:t>：</w:t>
      </w:r>
      <w:r>
        <w:rPr>
          <w:rFonts w:hint="eastAsia" w:ascii="宋体" w:hAnsi="宋体" w:eastAsia="宋体" w:cs="宋体"/>
          <w:szCs w:val="21"/>
          <w:highlight w:val="none"/>
        </w:rPr>
        <w:t>投标总价须包含设备供货、运输、安装、调试，以及为实现与招采系统联动所发生的接口开发、适配、联调等一切费用。除本需求书另有明确约定外，</w:t>
      </w:r>
      <w:r>
        <w:rPr>
          <w:rFonts w:hint="eastAsia" w:ascii="宋体" w:hAnsi="宋体" w:eastAsia="宋体" w:cs="宋体"/>
          <w:szCs w:val="21"/>
          <w:highlight w:val="none"/>
          <w:lang w:eastAsia="zh-CN"/>
        </w:rPr>
        <w:t>采购人</w:t>
      </w:r>
      <w:r>
        <w:rPr>
          <w:rFonts w:hint="eastAsia" w:ascii="宋体" w:hAnsi="宋体" w:eastAsia="宋体" w:cs="宋体"/>
          <w:szCs w:val="21"/>
          <w:highlight w:val="none"/>
        </w:rPr>
        <w:t>不另行支付接口、调试、对接等任何费用。</w:t>
      </w:r>
    </w:p>
    <w:p w14:paraId="3690BC90">
      <w:pPr>
        <w:autoSpaceDE w:val="0"/>
        <w:autoSpaceDN w:val="0"/>
        <w:adjustRightInd w:val="0"/>
        <w:spacing w:line="360" w:lineRule="auto"/>
        <w:jc w:val="left"/>
        <w:outlineLvl w:val="1"/>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lang w:val="en-US" w:eastAsia="zh-CN"/>
        </w:rPr>
        <w:t>六</w:t>
      </w:r>
      <w:r>
        <w:rPr>
          <w:rFonts w:hint="eastAsia" w:ascii="宋体" w:hAnsi="宋体" w:eastAsia="宋体" w:cs="宋体"/>
          <w:b/>
          <w:bCs/>
          <w:color w:val="000000"/>
          <w:kern w:val="0"/>
          <w:szCs w:val="21"/>
          <w:highlight w:val="none"/>
          <w:lang w:eastAsia="zh-CN"/>
        </w:rPr>
        <w:t>、其他</w:t>
      </w:r>
    </w:p>
    <w:p w14:paraId="69351389">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1. </w:t>
      </w:r>
      <w:r>
        <w:rPr>
          <w:rFonts w:hint="eastAsia" w:ascii="宋体" w:hAnsi="宋体" w:eastAsia="宋体" w:cs="宋体"/>
          <w:szCs w:val="21"/>
          <w:highlight w:val="none"/>
          <w:lang w:eastAsia="zh-CN"/>
        </w:rPr>
        <w:t>供应商应在投标前自行踏勘现场，充分考虑安装环境与对接条件；未踏勘视为已了解，风险自担。</w:t>
      </w:r>
    </w:p>
    <w:p w14:paraId="6911C995">
      <w:pPr>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2</w:t>
      </w:r>
      <w:r>
        <w:rPr>
          <w:rFonts w:hint="eastAsia" w:ascii="宋体" w:hAnsi="宋体" w:eastAsia="宋体" w:cs="宋体"/>
          <w:szCs w:val="21"/>
          <w:highlight w:val="none"/>
        </w:rPr>
        <w:t xml:space="preserve">. </w:t>
      </w:r>
      <w:r>
        <w:rPr>
          <w:rFonts w:hint="eastAsia" w:ascii="宋体" w:hAnsi="宋体" w:eastAsia="宋体" w:cs="宋体"/>
          <w:szCs w:val="21"/>
          <w:highlight w:val="none"/>
          <w:lang w:eastAsia="zh-CN"/>
        </w:rPr>
        <w:t>本需求书未尽事宜，由双方在合同中另行约定。</w:t>
      </w:r>
    </w:p>
    <w:p w14:paraId="7C94ED7B">
      <w:pPr>
        <w:autoSpaceDE w:val="0"/>
        <w:autoSpaceDN w:val="0"/>
        <w:adjustRightInd w:val="0"/>
        <w:spacing w:line="360" w:lineRule="auto"/>
        <w:jc w:val="left"/>
        <w:outlineLvl w:val="1"/>
        <w:rPr>
          <w:rFonts w:hint="default" w:ascii="宋体" w:hAnsi="宋体" w:eastAsia="宋体" w:cs="宋体"/>
          <w:b/>
          <w:bCs/>
          <w:color w:val="000000"/>
          <w:kern w:val="0"/>
          <w:szCs w:val="21"/>
          <w:highlight w:val="none"/>
          <w:lang w:val="en-US" w:eastAsia="zh-CN"/>
        </w:rPr>
      </w:pPr>
      <w:r>
        <w:rPr>
          <w:rFonts w:hint="eastAsia" w:ascii="宋体" w:hAnsi="宋体" w:eastAsia="宋体" w:cs="宋体"/>
          <w:b/>
          <w:bCs/>
          <w:color w:val="000000"/>
          <w:kern w:val="0"/>
          <w:szCs w:val="21"/>
          <w:highlight w:val="none"/>
          <w:lang w:val="en-US" w:eastAsia="zh-CN"/>
        </w:rPr>
        <w:t>七、清单</w:t>
      </w:r>
    </w:p>
    <w:tbl>
      <w:tblPr>
        <w:tblStyle w:val="22"/>
        <w:tblW w:w="8498" w:type="dxa"/>
        <w:tblInd w:w="108" w:type="dxa"/>
        <w:tblLayout w:type="fixed"/>
        <w:tblCellMar>
          <w:top w:w="0" w:type="dxa"/>
          <w:left w:w="108" w:type="dxa"/>
          <w:bottom w:w="0" w:type="dxa"/>
          <w:right w:w="108" w:type="dxa"/>
        </w:tblCellMar>
      </w:tblPr>
      <w:tblGrid>
        <w:gridCol w:w="517"/>
        <w:gridCol w:w="2354"/>
        <w:gridCol w:w="1919"/>
        <w:gridCol w:w="1854"/>
        <w:gridCol w:w="1854"/>
      </w:tblGrid>
      <w:tr w14:paraId="36D19C94">
        <w:tblPrEx>
          <w:tblCellMar>
            <w:top w:w="0" w:type="dxa"/>
            <w:left w:w="108" w:type="dxa"/>
            <w:bottom w:w="0" w:type="dxa"/>
            <w:right w:w="108" w:type="dxa"/>
          </w:tblCellMar>
        </w:tblPrEx>
        <w:trPr>
          <w:trHeight w:val="398" w:hRule="atLeast"/>
        </w:trPr>
        <w:tc>
          <w:tcPr>
            <w:tcW w:w="517" w:type="dxa"/>
            <w:vMerge w:val="restart"/>
            <w:tcBorders>
              <w:top w:val="single" w:color="auto" w:sz="6" w:space="0"/>
              <w:left w:val="single" w:color="auto" w:sz="6" w:space="0"/>
              <w:bottom w:val="single" w:color="auto" w:sz="6" w:space="0"/>
              <w:right w:val="single" w:color="auto" w:sz="6" w:space="0"/>
            </w:tcBorders>
            <w:shd w:val="clear" w:color="auto" w:fill="auto"/>
            <w:noWrap/>
            <w:vAlign w:val="center"/>
          </w:tcPr>
          <w:p w14:paraId="1F4E215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2354" w:type="dxa"/>
            <w:vMerge w:val="restart"/>
            <w:tcBorders>
              <w:top w:val="single" w:color="auto" w:sz="6" w:space="0"/>
              <w:left w:val="single" w:color="auto" w:sz="6" w:space="0"/>
              <w:bottom w:val="single" w:color="auto" w:sz="6" w:space="0"/>
              <w:right w:val="single" w:color="auto" w:sz="6" w:space="0"/>
            </w:tcBorders>
            <w:shd w:val="clear" w:color="auto" w:fill="auto"/>
            <w:noWrap/>
            <w:vAlign w:val="center"/>
          </w:tcPr>
          <w:p w14:paraId="1D1D563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名称</w:t>
            </w:r>
          </w:p>
        </w:tc>
        <w:tc>
          <w:tcPr>
            <w:tcW w:w="1919" w:type="dxa"/>
            <w:vMerge w:val="restart"/>
            <w:tcBorders>
              <w:top w:val="single" w:color="auto" w:sz="6" w:space="0"/>
              <w:left w:val="single" w:color="auto" w:sz="6" w:space="0"/>
              <w:bottom w:val="single" w:color="auto" w:sz="6" w:space="0"/>
              <w:right w:val="single" w:color="auto" w:sz="6" w:space="0"/>
            </w:tcBorders>
            <w:shd w:val="clear" w:color="auto" w:fill="auto"/>
            <w:noWrap/>
            <w:vAlign w:val="center"/>
          </w:tcPr>
          <w:p w14:paraId="30D4B96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单位</w:t>
            </w:r>
          </w:p>
        </w:tc>
        <w:tc>
          <w:tcPr>
            <w:tcW w:w="3708" w:type="dxa"/>
            <w:gridSpan w:val="2"/>
            <w:tcBorders>
              <w:top w:val="single" w:color="auto" w:sz="6" w:space="0"/>
              <w:left w:val="single" w:color="auto" w:sz="6" w:space="0"/>
              <w:bottom w:val="single" w:color="auto" w:sz="6" w:space="0"/>
              <w:right w:val="single" w:color="auto" w:sz="6" w:space="0"/>
            </w:tcBorders>
            <w:shd w:val="clear" w:color="auto" w:fill="auto"/>
            <w:noWrap/>
            <w:vAlign w:val="center"/>
          </w:tcPr>
          <w:p w14:paraId="2893D69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数量</w:t>
            </w:r>
          </w:p>
        </w:tc>
      </w:tr>
      <w:tr w14:paraId="3AA32015">
        <w:tblPrEx>
          <w:tblCellMar>
            <w:top w:w="0" w:type="dxa"/>
            <w:left w:w="108" w:type="dxa"/>
            <w:bottom w:w="0" w:type="dxa"/>
            <w:right w:w="108" w:type="dxa"/>
          </w:tblCellMar>
        </w:tblPrEx>
        <w:trPr>
          <w:trHeight w:val="476" w:hRule="atLeast"/>
        </w:trPr>
        <w:tc>
          <w:tcPr>
            <w:tcW w:w="517" w:type="dxa"/>
            <w:vMerge w:val="continue"/>
            <w:tcBorders>
              <w:top w:val="single" w:color="auto" w:sz="6" w:space="0"/>
              <w:left w:val="single" w:color="auto" w:sz="6" w:space="0"/>
              <w:bottom w:val="single" w:color="auto" w:sz="6" w:space="0"/>
              <w:right w:val="single" w:color="auto" w:sz="6" w:space="0"/>
            </w:tcBorders>
            <w:shd w:val="clear" w:color="auto" w:fill="auto"/>
            <w:noWrap/>
            <w:vAlign w:val="center"/>
          </w:tcPr>
          <w:p w14:paraId="428A702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p>
        </w:tc>
        <w:tc>
          <w:tcPr>
            <w:tcW w:w="2354" w:type="dxa"/>
            <w:vMerge w:val="continue"/>
            <w:tcBorders>
              <w:top w:val="single" w:color="auto" w:sz="6" w:space="0"/>
              <w:left w:val="single" w:color="auto" w:sz="6" w:space="0"/>
              <w:bottom w:val="single" w:color="auto" w:sz="6" w:space="0"/>
              <w:right w:val="single" w:color="auto" w:sz="6" w:space="0"/>
            </w:tcBorders>
            <w:shd w:val="clear" w:color="auto" w:fill="auto"/>
            <w:noWrap/>
            <w:vAlign w:val="center"/>
          </w:tcPr>
          <w:p w14:paraId="38BA502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p>
        </w:tc>
        <w:tc>
          <w:tcPr>
            <w:tcW w:w="1919" w:type="dxa"/>
            <w:vMerge w:val="continue"/>
            <w:tcBorders>
              <w:top w:val="single" w:color="auto" w:sz="6" w:space="0"/>
              <w:left w:val="single" w:color="auto" w:sz="6" w:space="0"/>
              <w:bottom w:val="single" w:color="auto" w:sz="6" w:space="0"/>
              <w:right w:val="single" w:color="auto" w:sz="6" w:space="0"/>
            </w:tcBorders>
            <w:shd w:val="clear" w:color="auto" w:fill="auto"/>
            <w:noWrap/>
            <w:vAlign w:val="center"/>
          </w:tcPr>
          <w:p w14:paraId="6AC7303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p>
        </w:tc>
        <w:tc>
          <w:tcPr>
            <w:tcW w:w="185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9B683A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一期</w:t>
            </w:r>
          </w:p>
        </w:tc>
        <w:tc>
          <w:tcPr>
            <w:tcW w:w="185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13F0B81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二期</w:t>
            </w:r>
          </w:p>
        </w:tc>
      </w:tr>
      <w:tr w14:paraId="0C77B16B">
        <w:tblPrEx>
          <w:tblCellMar>
            <w:top w:w="0" w:type="dxa"/>
            <w:left w:w="108" w:type="dxa"/>
            <w:bottom w:w="0" w:type="dxa"/>
            <w:right w:w="108" w:type="dxa"/>
          </w:tblCellMar>
        </w:tblPrEx>
        <w:trPr>
          <w:trHeight w:val="506" w:hRule="atLeast"/>
        </w:trPr>
        <w:tc>
          <w:tcPr>
            <w:tcW w:w="51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F051F0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1</w:t>
            </w:r>
          </w:p>
        </w:tc>
        <w:tc>
          <w:tcPr>
            <w:tcW w:w="2354"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51D4121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单通道速通门</w:t>
            </w:r>
          </w:p>
        </w:tc>
        <w:tc>
          <w:tcPr>
            <w:tcW w:w="1919"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F0510C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套</w:t>
            </w:r>
          </w:p>
        </w:tc>
        <w:tc>
          <w:tcPr>
            <w:tcW w:w="1854"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2086514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2</w:t>
            </w:r>
          </w:p>
        </w:tc>
        <w:tc>
          <w:tcPr>
            <w:tcW w:w="1854"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415CB9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1</w:t>
            </w:r>
          </w:p>
        </w:tc>
      </w:tr>
      <w:tr w14:paraId="0AB3F298">
        <w:tblPrEx>
          <w:tblCellMar>
            <w:top w:w="0" w:type="dxa"/>
            <w:left w:w="108" w:type="dxa"/>
            <w:bottom w:w="0" w:type="dxa"/>
            <w:right w:w="108" w:type="dxa"/>
          </w:tblCellMar>
        </w:tblPrEx>
        <w:trPr>
          <w:trHeight w:val="493" w:hRule="atLeast"/>
        </w:trPr>
        <w:tc>
          <w:tcPr>
            <w:tcW w:w="51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32332C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2</w:t>
            </w:r>
          </w:p>
        </w:tc>
        <w:tc>
          <w:tcPr>
            <w:tcW w:w="2354"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6831E9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人脸识别终端</w:t>
            </w:r>
          </w:p>
        </w:tc>
        <w:tc>
          <w:tcPr>
            <w:tcW w:w="1919"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F71573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台</w:t>
            </w:r>
          </w:p>
        </w:tc>
        <w:tc>
          <w:tcPr>
            <w:tcW w:w="1854"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2609562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4</w:t>
            </w:r>
          </w:p>
        </w:tc>
        <w:tc>
          <w:tcPr>
            <w:tcW w:w="1854"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566CE3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2</w:t>
            </w:r>
          </w:p>
        </w:tc>
      </w:tr>
      <w:tr w14:paraId="6AAE803C">
        <w:tblPrEx>
          <w:tblCellMar>
            <w:top w:w="0" w:type="dxa"/>
            <w:left w:w="108" w:type="dxa"/>
            <w:bottom w:w="0" w:type="dxa"/>
            <w:right w:w="108" w:type="dxa"/>
          </w:tblCellMar>
        </w:tblPrEx>
        <w:trPr>
          <w:trHeight w:val="531" w:hRule="atLeast"/>
        </w:trPr>
        <w:tc>
          <w:tcPr>
            <w:tcW w:w="517"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84BE7D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3</w:t>
            </w:r>
          </w:p>
        </w:tc>
        <w:tc>
          <w:tcPr>
            <w:tcW w:w="2354"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467EB7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布线辅材</w:t>
            </w:r>
          </w:p>
        </w:tc>
        <w:tc>
          <w:tcPr>
            <w:tcW w:w="1919"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06CFBD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项</w:t>
            </w:r>
          </w:p>
        </w:tc>
        <w:tc>
          <w:tcPr>
            <w:tcW w:w="1854"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1C8480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1</w:t>
            </w:r>
          </w:p>
        </w:tc>
        <w:tc>
          <w:tcPr>
            <w:tcW w:w="1854"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244BE32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1</w:t>
            </w:r>
          </w:p>
        </w:tc>
      </w:tr>
    </w:tbl>
    <w:p w14:paraId="437EC705">
      <w:pPr>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实际供货及安装数量以采购人需求为准。</w:t>
      </w:r>
    </w:p>
    <w:p w14:paraId="34747C0C">
      <w:pPr>
        <w:rPr>
          <w:rFonts w:hint="eastAsia" w:ascii="宋体" w:hAnsi="宋体" w:eastAsia="宋体" w:cs="宋体"/>
          <w:b/>
          <w:sz w:val="30"/>
          <w:szCs w:val="30"/>
          <w:highlight w:val="none"/>
          <w:lang w:val="zh-CN"/>
        </w:rPr>
      </w:pPr>
      <w:r>
        <w:rPr>
          <w:rFonts w:hint="eastAsia" w:ascii="宋体" w:hAnsi="宋体" w:eastAsia="宋体" w:cs="宋体"/>
          <w:b/>
          <w:sz w:val="30"/>
          <w:szCs w:val="30"/>
          <w:highlight w:val="none"/>
          <w:lang w:val="zh-CN"/>
        </w:rPr>
        <w:br w:type="page"/>
      </w:r>
    </w:p>
    <w:p w14:paraId="11258942">
      <w:pPr>
        <w:keepNext/>
        <w:spacing w:line="360" w:lineRule="auto"/>
        <w:jc w:val="center"/>
        <w:outlineLvl w:val="0"/>
        <w:rPr>
          <w:rFonts w:hint="eastAsia" w:ascii="宋体" w:hAnsi="宋体" w:eastAsia="宋体" w:cs="宋体"/>
          <w:b/>
          <w:sz w:val="30"/>
          <w:szCs w:val="30"/>
          <w:highlight w:val="none"/>
        </w:rPr>
      </w:pPr>
      <w:bookmarkStart w:id="43" w:name="_Toc25314"/>
      <w:r>
        <w:rPr>
          <w:rFonts w:hint="eastAsia" w:ascii="宋体" w:hAnsi="宋体" w:eastAsia="宋体" w:cs="宋体"/>
          <w:b/>
          <w:sz w:val="30"/>
          <w:szCs w:val="30"/>
          <w:highlight w:val="none"/>
          <w:lang w:val="en-US" w:eastAsia="zh-CN"/>
        </w:rPr>
        <w:t xml:space="preserve">第三章  </w:t>
      </w:r>
      <w:r>
        <w:rPr>
          <w:rFonts w:hint="eastAsia" w:ascii="宋体" w:hAnsi="宋体" w:eastAsia="宋体" w:cs="宋体"/>
          <w:b/>
          <w:sz w:val="30"/>
          <w:szCs w:val="30"/>
          <w:highlight w:val="none"/>
        </w:rPr>
        <w:t>合同条款</w:t>
      </w:r>
      <w:bookmarkEnd w:id="17"/>
      <w:bookmarkEnd w:id="43"/>
    </w:p>
    <w:p w14:paraId="680F57F4">
      <w:pPr>
        <w:spacing w:before="200" w:after="200" w:line="360" w:lineRule="auto"/>
        <w:jc w:val="center"/>
        <w:rPr>
          <w:rFonts w:hint="eastAsia" w:ascii="宋体" w:hAnsi="宋体" w:eastAsia="宋体" w:cs="宋体"/>
          <w:b/>
          <w:bCs/>
          <w:sz w:val="48"/>
          <w:szCs w:val="48"/>
          <w:highlight w:val="none"/>
        </w:rPr>
      </w:pPr>
    </w:p>
    <w:bookmarkEnd w:id="18"/>
    <w:bookmarkEnd w:id="19"/>
    <w:bookmarkEnd w:id="20"/>
    <w:bookmarkEnd w:id="21"/>
    <w:bookmarkEnd w:id="22"/>
    <w:bookmarkEnd w:id="23"/>
    <w:p w14:paraId="0CB2A683">
      <w:pPr>
        <w:spacing w:line="360" w:lineRule="auto"/>
        <w:jc w:val="center"/>
        <w:rPr>
          <w:rFonts w:hint="eastAsia" w:ascii="宋体" w:hAnsi="宋体" w:eastAsia="宋体" w:cs="宋体"/>
          <w:b/>
          <w:bCs/>
          <w:sz w:val="44"/>
          <w:szCs w:val="44"/>
          <w:highlight w:val="none"/>
          <w:lang w:eastAsia="zh-CN"/>
        </w:rPr>
      </w:pPr>
      <w:bookmarkStart w:id="44" w:name="_Toc27296"/>
      <w:bookmarkStart w:id="45" w:name="_Toc14912"/>
      <w:bookmarkStart w:id="46" w:name="_Toc24222"/>
      <w:bookmarkStart w:id="47" w:name="_Toc25804"/>
      <w:bookmarkStart w:id="48" w:name="_Toc18590"/>
      <w:bookmarkStart w:id="49" w:name="_Toc8321"/>
      <w:r>
        <w:rPr>
          <w:rFonts w:hint="eastAsia" w:ascii="宋体" w:hAnsi="宋体" w:eastAsia="宋体" w:cs="宋体"/>
          <w:b/>
          <w:bCs/>
          <w:sz w:val="44"/>
          <w:szCs w:val="44"/>
          <w:highlight w:val="none"/>
          <w:lang w:eastAsia="zh-CN"/>
        </w:rPr>
        <w:t>招采中心速通门及人脸识别设备</w:t>
      </w:r>
    </w:p>
    <w:p w14:paraId="2FAE2793">
      <w:pPr>
        <w:spacing w:line="360" w:lineRule="auto"/>
        <w:jc w:val="center"/>
        <w:rPr>
          <w:rFonts w:hint="eastAsia" w:ascii="宋体" w:hAnsi="宋体" w:eastAsia="宋体" w:cs="宋体"/>
          <w:b/>
          <w:bCs/>
          <w:sz w:val="44"/>
          <w:szCs w:val="44"/>
          <w:highlight w:val="none"/>
        </w:rPr>
      </w:pPr>
      <w:r>
        <w:rPr>
          <w:rFonts w:hint="eastAsia" w:ascii="宋体" w:hAnsi="宋体" w:eastAsia="宋体" w:cs="宋体"/>
          <w:b/>
          <w:bCs/>
          <w:sz w:val="44"/>
          <w:szCs w:val="44"/>
          <w:highlight w:val="none"/>
          <w:lang w:eastAsia="zh-CN"/>
        </w:rPr>
        <w:t>采购项目</w:t>
      </w:r>
      <w:r>
        <w:rPr>
          <w:rFonts w:hint="eastAsia" w:ascii="宋体" w:hAnsi="宋体" w:eastAsia="宋体" w:cs="宋体"/>
          <w:b/>
          <w:bCs/>
          <w:sz w:val="44"/>
          <w:szCs w:val="44"/>
          <w:highlight w:val="none"/>
        </w:rPr>
        <w:t>合同</w:t>
      </w:r>
      <w:bookmarkEnd w:id="44"/>
    </w:p>
    <w:p w14:paraId="4730F683">
      <w:pPr>
        <w:autoSpaceDE w:val="0"/>
        <w:autoSpaceDN w:val="0"/>
        <w:adjustRightInd w:val="0"/>
        <w:spacing w:line="360" w:lineRule="auto"/>
        <w:ind w:right="-420" w:rightChars="-200"/>
        <w:jc w:val="center"/>
        <w:rPr>
          <w:rFonts w:hint="eastAsia" w:ascii="宋体" w:hAnsi="宋体" w:eastAsia="宋体" w:cs="宋体"/>
          <w:kern w:val="0"/>
          <w:sz w:val="32"/>
          <w:szCs w:val="32"/>
          <w:highlight w:val="none"/>
        </w:rPr>
      </w:pPr>
    </w:p>
    <w:p w14:paraId="3C6DDDB3">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合同编号：</w:t>
      </w:r>
    </w:p>
    <w:p w14:paraId="5DDEFB42">
      <w:pPr>
        <w:autoSpaceDE w:val="0"/>
        <w:autoSpaceDN w:val="0"/>
        <w:adjustRightInd w:val="0"/>
        <w:spacing w:line="200" w:lineRule="exact"/>
        <w:ind w:right="-420" w:rightChars="-200"/>
        <w:rPr>
          <w:rFonts w:hint="eastAsia" w:ascii="宋体" w:hAnsi="宋体" w:eastAsia="宋体" w:cs="宋体"/>
          <w:kern w:val="0"/>
          <w:sz w:val="24"/>
          <w:highlight w:val="none"/>
        </w:rPr>
      </w:pPr>
    </w:p>
    <w:p w14:paraId="4E5A0E02">
      <w:pPr>
        <w:autoSpaceDE w:val="0"/>
        <w:autoSpaceDN w:val="0"/>
        <w:adjustRightInd w:val="0"/>
        <w:spacing w:line="200" w:lineRule="exact"/>
        <w:ind w:right="-420" w:rightChars="-200"/>
        <w:rPr>
          <w:rFonts w:hint="eastAsia" w:ascii="宋体" w:hAnsi="宋体" w:eastAsia="宋体" w:cs="宋体"/>
          <w:kern w:val="0"/>
          <w:sz w:val="24"/>
          <w:highlight w:val="none"/>
        </w:rPr>
      </w:pPr>
    </w:p>
    <w:p w14:paraId="6FD8464E">
      <w:pPr>
        <w:autoSpaceDE w:val="0"/>
        <w:autoSpaceDN w:val="0"/>
        <w:adjustRightInd w:val="0"/>
        <w:spacing w:line="200" w:lineRule="exact"/>
        <w:ind w:right="-420" w:rightChars="-200"/>
        <w:rPr>
          <w:rFonts w:hint="eastAsia" w:ascii="宋体" w:hAnsi="宋体" w:eastAsia="宋体" w:cs="宋体"/>
          <w:kern w:val="0"/>
          <w:sz w:val="24"/>
          <w:highlight w:val="none"/>
        </w:rPr>
      </w:pPr>
    </w:p>
    <w:p w14:paraId="570E0789">
      <w:pPr>
        <w:autoSpaceDE w:val="0"/>
        <w:autoSpaceDN w:val="0"/>
        <w:adjustRightInd w:val="0"/>
        <w:spacing w:line="200" w:lineRule="exact"/>
        <w:ind w:right="-420" w:rightChars="-200"/>
        <w:rPr>
          <w:rFonts w:hint="eastAsia" w:ascii="宋体" w:hAnsi="宋体" w:eastAsia="宋体" w:cs="宋体"/>
          <w:kern w:val="0"/>
          <w:sz w:val="24"/>
          <w:highlight w:val="none"/>
        </w:rPr>
      </w:pPr>
    </w:p>
    <w:p w14:paraId="5043ED82">
      <w:pPr>
        <w:autoSpaceDE w:val="0"/>
        <w:autoSpaceDN w:val="0"/>
        <w:adjustRightInd w:val="0"/>
        <w:spacing w:line="200" w:lineRule="exact"/>
        <w:ind w:right="-420" w:rightChars="-200"/>
        <w:rPr>
          <w:rFonts w:hint="eastAsia" w:ascii="宋体" w:hAnsi="宋体" w:eastAsia="宋体" w:cs="宋体"/>
          <w:kern w:val="0"/>
          <w:sz w:val="24"/>
          <w:highlight w:val="none"/>
        </w:rPr>
      </w:pPr>
    </w:p>
    <w:p w14:paraId="58FB6CCA">
      <w:pPr>
        <w:autoSpaceDE w:val="0"/>
        <w:autoSpaceDN w:val="0"/>
        <w:adjustRightInd w:val="0"/>
        <w:spacing w:line="200" w:lineRule="exact"/>
        <w:ind w:right="-420" w:rightChars="-200"/>
        <w:rPr>
          <w:rFonts w:hint="eastAsia" w:ascii="宋体" w:hAnsi="宋体" w:eastAsia="宋体" w:cs="宋体"/>
          <w:kern w:val="0"/>
          <w:sz w:val="24"/>
          <w:highlight w:val="none"/>
        </w:rPr>
      </w:pPr>
    </w:p>
    <w:p w14:paraId="4089760C">
      <w:pPr>
        <w:autoSpaceDE w:val="0"/>
        <w:autoSpaceDN w:val="0"/>
        <w:adjustRightInd w:val="0"/>
        <w:spacing w:line="200" w:lineRule="exact"/>
        <w:ind w:right="-420" w:rightChars="-200"/>
        <w:rPr>
          <w:rFonts w:hint="eastAsia" w:ascii="宋体" w:hAnsi="宋体" w:eastAsia="宋体" w:cs="宋体"/>
          <w:kern w:val="0"/>
          <w:sz w:val="24"/>
          <w:highlight w:val="none"/>
        </w:rPr>
      </w:pPr>
    </w:p>
    <w:p w14:paraId="74827D14">
      <w:pPr>
        <w:autoSpaceDE w:val="0"/>
        <w:autoSpaceDN w:val="0"/>
        <w:adjustRightInd w:val="0"/>
        <w:spacing w:line="200" w:lineRule="exact"/>
        <w:ind w:right="-420" w:rightChars="-200"/>
        <w:rPr>
          <w:rFonts w:hint="eastAsia" w:ascii="宋体" w:hAnsi="宋体" w:eastAsia="宋体" w:cs="宋体"/>
          <w:kern w:val="0"/>
          <w:sz w:val="24"/>
          <w:highlight w:val="none"/>
        </w:rPr>
      </w:pPr>
    </w:p>
    <w:p w14:paraId="4D05567C">
      <w:pPr>
        <w:autoSpaceDE w:val="0"/>
        <w:autoSpaceDN w:val="0"/>
        <w:adjustRightInd w:val="0"/>
        <w:spacing w:line="200" w:lineRule="exact"/>
        <w:ind w:right="-420" w:rightChars="-200"/>
        <w:rPr>
          <w:rFonts w:hint="eastAsia" w:ascii="宋体" w:hAnsi="宋体" w:eastAsia="宋体" w:cs="宋体"/>
          <w:kern w:val="0"/>
          <w:sz w:val="24"/>
          <w:highlight w:val="none"/>
        </w:rPr>
      </w:pPr>
    </w:p>
    <w:p w14:paraId="60D3B461">
      <w:pPr>
        <w:autoSpaceDE w:val="0"/>
        <w:autoSpaceDN w:val="0"/>
        <w:adjustRightInd w:val="0"/>
        <w:spacing w:line="200" w:lineRule="exact"/>
        <w:ind w:right="-420" w:rightChars="-200"/>
        <w:rPr>
          <w:rFonts w:hint="eastAsia" w:ascii="宋体" w:hAnsi="宋体" w:eastAsia="宋体" w:cs="宋体"/>
          <w:kern w:val="0"/>
          <w:sz w:val="24"/>
          <w:highlight w:val="none"/>
        </w:rPr>
      </w:pPr>
    </w:p>
    <w:p w14:paraId="34BBC535">
      <w:pPr>
        <w:autoSpaceDE w:val="0"/>
        <w:autoSpaceDN w:val="0"/>
        <w:adjustRightInd w:val="0"/>
        <w:spacing w:line="200" w:lineRule="exact"/>
        <w:ind w:right="-420" w:rightChars="-200"/>
        <w:rPr>
          <w:rFonts w:hint="eastAsia" w:ascii="宋体" w:hAnsi="宋体" w:eastAsia="宋体" w:cs="宋体"/>
          <w:kern w:val="0"/>
          <w:sz w:val="24"/>
          <w:highlight w:val="none"/>
        </w:rPr>
      </w:pPr>
    </w:p>
    <w:p w14:paraId="22893F2C">
      <w:pPr>
        <w:autoSpaceDE w:val="0"/>
        <w:autoSpaceDN w:val="0"/>
        <w:adjustRightInd w:val="0"/>
        <w:spacing w:line="200" w:lineRule="exact"/>
        <w:ind w:right="-420" w:rightChars="-200"/>
        <w:rPr>
          <w:rFonts w:hint="eastAsia" w:ascii="宋体" w:hAnsi="宋体" w:eastAsia="宋体" w:cs="宋体"/>
          <w:kern w:val="0"/>
          <w:sz w:val="24"/>
          <w:highlight w:val="none"/>
        </w:rPr>
      </w:pPr>
    </w:p>
    <w:p w14:paraId="06494850">
      <w:pPr>
        <w:autoSpaceDE w:val="0"/>
        <w:autoSpaceDN w:val="0"/>
        <w:adjustRightInd w:val="0"/>
        <w:spacing w:line="200" w:lineRule="exact"/>
        <w:ind w:right="-420" w:rightChars="-200"/>
        <w:rPr>
          <w:rFonts w:hint="eastAsia" w:ascii="宋体" w:hAnsi="宋体" w:eastAsia="宋体" w:cs="宋体"/>
          <w:kern w:val="0"/>
          <w:sz w:val="24"/>
          <w:highlight w:val="none"/>
        </w:rPr>
      </w:pPr>
    </w:p>
    <w:p w14:paraId="4467E9EC">
      <w:pPr>
        <w:autoSpaceDE w:val="0"/>
        <w:autoSpaceDN w:val="0"/>
        <w:adjustRightInd w:val="0"/>
        <w:spacing w:line="200" w:lineRule="exact"/>
        <w:ind w:right="-420" w:rightChars="-200"/>
        <w:rPr>
          <w:rFonts w:hint="eastAsia" w:ascii="宋体" w:hAnsi="宋体" w:eastAsia="宋体" w:cs="宋体"/>
          <w:kern w:val="0"/>
          <w:sz w:val="24"/>
          <w:highlight w:val="none"/>
        </w:rPr>
      </w:pPr>
    </w:p>
    <w:p w14:paraId="6185D9CD">
      <w:pPr>
        <w:autoSpaceDE w:val="0"/>
        <w:autoSpaceDN w:val="0"/>
        <w:adjustRightInd w:val="0"/>
        <w:spacing w:line="200" w:lineRule="exact"/>
        <w:ind w:right="-420" w:rightChars="-200"/>
        <w:rPr>
          <w:rFonts w:hint="eastAsia" w:ascii="宋体" w:hAnsi="宋体" w:eastAsia="宋体" w:cs="宋体"/>
          <w:kern w:val="0"/>
          <w:sz w:val="24"/>
          <w:highlight w:val="none"/>
        </w:rPr>
      </w:pPr>
    </w:p>
    <w:p w14:paraId="670169DB">
      <w:pPr>
        <w:autoSpaceDE w:val="0"/>
        <w:autoSpaceDN w:val="0"/>
        <w:adjustRightInd w:val="0"/>
        <w:spacing w:line="200" w:lineRule="exact"/>
        <w:ind w:right="-420" w:rightChars="-200"/>
        <w:rPr>
          <w:rFonts w:hint="eastAsia" w:ascii="宋体" w:hAnsi="宋体" w:eastAsia="宋体" w:cs="宋体"/>
          <w:kern w:val="0"/>
          <w:sz w:val="24"/>
          <w:highlight w:val="none"/>
        </w:rPr>
      </w:pPr>
    </w:p>
    <w:p w14:paraId="3C46F556">
      <w:pPr>
        <w:autoSpaceDE w:val="0"/>
        <w:autoSpaceDN w:val="0"/>
        <w:adjustRightInd w:val="0"/>
        <w:spacing w:line="200" w:lineRule="exact"/>
        <w:ind w:right="-420" w:rightChars="-200"/>
        <w:rPr>
          <w:rFonts w:hint="eastAsia" w:ascii="宋体" w:hAnsi="宋体" w:eastAsia="宋体" w:cs="宋体"/>
          <w:kern w:val="0"/>
          <w:sz w:val="24"/>
          <w:highlight w:val="none"/>
        </w:rPr>
      </w:pPr>
    </w:p>
    <w:p w14:paraId="093ECAF9">
      <w:pPr>
        <w:autoSpaceDE w:val="0"/>
        <w:autoSpaceDN w:val="0"/>
        <w:adjustRightInd w:val="0"/>
        <w:spacing w:line="200" w:lineRule="exact"/>
        <w:ind w:right="-420" w:rightChars="-200"/>
        <w:rPr>
          <w:rFonts w:hint="eastAsia" w:ascii="宋体" w:hAnsi="宋体" w:eastAsia="宋体" w:cs="宋体"/>
          <w:kern w:val="0"/>
          <w:sz w:val="24"/>
          <w:highlight w:val="none"/>
        </w:rPr>
      </w:pPr>
    </w:p>
    <w:p w14:paraId="48FD670E">
      <w:pPr>
        <w:autoSpaceDE w:val="0"/>
        <w:autoSpaceDN w:val="0"/>
        <w:adjustRightInd w:val="0"/>
        <w:spacing w:line="200" w:lineRule="exact"/>
        <w:ind w:right="-420" w:rightChars="-200"/>
        <w:rPr>
          <w:rFonts w:hint="eastAsia" w:ascii="宋体" w:hAnsi="宋体" w:eastAsia="宋体" w:cs="宋体"/>
          <w:kern w:val="0"/>
          <w:sz w:val="24"/>
          <w:highlight w:val="none"/>
        </w:rPr>
      </w:pPr>
    </w:p>
    <w:p w14:paraId="3C67718F">
      <w:pPr>
        <w:autoSpaceDE w:val="0"/>
        <w:autoSpaceDN w:val="0"/>
        <w:adjustRightInd w:val="0"/>
        <w:spacing w:line="200" w:lineRule="exact"/>
        <w:ind w:right="-420" w:rightChars="-200"/>
        <w:rPr>
          <w:rFonts w:hint="eastAsia" w:ascii="宋体" w:hAnsi="宋体" w:eastAsia="宋体" w:cs="宋体"/>
          <w:kern w:val="0"/>
          <w:sz w:val="24"/>
          <w:highlight w:val="none"/>
        </w:rPr>
      </w:pPr>
    </w:p>
    <w:p w14:paraId="677C3CE2">
      <w:pPr>
        <w:autoSpaceDE w:val="0"/>
        <w:autoSpaceDN w:val="0"/>
        <w:adjustRightInd w:val="0"/>
        <w:spacing w:line="200" w:lineRule="exact"/>
        <w:ind w:right="-420" w:rightChars="-200"/>
        <w:rPr>
          <w:rFonts w:hint="eastAsia" w:ascii="宋体" w:hAnsi="宋体" w:eastAsia="宋体" w:cs="宋体"/>
          <w:kern w:val="0"/>
          <w:sz w:val="24"/>
          <w:highlight w:val="none"/>
        </w:rPr>
      </w:pPr>
    </w:p>
    <w:p w14:paraId="2438A450">
      <w:pPr>
        <w:autoSpaceDE w:val="0"/>
        <w:autoSpaceDN w:val="0"/>
        <w:adjustRightInd w:val="0"/>
        <w:spacing w:line="200" w:lineRule="exact"/>
        <w:ind w:right="-420" w:rightChars="-200"/>
        <w:rPr>
          <w:rFonts w:hint="eastAsia" w:ascii="宋体" w:hAnsi="宋体" w:eastAsia="宋体" w:cs="宋体"/>
          <w:kern w:val="0"/>
          <w:sz w:val="24"/>
          <w:highlight w:val="none"/>
        </w:rPr>
      </w:pPr>
    </w:p>
    <w:p w14:paraId="2C044E5B">
      <w:pPr>
        <w:autoSpaceDE w:val="0"/>
        <w:autoSpaceDN w:val="0"/>
        <w:adjustRightInd w:val="0"/>
        <w:spacing w:line="200" w:lineRule="exact"/>
        <w:ind w:right="-420" w:rightChars="-200"/>
        <w:rPr>
          <w:rFonts w:hint="eastAsia" w:ascii="宋体" w:hAnsi="宋体" w:eastAsia="宋体" w:cs="宋体"/>
          <w:kern w:val="0"/>
          <w:sz w:val="24"/>
          <w:highlight w:val="none"/>
        </w:rPr>
      </w:pPr>
    </w:p>
    <w:p w14:paraId="3C3EC2DD">
      <w:pPr>
        <w:autoSpaceDE w:val="0"/>
        <w:autoSpaceDN w:val="0"/>
        <w:adjustRightInd w:val="0"/>
        <w:spacing w:line="236" w:lineRule="exact"/>
        <w:ind w:right="-420" w:rightChars="-200"/>
        <w:rPr>
          <w:rFonts w:hint="eastAsia" w:ascii="宋体" w:hAnsi="宋体" w:eastAsia="宋体" w:cs="宋体"/>
          <w:kern w:val="0"/>
          <w:sz w:val="24"/>
          <w:highlight w:val="none"/>
        </w:rPr>
      </w:pPr>
    </w:p>
    <w:p w14:paraId="4EC66EE7">
      <w:pPr>
        <w:ind w:firstLine="1263" w:firstLineChars="393"/>
        <w:rPr>
          <w:rFonts w:hint="eastAsia" w:ascii="宋体" w:hAnsi="宋体" w:eastAsia="宋体" w:cs="宋体"/>
          <w:b/>
          <w:bCs/>
          <w:kern w:val="0"/>
          <w:sz w:val="32"/>
          <w:szCs w:val="32"/>
          <w:highlight w:val="none"/>
        </w:rPr>
      </w:pPr>
    </w:p>
    <w:p w14:paraId="2D996CDC">
      <w:pPr>
        <w:spacing w:line="360" w:lineRule="auto"/>
        <w:ind w:firstLine="1263" w:firstLineChars="393"/>
        <w:rPr>
          <w:rFonts w:hint="eastAsia" w:ascii="宋体" w:hAnsi="宋体" w:eastAsia="宋体" w:cs="宋体"/>
          <w:b/>
          <w:bCs/>
          <w:kern w:val="0"/>
          <w:sz w:val="32"/>
          <w:szCs w:val="32"/>
          <w:highlight w:val="none"/>
        </w:rPr>
      </w:pPr>
    </w:p>
    <w:p w14:paraId="71F1FEB3">
      <w:pPr>
        <w:spacing w:line="360" w:lineRule="auto"/>
        <w:ind w:firstLine="1263" w:firstLineChars="393"/>
        <w:rPr>
          <w:rFonts w:hint="eastAsia" w:ascii="宋体" w:hAnsi="宋体" w:eastAsia="宋体" w:cs="宋体"/>
          <w:b/>
          <w:bCs/>
          <w:kern w:val="0"/>
          <w:sz w:val="32"/>
          <w:szCs w:val="32"/>
          <w:highlight w:val="none"/>
        </w:rPr>
      </w:pPr>
    </w:p>
    <w:p w14:paraId="6BC4FD81">
      <w:pPr>
        <w:spacing w:line="360" w:lineRule="auto"/>
        <w:ind w:firstLine="1263" w:firstLineChars="393"/>
        <w:rPr>
          <w:rFonts w:hint="eastAsia" w:ascii="宋体" w:hAnsi="宋体" w:eastAsia="宋体" w:cs="宋体"/>
          <w:kern w:val="0"/>
          <w:sz w:val="24"/>
          <w:highlight w:val="none"/>
        </w:rPr>
      </w:pPr>
      <w:r>
        <w:rPr>
          <w:rFonts w:hint="eastAsia" w:ascii="宋体" w:hAnsi="宋体" w:eastAsia="宋体" w:cs="宋体"/>
          <w:b/>
          <w:bCs/>
          <w:kern w:val="0"/>
          <w:sz w:val="32"/>
          <w:szCs w:val="32"/>
          <w:highlight w:val="none"/>
        </w:rPr>
        <w:t>甲方：</w:t>
      </w:r>
      <w:r>
        <w:rPr>
          <w:rFonts w:hint="eastAsia" w:ascii="宋体" w:hAnsi="宋体" w:eastAsia="宋体" w:cs="宋体"/>
          <w:b/>
          <w:bCs/>
          <w:kern w:val="0"/>
          <w:sz w:val="32"/>
          <w:szCs w:val="32"/>
          <w:highlight w:val="none"/>
          <w:u w:val="single" w:color="000000"/>
        </w:rPr>
        <w:t xml:space="preserve"> </w:t>
      </w:r>
      <w:r>
        <w:rPr>
          <w:rFonts w:hint="eastAsia" w:ascii="宋体" w:hAnsi="宋体" w:eastAsia="宋体" w:cs="宋体"/>
          <w:b/>
          <w:bCs/>
          <w:kern w:val="0"/>
          <w:sz w:val="32"/>
          <w:szCs w:val="32"/>
          <w:highlight w:val="none"/>
          <w:u w:val="single" w:color="000000"/>
          <w:lang w:eastAsia="zh-CN"/>
        </w:rPr>
        <w:t>南通轨道资源开发有限公司</w:t>
      </w:r>
      <w:r>
        <w:rPr>
          <w:rFonts w:hint="eastAsia" w:ascii="宋体" w:hAnsi="宋体" w:eastAsia="宋体" w:cs="宋体"/>
          <w:b/>
          <w:bCs/>
          <w:kern w:val="0"/>
          <w:sz w:val="32"/>
          <w:szCs w:val="32"/>
          <w:highlight w:val="none"/>
          <w:u w:val="single" w:color="000000"/>
        </w:rPr>
        <w:t xml:space="preserve"> </w:t>
      </w:r>
    </w:p>
    <w:p w14:paraId="7F3E2E07">
      <w:pPr>
        <w:spacing w:line="360" w:lineRule="auto"/>
        <w:ind w:firstLine="1263" w:firstLineChars="393"/>
        <w:rPr>
          <w:rFonts w:hint="eastAsia" w:ascii="宋体" w:hAnsi="宋体" w:eastAsia="宋体" w:cs="宋体"/>
          <w:b/>
          <w:bCs/>
          <w:kern w:val="0"/>
          <w:sz w:val="28"/>
          <w:szCs w:val="28"/>
          <w:highlight w:val="none"/>
        </w:rPr>
      </w:pPr>
      <w:r>
        <w:rPr>
          <w:rFonts w:hint="eastAsia" w:ascii="宋体" w:hAnsi="宋体" w:eastAsia="宋体" w:cs="宋体"/>
          <w:b/>
          <w:bCs/>
          <w:kern w:val="0"/>
          <w:sz w:val="32"/>
          <w:szCs w:val="32"/>
          <w:highlight w:val="none"/>
        </w:rPr>
        <w:t>乙方：</w:t>
      </w:r>
      <w:r>
        <w:rPr>
          <w:rFonts w:hint="eastAsia" w:ascii="宋体" w:hAnsi="宋体" w:eastAsia="宋体" w:cs="宋体"/>
          <w:b/>
          <w:bCs/>
          <w:kern w:val="0"/>
          <w:sz w:val="28"/>
          <w:szCs w:val="28"/>
          <w:highlight w:val="none"/>
          <w:u w:val="single" w:color="000000"/>
        </w:rPr>
        <w:t xml:space="preserve">                             </w:t>
      </w:r>
      <w:r>
        <w:rPr>
          <w:rFonts w:hint="eastAsia" w:ascii="宋体" w:hAnsi="宋体" w:eastAsia="宋体" w:cs="宋体"/>
          <w:b/>
          <w:bCs/>
          <w:kern w:val="0"/>
          <w:sz w:val="28"/>
          <w:szCs w:val="28"/>
          <w:highlight w:val="none"/>
          <w:u w:val="single"/>
        </w:rPr>
        <w:t xml:space="preserve"> </w:t>
      </w:r>
      <w:r>
        <w:rPr>
          <w:rFonts w:hint="eastAsia" w:ascii="宋体" w:hAnsi="宋体" w:eastAsia="宋体" w:cs="宋体"/>
          <w:b/>
          <w:bCs/>
          <w:kern w:val="0"/>
          <w:sz w:val="28"/>
          <w:szCs w:val="28"/>
          <w:highlight w:val="none"/>
        </w:rPr>
        <w:t xml:space="preserve"> </w:t>
      </w:r>
    </w:p>
    <w:p w14:paraId="0F78BF9A">
      <w:pPr>
        <w:jc w:val="center"/>
        <w:rPr>
          <w:rFonts w:hint="eastAsia" w:ascii="宋体" w:hAnsi="宋体" w:eastAsia="宋体" w:cs="宋体"/>
          <w:sz w:val="32"/>
          <w:szCs w:val="32"/>
          <w:highlight w:val="none"/>
        </w:rPr>
      </w:pPr>
    </w:p>
    <w:p w14:paraId="265B3091">
      <w:pPr>
        <w:jc w:val="center"/>
        <w:rPr>
          <w:rFonts w:hint="eastAsia" w:ascii="宋体" w:hAnsi="宋体" w:eastAsia="宋体" w:cs="宋体"/>
          <w:sz w:val="32"/>
          <w:szCs w:val="32"/>
          <w:highlight w:val="none"/>
        </w:rPr>
      </w:pPr>
      <w:r>
        <w:rPr>
          <w:rFonts w:hint="eastAsia" w:ascii="宋体" w:hAnsi="宋体" w:eastAsia="宋体" w:cs="宋体"/>
          <w:sz w:val="32"/>
          <w:szCs w:val="32"/>
          <w:highlight w:val="none"/>
          <w:lang w:val="en-US" w:eastAsia="zh-CN"/>
        </w:rPr>
        <w:t>2026</w:t>
      </w:r>
      <w:r>
        <w:rPr>
          <w:rFonts w:hint="eastAsia" w:ascii="宋体" w:hAnsi="宋体" w:eastAsia="宋体" w:cs="宋体"/>
          <w:sz w:val="32"/>
          <w:szCs w:val="32"/>
          <w:highlight w:val="none"/>
        </w:rPr>
        <w:t>年  月</w:t>
      </w:r>
    </w:p>
    <w:p w14:paraId="1362F84E">
      <w:pPr>
        <w:spacing w:line="440" w:lineRule="exact"/>
        <w:ind w:firstLine="479" w:firstLineChars="199"/>
        <w:rPr>
          <w:rFonts w:hint="eastAsia" w:ascii="宋体" w:hAnsi="宋体" w:eastAsia="宋体" w:cs="宋体"/>
          <w:b/>
          <w:sz w:val="24"/>
          <w:highlight w:val="none"/>
        </w:rPr>
      </w:pPr>
    </w:p>
    <w:p w14:paraId="56DC82B4">
      <w:pPr>
        <w:pStyle w:val="6"/>
        <w:spacing w:before="240" w:after="120"/>
        <w:ind w:left="718" w:right="-508" w:rightChars="-242" w:hanging="717" w:hangingChars="299"/>
        <w:jc w:val="center"/>
        <w:rPr>
          <w:rFonts w:hint="eastAsia" w:ascii="宋体" w:hAnsi="宋体" w:eastAsia="宋体" w:cs="宋体"/>
          <w:sz w:val="24"/>
          <w:szCs w:val="24"/>
          <w:highlight w:val="none"/>
        </w:rPr>
        <w:sectPr>
          <w:footerReference r:id="rId6" w:type="default"/>
          <w:pgSz w:w="11907" w:h="16840"/>
          <w:pgMar w:top="1418" w:right="1418" w:bottom="1418" w:left="1418" w:header="720" w:footer="720" w:gutter="340"/>
          <w:pgBorders>
            <w:top w:val="none" w:sz="0" w:space="0"/>
            <w:left w:val="none" w:sz="0" w:space="0"/>
            <w:bottom w:val="none" w:sz="0" w:space="0"/>
            <w:right w:val="none" w:sz="0" w:space="0"/>
          </w:pgBorders>
          <w:pgNumType w:start="1"/>
          <w:cols w:space="720" w:num="1"/>
          <w:docGrid w:linePitch="312" w:charSpace="2048"/>
        </w:sectPr>
      </w:pPr>
      <w:bookmarkStart w:id="50" w:name="_Toc54280829"/>
      <w:bookmarkStart w:id="51" w:name="_Toc54281255"/>
      <w:bookmarkStart w:id="52" w:name="_Toc53948794"/>
      <w:bookmarkStart w:id="53" w:name="_Toc53936553"/>
      <w:bookmarkStart w:id="54" w:name="_Toc496877583"/>
      <w:bookmarkStart w:id="55" w:name="_Toc6083_WPSOffice_Level2"/>
      <w:bookmarkStart w:id="56" w:name="_Toc7909_WPSOffice_Level2"/>
      <w:bookmarkStart w:id="57" w:name="_Toc54291159"/>
      <w:bookmarkStart w:id="58" w:name="_Toc53916246"/>
      <w:bookmarkStart w:id="59" w:name="_Toc160842766"/>
      <w:bookmarkStart w:id="60" w:name="_Toc455145941"/>
      <w:bookmarkStart w:id="61" w:name="_Toc247690968"/>
      <w:bookmarkStart w:id="62" w:name="_Toc388189046"/>
      <w:bookmarkStart w:id="63" w:name="_Toc53948373"/>
      <w:bookmarkStart w:id="64" w:name="_Toc53949215"/>
      <w:bookmarkStart w:id="65" w:name="_Toc54280403"/>
      <w:bookmarkStart w:id="66" w:name="_Toc54279977"/>
      <w:bookmarkStart w:id="67" w:name="_Toc145066450"/>
      <w:bookmarkStart w:id="68" w:name="_Toc459729763"/>
      <w:bookmarkStart w:id="69" w:name="_Toc53945818"/>
      <w:bookmarkStart w:id="70" w:name="_Toc16433_WPSOffice_Level2"/>
      <w:bookmarkStart w:id="71" w:name="_Toc28304"/>
      <w:bookmarkStart w:id="72" w:name="_Toc54278594"/>
      <w:bookmarkStart w:id="73" w:name="_Toc496877615"/>
      <w:bookmarkStart w:id="74" w:name="_Toc475620753"/>
      <w:bookmarkStart w:id="75" w:name="_Toc53939617"/>
      <w:bookmarkStart w:id="76" w:name="_Toc30198"/>
    </w:p>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14:paraId="2BAED367">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lang w:eastAsia="zh-CN"/>
        </w:rPr>
      </w:pPr>
      <w:bookmarkStart w:id="77" w:name="_Toc24742"/>
      <w:bookmarkStart w:id="78" w:name="_Toc25376"/>
      <w:bookmarkStart w:id="79" w:name="_Toc13123"/>
      <w:bookmarkStart w:id="80" w:name="_Toc12230"/>
      <w:bookmarkStart w:id="81" w:name="_Toc534461504"/>
      <w:bookmarkStart w:id="82" w:name="_Toc30251"/>
      <w:r>
        <w:rPr>
          <w:rFonts w:hint="eastAsia" w:ascii="宋体" w:hAnsi="宋体" w:eastAsia="宋体" w:cs="宋体"/>
          <w:szCs w:val="21"/>
          <w:highlight w:val="none"/>
        </w:rPr>
        <w:t>甲方：</w:t>
      </w:r>
      <w:r>
        <w:rPr>
          <w:rFonts w:hint="eastAsia" w:ascii="宋体" w:hAnsi="宋体" w:eastAsia="宋体" w:cs="宋体"/>
          <w:szCs w:val="21"/>
          <w:highlight w:val="none"/>
          <w:u w:val="single"/>
          <w:lang w:eastAsia="zh-CN"/>
        </w:rPr>
        <w:t>南通轨道资源开发有限公司</w:t>
      </w:r>
    </w:p>
    <w:p w14:paraId="17138C17">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乙方：________</w:t>
      </w:r>
    </w:p>
    <w:p w14:paraId="1821D29C">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b/>
          <w:szCs w:val="21"/>
          <w:highlight w:val="none"/>
        </w:rPr>
      </w:pPr>
      <w:r>
        <w:rPr>
          <w:rFonts w:hint="eastAsia" w:ascii="宋体" w:hAnsi="宋体" w:eastAsia="宋体" w:cs="宋体"/>
          <w:szCs w:val="21"/>
          <w:highlight w:val="none"/>
        </w:rPr>
        <w:t>甲、乙双方根据</w:t>
      </w:r>
      <w:r>
        <w:rPr>
          <w:rFonts w:hint="eastAsia" w:hAnsi="宋体" w:eastAsia="宋体" w:cs="宋体"/>
          <w:szCs w:val="21"/>
          <w:highlight w:val="none"/>
          <w:u w:val="single"/>
          <w:lang w:eastAsia="zh-CN"/>
        </w:rPr>
        <w:t>招采中心速通门及人脸识别设备采购项目</w:t>
      </w:r>
      <w:r>
        <w:rPr>
          <w:rFonts w:hint="eastAsia" w:ascii="宋体" w:hAnsi="宋体" w:eastAsia="宋体" w:cs="宋体"/>
          <w:szCs w:val="21"/>
          <w:highlight w:val="none"/>
        </w:rPr>
        <w:t>招标的结果，签署本合同。</w:t>
      </w:r>
    </w:p>
    <w:p w14:paraId="1ED3AEF4">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highlight w:val="none"/>
          <w:lang w:val="en-US" w:eastAsia="zh-CN"/>
        </w:rPr>
      </w:pPr>
      <w:bookmarkStart w:id="83" w:name="_Toc28372"/>
      <w:r>
        <w:rPr>
          <w:rFonts w:hint="eastAsia" w:ascii="宋体" w:hAnsi="宋体" w:eastAsia="宋体" w:cs="宋体"/>
          <w:b/>
          <w:bCs/>
          <w:color w:val="000000"/>
          <w:kern w:val="0"/>
          <w:szCs w:val="21"/>
          <w:highlight w:val="none"/>
        </w:rPr>
        <w:t>一、</w:t>
      </w:r>
      <w:r>
        <w:rPr>
          <w:rFonts w:hint="eastAsia" w:ascii="宋体" w:hAnsi="宋体" w:eastAsia="宋体" w:cs="宋体"/>
          <w:b/>
          <w:bCs/>
          <w:color w:val="000000"/>
          <w:kern w:val="0"/>
          <w:szCs w:val="21"/>
          <w:highlight w:val="none"/>
          <w:lang w:val="en-US" w:eastAsia="zh-CN"/>
        </w:rPr>
        <w:t>采购内容</w:t>
      </w:r>
      <w:bookmarkEnd w:id="83"/>
    </w:p>
    <w:p w14:paraId="2E5AE5B3">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eastAsia="zh-CN"/>
        </w:rPr>
        <w:t>速通门（道闸）、人脸识别终端及配套布线辅材的供货、运输、安装、调试、与既有系统对接及验收</w:t>
      </w:r>
      <w:r>
        <w:rPr>
          <w:rFonts w:hint="eastAsia" w:ascii="宋体" w:hAnsi="宋体" w:eastAsia="宋体" w:cs="宋体"/>
          <w:szCs w:val="21"/>
          <w:highlight w:val="none"/>
          <w:lang w:val="en-US" w:eastAsia="zh-CN"/>
        </w:rPr>
        <w:t>。</w:t>
      </w:r>
    </w:p>
    <w:p w14:paraId="211416F6">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highlight w:val="none"/>
        </w:rPr>
      </w:pPr>
      <w:bookmarkStart w:id="84" w:name="_Toc12895"/>
      <w:r>
        <w:rPr>
          <w:rFonts w:hint="eastAsia" w:ascii="宋体" w:hAnsi="宋体" w:eastAsia="宋体" w:cs="宋体"/>
          <w:b/>
          <w:bCs/>
          <w:color w:val="000000"/>
          <w:kern w:val="0"/>
          <w:szCs w:val="21"/>
          <w:highlight w:val="none"/>
        </w:rPr>
        <w:t>二、合同价格与支付</w:t>
      </w:r>
      <w:bookmarkEnd w:id="84"/>
    </w:p>
    <w:p w14:paraId="272AAA2E">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rPr>
        <w:t>1.</w:t>
      </w:r>
      <w:r>
        <w:rPr>
          <w:rFonts w:hint="eastAsia" w:ascii="宋体" w:hAnsi="宋体" w:eastAsia="宋体" w:cs="宋体"/>
          <w:b/>
          <w:bCs/>
          <w:szCs w:val="21"/>
          <w:highlight w:val="none"/>
        </w:rPr>
        <w:t>本项目</w:t>
      </w:r>
      <w:r>
        <w:rPr>
          <w:rFonts w:hint="eastAsia" w:ascii="宋体" w:hAnsi="宋体" w:eastAsia="宋体" w:cs="宋体"/>
          <w:b/>
          <w:bCs/>
          <w:szCs w:val="21"/>
          <w:highlight w:val="none"/>
          <w:lang w:val="en-US" w:eastAsia="zh-CN"/>
        </w:rPr>
        <w:t>为固定</w:t>
      </w:r>
      <w:r>
        <w:rPr>
          <w:rFonts w:hint="eastAsia" w:hAnsi="宋体" w:eastAsia="宋体" w:cs="宋体"/>
          <w:b/>
          <w:bCs/>
          <w:szCs w:val="21"/>
          <w:highlight w:val="none"/>
          <w:lang w:val="en-US" w:eastAsia="zh-CN"/>
        </w:rPr>
        <w:t>单</w:t>
      </w:r>
      <w:r>
        <w:rPr>
          <w:rFonts w:hint="eastAsia" w:ascii="宋体" w:hAnsi="宋体" w:eastAsia="宋体" w:cs="宋体"/>
          <w:b/>
          <w:bCs/>
          <w:szCs w:val="21"/>
          <w:highlight w:val="none"/>
          <w:lang w:val="en-US" w:eastAsia="zh-CN"/>
        </w:rPr>
        <w:t>价合同，</w:t>
      </w:r>
      <w:r>
        <w:rPr>
          <w:rFonts w:hint="eastAsia" w:hAnsi="宋体" w:eastAsia="宋体" w:cs="宋体"/>
          <w:b/>
          <w:bCs/>
          <w:szCs w:val="21"/>
          <w:highlight w:val="none"/>
          <w:lang w:val="en-US" w:eastAsia="zh-CN"/>
        </w:rPr>
        <w:t>据实结算。</w:t>
      </w:r>
      <w:r>
        <w:rPr>
          <w:rFonts w:hint="eastAsia" w:hAnsi="宋体" w:eastAsia="宋体" w:cs="宋体"/>
          <w:szCs w:val="21"/>
          <w:highlight w:val="none"/>
          <w:lang w:val="en-US" w:eastAsia="zh-CN"/>
        </w:rPr>
        <w:t>暂定</w:t>
      </w:r>
      <w:r>
        <w:rPr>
          <w:rFonts w:hint="eastAsia" w:ascii="宋体" w:hAnsi="宋体" w:eastAsia="宋体" w:cs="宋体"/>
          <w:szCs w:val="21"/>
          <w:highlight w:val="none"/>
          <w:lang w:val="en-US" w:eastAsia="zh-CN"/>
        </w:rPr>
        <w:t>含税</w:t>
      </w:r>
      <w:r>
        <w:rPr>
          <w:rFonts w:hint="eastAsia" w:ascii="宋体" w:hAnsi="宋体" w:eastAsia="宋体" w:cs="宋体"/>
          <w:szCs w:val="21"/>
          <w:highlight w:val="none"/>
        </w:rPr>
        <w:t>总价为人民币（大写）</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（小写：￥</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元）</w:t>
      </w:r>
      <w:r>
        <w:rPr>
          <w:rFonts w:hint="eastAsia" w:ascii="宋体" w:hAnsi="宋体" w:eastAsia="宋体" w:cs="宋体"/>
          <w:szCs w:val="21"/>
          <w:highlight w:val="none"/>
          <w:lang w:eastAsia="zh-CN"/>
        </w:rPr>
        <w:t>，</w:t>
      </w:r>
      <w:r>
        <w:rPr>
          <w:rFonts w:hint="eastAsia" w:hAnsi="宋体" w:eastAsia="宋体" w:cs="宋体"/>
          <w:szCs w:val="21"/>
          <w:highlight w:val="none"/>
          <w:lang w:val="en-US" w:eastAsia="zh-CN"/>
        </w:rPr>
        <w:t>暂定</w:t>
      </w:r>
      <w:r>
        <w:rPr>
          <w:rFonts w:hint="eastAsia" w:ascii="宋体" w:hAnsi="宋体" w:eastAsia="宋体" w:cs="宋体"/>
          <w:szCs w:val="21"/>
          <w:highlight w:val="none"/>
          <w:lang w:val="en-US" w:eastAsia="zh-CN"/>
        </w:rPr>
        <w:t>不含税</w:t>
      </w:r>
      <w:r>
        <w:rPr>
          <w:rFonts w:hint="eastAsia" w:ascii="宋体" w:hAnsi="宋体" w:eastAsia="宋体" w:cs="宋体"/>
          <w:szCs w:val="21"/>
          <w:highlight w:val="none"/>
        </w:rPr>
        <w:t>总价为人民币（大写）</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（小写：￥</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元）</w:t>
      </w:r>
      <w:r>
        <w:rPr>
          <w:rFonts w:hint="eastAsia" w:ascii="宋体" w:hAnsi="宋体" w:eastAsia="宋体" w:cs="宋体"/>
          <w:szCs w:val="21"/>
          <w:highlight w:val="none"/>
          <w:lang w:eastAsia="zh-CN"/>
        </w:rPr>
        <w:t>，</w:t>
      </w:r>
      <w:r>
        <w:rPr>
          <w:rFonts w:hint="eastAsia" w:hAnsi="宋体" w:eastAsia="宋体" w:cs="宋体"/>
          <w:szCs w:val="21"/>
          <w:highlight w:val="none"/>
          <w:lang w:val="en-US" w:eastAsia="zh-CN"/>
        </w:rPr>
        <w:t>税率为</w:t>
      </w:r>
      <w:r>
        <w:rPr>
          <w:rFonts w:hint="eastAsia" w:hAnsi="宋体" w:eastAsia="宋体" w:cs="宋体"/>
          <w:szCs w:val="21"/>
          <w:highlight w:val="none"/>
          <w:u w:val="single"/>
          <w:lang w:val="en-US" w:eastAsia="zh-CN"/>
        </w:rPr>
        <w:t xml:space="preserve">    %</w:t>
      </w:r>
      <w:r>
        <w:rPr>
          <w:rFonts w:hint="eastAsia" w:hAnsi="宋体" w:eastAsia="宋体" w:cs="宋体"/>
          <w:szCs w:val="21"/>
          <w:highlight w:val="none"/>
          <w:lang w:val="en-US" w:eastAsia="zh-CN"/>
        </w:rPr>
        <w:t>，合同价包括但不限于</w:t>
      </w:r>
      <w:r>
        <w:rPr>
          <w:rFonts w:hint="eastAsia" w:ascii="宋体" w:hAnsi="宋体" w:eastAsia="宋体" w:cs="宋体"/>
          <w:szCs w:val="21"/>
          <w:highlight w:val="none"/>
        </w:rPr>
        <w:t>设备供货、运输、安装、调试，以及为实现与招采系统联动所发生的接口开发、适配、联调等一切费用</w:t>
      </w:r>
      <w:r>
        <w:rPr>
          <w:rFonts w:hint="eastAsia" w:ascii="宋体" w:hAnsi="宋体" w:eastAsia="宋体" w:cs="宋体"/>
          <w:szCs w:val="21"/>
          <w:highlight w:val="none"/>
          <w:lang w:val="en-US" w:eastAsia="zh-CN"/>
        </w:rPr>
        <w:t>。</w:t>
      </w:r>
    </w:p>
    <w:tbl>
      <w:tblPr>
        <w:tblStyle w:val="23"/>
        <w:tblW w:w="862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810"/>
        <w:gridCol w:w="1196"/>
        <w:gridCol w:w="1683"/>
        <w:gridCol w:w="1711"/>
        <w:gridCol w:w="1442"/>
      </w:tblGrid>
      <w:tr w14:paraId="3E1241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620" w:type="dxa"/>
            <w:gridSpan w:val="6"/>
            <w:tcBorders>
              <w:tl2br w:val="nil"/>
              <w:tr2bl w:val="nil"/>
            </w:tcBorders>
            <w:vAlign w:val="center"/>
          </w:tcPr>
          <w:p w14:paraId="4BF61186">
            <w:pPr>
              <w:keepNext/>
              <w:keepLines/>
              <w:spacing w:line="440" w:lineRule="exact"/>
              <w:jc w:val="center"/>
              <w:outlineLvl w:val="1"/>
              <w:rPr>
                <w:rFonts w:hint="default" w:ascii="宋体" w:hAnsi="宋体" w:eastAsia="宋体" w:cs="宋体"/>
                <w:b w:val="0"/>
                <w:bCs w:val="0"/>
                <w:kern w:val="0"/>
                <w:sz w:val="21"/>
                <w:szCs w:val="21"/>
                <w:highlight w:val="none"/>
                <w:vertAlign w:val="baseline"/>
                <w:lang w:val="en-US" w:eastAsia="zh-CN"/>
              </w:rPr>
            </w:pPr>
            <w:r>
              <w:rPr>
                <w:rFonts w:hint="eastAsia" w:ascii="宋体" w:hAnsi="宋体" w:eastAsia="宋体" w:cs="宋体"/>
                <w:b/>
                <w:bCs/>
                <w:kern w:val="0"/>
                <w:sz w:val="21"/>
                <w:szCs w:val="21"/>
                <w:highlight w:val="none"/>
                <w:vertAlign w:val="baseline"/>
                <w:lang w:val="en-US" w:eastAsia="zh-CN"/>
              </w:rPr>
              <w:t>一期</w:t>
            </w:r>
          </w:p>
        </w:tc>
      </w:tr>
      <w:tr w14:paraId="48391F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78" w:type="dxa"/>
            <w:tcBorders>
              <w:tl2br w:val="nil"/>
              <w:tr2bl w:val="nil"/>
            </w:tcBorders>
            <w:vAlign w:val="center"/>
          </w:tcPr>
          <w:p w14:paraId="223BCB8D">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序号</w:t>
            </w:r>
          </w:p>
        </w:tc>
        <w:tc>
          <w:tcPr>
            <w:tcW w:w="1810" w:type="dxa"/>
            <w:tcBorders>
              <w:tl2br w:val="nil"/>
              <w:tr2bl w:val="nil"/>
            </w:tcBorders>
            <w:vAlign w:val="center"/>
          </w:tcPr>
          <w:p w14:paraId="06BADD19">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名称</w:t>
            </w:r>
          </w:p>
        </w:tc>
        <w:tc>
          <w:tcPr>
            <w:tcW w:w="1196" w:type="dxa"/>
            <w:tcBorders>
              <w:tl2br w:val="nil"/>
              <w:tr2bl w:val="nil"/>
            </w:tcBorders>
            <w:vAlign w:val="center"/>
          </w:tcPr>
          <w:p w14:paraId="3452FE1F">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暂定数量</w:t>
            </w:r>
          </w:p>
        </w:tc>
        <w:tc>
          <w:tcPr>
            <w:tcW w:w="1683" w:type="dxa"/>
            <w:tcBorders>
              <w:tl2br w:val="nil"/>
              <w:tr2bl w:val="nil"/>
            </w:tcBorders>
            <w:vAlign w:val="center"/>
          </w:tcPr>
          <w:p w14:paraId="0F750486">
            <w:pPr>
              <w:keepNext/>
              <w:keepLines/>
              <w:spacing w:line="440" w:lineRule="exact"/>
              <w:jc w:val="center"/>
              <w:outlineLvl w:val="1"/>
              <w:rPr>
                <w:rFonts w:hint="default"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品牌及型号</w:t>
            </w:r>
          </w:p>
        </w:tc>
        <w:tc>
          <w:tcPr>
            <w:tcW w:w="1711" w:type="dxa"/>
            <w:tcBorders>
              <w:tl2br w:val="nil"/>
              <w:tr2bl w:val="nil"/>
            </w:tcBorders>
            <w:vAlign w:val="center"/>
          </w:tcPr>
          <w:p w14:paraId="257401E0">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单价（元）</w:t>
            </w:r>
          </w:p>
        </w:tc>
        <w:tc>
          <w:tcPr>
            <w:tcW w:w="1442" w:type="dxa"/>
            <w:tcBorders>
              <w:tl2br w:val="nil"/>
              <w:tr2bl w:val="nil"/>
            </w:tcBorders>
            <w:vAlign w:val="center"/>
          </w:tcPr>
          <w:p w14:paraId="29813F66">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小计（元）</w:t>
            </w:r>
          </w:p>
        </w:tc>
      </w:tr>
      <w:tr w14:paraId="355461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78" w:type="dxa"/>
            <w:tcBorders>
              <w:tl2br w:val="nil"/>
              <w:tr2bl w:val="nil"/>
            </w:tcBorders>
            <w:vAlign w:val="center"/>
          </w:tcPr>
          <w:p w14:paraId="66ECD201">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1</w:t>
            </w:r>
          </w:p>
        </w:tc>
        <w:tc>
          <w:tcPr>
            <w:tcW w:w="1810" w:type="dxa"/>
            <w:tcBorders>
              <w:tl2br w:val="nil"/>
              <w:tr2bl w:val="nil"/>
            </w:tcBorders>
            <w:shd w:val="clear" w:color="auto" w:fill="auto"/>
            <w:vAlign w:val="center"/>
          </w:tcPr>
          <w:p w14:paraId="4BF52C2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单通道速通门</w:t>
            </w:r>
          </w:p>
        </w:tc>
        <w:tc>
          <w:tcPr>
            <w:tcW w:w="1196" w:type="dxa"/>
            <w:tcBorders>
              <w:tl2br w:val="nil"/>
              <w:tr2bl w:val="nil"/>
            </w:tcBorders>
            <w:shd w:val="clear" w:color="auto" w:fill="auto"/>
            <w:vAlign w:val="center"/>
          </w:tcPr>
          <w:p w14:paraId="2B78D08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2</w:t>
            </w:r>
            <w:r>
              <w:rPr>
                <w:rFonts w:hint="eastAsia" w:ascii="宋体" w:hAnsi="宋体" w:eastAsia="宋体" w:cs="宋体"/>
                <w:szCs w:val="21"/>
                <w:highlight w:val="none"/>
              </w:rPr>
              <w:t>套</w:t>
            </w:r>
          </w:p>
        </w:tc>
        <w:tc>
          <w:tcPr>
            <w:tcW w:w="1683" w:type="dxa"/>
            <w:tcBorders>
              <w:tl2br w:val="nil"/>
              <w:tr2bl w:val="nil"/>
            </w:tcBorders>
            <w:vAlign w:val="center"/>
          </w:tcPr>
          <w:p w14:paraId="5C96AED1">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711" w:type="dxa"/>
            <w:tcBorders>
              <w:tl2br w:val="nil"/>
              <w:tr2bl w:val="nil"/>
            </w:tcBorders>
            <w:vAlign w:val="center"/>
          </w:tcPr>
          <w:p w14:paraId="36609720">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442" w:type="dxa"/>
            <w:tcBorders>
              <w:tl2br w:val="nil"/>
              <w:tr2bl w:val="nil"/>
            </w:tcBorders>
            <w:vAlign w:val="center"/>
          </w:tcPr>
          <w:p w14:paraId="2F8961AB">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r>
      <w:tr w14:paraId="065FA6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78" w:type="dxa"/>
            <w:tcBorders>
              <w:tl2br w:val="nil"/>
              <w:tr2bl w:val="nil"/>
            </w:tcBorders>
            <w:vAlign w:val="center"/>
          </w:tcPr>
          <w:p w14:paraId="6193EC7D">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2</w:t>
            </w:r>
          </w:p>
        </w:tc>
        <w:tc>
          <w:tcPr>
            <w:tcW w:w="1810" w:type="dxa"/>
            <w:tcBorders>
              <w:tl2br w:val="nil"/>
              <w:tr2bl w:val="nil"/>
            </w:tcBorders>
            <w:shd w:val="clear" w:color="auto" w:fill="auto"/>
            <w:vAlign w:val="center"/>
          </w:tcPr>
          <w:p w14:paraId="00E2DC4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人脸识别终端</w:t>
            </w:r>
          </w:p>
        </w:tc>
        <w:tc>
          <w:tcPr>
            <w:tcW w:w="1196" w:type="dxa"/>
            <w:tcBorders>
              <w:tl2br w:val="nil"/>
              <w:tr2bl w:val="nil"/>
            </w:tcBorders>
            <w:shd w:val="clear" w:color="auto" w:fill="auto"/>
            <w:vAlign w:val="center"/>
          </w:tcPr>
          <w:p w14:paraId="68C639E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台</w:t>
            </w:r>
          </w:p>
        </w:tc>
        <w:tc>
          <w:tcPr>
            <w:tcW w:w="1683" w:type="dxa"/>
            <w:tcBorders>
              <w:tl2br w:val="nil"/>
              <w:tr2bl w:val="nil"/>
            </w:tcBorders>
            <w:vAlign w:val="center"/>
          </w:tcPr>
          <w:p w14:paraId="1881C428">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711" w:type="dxa"/>
            <w:tcBorders>
              <w:tl2br w:val="nil"/>
              <w:tr2bl w:val="nil"/>
            </w:tcBorders>
            <w:vAlign w:val="center"/>
          </w:tcPr>
          <w:p w14:paraId="4FB123FA">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442" w:type="dxa"/>
            <w:tcBorders>
              <w:tl2br w:val="nil"/>
              <w:tr2bl w:val="nil"/>
            </w:tcBorders>
            <w:vAlign w:val="center"/>
          </w:tcPr>
          <w:p w14:paraId="306BB4E0">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r>
      <w:tr w14:paraId="30FF56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78" w:type="dxa"/>
            <w:tcBorders>
              <w:tl2br w:val="nil"/>
              <w:tr2bl w:val="nil"/>
            </w:tcBorders>
            <w:vAlign w:val="center"/>
          </w:tcPr>
          <w:p w14:paraId="1F43BDCB">
            <w:pPr>
              <w:keepNext/>
              <w:keepLines/>
              <w:spacing w:line="440" w:lineRule="exact"/>
              <w:jc w:val="center"/>
              <w:outlineLvl w:val="1"/>
              <w:rPr>
                <w:rFonts w:hint="default"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3</w:t>
            </w:r>
          </w:p>
        </w:tc>
        <w:tc>
          <w:tcPr>
            <w:tcW w:w="1810" w:type="dxa"/>
            <w:tcBorders>
              <w:tl2br w:val="nil"/>
              <w:tr2bl w:val="nil"/>
            </w:tcBorders>
            <w:shd w:val="clear" w:color="auto" w:fill="auto"/>
            <w:vAlign w:val="center"/>
          </w:tcPr>
          <w:p w14:paraId="5249C63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布线辅材</w:t>
            </w:r>
          </w:p>
        </w:tc>
        <w:tc>
          <w:tcPr>
            <w:tcW w:w="1196" w:type="dxa"/>
            <w:tcBorders>
              <w:tl2br w:val="nil"/>
              <w:tr2bl w:val="nil"/>
            </w:tcBorders>
            <w:shd w:val="clear" w:color="auto" w:fill="auto"/>
            <w:vAlign w:val="center"/>
          </w:tcPr>
          <w:p w14:paraId="4C15E99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1项</w:t>
            </w:r>
          </w:p>
        </w:tc>
        <w:tc>
          <w:tcPr>
            <w:tcW w:w="1683" w:type="dxa"/>
            <w:tcBorders>
              <w:tl2br w:val="nil"/>
              <w:tr2bl w:val="nil"/>
            </w:tcBorders>
            <w:vAlign w:val="center"/>
          </w:tcPr>
          <w:p w14:paraId="30F42FA9">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711" w:type="dxa"/>
            <w:tcBorders>
              <w:tl2br w:val="nil"/>
              <w:tr2bl w:val="nil"/>
            </w:tcBorders>
            <w:vAlign w:val="center"/>
          </w:tcPr>
          <w:p w14:paraId="1AF543B0">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442" w:type="dxa"/>
            <w:tcBorders>
              <w:tl2br w:val="nil"/>
              <w:tr2bl w:val="nil"/>
            </w:tcBorders>
            <w:vAlign w:val="center"/>
          </w:tcPr>
          <w:p w14:paraId="78A8EA04">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r>
      <w:tr w14:paraId="14EB81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178" w:type="dxa"/>
            <w:gridSpan w:val="5"/>
            <w:tcBorders>
              <w:tl2br w:val="nil"/>
              <w:tr2bl w:val="nil"/>
            </w:tcBorders>
            <w:vAlign w:val="center"/>
          </w:tcPr>
          <w:p w14:paraId="3A6E2F3B">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合计</w:t>
            </w:r>
          </w:p>
        </w:tc>
        <w:tc>
          <w:tcPr>
            <w:tcW w:w="1442" w:type="dxa"/>
            <w:tcBorders>
              <w:tl2br w:val="nil"/>
              <w:tr2bl w:val="nil"/>
            </w:tcBorders>
            <w:vAlign w:val="center"/>
          </w:tcPr>
          <w:p w14:paraId="017E558E">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r>
      <w:tr w14:paraId="3C670A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620" w:type="dxa"/>
            <w:gridSpan w:val="6"/>
            <w:tcBorders>
              <w:tl2br w:val="nil"/>
              <w:tr2bl w:val="nil"/>
            </w:tcBorders>
            <w:vAlign w:val="center"/>
          </w:tcPr>
          <w:p w14:paraId="0E482FD1">
            <w:pPr>
              <w:keepNext/>
              <w:keepLines/>
              <w:spacing w:line="440" w:lineRule="exact"/>
              <w:jc w:val="center"/>
              <w:outlineLvl w:val="1"/>
              <w:rPr>
                <w:rFonts w:hint="default" w:ascii="宋体" w:hAnsi="宋体" w:eastAsia="宋体" w:cs="宋体"/>
                <w:b w:val="0"/>
                <w:bCs w:val="0"/>
                <w:kern w:val="0"/>
                <w:sz w:val="21"/>
                <w:szCs w:val="21"/>
                <w:highlight w:val="none"/>
                <w:vertAlign w:val="baseline"/>
                <w:lang w:val="en-US" w:eastAsia="zh-CN"/>
              </w:rPr>
            </w:pPr>
            <w:r>
              <w:rPr>
                <w:rFonts w:hint="eastAsia" w:ascii="宋体" w:hAnsi="宋体" w:eastAsia="宋体" w:cs="宋体"/>
                <w:b/>
                <w:bCs/>
                <w:kern w:val="0"/>
                <w:sz w:val="21"/>
                <w:szCs w:val="21"/>
                <w:highlight w:val="none"/>
                <w:vertAlign w:val="baseline"/>
                <w:lang w:val="en-US" w:eastAsia="zh-CN"/>
              </w:rPr>
              <w:t>二期</w:t>
            </w:r>
          </w:p>
        </w:tc>
      </w:tr>
      <w:tr w14:paraId="7E1984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78" w:type="dxa"/>
            <w:tcBorders>
              <w:tl2br w:val="nil"/>
              <w:tr2bl w:val="nil"/>
            </w:tcBorders>
            <w:vAlign w:val="center"/>
          </w:tcPr>
          <w:p w14:paraId="7D97A522">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序号</w:t>
            </w:r>
          </w:p>
        </w:tc>
        <w:tc>
          <w:tcPr>
            <w:tcW w:w="1810" w:type="dxa"/>
            <w:tcBorders>
              <w:tl2br w:val="nil"/>
              <w:tr2bl w:val="nil"/>
            </w:tcBorders>
            <w:vAlign w:val="center"/>
          </w:tcPr>
          <w:p w14:paraId="70DDCDD6">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名称</w:t>
            </w:r>
          </w:p>
        </w:tc>
        <w:tc>
          <w:tcPr>
            <w:tcW w:w="1196" w:type="dxa"/>
            <w:tcBorders>
              <w:tl2br w:val="nil"/>
              <w:tr2bl w:val="nil"/>
            </w:tcBorders>
            <w:vAlign w:val="center"/>
          </w:tcPr>
          <w:p w14:paraId="5BD72E2D">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暂定数量</w:t>
            </w:r>
          </w:p>
        </w:tc>
        <w:tc>
          <w:tcPr>
            <w:tcW w:w="1683" w:type="dxa"/>
            <w:tcBorders>
              <w:tl2br w:val="nil"/>
              <w:tr2bl w:val="nil"/>
            </w:tcBorders>
            <w:vAlign w:val="center"/>
          </w:tcPr>
          <w:p w14:paraId="7CC01960">
            <w:pPr>
              <w:keepNext/>
              <w:keepLines/>
              <w:spacing w:line="440" w:lineRule="exact"/>
              <w:jc w:val="center"/>
              <w:outlineLvl w:val="1"/>
              <w:rPr>
                <w:rFonts w:hint="default"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品牌及型号</w:t>
            </w:r>
          </w:p>
        </w:tc>
        <w:tc>
          <w:tcPr>
            <w:tcW w:w="1711" w:type="dxa"/>
            <w:tcBorders>
              <w:tl2br w:val="nil"/>
              <w:tr2bl w:val="nil"/>
            </w:tcBorders>
            <w:vAlign w:val="center"/>
          </w:tcPr>
          <w:p w14:paraId="5620759E">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单价（元）</w:t>
            </w:r>
          </w:p>
        </w:tc>
        <w:tc>
          <w:tcPr>
            <w:tcW w:w="1442" w:type="dxa"/>
            <w:tcBorders>
              <w:tl2br w:val="nil"/>
              <w:tr2bl w:val="nil"/>
            </w:tcBorders>
            <w:vAlign w:val="center"/>
          </w:tcPr>
          <w:p w14:paraId="53FE312D">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小计（元）</w:t>
            </w:r>
          </w:p>
        </w:tc>
      </w:tr>
      <w:tr w14:paraId="390F43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78" w:type="dxa"/>
            <w:tcBorders>
              <w:tl2br w:val="nil"/>
              <w:tr2bl w:val="nil"/>
            </w:tcBorders>
            <w:vAlign w:val="center"/>
          </w:tcPr>
          <w:p w14:paraId="3E934FB1">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1</w:t>
            </w:r>
          </w:p>
        </w:tc>
        <w:tc>
          <w:tcPr>
            <w:tcW w:w="1810" w:type="dxa"/>
            <w:tcBorders>
              <w:tl2br w:val="nil"/>
              <w:tr2bl w:val="nil"/>
            </w:tcBorders>
            <w:shd w:val="clear" w:color="auto" w:fill="auto"/>
            <w:vAlign w:val="center"/>
          </w:tcPr>
          <w:p w14:paraId="17B5AA8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单通道速通门</w:t>
            </w:r>
          </w:p>
        </w:tc>
        <w:tc>
          <w:tcPr>
            <w:tcW w:w="1196" w:type="dxa"/>
            <w:tcBorders>
              <w:tl2br w:val="nil"/>
              <w:tr2bl w:val="nil"/>
            </w:tcBorders>
            <w:shd w:val="clear" w:color="auto" w:fill="auto"/>
            <w:vAlign w:val="center"/>
          </w:tcPr>
          <w:p w14:paraId="6A0FEA1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1</w:t>
            </w:r>
            <w:r>
              <w:rPr>
                <w:rFonts w:hint="eastAsia" w:ascii="宋体" w:hAnsi="宋体" w:eastAsia="宋体" w:cs="宋体"/>
                <w:szCs w:val="21"/>
                <w:highlight w:val="none"/>
              </w:rPr>
              <w:t>套</w:t>
            </w:r>
          </w:p>
        </w:tc>
        <w:tc>
          <w:tcPr>
            <w:tcW w:w="1683" w:type="dxa"/>
            <w:tcBorders>
              <w:tl2br w:val="nil"/>
              <w:tr2bl w:val="nil"/>
            </w:tcBorders>
            <w:vAlign w:val="center"/>
          </w:tcPr>
          <w:p w14:paraId="3D865FDC">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711" w:type="dxa"/>
            <w:tcBorders>
              <w:tl2br w:val="nil"/>
              <w:tr2bl w:val="nil"/>
            </w:tcBorders>
            <w:vAlign w:val="center"/>
          </w:tcPr>
          <w:p w14:paraId="78A7AF34">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442" w:type="dxa"/>
            <w:tcBorders>
              <w:tl2br w:val="nil"/>
              <w:tr2bl w:val="nil"/>
            </w:tcBorders>
            <w:vAlign w:val="center"/>
          </w:tcPr>
          <w:p w14:paraId="33F13C80">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r>
      <w:tr w14:paraId="51889E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78" w:type="dxa"/>
            <w:tcBorders>
              <w:tl2br w:val="nil"/>
              <w:tr2bl w:val="nil"/>
            </w:tcBorders>
            <w:vAlign w:val="center"/>
          </w:tcPr>
          <w:p w14:paraId="71AA5DE4">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2</w:t>
            </w:r>
          </w:p>
        </w:tc>
        <w:tc>
          <w:tcPr>
            <w:tcW w:w="1810" w:type="dxa"/>
            <w:tcBorders>
              <w:tl2br w:val="nil"/>
              <w:tr2bl w:val="nil"/>
            </w:tcBorders>
            <w:shd w:val="clear" w:color="auto" w:fill="auto"/>
            <w:vAlign w:val="center"/>
          </w:tcPr>
          <w:p w14:paraId="18AD422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人脸识别终端</w:t>
            </w:r>
          </w:p>
        </w:tc>
        <w:tc>
          <w:tcPr>
            <w:tcW w:w="1196" w:type="dxa"/>
            <w:tcBorders>
              <w:tl2br w:val="nil"/>
              <w:tr2bl w:val="nil"/>
            </w:tcBorders>
            <w:shd w:val="clear" w:color="auto" w:fill="auto"/>
            <w:vAlign w:val="center"/>
          </w:tcPr>
          <w:p w14:paraId="2EBB833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2</w:t>
            </w:r>
            <w:r>
              <w:rPr>
                <w:rFonts w:hint="eastAsia" w:ascii="宋体" w:hAnsi="宋体" w:eastAsia="宋体" w:cs="宋体"/>
                <w:szCs w:val="21"/>
                <w:highlight w:val="none"/>
              </w:rPr>
              <w:t>台</w:t>
            </w:r>
          </w:p>
        </w:tc>
        <w:tc>
          <w:tcPr>
            <w:tcW w:w="1683" w:type="dxa"/>
            <w:tcBorders>
              <w:tl2br w:val="nil"/>
              <w:tr2bl w:val="nil"/>
            </w:tcBorders>
            <w:vAlign w:val="center"/>
          </w:tcPr>
          <w:p w14:paraId="349E465A">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711" w:type="dxa"/>
            <w:tcBorders>
              <w:tl2br w:val="nil"/>
              <w:tr2bl w:val="nil"/>
            </w:tcBorders>
            <w:vAlign w:val="center"/>
          </w:tcPr>
          <w:p w14:paraId="460165DB">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442" w:type="dxa"/>
            <w:tcBorders>
              <w:tl2br w:val="nil"/>
              <w:tr2bl w:val="nil"/>
            </w:tcBorders>
            <w:vAlign w:val="center"/>
          </w:tcPr>
          <w:p w14:paraId="68DBA8E0">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r>
      <w:tr w14:paraId="486F79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78" w:type="dxa"/>
            <w:tcBorders>
              <w:tl2br w:val="nil"/>
              <w:tr2bl w:val="nil"/>
            </w:tcBorders>
            <w:vAlign w:val="center"/>
          </w:tcPr>
          <w:p w14:paraId="1A4F779B">
            <w:pPr>
              <w:keepNext/>
              <w:keepLines/>
              <w:spacing w:line="440" w:lineRule="exact"/>
              <w:jc w:val="center"/>
              <w:outlineLvl w:val="1"/>
              <w:rPr>
                <w:rFonts w:hint="default"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3</w:t>
            </w:r>
          </w:p>
        </w:tc>
        <w:tc>
          <w:tcPr>
            <w:tcW w:w="1810" w:type="dxa"/>
            <w:tcBorders>
              <w:tl2br w:val="nil"/>
              <w:tr2bl w:val="nil"/>
            </w:tcBorders>
            <w:shd w:val="clear" w:color="auto" w:fill="auto"/>
            <w:vAlign w:val="center"/>
          </w:tcPr>
          <w:p w14:paraId="5C5A8B5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布线辅材</w:t>
            </w:r>
          </w:p>
        </w:tc>
        <w:tc>
          <w:tcPr>
            <w:tcW w:w="1196" w:type="dxa"/>
            <w:tcBorders>
              <w:tl2br w:val="nil"/>
              <w:tr2bl w:val="nil"/>
            </w:tcBorders>
            <w:shd w:val="clear" w:color="auto" w:fill="auto"/>
            <w:vAlign w:val="center"/>
          </w:tcPr>
          <w:p w14:paraId="4A5B560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1项</w:t>
            </w:r>
          </w:p>
        </w:tc>
        <w:tc>
          <w:tcPr>
            <w:tcW w:w="1683" w:type="dxa"/>
            <w:tcBorders>
              <w:tl2br w:val="nil"/>
              <w:tr2bl w:val="nil"/>
            </w:tcBorders>
            <w:vAlign w:val="center"/>
          </w:tcPr>
          <w:p w14:paraId="55F82296">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711" w:type="dxa"/>
            <w:tcBorders>
              <w:tl2br w:val="nil"/>
              <w:tr2bl w:val="nil"/>
            </w:tcBorders>
            <w:vAlign w:val="center"/>
          </w:tcPr>
          <w:p w14:paraId="678BC91A">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442" w:type="dxa"/>
            <w:tcBorders>
              <w:tl2br w:val="nil"/>
              <w:tr2bl w:val="nil"/>
            </w:tcBorders>
            <w:vAlign w:val="center"/>
          </w:tcPr>
          <w:p w14:paraId="27A51A1B">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r>
      <w:tr w14:paraId="7DF537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7178" w:type="dxa"/>
            <w:gridSpan w:val="5"/>
            <w:tcBorders>
              <w:tl2br w:val="nil"/>
              <w:tr2bl w:val="nil"/>
            </w:tcBorders>
            <w:vAlign w:val="center"/>
          </w:tcPr>
          <w:p w14:paraId="18FB59D9">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合计</w:t>
            </w:r>
          </w:p>
        </w:tc>
        <w:tc>
          <w:tcPr>
            <w:tcW w:w="1442" w:type="dxa"/>
            <w:tcBorders>
              <w:tl2br w:val="nil"/>
              <w:tr2bl w:val="nil"/>
            </w:tcBorders>
            <w:vAlign w:val="center"/>
          </w:tcPr>
          <w:p w14:paraId="63B2B4BF">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r>
    </w:tbl>
    <w:p w14:paraId="474727DC">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2.付款方式：</w:t>
      </w:r>
    </w:p>
    <w:p w14:paraId="1A2B45FC">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b/>
          <w:bCs/>
          <w:szCs w:val="21"/>
          <w:highlight w:val="none"/>
          <w:lang w:val="en-US" w:eastAsia="zh-CN"/>
        </w:rPr>
      </w:pPr>
      <w:r>
        <w:rPr>
          <w:rFonts w:hint="eastAsia" w:hAnsi="宋体" w:eastAsia="宋体" w:cs="宋体"/>
          <w:b/>
          <w:bCs/>
          <w:szCs w:val="21"/>
          <w:highlight w:val="none"/>
          <w:lang w:val="en-US" w:eastAsia="zh-CN"/>
        </w:rPr>
        <w:t>一期：</w:t>
      </w:r>
      <w:r>
        <w:rPr>
          <w:rFonts w:hint="eastAsia" w:ascii="宋体" w:hAnsi="宋体" w:eastAsia="宋体" w:cs="宋体"/>
          <w:b/>
          <w:bCs/>
          <w:szCs w:val="21"/>
          <w:highlight w:val="none"/>
          <w:lang w:val="en-US" w:eastAsia="zh-CN"/>
        </w:rPr>
        <w:t>所有货物安装调试完毕，验收合格后付</w:t>
      </w:r>
      <w:r>
        <w:rPr>
          <w:rFonts w:hint="eastAsia" w:hAnsi="宋体" w:eastAsia="宋体" w:cs="宋体"/>
          <w:b/>
          <w:bCs/>
          <w:szCs w:val="21"/>
          <w:highlight w:val="none"/>
          <w:lang w:val="en-US" w:eastAsia="zh-CN"/>
        </w:rPr>
        <w:t>至该批货物对应</w:t>
      </w:r>
      <w:r>
        <w:rPr>
          <w:rFonts w:hint="eastAsia" w:ascii="宋体" w:hAnsi="宋体" w:eastAsia="宋体" w:cs="宋体"/>
          <w:b/>
          <w:bCs/>
          <w:szCs w:val="21"/>
          <w:highlight w:val="none"/>
          <w:lang w:val="en-US" w:eastAsia="zh-CN"/>
        </w:rPr>
        <w:t>合同金额的90%；余款在质保期满后付清。</w:t>
      </w:r>
    </w:p>
    <w:p w14:paraId="511B559F">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b/>
          <w:bCs/>
          <w:szCs w:val="21"/>
          <w:highlight w:val="none"/>
          <w:lang w:val="en-US" w:eastAsia="zh-CN"/>
        </w:rPr>
      </w:pPr>
      <w:r>
        <w:rPr>
          <w:rFonts w:hint="eastAsia" w:hAnsi="宋体" w:eastAsia="宋体" w:cs="宋体"/>
          <w:b/>
          <w:bCs/>
          <w:szCs w:val="21"/>
          <w:highlight w:val="none"/>
          <w:lang w:val="en-US" w:eastAsia="zh-CN"/>
        </w:rPr>
        <w:t>二期：</w:t>
      </w:r>
      <w:r>
        <w:rPr>
          <w:rFonts w:hint="eastAsia" w:ascii="宋体" w:hAnsi="宋体" w:eastAsia="宋体" w:cs="宋体"/>
          <w:b/>
          <w:bCs/>
          <w:szCs w:val="21"/>
          <w:highlight w:val="none"/>
          <w:lang w:val="en-US" w:eastAsia="zh-CN"/>
        </w:rPr>
        <w:t>所有货物安装调试完毕，验收合格后付</w:t>
      </w:r>
      <w:r>
        <w:rPr>
          <w:rFonts w:hint="eastAsia" w:hAnsi="宋体" w:eastAsia="宋体" w:cs="宋体"/>
          <w:b/>
          <w:bCs/>
          <w:szCs w:val="21"/>
          <w:highlight w:val="none"/>
          <w:lang w:val="en-US" w:eastAsia="zh-CN"/>
        </w:rPr>
        <w:t>至该批货物对应</w:t>
      </w:r>
      <w:r>
        <w:rPr>
          <w:rFonts w:hint="eastAsia" w:ascii="宋体" w:hAnsi="宋体" w:eastAsia="宋体" w:cs="宋体"/>
          <w:b/>
          <w:bCs/>
          <w:szCs w:val="21"/>
          <w:highlight w:val="none"/>
          <w:lang w:val="en-US" w:eastAsia="zh-CN"/>
        </w:rPr>
        <w:t>合同金额的90%；余款在质保期满后付清。</w:t>
      </w:r>
    </w:p>
    <w:p w14:paraId="6F8B20EC">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乙方须向甲方开具合法有效的该</w:t>
      </w:r>
      <w:r>
        <w:rPr>
          <w:rFonts w:hint="eastAsia" w:hAnsi="宋体" w:eastAsia="宋体" w:cs="宋体"/>
          <w:szCs w:val="21"/>
          <w:highlight w:val="none"/>
          <w:lang w:val="en-US" w:eastAsia="zh-CN"/>
        </w:rPr>
        <w:t>期</w:t>
      </w:r>
      <w:r>
        <w:rPr>
          <w:rFonts w:hint="eastAsia" w:ascii="宋体" w:hAnsi="宋体" w:eastAsia="宋体" w:cs="宋体"/>
          <w:szCs w:val="21"/>
          <w:highlight w:val="none"/>
        </w:rPr>
        <w:t>货物对应合同金额100%的全额增值税专用发票。若乙方存在任何违约行为，甲方有权在支付任何一笔款项时</w:t>
      </w:r>
      <w:bookmarkStart w:id="138" w:name="_GoBack"/>
      <w:bookmarkEnd w:id="138"/>
      <w:r>
        <w:rPr>
          <w:rFonts w:hint="eastAsia" w:ascii="宋体" w:hAnsi="宋体" w:eastAsia="宋体" w:cs="宋体"/>
          <w:szCs w:val="21"/>
          <w:highlight w:val="none"/>
        </w:rPr>
        <w:t>直接予以抵扣。</w:t>
      </w:r>
    </w:p>
    <w:p w14:paraId="0D663535">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highlight w:val="none"/>
        </w:rPr>
      </w:pPr>
      <w:bookmarkStart w:id="85" w:name="_Toc710"/>
      <w:r>
        <w:rPr>
          <w:rFonts w:hint="eastAsia" w:ascii="宋体" w:hAnsi="宋体" w:eastAsia="宋体" w:cs="宋体"/>
          <w:b/>
          <w:bCs/>
          <w:color w:val="000000"/>
          <w:kern w:val="0"/>
          <w:szCs w:val="21"/>
          <w:highlight w:val="none"/>
        </w:rPr>
        <w:t>三、实施期限</w:t>
      </w:r>
      <w:bookmarkEnd w:id="85"/>
    </w:p>
    <w:p w14:paraId="4F66C86D">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lang w:eastAsia="zh-CN"/>
        </w:rPr>
      </w:pPr>
      <w:bookmarkStart w:id="86" w:name="_Toc3304"/>
      <w:r>
        <w:rPr>
          <w:rFonts w:hint="eastAsia" w:ascii="宋体" w:hAnsi="宋体" w:eastAsia="宋体" w:cs="宋体"/>
          <w:szCs w:val="21"/>
          <w:highlight w:val="none"/>
          <w:lang w:eastAsia="zh-CN"/>
        </w:rPr>
        <w:t xml:space="preserve">自合同签订之日起，原则上不超过 </w:t>
      </w:r>
      <w:r>
        <w:rPr>
          <w:rFonts w:hint="eastAsia" w:hAnsi="宋体" w:eastAsia="宋体" w:cs="宋体"/>
          <w:szCs w:val="21"/>
          <w:highlight w:val="none"/>
          <w:lang w:val="en-US" w:eastAsia="zh-CN"/>
        </w:rPr>
        <w:t>45</w:t>
      </w:r>
      <w:r>
        <w:rPr>
          <w:rFonts w:hint="eastAsia" w:ascii="宋体" w:hAnsi="宋体" w:eastAsia="宋体" w:cs="宋体"/>
          <w:szCs w:val="21"/>
          <w:highlight w:val="none"/>
          <w:lang w:eastAsia="zh-CN"/>
        </w:rPr>
        <w:t xml:space="preserve"> 个日历天内完成供货、安装、调试、系统对接及验收（具体以</w:t>
      </w:r>
      <w:r>
        <w:rPr>
          <w:rFonts w:hint="eastAsia" w:ascii="宋体" w:hAnsi="宋体" w:eastAsia="宋体" w:cs="宋体"/>
          <w:szCs w:val="21"/>
          <w:highlight w:val="none"/>
          <w:lang w:val="en-US" w:eastAsia="zh-CN"/>
        </w:rPr>
        <w:t>甲方要求</w:t>
      </w:r>
      <w:r>
        <w:rPr>
          <w:rFonts w:hint="eastAsia" w:ascii="宋体" w:hAnsi="宋体" w:eastAsia="宋体" w:cs="宋体"/>
          <w:szCs w:val="21"/>
          <w:highlight w:val="none"/>
          <w:lang w:eastAsia="zh-CN"/>
        </w:rPr>
        <w:t>为准）。延误按合同约定承担违约责任。</w:t>
      </w:r>
    </w:p>
    <w:p w14:paraId="6DF66202">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rPr>
        <w:t>四、质保期限</w:t>
      </w:r>
      <w:bookmarkEnd w:id="86"/>
    </w:p>
    <w:p w14:paraId="61D9A9FD">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lang w:eastAsia="zh-CN"/>
        </w:rPr>
        <w:t>自验收合格之日起，整机质保不少于</w:t>
      </w:r>
      <w:r>
        <w:rPr>
          <w:rFonts w:hint="eastAsia" w:ascii="宋体" w:hAnsi="宋体" w:eastAsia="宋体" w:cs="宋体"/>
          <w:szCs w:val="21"/>
          <w:highlight w:val="none"/>
        </w:rPr>
        <w:t xml:space="preserve"> 2 </w:t>
      </w:r>
      <w:r>
        <w:rPr>
          <w:rFonts w:hint="eastAsia" w:ascii="宋体" w:hAnsi="宋体" w:eastAsia="宋体" w:cs="宋体"/>
          <w:szCs w:val="21"/>
          <w:highlight w:val="none"/>
          <w:lang w:eastAsia="zh-CN"/>
        </w:rPr>
        <w:t>年</w:t>
      </w:r>
      <w:r>
        <w:rPr>
          <w:rFonts w:hint="eastAsia" w:hAnsi="宋体" w:eastAsia="宋体" w:cs="宋体"/>
          <w:szCs w:val="21"/>
          <w:highlight w:val="none"/>
          <w:lang w:eastAsia="zh-CN"/>
        </w:rPr>
        <w:t>。</w:t>
      </w:r>
    </w:p>
    <w:p w14:paraId="1FBD5A65">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highlight w:val="none"/>
        </w:rPr>
      </w:pPr>
      <w:bookmarkStart w:id="87" w:name="_Toc22319"/>
      <w:r>
        <w:rPr>
          <w:rFonts w:hint="eastAsia" w:ascii="宋体" w:hAnsi="宋体" w:eastAsia="宋体" w:cs="宋体"/>
          <w:b/>
          <w:bCs/>
          <w:color w:val="000000"/>
          <w:kern w:val="0"/>
          <w:szCs w:val="21"/>
          <w:highlight w:val="none"/>
        </w:rPr>
        <w:t>五、质量要求</w:t>
      </w:r>
      <w:bookmarkEnd w:id="87"/>
    </w:p>
    <w:p w14:paraId="4EF8E9DA">
      <w:pPr>
        <w:pStyle w:val="51"/>
        <w:keepNext w:val="0"/>
        <w:keepLines w:val="0"/>
        <w:pageBreakBefore w:val="0"/>
        <w:widowControl w:val="0"/>
        <w:tabs>
          <w:tab w:val="left" w:pos="6510"/>
        </w:tabs>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eastAsia="宋体" w:cs="宋体"/>
          <w:szCs w:val="21"/>
          <w:highlight w:val="none"/>
          <w:lang w:eastAsia="zh-CN"/>
        </w:rPr>
        <w:t>乙方</w:t>
      </w:r>
      <w:r>
        <w:rPr>
          <w:rFonts w:hint="eastAsia" w:ascii="宋体" w:hAnsi="宋体" w:eastAsia="宋体" w:cs="宋体"/>
          <w:szCs w:val="21"/>
          <w:highlight w:val="none"/>
        </w:rPr>
        <w:t>应保证货物是全新、未使用过的原装合格正品，并完全符合</w:t>
      </w:r>
      <w:r>
        <w:rPr>
          <w:rFonts w:hint="eastAsia" w:ascii="宋体" w:hAnsi="宋体" w:eastAsia="宋体" w:cs="宋体"/>
          <w:szCs w:val="21"/>
          <w:highlight w:val="none"/>
          <w:lang w:eastAsia="zh-CN"/>
        </w:rPr>
        <w:t>询价文件</w:t>
      </w:r>
      <w:r>
        <w:rPr>
          <w:rFonts w:hint="eastAsia" w:ascii="宋体" w:hAnsi="宋体" w:eastAsia="宋体" w:cs="宋体"/>
          <w:szCs w:val="21"/>
          <w:highlight w:val="none"/>
        </w:rPr>
        <w:t>及本项目合同规定的质量、规格和性能的要求。</w:t>
      </w:r>
    </w:p>
    <w:p w14:paraId="7B797470">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2.成交产品的技术标准按国家标准执行，无国家标准的，按行业标准执行，无国家和行业标准的，按企业标准执行；但在</w:t>
      </w:r>
      <w:r>
        <w:rPr>
          <w:rFonts w:hint="eastAsia" w:ascii="宋体" w:hAnsi="宋体" w:eastAsia="宋体" w:cs="宋体"/>
          <w:szCs w:val="21"/>
          <w:highlight w:val="none"/>
          <w:lang w:eastAsia="zh-CN"/>
        </w:rPr>
        <w:t>询价文件</w:t>
      </w:r>
      <w:r>
        <w:rPr>
          <w:rFonts w:hint="eastAsia" w:ascii="宋体" w:hAnsi="宋体" w:eastAsia="宋体" w:cs="宋体"/>
          <w:szCs w:val="21"/>
          <w:highlight w:val="none"/>
        </w:rPr>
        <w:t>中有特别要求的，按</w:t>
      </w:r>
      <w:r>
        <w:rPr>
          <w:rFonts w:hint="eastAsia" w:ascii="宋体" w:hAnsi="宋体" w:eastAsia="宋体" w:cs="宋体"/>
          <w:szCs w:val="21"/>
          <w:highlight w:val="none"/>
          <w:lang w:eastAsia="zh-CN"/>
        </w:rPr>
        <w:t>询价文件</w:t>
      </w:r>
      <w:r>
        <w:rPr>
          <w:rFonts w:hint="eastAsia" w:ascii="宋体" w:hAnsi="宋体" w:eastAsia="宋体" w:cs="宋体"/>
          <w:szCs w:val="21"/>
          <w:highlight w:val="none"/>
        </w:rPr>
        <w:t>中规定的要求执行，并且符合相关法律、法规规定的要求。</w:t>
      </w:r>
    </w:p>
    <w:p w14:paraId="0D07F52C">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 xml:space="preserve">3.产品的包装，国家或行业主管部门有规定的，按规定执行。 </w:t>
      </w:r>
    </w:p>
    <w:p w14:paraId="74947AF1">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4.</w:t>
      </w:r>
      <w:r>
        <w:rPr>
          <w:rFonts w:hint="eastAsia" w:ascii="宋体" w:hAnsi="宋体" w:eastAsia="宋体" w:cs="宋体"/>
          <w:szCs w:val="21"/>
          <w:highlight w:val="none"/>
          <w:lang w:eastAsia="zh-CN"/>
        </w:rPr>
        <w:t>乙方</w:t>
      </w:r>
      <w:r>
        <w:rPr>
          <w:rFonts w:hint="eastAsia" w:ascii="宋体" w:hAnsi="宋体" w:eastAsia="宋体" w:cs="宋体"/>
          <w:szCs w:val="21"/>
          <w:highlight w:val="none"/>
        </w:rPr>
        <w:t>应保证提供的产品不得侵犯第三方专利权、商标权和工业设计权、版权等。否则，</w:t>
      </w:r>
      <w:r>
        <w:rPr>
          <w:rFonts w:hint="eastAsia" w:ascii="宋体" w:hAnsi="宋体" w:eastAsia="宋体" w:cs="宋体"/>
          <w:szCs w:val="21"/>
          <w:highlight w:val="none"/>
          <w:lang w:eastAsia="zh-CN"/>
        </w:rPr>
        <w:t>乙方</w:t>
      </w:r>
      <w:r>
        <w:rPr>
          <w:rFonts w:hint="eastAsia" w:ascii="宋体" w:hAnsi="宋体" w:eastAsia="宋体" w:cs="宋体"/>
          <w:szCs w:val="21"/>
          <w:highlight w:val="none"/>
        </w:rPr>
        <w:t>应负全部责任，并承担由此引起的一切后果。</w:t>
      </w:r>
    </w:p>
    <w:p w14:paraId="5BEECB48">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5.</w:t>
      </w:r>
      <w:r>
        <w:rPr>
          <w:rFonts w:hint="eastAsia" w:ascii="宋体" w:hAnsi="宋体" w:eastAsia="宋体" w:cs="宋体"/>
          <w:szCs w:val="21"/>
          <w:highlight w:val="none"/>
          <w:lang w:eastAsia="zh-CN"/>
        </w:rPr>
        <w:t>乙方</w:t>
      </w:r>
      <w:r>
        <w:rPr>
          <w:rFonts w:hint="eastAsia" w:ascii="宋体" w:hAnsi="宋体" w:eastAsia="宋体" w:cs="宋体"/>
          <w:szCs w:val="21"/>
          <w:highlight w:val="none"/>
        </w:rPr>
        <w:t>应保证其货物在正确安装、正常使用和保养条件下，在其使用寿命期内应具有满意的性能。</w:t>
      </w:r>
    </w:p>
    <w:p w14:paraId="4E7E3F7E">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6.</w:t>
      </w:r>
      <w:r>
        <w:rPr>
          <w:rFonts w:hint="eastAsia" w:ascii="宋体" w:hAnsi="宋体" w:eastAsia="宋体" w:cs="宋体"/>
          <w:szCs w:val="21"/>
          <w:highlight w:val="none"/>
          <w:lang w:eastAsia="zh-CN"/>
        </w:rPr>
        <w:t>乙方</w:t>
      </w:r>
      <w:r>
        <w:rPr>
          <w:rFonts w:hint="eastAsia" w:ascii="宋体" w:hAnsi="宋体" w:eastAsia="宋体" w:cs="宋体"/>
          <w:szCs w:val="21"/>
          <w:highlight w:val="none"/>
        </w:rPr>
        <w:t>应采取必要的安全措施保证货物的运输及安装的安全，并承担货物的运输及安装过程中产生的一切风险及全部责任。</w:t>
      </w:r>
    </w:p>
    <w:p w14:paraId="6DF1A85D">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szCs w:val="21"/>
          <w:highlight w:val="none"/>
        </w:rPr>
      </w:pPr>
      <w:bookmarkStart w:id="88" w:name="_Toc28232"/>
      <w:r>
        <w:rPr>
          <w:rFonts w:hint="eastAsia" w:ascii="宋体" w:hAnsi="宋体" w:eastAsia="宋体" w:cs="宋体"/>
          <w:b/>
          <w:bCs/>
          <w:szCs w:val="21"/>
          <w:highlight w:val="none"/>
        </w:rPr>
        <w:t>六、售后服务及质保</w:t>
      </w:r>
      <w:bookmarkEnd w:id="88"/>
    </w:p>
    <w:p w14:paraId="1A6F1E29">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1.售后服务方案：</w:t>
      </w:r>
    </w:p>
    <w:p w14:paraId="34823F2F">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（1）如</w:t>
      </w:r>
      <w:r>
        <w:rPr>
          <w:rFonts w:hint="eastAsia" w:ascii="宋体" w:hAnsi="宋体" w:eastAsia="宋体" w:cs="宋体"/>
          <w:szCs w:val="21"/>
          <w:highlight w:val="none"/>
          <w:lang w:eastAsia="zh-CN"/>
        </w:rPr>
        <w:t>乙方</w:t>
      </w:r>
      <w:r>
        <w:rPr>
          <w:rFonts w:hint="eastAsia" w:ascii="宋体" w:hAnsi="宋体" w:eastAsia="宋体" w:cs="宋体"/>
          <w:szCs w:val="21"/>
          <w:highlight w:val="none"/>
        </w:rPr>
        <w:t>就本次投标产品的售后维护服务委托代理维护机构负责，则须在本次招标项目投标书内明确提供该售后维护服务方案得到被委托的代理维护机构确认的书面函，同时该售后服务维护方案的工作内容不得超出委托双方就本</w:t>
      </w:r>
      <w:r>
        <w:rPr>
          <w:rFonts w:hint="eastAsia" w:ascii="宋体" w:hAnsi="宋体" w:eastAsia="宋体" w:cs="宋体"/>
          <w:szCs w:val="21"/>
          <w:highlight w:val="none"/>
          <w:lang w:eastAsia="zh-CN"/>
        </w:rPr>
        <w:t>询价文件</w:t>
      </w:r>
      <w:r>
        <w:rPr>
          <w:rFonts w:hint="eastAsia" w:ascii="宋体" w:hAnsi="宋体" w:eastAsia="宋体" w:cs="宋体"/>
          <w:szCs w:val="21"/>
          <w:highlight w:val="none"/>
        </w:rPr>
        <w:t>涉及到的货物售后维护服务内容而签署的协议的范围，除非</w:t>
      </w:r>
      <w:r>
        <w:rPr>
          <w:rFonts w:hint="eastAsia" w:ascii="宋体" w:hAnsi="宋体" w:eastAsia="宋体" w:cs="宋体"/>
          <w:szCs w:val="21"/>
          <w:highlight w:val="none"/>
          <w:lang w:eastAsia="zh-CN"/>
        </w:rPr>
        <w:t>乙方</w:t>
      </w:r>
      <w:r>
        <w:rPr>
          <w:rFonts w:hint="eastAsia" w:ascii="宋体" w:hAnsi="宋体" w:eastAsia="宋体" w:cs="宋体"/>
          <w:szCs w:val="21"/>
          <w:highlight w:val="none"/>
        </w:rPr>
        <w:t>另有说明且合理。</w:t>
      </w:r>
    </w:p>
    <w:p w14:paraId="2EC8D3E5">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w:t>
      </w:r>
      <w:r>
        <w:rPr>
          <w:rFonts w:hint="eastAsia" w:ascii="宋体" w:hAnsi="宋体" w:eastAsia="宋体" w:cs="宋体"/>
          <w:szCs w:val="21"/>
          <w:highlight w:val="none"/>
          <w:lang w:eastAsia="zh-CN"/>
        </w:rPr>
        <w:t>乙方</w:t>
      </w:r>
      <w:r>
        <w:rPr>
          <w:rFonts w:hint="eastAsia" w:ascii="宋体" w:hAnsi="宋体" w:eastAsia="宋体" w:cs="宋体"/>
          <w:szCs w:val="21"/>
          <w:highlight w:val="none"/>
        </w:rPr>
        <w:t>无论对其投标产品的售后服务维护有无委托均不能免除其对投标项目涉及到的产品所作出的售后服务承诺的一切责任。</w:t>
      </w:r>
    </w:p>
    <w:p w14:paraId="51514709">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w:t>
      </w:r>
      <w:r>
        <w:rPr>
          <w:rFonts w:hint="eastAsia" w:ascii="宋体" w:hAnsi="宋体" w:eastAsia="宋体" w:cs="宋体"/>
          <w:szCs w:val="21"/>
          <w:highlight w:val="none"/>
          <w:lang w:eastAsia="zh-CN"/>
        </w:rPr>
        <w:t>乙方</w:t>
      </w:r>
      <w:r>
        <w:rPr>
          <w:rFonts w:hint="eastAsia" w:ascii="宋体" w:hAnsi="宋体" w:eastAsia="宋体" w:cs="宋体"/>
          <w:szCs w:val="21"/>
          <w:highlight w:val="none"/>
        </w:rPr>
        <w:t>负责安装、调试、配合</w:t>
      </w:r>
      <w:r>
        <w:rPr>
          <w:rFonts w:hint="eastAsia" w:ascii="宋体" w:hAnsi="宋体" w:eastAsia="宋体" w:cs="宋体"/>
          <w:szCs w:val="21"/>
          <w:highlight w:val="none"/>
          <w:lang w:eastAsia="zh-CN"/>
        </w:rPr>
        <w:t>甲方</w:t>
      </w:r>
      <w:r>
        <w:rPr>
          <w:rFonts w:hint="eastAsia" w:ascii="宋体" w:hAnsi="宋体" w:eastAsia="宋体" w:cs="宋体"/>
          <w:szCs w:val="21"/>
          <w:highlight w:val="none"/>
        </w:rPr>
        <w:t>验收，并承担因此发生的一切费用。</w:t>
      </w:r>
    </w:p>
    <w:p w14:paraId="111F29E6">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3.质保期内免费提供货物的维修维护，包括非人为因素发生的设备修理、更换的费用。</w:t>
      </w:r>
    </w:p>
    <w:p w14:paraId="3E1481BE">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rPr>
        <w:t>4.</w:t>
      </w:r>
      <w:r>
        <w:rPr>
          <w:rFonts w:hint="eastAsia" w:ascii="宋体" w:hAnsi="宋体" w:eastAsia="宋体" w:cs="宋体"/>
          <w:szCs w:val="21"/>
          <w:highlight w:val="none"/>
          <w:lang w:eastAsia="zh-CN"/>
        </w:rPr>
        <w:t>质保期内非人为故障，</w:t>
      </w:r>
      <w:r>
        <w:rPr>
          <w:rFonts w:hint="eastAsia" w:hAnsi="宋体" w:eastAsia="宋体" w:cs="宋体"/>
          <w:szCs w:val="21"/>
          <w:highlight w:val="none"/>
          <w:lang w:val="en-US" w:eastAsia="zh-CN"/>
        </w:rPr>
        <w:t>乙方</w:t>
      </w:r>
      <w:r>
        <w:rPr>
          <w:rFonts w:hint="eastAsia" w:ascii="宋体" w:hAnsi="宋体" w:eastAsia="宋体" w:cs="宋体"/>
          <w:szCs w:val="21"/>
          <w:highlight w:val="none"/>
          <w:lang w:eastAsia="zh-CN"/>
        </w:rPr>
        <w:t>应在接到通知后</w:t>
      </w:r>
      <w:r>
        <w:rPr>
          <w:rFonts w:hint="eastAsia" w:ascii="宋体" w:hAnsi="宋体" w:eastAsia="宋体" w:cs="宋体"/>
          <w:szCs w:val="21"/>
          <w:highlight w:val="none"/>
        </w:rPr>
        <w:t xml:space="preserve"> 4 </w:t>
      </w:r>
      <w:r>
        <w:rPr>
          <w:rFonts w:hint="eastAsia" w:ascii="宋体" w:hAnsi="宋体" w:eastAsia="宋体" w:cs="宋体"/>
          <w:szCs w:val="21"/>
          <w:highlight w:val="none"/>
          <w:lang w:eastAsia="zh-CN"/>
        </w:rPr>
        <w:t>小时内响应、</w:t>
      </w:r>
      <w:r>
        <w:rPr>
          <w:rFonts w:hint="eastAsia" w:ascii="宋体" w:hAnsi="宋体" w:eastAsia="宋体" w:cs="宋体"/>
          <w:szCs w:val="21"/>
          <w:highlight w:val="none"/>
        </w:rPr>
        <w:t xml:space="preserve">24 </w:t>
      </w:r>
      <w:r>
        <w:rPr>
          <w:rFonts w:hint="eastAsia" w:ascii="宋体" w:hAnsi="宋体" w:eastAsia="宋体" w:cs="宋体"/>
          <w:szCs w:val="21"/>
          <w:highlight w:val="none"/>
          <w:lang w:eastAsia="zh-CN"/>
        </w:rPr>
        <w:t>小时内修复或更换。</w:t>
      </w:r>
    </w:p>
    <w:p w14:paraId="4F73BA28">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5.</w:t>
      </w:r>
      <w:r>
        <w:rPr>
          <w:rFonts w:hint="eastAsia" w:ascii="宋体" w:hAnsi="宋体" w:eastAsia="宋体" w:cs="宋体"/>
          <w:szCs w:val="21"/>
          <w:highlight w:val="none"/>
          <w:lang w:eastAsia="zh-CN"/>
        </w:rPr>
        <w:t>质保期外，</w:t>
      </w:r>
      <w:r>
        <w:rPr>
          <w:rFonts w:hint="eastAsia" w:hAnsi="宋体" w:eastAsia="宋体" w:cs="宋体"/>
          <w:szCs w:val="21"/>
          <w:highlight w:val="none"/>
          <w:lang w:val="en-US" w:eastAsia="zh-CN"/>
        </w:rPr>
        <w:t>乙方</w:t>
      </w:r>
      <w:r>
        <w:rPr>
          <w:rFonts w:hint="eastAsia" w:ascii="宋体" w:hAnsi="宋体" w:eastAsia="宋体" w:cs="宋体"/>
          <w:szCs w:val="21"/>
          <w:highlight w:val="none"/>
          <w:lang w:eastAsia="zh-CN"/>
        </w:rPr>
        <w:t>承诺继续提供有偿维修与长期备品备件供应，并在设备验收后</w:t>
      </w:r>
      <w:r>
        <w:rPr>
          <w:rFonts w:hint="eastAsia" w:ascii="宋体" w:hAnsi="宋体" w:eastAsia="宋体" w:cs="宋体"/>
          <w:szCs w:val="21"/>
          <w:highlight w:val="none"/>
          <w:lang w:val="en-US" w:eastAsia="zh-CN"/>
        </w:rPr>
        <w:t>10</w:t>
      </w:r>
      <w:r>
        <w:rPr>
          <w:rFonts w:hint="eastAsia" w:ascii="宋体" w:hAnsi="宋体" w:eastAsia="宋体" w:cs="宋体"/>
          <w:szCs w:val="21"/>
          <w:highlight w:val="none"/>
          <w:lang w:eastAsia="zh-CN"/>
        </w:rPr>
        <w:t>年内同步保障所供设备与招采系统的接口及联动功能持续可用：若招采系统升级、改造导致既有接口不兼容，</w:t>
      </w:r>
      <w:r>
        <w:rPr>
          <w:rFonts w:hint="eastAsia" w:hAnsi="宋体" w:eastAsia="宋体" w:cs="宋体"/>
          <w:szCs w:val="21"/>
          <w:highlight w:val="none"/>
          <w:lang w:val="en-US" w:eastAsia="zh-CN"/>
        </w:rPr>
        <w:t>乙方</w:t>
      </w:r>
      <w:r>
        <w:rPr>
          <w:rFonts w:hint="eastAsia" w:ascii="宋体" w:hAnsi="宋体" w:eastAsia="宋体" w:cs="宋体"/>
          <w:szCs w:val="21"/>
          <w:highlight w:val="none"/>
          <w:lang w:eastAsia="zh-CN"/>
        </w:rPr>
        <w:t>应提供免费的适配改造或等效兼容方案，确保数据联动不中断，</w:t>
      </w:r>
      <w:r>
        <w:rPr>
          <w:rFonts w:hint="eastAsia" w:hAnsi="宋体" w:eastAsia="宋体" w:cs="宋体"/>
          <w:szCs w:val="21"/>
          <w:highlight w:val="none"/>
          <w:lang w:val="en-US" w:eastAsia="zh-CN"/>
        </w:rPr>
        <w:t>甲方</w:t>
      </w:r>
      <w:r>
        <w:rPr>
          <w:rFonts w:hint="eastAsia" w:ascii="宋体" w:hAnsi="宋体" w:eastAsia="宋体" w:cs="宋体"/>
          <w:szCs w:val="21"/>
          <w:highlight w:val="none"/>
          <w:lang w:eastAsia="zh-CN"/>
        </w:rPr>
        <w:t>不另行支付费用；备品备件价格不高于中标单价或市场公允价格。设备停产时须提前通知</w:t>
      </w:r>
      <w:r>
        <w:rPr>
          <w:rFonts w:hint="eastAsia" w:hAnsi="宋体" w:eastAsia="宋体" w:cs="宋体"/>
          <w:szCs w:val="21"/>
          <w:highlight w:val="none"/>
          <w:lang w:val="en-US" w:eastAsia="zh-CN"/>
        </w:rPr>
        <w:t>甲方</w:t>
      </w:r>
      <w:r>
        <w:rPr>
          <w:rFonts w:hint="eastAsia" w:ascii="宋体" w:hAnsi="宋体" w:eastAsia="宋体" w:cs="宋体"/>
          <w:szCs w:val="21"/>
          <w:highlight w:val="none"/>
          <w:lang w:eastAsia="zh-CN"/>
        </w:rPr>
        <w:t>，并保障替代型号的兼容与可对接。</w:t>
      </w:r>
    </w:p>
    <w:p w14:paraId="3826B17A">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 xml:space="preserve">.服务要求 </w:t>
      </w:r>
    </w:p>
    <w:p w14:paraId="67E936BF">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在质保期内，</w:t>
      </w:r>
      <w:r>
        <w:rPr>
          <w:rFonts w:hint="eastAsia" w:ascii="宋体" w:hAnsi="宋体" w:eastAsia="宋体" w:cs="宋体"/>
          <w:szCs w:val="21"/>
          <w:highlight w:val="none"/>
          <w:lang w:eastAsia="zh-CN"/>
        </w:rPr>
        <w:t>乙方</w:t>
      </w:r>
      <w:r>
        <w:rPr>
          <w:rFonts w:hint="eastAsia" w:ascii="宋体" w:hAnsi="宋体" w:eastAsia="宋体" w:cs="宋体"/>
          <w:szCs w:val="21"/>
          <w:highlight w:val="none"/>
        </w:rPr>
        <w:t>应无偿承担故障维修，更换零配件的义务，确系质量原因无法正常工作时，</w:t>
      </w:r>
      <w:r>
        <w:rPr>
          <w:rFonts w:hint="eastAsia" w:ascii="宋体" w:hAnsi="宋体" w:eastAsia="宋体" w:cs="宋体"/>
          <w:szCs w:val="21"/>
          <w:highlight w:val="none"/>
          <w:lang w:eastAsia="zh-CN"/>
        </w:rPr>
        <w:t>乙方</w:t>
      </w:r>
      <w:r>
        <w:rPr>
          <w:rFonts w:hint="eastAsia" w:ascii="宋体" w:hAnsi="宋体" w:eastAsia="宋体" w:cs="宋体"/>
          <w:szCs w:val="21"/>
          <w:highlight w:val="none"/>
        </w:rPr>
        <w:t>应无偿更换全新合格产品。</w:t>
      </w:r>
    </w:p>
    <w:p w14:paraId="27D6CC88">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highlight w:val="none"/>
        </w:rPr>
      </w:pPr>
      <w:bookmarkStart w:id="89" w:name="_Toc30563"/>
      <w:r>
        <w:rPr>
          <w:rFonts w:hint="eastAsia" w:ascii="宋体" w:hAnsi="宋体" w:eastAsia="宋体" w:cs="宋体"/>
          <w:b/>
          <w:bCs/>
          <w:color w:val="000000"/>
          <w:kern w:val="0"/>
          <w:szCs w:val="21"/>
          <w:highlight w:val="none"/>
        </w:rPr>
        <w:t>七、验收</w:t>
      </w:r>
      <w:bookmarkEnd w:id="89"/>
    </w:p>
    <w:p w14:paraId="5576FAFC">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1.项目涉及到的货物由</w:t>
      </w:r>
      <w:r>
        <w:rPr>
          <w:rFonts w:hint="eastAsia" w:ascii="宋体" w:hAnsi="宋体" w:eastAsia="宋体" w:cs="宋体"/>
          <w:szCs w:val="21"/>
          <w:highlight w:val="none"/>
          <w:lang w:eastAsia="zh-CN"/>
        </w:rPr>
        <w:t>甲方</w:t>
      </w:r>
      <w:r>
        <w:rPr>
          <w:rFonts w:hint="eastAsia" w:ascii="宋体" w:hAnsi="宋体" w:eastAsia="宋体" w:cs="宋体"/>
          <w:szCs w:val="21"/>
          <w:highlight w:val="none"/>
        </w:rPr>
        <w:t>及有关部门进行专项验收。</w:t>
      </w:r>
    </w:p>
    <w:p w14:paraId="1118575D">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w:t>
      </w:r>
      <w:r>
        <w:rPr>
          <w:rFonts w:hint="eastAsia" w:ascii="宋体" w:hAnsi="宋体" w:eastAsia="宋体" w:cs="宋体"/>
          <w:szCs w:val="21"/>
          <w:highlight w:val="none"/>
          <w:lang w:eastAsia="zh-CN"/>
        </w:rPr>
        <w:t>乙方</w:t>
      </w:r>
      <w:r>
        <w:rPr>
          <w:rFonts w:hint="eastAsia" w:ascii="宋体" w:hAnsi="宋体" w:eastAsia="宋体" w:cs="宋体"/>
          <w:szCs w:val="21"/>
          <w:highlight w:val="none"/>
        </w:rPr>
        <w:t>所供货物在通过专项验收时，应对由于设计、工艺或材料的缺陷而发生的任何不足或故障负责，并承担由此引起的一切后果。</w:t>
      </w:r>
    </w:p>
    <w:p w14:paraId="663A3465">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3</w:t>
      </w:r>
      <w:r>
        <w:rPr>
          <w:rFonts w:hint="eastAsia" w:ascii="宋体" w:hAnsi="宋体" w:eastAsia="宋体" w:cs="宋体"/>
          <w:szCs w:val="21"/>
          <w:highlight w:val="none"/>
        </w:rPr>
        <w:t>.验收合格的同时，</w:t>
      </w:r>
      <w:r>
        <w:rPr>
          <w:rFonts w:hint="eastAsia" w:ascii="宋体" w:hAnsi="宋体" w:eastAsia="宋体" w:cs="宋体"/>
          <w:szCs w:val="21"/>
          <w:highlight w:val="none"/>
          <w:lang w:eastAsia="zh-CN"/>
        </w:rPr>
        <w:t>乙方</w:t>
      </w:r>
      <w:r>
        <w:rPr>
          <w:rFonts w:hint="eastAsia" w:ascii="宋体" w:hAnsi="宋体" w:eastAsia="宋体" w:cs="宋体"/>
          <w:szCs w:val="21"/>
          <w:highlight w:val="none"/>
        </w:rPr>
        <w:t>需提供质保书、保修证明、检测报告等书面资料，并按国家制造和安装的标准要求检测验收。</w:t>
      </w:r>
    </w:p>
    <w:p w14:paraId="7EF8DFD5">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.对于检测不合格的，该批次货物无条件退场，并由此认定为是</w:t>
      </w:r>
      <w:r>
        <w:rPr>
          <w:rFonts w:hint="eastAsia" w:ascii="宋体" w:hAnsi="宋体" w:eastAsia="宋体" w:cs="宋体"/>
          <w:szCs w:val="21"/>
          <w:highlight w:val="none"/>
          <w:lang w:eastAsia="zh-CN"/>
        </w:rPr>
        <w:t>乙方</w:t>
      </w:r>
      <w:r>
        <w:rPr>
          <w:rFonts w:hint="eastAsia" w:ascii="宋体" w:hAnsi="宋体" w:eastAsia="宋体" w:cs="宋体"/>
          <w:szCs w:val="21"/>
          <w:highlight w:val="none"/>
        </w:rPr>
        <w:t>自身的原因而导致该结果，</w:t>
      </w:r>
      <w:r>
        <w:rPr>
          <w:rFonts w:hint="eastAsia" w:ascii="宋体" w:hAnsi="宋体" w:eastAsia="宋体" w:cs="宋体"/>
          <w:szCs w:val="21"/>
          <w:highlight w:val="none"/>
          <w:lang w:eastAsia="zh-CN"/>
        </w:rPr>
        <w:t>甲方</w:t>
      </w:r>
      <w:r>
        <w:rPr>
          <w:rFonts w:hint="eastAsia" w:ascii="宋体" w:hAnsi="宋体" w:eastAsia="宋体" w:cs="宋体"/>
          <w:szCs w:val="21"/>
          <w:highlight w:val="none"/>
        </w:rPr>
        <w:t>有权取消</w:t>
      </w:r>
      <w:r>
        <w:rPr>
          <w:rFonts w:hint="eastAsia" w:ascii="宋体" w:hAnsi="宋体" w:eastAsia="宋体" w:cs="宋体"/>
          <w:szCs w:val="21"/>
          <w:highlight w:val="none"/>
          <w:lang w:eastAsia="zh-CN"/>
        </w:rPr>
        <w:t>乙方</w:t>
      </w:r>
      <w:r>
        <w:rPr>
          <w:rFonts w:hint="eastAsia" w:ascii="宋体" w:hAnsi="宋体" w:eastAsia="宋体" w:cs="宋体"/>
          <w:szCs w:val="21"/>
          <w:highlight w:val="none"/>
        </w:rPr>
        <w:t>的中标资格且解除采购合同。</w:t>
      </w:r>
    </w:p>
    <w:p w14:paraId="74501F2D">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highlight w:val="none"/>
        </w:rPr>
      </w:pPr>
      <w:bookmarkStart w:id="90" w:name="_Toc8275"/>
      <w:r>
        <w:rPr>
          <w:rFonts w:hint="eastAsia" w:ascii="宋体" w:hAnsi="宋体" w:eastAsia="宋体" w:cs="宋体"/>
          <w:b/>
          <w:bCs/>
          <w:color w:val="000000"/>
          <w:kern w:val="0"/>
          <w:szCs w:val="21"/>
          <w:highlight w:val="none"/>
        </w:rPr>
        <w:t>八、违约责任</w:t>
      </w:r>
      <w:bookmarkEnd w:id="90"/>
    </w:p>
    <w:p w14:paraId="5FF3EC39">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有下列情形之一的，甲方有权没收履约保证金，并追究乙方的违约责任。</w:t>
      </w:r>
      <w:r>
        <w:rPr>
          <w:rFonts w:hint="eastAsia" w:ascii="宋体" w:hAnsi="宋体" w:eastAsia="宋体" w:cs="宋体"/>
          <w:szCs w:val="21"/>
          <w:highlight w:val="none"/>
          <w:lang w:eastAsia="zh-CN"/>
        </w:rPr>
        <w:t>每延误一天，乙方按合同总价款的</w:t>
      </w:r>
      <w:r>
        <w:rPr>
          <w:rFonts w:hint="eastAsia" w:ascii="宋体" w:hAnsi="宋体" w:eastAsia="宋体" w:cs="宋体"/>
          <w:szCs w:val="21"/>
          <w:highlight w:val="none"/>
        </w:rPr>
        <w:t>0.5%</w:t>
      </w:r>
      <w:r>
        <w:rPr>
          <w:rFonts w:hint="eastAsia" w:ascii="宋体" w:hAnsi="宋体" w:eastAsia="宋体" w:cs="宋体"/>
          <w:szCs w:val="21"/>
          <w:highlight w:val="none"/>
          <w:lang w:eastAsia="zh-CN"/>
        </w:rPr>
        <w:t>向甲方支付违约金；违约金累计上限不超过合同总价款的</w:t>
      </w:r>
      <w:r>
        <w:rPr>
          <w:rFonts w:hint="eastAsia" w:ascii="宋体" w:hAnsi="宋体" w:eastAsia="宋体" w:cs="宋体"/>
          <w:szCs w:val="21"/>
          <w:highlight w:val="none"/>
        </w:rPr>
        <w:t>10%</w:t>
      </w:r>
      <w:r>
        <w:rPr>
          <w:rFonts w:hint="eastAsia" w:ascii="宋体" w:hAnsi="宋体" w:eastAsia="宋体" w:cs="宋体"/>
          <w:szCs w:val="21"/>
          <w:highlight w:val="none"/>
          <w:lang w:eastAsia="zh-CN"/>
        </w:rPr>
        <w:t>。因甲方原因或不可抗力导致的延误，经甲方书面确认后工期相应顺延。</w:t>
      </w:r>
      <w:r>
        <w:rPr>
          <w:rFonts w:hint="eastAsia" w:ascii="宋体" w:hAnsi="宋体" w:eastAsia="宋体" w:cs="宋体"/>
          <w:szCs w:val="21"/>
          <w:highlight w:val="none"/>
        </w:rPr>
        <w:t>如不足以弥补甲方因此遭受的实际损失的，乙方还应对超出部分予以赔偿：</w:t>
      </w:r>
    </w:p>
    <w:p w14:paraId="2BBA3A66">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1.乙方不能如期完成项目；</w:t>
      </w:r>
    </w:p>
    <w:p w14:paraId="225F1FEA">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2.乙方所供货物与甲方要求的设备型号不匹配，在规定时间内未按甲方要求整改的；</w:t>
      </w:r>
    </w:p>
    <w:p w14:paraId="36582B13">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3.乙方提供的设备、服务侵犯第三人合法权益的；</w:t>
      </w:r>
    </w:p>
    <w:p w14:paraId="09754361">
      <w:pPr>
        <w:pStyle w:val="51"/>
        <w:keepNext w:val="0"/>
        <w:keepLines w:val="0"/>
        <w:pageBreakBefore w:val="0"/>
        <w:widowControl w:val="0"/>
        <w:numPr>
          <w:ilvl w:val="0"/>
          <w:numId w:val="0"/>
        </w:numPr>
        <w:kinsoku/>
        <w:wordWrap/>
        <w:overflowPunct/>
        <w:topLinePunct w:val="0"/>
        <w:bidi w:val="0"/>
        <w:snapToGrid/>
        <w:spacing w:line="440" w:lineRule="exact"/>
        <w:ind w:right="-521" w:rightChars="-248" w:firstLine="420" w:firstLineChars="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rPr>
        <w:t>4.乙方将本合同全部或部分转让、转包或分包的。</w:t>
      </w:r>
    </w:p>
    <w:p w14:paraId="727D7E85">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highlight w:val="none"/>
        </w:rPr>
      </w:pPr>
      <w:bookmarkStart w:id="91" w:name="_Toc2672"/>
      <w:r>
        <w:rPr>
          <w:rFonts w:hint="eastAsia" w:ascii="宋体" w:hAnsi="宋体" w:eastAsia="宋体" w:cs="宋体"/>
          <w:b/>
          <w:bCs/>
          <w:color w:val="000000"/>
          <w:kern w:val="0"/>
          <w:szCs w:val="21"/>
          <w:highlight w:val="none"/>
        </w:rPr>
        <w:t>九、履约保证金</w:t>
      </w:r>
      <w:bookmarkEnd w:id="91"/>
    </w:p>
    <w:p w14:paraId="7AC16716">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lang w:val="en-US"/>
        </w:rPr>
      </w:pPr>
      <w:r>
        <w:rPr>
          <w:rFonts w:hint="eastAsia" w:ascii="宋体" w:hAnsi="宋体" w:eastAsia="宋体" w:cs="宋体"/>
          <w:szCs w:val="21"/>
          <w:highlight w:val="none"/>
        </w:rPr>
        <w:t>履约担保金额为</w:t>
      </w:r>
      <w:r>
        <w:rPr>
          <w:rFonts w:hint="eastAsia" w:ascii="宋体" w:hAnsi="宋体" w:eastAsia="宋体" w:cs="宋体"/>
          <w:szCs w:val="21"/>
          <w:highlight w:val="none"/>
          <w:lang w:val="en-US" w:eastAsia="zh-CN"/>
        </w:rPr>
        <w:t>5</w:t>
      </w:r>
      <w:r>
        <w:rPr>
          <w:rFonts w:hint="eastAsia" w:ascii="宋体" w:hAnsi="宋体" w:eastAsia="宋体" w:cs="宋体"/>
          <w:szCs w:val="21"/>
          <w:highlight w:val="none"/>
        </w:rPr>
        <w:t>00</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元</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缴纳方式为转账，在合同签订前交纳，</w:t>
      </w:r>
      <w:r>
        <w:rPr>
          <w:rFonts w:hint="eastAsia" w:ascii="宋体" w:hAnsi="宋体" w:eastAsia="宋体" w:cs="宋体"/>
          <w:szCs w:val="21"/>
          <w:highlight w:val="none"/>
        </w:rPr>
        <w:t>完成安装并验收合格后无息退还。</w:t>
      </w:r>
    </w:p>
    <w:p w14:paraId="64016053">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highlight w:val="none"/>
        </w:rPr>
      </w:pPr>
      <w:bookmarkStart w:id="92" w:name="_Toc18493"/>
      <w:r>
        <w:rPr>
          <w:rFonts w:hint="eastAsia" w:ascii="宋体" w:hAnsi="宋体" w:eastAsia="宋体" w:cs="宋体"/>
          <w:b/>
          <w:bCs/>
          <w:color w:val="000000"/>
          <w:kern w:val="0"/>
          <w:szCs w:val="21"/>
          <w:highlight w:val="none"/>
        </w:rPr>
        <w:t>十、不可抗力</w:t>
      </w:r>
      <w:bookmarkEnd w:id="92"/>
    </w:p>
    <w:p w14:paraId="0B4904F4">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1.因不可抗力不能履行合同的，根据不可抗力的影响，部分或者全部免除责任。但合同一方延迟履行后发生不可抗力的，不能免除责任。</w:t>
      </w:r>
    </w:p>
    <w:p w14:paraId="15D4821A">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2.合同一方因不可抗力不能履行合同的，应当及时通知对方，以减轻可能给对方造成的损失，并应当在合理期限内提供证明。</w:t>
      </w:r>
    </w:p>
    <w:p w14:paraId="7B7D78C3">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highlight w:val="none"/>
        </w:rPr>
      </w:pPr>
      <w:bookmarkStart w:id="93" w:name="_Toc22933"/>
      <w:r>
        <w:rPr>
          <w:rFonts w:hint="eastAsia" w:ascii="宋体" w:hAnsi="宋体" w:eastAsia="宋体" w:cs="宋体"/>
          <w:b/>
          <w:bCs/>
          <w:color w:val="000000"/>
          <w:kern w:val="0"/>
          <w:szCs w:val="21"/>
          <w:highlight w:val="none"/>
        </w:rPr>
        <w:t>十一、合同的解除和转让</w:t>
      </w:r>
      <w:bookmarkEnd w:id="93"/>
    </w:p>
    <w:p w14:paraId="4051B2FF">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1.甲方和乙方协商一致，可以解除合同。</w:t>
      </w:r>
    </w:p>
    <w:p w14:paraId="0719A092">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2.有下列情形之一，合同一方可以解除合同：</w:t>
      </w:r>
    </w:p>
    <w:p w14:paraId="2FE63739">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（1） 因不可抗力致使不能实现合同目的，未受不可抗力影响的一方有权解除合同。</w:t>
      </w:r>
    </w:p>
    <w:p w14:paraId="38E1EAEC">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 因合同一方违约导致合同不能履行，另一方有权解除合同。</w:t>
      </w:r>
    </w:p>
    <w:p w14:paraId="54937CC2">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（3） 合同的部分和全部都不得转让；乙方转让或转包、分包的，一经发现，甲方有权解除本合同，由此导致的损失由乙方承担。</w:t>
      </w:r>
    </w:p>
    <w:p w14:paraId="67431B75">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3.合同的部分和全部都不得转让。</w:t>
      </w:r>
    </w:p>
    <w:p w14:paraId="7F5153FE">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highlight w:val="none"/>
        </w:rPr>
      </w:pPr>
      <w:bookmarkStart w:id="94" w:name="_Toc18371"/>
      <w:r>
        <w:rPr>
          <w:rFonts w:hint="eastAsia" w:ascii="宋体" w:hAnsi="宋体" w:eastAsia="宋体" w:cs="宋体"/>
          <w:b/>
          <w:bCs/>
          <w:color w:val="000000"/>
          <w:kern w:val="0"/>
          <w:szCs w:val="21"/>
          <w:highlight w:val="none"/>
        </w:rPr>
        <w:t>十二、合同的生效</w:t>
      </w:r>
      <w:bookmarkEnd w:id="94"/>
      <w:r>
        <w:rPr>
          <w:rFonts w:hint="eastAsia" w:ascii="宋体" w:hAnsi="宋体" w:eastAsia="宋体" w:cs="宋体"/>
          <w:b/>
          <w:bCs/>
          <w:color w:val="000000"/>
          <w:kern w:val="0"/>
          <w:szCs w:val="21"/>
          <w:highlight w:val="none"/>
        </w:rPr>
        <w:t xml:space="preserve"> </w:t>
      </w:r>
    </w:p>
    <w:p w14:paraId="60F5C9DE">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 xml:space="preserve">本合同在甲乙双方法定代表人或授权代表签字并加盖公章，且乙方按照约定交纳履约保证金后即生效。  </w:t>
      </w:r>
    </w:p>
    <w:p w14:paraId="448988DE">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highlight w:val="none"/>
        </w:rPr>
      </w:pPr>
      <w:bookmarkStart w:id="95" w:name="_Toc20296"/>
      <w:r>
        <w:rPr>
          <w:rFonts w:hint="eastAsia" w:ascii="宋体" w:hAnsi="宋体" w:eastAsia="宋体" w:cs="宋体"/>
          <w:b/>
          <w:bCs/>
          <w:color w:val="000000"/>
          <w:kern w:val="0"/>
          <w:szCs w:val="21"/>
          <w:highlight w:val="none"/>
        </w:rPr>
        <w:t>十三、争议的解决</w:t>
      </w:r>
      <w:bookmarkEnd w:id="95"/>
    </w:p>
    <w:p w14:paraId="7196CC1C">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1.</w:t>
      </w:r>
      <w:r>
        <w:rPr>
          <w:rFonts w:hint="eastAsia" w:ascii="宋体" w:hAnsi="宋体" w:eastAsia="宋体" w:cs="宋体"/>
          <w:szCs w:val="21"/>
          <w:highlight w:val="none"/>
        </w:rPr>
        <w:t>合同实施中或与合同有关的一切争议可通过双方友好协商解决。如未协商或友好协商开始后六十（60）天内不能达成协议时，争议应提交</w:t>
      </w:r>
      <w:r>
        <w:rPr>
          <w:rFonts w:hint="eastAsia" w:hAnsi="宋体" w:eastAsia="宋体" w:cs="宋体"/>
          <w:szCs w:val="21"/>
          <w:highlight w:val="none"/>
          <w:lang w:val="en-US" w:eastAsia="zh-CN"/>
        </w:rPr>
        <w:t>南通市崇川区人民法院诉讼</w:t>
      </w:r>
      <w:r>
        <w:rPr>
          <w:rFonts w:hint="eastAsia" w:ascii="宋体" w:hAnsi="宋体" w:eastAsia="宋体" w:cs="宋体"/>
          <w:szCs w:val="21"/>
          <w:highlight w:val="none"/>
        </w:rPr>
        <w:t>。</w:t>
      </w:r>
    </w:p>
    <w:p w14:paraId="5BEDE827">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hAnsi="宋体" w:eastAsia="宋体" w:cs="宋体"/>
          <w:szCs w:val="21"/>
          <w:highlight w:val="none"/>
          <w:lang w:val="en-US" w:eastAsia="zh-CN"/>
        </w:rPr>
        <w:t>诉讼涉及的</w:t>
      </w:r>
      <w:r>
        <w:rPr>
          <w:rFonts w:hint="eastAsia" w:ascii="宋体" w:hAnsi="宋体" w:eastAsia="宋体" w:cs="宋体"/>
          <w:szCs w:val="21"/>
          <w:highlight w:val="none"/>
        </w:rPr>
        <w:t>费</w:t>
      </w:r>
      <w:r>
        <w:rPr>
          <w:rFonts w:hint="eastAsia" w:hAnsi="宋体" w:eastAsia="宋体" w:cs="宋体"/>
          <w:szCs w:val="21"/>
          <w:highlight w:val="none"/>
          <w:lang w:val="en-US" w:eastAsia="zh-CN"/>
        </w:rPr>
        <w:t>用</w:t>
      </w:r>
      <w:r>
        <w:rPr>
          <w:rFonts w:hint="eastAsia" w:ascii="宋体" w:hAnsi="宋体" w:eastAsia="宋体" w:cs="宋体"/>
          <w:szCs w:val="21"/>
          <w:highlight w:val="none"/>
        </w:rPr>
        <w:t>（包括但不限于</w:t>
      </w:r>
      <w:r>
        <w:rPr>
          <w:rFonts w:hint="eastAsia" w:hAnsi="宋体" w:eastAsia="宋体" w:cs="宋体"/>
          <w:szCs w:val="21"/>
          <w:highlight w:val="none"/>
          <w:lang w:val="en-US" w:eastAsia="zh-CN"/>
        </w:rPr>
        <w:t>诉讼费、</w:t>
      </w:r>
      <w:r>
        <w:rPr>
          <w:rFonts w:hint="eastAsia" w:ascii="宋体" w:hAnsi="宋体" w:eastAsia="宋体" w:cs="宋体"/>
          <w:szCs w:val="21"/>
          <w:highlight w:val="none"/>
        </w:rPr>
        <w:t>鉴定费、评估费、公证费</w:t>
      </w:r>
      <w:r>
        <w:rPr>
          <w:rFonts w:hint="eastAsia" w:hAnsi="宋体" w:eastAsia="宋体" w:cs="宋体"/>
          <w:szCs w:val="21"/>
          <w:highlight w:val="none"/>
          <w:lang w:val="en-US" w:eastAsia="zh-CN"/>
        </w:rPr>
        <w:t>及胜诉方为此支付的</w:t>
      </w:r>
      <w:r>
        <w:rPr>
          <w:rFonts w:hint="eastAsia" w:ascii="宋体" w:hAnsi="宋体" w:eastAsia="宋体" w:cs="宋体"/>
          <w:szCs w:val="21"/>
          <w:highlight w:val="none"/>
        </w:rPr>
        <w:t>交通费、律师费、保全保险费等）应由败诉方负担。</w:t>
      </w:r>
    </w:p>
    <w:p w14:paraId="11D4BA70">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在</w:t>
      </w:r>
      <w:r>
        <w:rPr>
          <w:rFonts w:hint="eastAsia" w:hAnsi="宋体" w:eastAsia="宋体" w:cs="宋体"/>
          <w:szCs w:val="21"/>
          <w:highlight w:val="none"/>
          <w:lang w:val="en-US" w:eastAsia="zh-CN"/>
        </w:rPr>
        <w:t>诉讼</w:t>
      </w:r>
      <w:r>
        <w:rPr>
          <w:rFonts w:hint="eastAsia" w:ascii="宋体" w:hAnsi="宋体" w:eastAsia="宋体" w:cs="宋体"/>
          <w:szCs w:val="21"/>
          <w:highlight w:val="none"/>
        </w:rPr>
        <w:t>期间，除正在进行</w:t>
      </w:r>
      <w:r>
        <w:rPr>
          <w:rFonts w:hint="eastAsia" w:hAnsi="宋体" w:eastAsia="宋体" w:cs="宋体"/>
          <w:szCs w:val="21"/>
          <w:highlight w:val="none"/>
          <w:lang w:val="en-US" w:eastAsia="zh-CN"/>
        </w:rPr>
        <w:t>诉讼</w:t>
      </w:r>
      <w:r>
        <w:rPr>
          <w:rFonts w:hint="eastAsia" w:ascii="宋体" w:hAnsi="宋体" w:eastAsia="宋体" w:cs="宋体"/>
          <w:szCs w:val="21"/>
          <w:highlight w:val="none"/>
        </w:rPr>
        <w:t>的部分外，应继续执行本合同其它部分。</w:t>
      </w:r>
    </w:p>
    <w:p w14:paraId="23254073">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highlight w:val="none"/>
        </w:rPr>
      </w:pPr>
      <w:bookmarkStart w:id="96" w:name="_Toc22659"/>
      <w:r>
        <w:rPr>
          <w:rFonts w:hint="eastAsia" w:ascii="宋体" w:hAnsi="宋体" w:eastAsia="宋体" w:cs="宋体"/>
          <w:b/>
          <w:bCs/>
          <w:color w:val="000000"/>
          <w:kern w:val="0"/>
          <w:szCs w:val="21"/>
          <w:highlight w:val="none"/>
        </w:rPr>
        <w:t>十四、附则</w:t>
      </w:r>
      <w:bookmarkEnd w:id="96"/>
    </w:p>
    <w:p w14:paraId="47FB11C4">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eastAsia="宋体" w:cs="宋体"/>
          <w:color w:val="auto"/>
          <w:kern w:val="2"/>
          <w:sz w:val="21"/>
          <w:szCs w:val="21"/>
          <w:highlight w:val="none"/>
          <w:lang w:val="en-US" w:eastAsia="zh-CN" w:bidi="ar-SA"/>
        </w:rPr>
        <w:t>本合同一式陆份，甲乙双方各叁份，具有同等法律效力。</w:t>
      </w:r>
      <w:r>
        <w:rPr>
          <w:rFonts w:hint="eastAsia" w:ascii="宋体" w:hAnsi="宋体" w:eastAsia="宋体" w:cs="宋体"/>
          <w:szCs w:val="21"/>
          <w:highlight w:val="none"/>
        </w:rPr>
        <w:t>本合同正副本具有同等法律效力，当正本和副本不一致时以正本为准。</w:t>
      </w:r>
    </w:p>
    <w:p w14:paraId="123E3280">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2.本合同文件使用中文书写、解释和说明。</w:t>
      </w:r>
    </w:p>
    <w:p w14:paraId="2BA215C9">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3.本合同履行过程中产生的纪要、协议以及成交通知书、</w:t>
      </w:r>
      <w:r>
        <w:rPr>
          <w:rFonts w:hint="eastAsia" w:ascii="宋体" w:hAnsi="宋体" w:eastAsia="宋体" w:cs="宋体"/>
          <w:szCs w:val="21"/>
          <w:highlight w:val="none"/>
          <w:lang w:eastAsia="zh-CN"/>
        </w:rPr>
        <w:t>询价文件</w:t>
      </w:r>
      <w:r>
        <w:rPr>
          <w:rFonts w:hint="eastAsia" w:ascii="宋体" w:hAnsi="宋体" w:eastAsia="宋体" w:cs="宋体"/>
          <w:szCs w:val="21"/>
          <w:highlight w:val="none"/>
        </w:rPr>
        <w:t>和</w:t>
      </w:r>
      <w:r>
        <w:rPr>
          <w:rFonts w:hint="eastAsia" w:ascii="宋体" w:hAnsi="宋体" w:eastAsia="宋体" w:cs="宋体"/>
          <w:szCs w:val="21"/>
          <w:highlight w:val="none"/>
          <w:lang w:val="en-US" w:eastAsia="zh-CN"/>
        </w:rPr>
        <w:t>响应</w:t>
      </w:r>
      <w:r>
        <w:rPr>
          <w:rFonts w:hint="eastAsia" w:ascii="宋体" w:hAnsi="宋体" w:eastAsia="宋体" w:cs="宋体"/>
          <w:szCs w:val="21"/>
          <w:highlight w:val="none"/>
          <w:lang w:eastAsia="zh-CN"/>
        </w:rPr>
        <w:t>文件</w:t>
      </w:r>
      <w:r>
        <w:rPr>
          <w:rFonts w:hint="eastAsia" w:ascii="宋体" w:hAnsi="宋体" w:eastAsia="宋体" w:cs="宋体"/>
          <w:szCs w:val="21"/>
          <w:highlight w:val="none"/>
        </w:rPr>
        <w:t>为本合同的附件，与合同具有同等效力。</w:t>
      </w:r>
    </w:p>
    <w:p w14:paraId="135C8683">
      <w:pPr>
        <w:pStyle w:val="51"/>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rPr>
        <w:t>4.本合同未尽事宜应按照《中华人民共和国民法典》及其相关配套法律法规之规定解释。</w:t>
      </w:r>
    </w:p>
    <w:p w14:paraId="74273532">
      <w:pPr>
        <w:pStyle w:val="51"/>
        <w:spacing w:line="440" w:lineRule="exact"/>
        <w:ind w:right="-521" w:rightChars="-248" w:firstLine="420"/>
        <w:rPr>
          <w:rFonts w:hint="eastAsia" w:ascii="宋体" w:hAnsi="宋体" w:eastAsia="宋体" w:cs="宋体"/>
          <w:szCs w:val="21"/>
          <w:highlight w:val="none"/>
        </w:rPr>
      </w:pPr>
    </w:p>
    <w:p w14:paraId="52F1CD1D">
      <w:pPr>
        <w:pStyle w:val="51"/>
        <w:spacing w:line="440" w:lineRule="exact"/>
        <w:ind w:right="-521" w:rightChars="-248" w:firstLine="420"/>
        <w:rPr>
          <w:rFonts w:hint="eastAsia" w:ascii="宋体" w:hAnsi="宋体" w:eastAsia="宋体" w:cs="宋体"/>
          <w:szCs w:val="21"/>
          <w:highlight w:val="none"/>
        </w:rPr>
      </w:pPr>
    </w:p>
    <w:tbl>
      <w:tblPr>
        <w:tblStyle w:val="22"/>
        <w:tblW w:w="9039" w:type="dxa"/>
        <w:tblInd w:w="0" w:type="dxa"/>
        <w:tblLayout w:type="fixed"/>
        <w:tblCellMar>
          <w:top w:w="0" w:type="dxa"/>
          <w:left w:w="108" w:type="dxa"/>
          <w:bottom w:w="0" w:type="dxa"/>
          <w:right w:w="108" w:type="dxa"/>
        </w:tblCellMar>
      </w:tblPr>
      <w:tblGrid>
        <w:gridCol w:w="4491"/>
        <w:gridCol w:w="4548"/>
      </w:tblGrid>
      <w:tr w14:paraId="6A688CC6">
        <w:tblPrEx>
          <w:tblCellMar>
            <w:top w:w="0" w:type="dxa"/>
            <w:left w:w="108" w:type="dxa"/>
            <w:bottom w:w="0" w:type="dxa"/>
            <w:right w:w="108" w:type="dxa"/>
          </w:tblCellMar>
        </w:tblPrEx>
        <w:tc>
          <w:tcPr>
            <w:tcW w:w="4491" w:type="dxa"/>
          </w:tcPr>
          <w:p w14:paraId="7D49CD76">
            <w:pPr>
              <w:spacing w:before="162"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甲方（盖章）：_________________________</w:t>
            </w:r>
          </w:p>
          <w:p w14:paraId="51E7EF52">
            <w:pPr>
              <w:spacing w:before="162"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法定代表人或</w:t>
            </w:r>
          </w:p>
          <w:p w14:paraId="4886303A">
            <w:pPr>
              <w:spacing w:before="162"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其授权委托人（签字或盖章）：____________</w:t>
            </w:r>
          </w:p>
          <w:p w14:paraId="66684245">
            <w:pPr>
              <w:spacing w:before="162"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日期：2026年___月___日</w:t>
            </w:r>
          </w:p>
          <w:p w14:paraId="03A90FEF">
            <w:pPr>
              <w:spacing w:before="162"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地址：</w:t>
            </w:r>
            <w:r>
              <w:rPr>
                <w:rFonts w:hint="eastAsia" w:ascii="宋体" w:hAnsi="宋体" w:eastAsia="宋体" w:cs="宋体"/>
                <w:szCs w:val="21"/>
                <w:highlight w:val="none"/>
                <w:u w:val="single"/>
              </w:rPr>
              <w:t>南通市崇川区崇川路158号18楼</w:t>
            </w:r>
          </w:p>
          <w:p w14:paraId="7F6A411C">
            <w:pPr>
              <w:spacing w:before="162"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电话：</w:t>
            </w:r>
            <w:r>
              <w:rPr>
                <w:rFonts w:hint="eastAsia" w:ascii="宋体" w:hAnsi="宋体" w:eastAsia="宋体" w:cs="宋体"/>
                <w:szCs w:val="21"/>
                <w:highlight w:val="none"/>
                <w:u w:val="single"/>
                <w:lang w:val="en-US" w:eastAsia="zh-CN"/>
              </w:rPr>
              <w:t>0513-80813997</w:t>
            </w:r>
          </w:p>
        </w:tc>
        <w:tc>
          <w:tcPr>
            <w:tcW w:w="4548" w:type="dxa"/>
          </w:tcPr>
          <w:p w14:paraId="185AD92C">
            <w:pPr>
              <w:spacing w:before="162"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 xml:space="preserve">乙方（盖章）：______________________  </w:t>
            </w:r>
          </w:p>
          <w:p w14:paraId="137DA4CB">
            <w:pPr>
              <w:spacing w:before="162"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法定代表人或</w:t>
            </w:r>
          </w:p>
          <w:p w14:paraId="236A0EC2">
            <w:pPr>
              <w:spacing w:before="162"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其授权委托人（签字或盖章）：________</w:t>
            </w:r>
          </w:p>
          <w:p w14:paraId="129DAAC3">
            <w:pPr>
              <w:spacing w:before="162"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日期：2026年__月___日</w:t>
            </w:r>
          </w:p>
          <w:p w14:paraId="6C4D195C">
            <w:pPr>
              <w:spacing w:before="162"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地址：_____________________________</w:t>
            </w:r>
          </w:p>
          <w:p w14:paraId="7AEC320C">
            <w:pPr>
              <w:spacing w:before="162"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电话：_____________________________</w:t>
            </w:r>
          </w:p>
        </w:tc>
      </w:tr>
      <w:bookmarkEnd w:id="77"/>
      <w:bookmarkEnd w:id="78"/>
      <w:bookmarkEnd w:id="79"/>
      <w:bookmarkEnd w:id="80"/>
      <w:bookmarkEnd w:id="81"/>
      <w:bookmarkEnd w:id="82"/>
    </w:tbl>
    <w:p w14:paraId="627604AB">
      <w:pPr>
        <w:rPr>
          <w:rFonts w:hint="eastAsia" w:ascii="宋体" w:hAnsi="宋体" w:eastAsia="宋体" w:cs="宋体"/>
          <w:bCs/>
          <w:szCs w:val="21"/>
          <w:highlight w:val="none"/>
        </w:rPr>
      </w:pPr>
      <w:bookmarkStart w:id="97" w:name="_Toc4702"/>
      <w:r>
        <w:rPr>
          <w:rFonts w:hint="eastAsia" w:ascii="宋体" w:hAnsi="宋体" w:eastAsia="宋体" w:cs="宋体"/>
          <w:bCs/>
          <w:szCs w:val="21"/>
          <w:highlight w:val="none"/>
        </w:rPr>
        <w:br w:type="page"/>
      </w:r>
    </w:p>
    <w:bookmarkEnd w:id="97"/>
    <w:p w14:paraId="6523E7AA">
      <w:pPr>
        <w:keepNext/>
        <w:spacing w:line="360" w:lineRule="auto"/>
        <w:jc w:val="center"/>
        <w:outlineLvl w:val="0"/>
        <w:rPr>
          <w:rFonts w:hint="eastAsia" w:ascii="宋体" w:hAnsi="宋体" w:eastAsia="宋体" w:cs="宋体"/>
          <w:b/>
          <w:sz w:val="30"/>
          <w:szCs w:val="30"/>
          <w:highlight w:val="none"/>
          <w:lang w:val="zh-CN"/>
        </w:rPr>
      </w:pPr>
      <w:bookmarkStart w:id="98" w:name="_Toc12215"/>
      <w:bookmarkStart w:id="99" w:name="_Toc17814"/>
      <w:bookmarkStart w:id="100" w:name="_Toc13519"/>
      <w:bookmarkStart w:id="101" w:name="_Toc5930"/>
      <w:bookmarkStart w:id="102" w:name="_Toc23460"/>
      <w:bookmarkStart w:id="103" w:name="_Toc9891"/>
      <w:r>
        <w:rPr>
          <w:rFonts w:hint="eastAsia" w:ascii="宋体" w:hAnsi="宋体" w:eastAsia="宋体" w:cs="宋体"/>
          <w:b/>
          <w:sz w:val="30"/>
          <w:szCs w:val="30"/>
          <w:highlight w:val="none"/>
          <w:lang w:val="zh-CN"/>
        </w:rPr>
        <w:t>第</w:t>
      </w:r>
      <w:r>
        <w:rPr>
          <w:rFonts w:hint="eastAsia" w:ascii="宋体" w:hAnsi="宋体" w:eastAsia="宋体" w:cs="宋体"/>
          <w:b/>
          <w:sz w:val="30"/>
          <w:szCs w:val="30"/>
          <w:highlight w:val="none"/>
          <w:lang w:val="en-US" w:eastAsia="zh-CN"/>
        </w:rPr>
        <w:t>四</w:t>
      </w:r>
      <w:r>
        <w:rPr>
          <w:rFonts w:hint="eastAsia" w:ascii="宋体" w:hAnsi="宋体" w:eastAsia="宋体" w:cs="宋体"/>
          <w:b/>
          <w:sz w:val="30"/>
          <w:szCs w:val="30"/>
          <w:highlight w:val="none"/>
          <w:lang w:val="zh-CN"/>
        </w:rPr>
        <w:t>章  响应文件组成</w:t>
      </w:r>
      <w:bookmarkEnd w:id="98"/>
      <w:bookmarkEnd w:id="99"/>
      <w:bookmarkEnd w:id="100"/>
      <w:bookmarkEnd w:id="101"/>
      <w:bookmarkEnd w:id="102"/>
      <w:bookmarkEnd w:id="103"/>
    </w:p>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5"/>
    <w:bookmarkEnd w:id="46"/>
    <w:bookmarkEnd w:id="47"/>
    <w:bookmarkEnd w:id="48"/>
    <w:bookmarkEnd w:id="49"/>
    <w:p w14:paraId="2D7B5CCB">
      <w:pPr>
        <w:rPr>
          <w:rFonts w:hint="eastAsia" w:ascii="宋体" w:hAnsi="宋体" w:eastAsia="宋体" w:cs="宋体"/>
          <w:highlight w:val="none"/>
        </w:rPr>
      </w:pPr>
    </w:p>
    <w:p w14:paraId="70A3B122">
      <w:pPr>
        <w:rPr>
          <w:rFonts w:hint="eastAsia" w:ascii="宋体" w:hAnsi="宋体" w:eastAsia="宋体" w:cs="宋体"/>
          <w:highlight w:val="none"/>
        </w:rPr>
      </w:pPr>
    </w:p>
    <w:p w14:paraId="52CF59F0">
      <w:pPr>
        <w:rPr>
          <w:rFonts w:hint="eastAsia" w:ascii="宋体" w:hAnsi="宋体" w:eastAsia="宋体" w:cs="宋体"/>
          <w:highlight w:val="none"/>
        </w:rPr>
      </w:pPr>
    </w:p>
    <w:p w14:paraId="77BA3E4D">
      <w:pPr>
        <w:spacing w:line="360" w:lineRule="auto"/>
        <w:jc w:val="center"/>
        <w:rPr>
          <w:rFonts w:hint="eastAsia" w:ascii="宋体" w:hAnsi="宋体" w:eastAsia="宋体" w:cs="宋体"/>
          <w:b/>
          <w:bCs/>
          <w:sz w:val="44"/>
          <w:szCs w:val="44"/>
          <w:highlight w:val="none"/>
          <w:lang w:eastAsia="zh-CN"/>
        </w:rPr>
      </w:pPr>
      <w:r>
        <w:rPr>
          <w:rFonts w:hint="eastAsia" w:ascii="宋体" w:hAnsi="宋体" w:eastAsia="宋体" w:cs="宋体"/>
          <w:b/>
          <w:bCs/>
          <w:sz w:val="44"/>
          <w:szCs w:val="44"/>
          <w:highlight w:val="none"/>
          <w:lang w:eastAsia="zh-CN"/>
        </w:rPr>
        <w:t>招采中心速通门及人脸识别设备采购项目</w:t>
      </w:r>
    </w:p>
    <w:p w14:paraId="3EF50250">
      <w:pPr>
        <w:rPr>
          <w:rFonts w:hint="eastAsia" w:ascii="宋体" w:hAnsi="宋体" w:eastAsia="宋体" w:cs="宋体"/>
          <w:highlight w:val="none"/>
        </w:rPr>
      </w:pPr>
    </w:p>
    <w:p w14:paraId="58669818">
      <w:pPr>
        <w:rPr>
          <w:rFonts w:hint="eastAsia" w:ascii="宋体" w:hAnsi="宋体" w:eastAsia="宋体" w:cs="宋体"/>
          <w:highlight w:val="none"/>
        </w:rPr>
      </w:pPr>
    </w:p>
    <w:p w14:paraId="72E5B32C">
      <w:pPr>
        <w:pStyle w:val="7"/>
        <w:ind w:firstLine="723"/>
        <w:rPr>
          <w:rFonts w:hint="eastAsia" w:ascii="宋体" w:hAnsi="宋体" w:eastAsia="宋体" w:cs="宋体"/>
          <w:b/>
          <w:bCs/>
          <w:sz w:val="36"/>
          <w:szCs w:val="36"/>
          <w:highlight w:val="none"/>
        </w:rPr>
      </w:pPr>
    </w:p>
    <w:p w14:paraId="711792BF">
      <w:pPr>
        <w:rPr>
          <w:rFonts w:hint="eastAsia" w:ascii="宋体" w:hAnsi="宋体" w:eastAsia="宋体" w:cs="宋体"/>
          <w:highlight w:val="none"/>
        </w:rPr>
      </w:pPr>
    </w:p>
    <w:p w14:paraId="30659BA7">
      <w:pPr>
        <w:rPr>
          <w:rFonts w:hint="eastAsia" w:ascii="宋体" w:hAnsi="宋体" w:eastAsia="宋体" w:cs="宋体"/>
          <w:highlight w:val="none"/>
        </w:rPr>
      </w:pPr>
    </w:p>
    <w:p w14:paraId="45112FA8">
      <w:pPr>
        <w:spacing w:line="360" w:lineRule="auto"/>
        <w:jc w:val="center"/>
        <w:rPr>
          <w:rFonts w:hint="eastAsia" w:ascii="宋体" w:hAnsi="宋体" w:eastAsia="宋体" w:cs="宋体"/>
          <w:sz w:val="44"/>
          <w:szCs w:val="44"/>
          <w:highlight w:val="none"/>
        </w:rPr>
      </w:pPr>
      <w:bookmarkStart w:id="104" w:name="_Toc25251"/>
      <w:r>
        <w:rPr>
          <w:rFonts w:hint="eastAsia" w:ascii="宋体" w:hAnsi="宋体" w:eastAsia="宋体" w:cs="宋体"/>
          <w:sz w:val="44"/>
          <w:szCs w:val="44"/>
          <w:highlight w:val="none"/>
        </w:rPr>
        <w:t>（响应文件）</w:t>
      </w:r>
      <w:bookmarkEnd w:id="104"/>
    </w:p>
    <w:p w14:paraId="3F5E1FA4">
      <w:pPr>
        <w:spacing w:line="360" w:lineRule="auto"/>
        <w:rPr>
          <w:rFonts w:hint="eastAsia" w:ascii="宋体" w:hAnsi="宋体" w:eastAsia="宋体" w:cs="宋体"/>
          <w:sz w:val="32"/>
          <w:highlight w:val="none"/>
        </w:rPr>
      </w:pPr>
    </w:p>
    <w:p w14:paraId="18F0A7BA">
      <w:pPr>
        <w:spacing w:line="440" w:lineRule="exact"/>
        <w:rPr>
          <w:rFonts w:hint="eastAsia" w:ascii="宋体" w:hAnsi="宋体" w:eastAsia="宋体" w:cs="宋体"/>
          <w:sz w:val="32"/>
          <w:highlight w:val="none"/>
        </w:rPr>
      </w:pPr>
    </w:p>
    <w:p w14:paraId="635F598B">
      <w:pPr>
        <w:spacing w:line="440" w:lineRule="exact"/>
        <w:rPr>
          <w:rFonts w:hint="eastAsia" w:ascii="宋体" w:hAnsi="宋体" w:eastAsia="宋体" w:cs="宋体"/>
          <w:sz w:val="32"/>
          <w:highlight w:val="none"/>
        </w:rPr>
      </w:pPr>
    </w:p>
    <w:p w14:paraId="5BFB1491">
      <w:pPr>
        <w:spacing w:line="440" w:lineRule="exact"/>
        <w:rPr>
          <w:rFonts w:hint="eastAsia" w:ascii="宋体" w:hAnsi="宋体" w:eastAsia="宋体" w:cs="宋体"/>
          <w:sz w:val="32"/>
          <w:highlight w:val="none"/>
        </w:rPr>
      </w:pPr>
    </w:p>
    <w:p w14:paraId="4A50EE2B">
      <w:pPr>
        <w:spacing w:line="440" w:lineRule="exact"/>
        <w:rPr>
          <w:rFonts w:hint="eastAsia" w:ascii="宋体" w:hAnsi="宋体" w:eastAsia="宋体" w:cs="宋体"/>
          <w:sz w:val="32"/>
          <w:highlight w:val="none"/>
        </w:rPr>
      </w:pPr>
    </w:p>
    <w:p w14:paraId="1DCDCC41">
      <w:pPr>
        <w:jc w:val="center"/>
        <w:rPr>
          <w:rFonts w:hint="eastAsia" w:ascii="宋体" w:hAnsi="宋体" w:eastAsia="宋体" w:cs="宋体"/>
          <w:b/>
          <w:bCs/>
          <w:sz w:val="28"/>
          <w:szCs w:val="28"/>
          <w:highlight w:val="none"/>
        </w:rPr>
      </w:pPr>
    </w:p>
    <w:p w14:paraId="7B218AEA">
      <w:pPr>
        <w:jc w:val="center"/>
        <w:rPr>
          <w:rFonts w:hint="eastAsia" w:ascii="宋体" w:hAnsi="宋体" w:eastAsia="宋体" w:cs="宋体"/>
          <w:b/>
          <w:bCs/>
          <w:sz w:val="28"/>
          <w:szCs w:val="28"/>
          <w:highlight w:val="none"/>
        </w:rPr>
      </w:pPr>
    </w:p>
    <w:p w14:paraId="50DB20C7">
      <w:pPr>
        <w:jc w:val="center"/>
        <w:rPr>
          <w:rFonts w:hint="eastAsia" w:ascii="宋体" w:hAnsi="宋体" w:eastAsia="宋体" w:cs="宋体"/>
          <w:b/>
          <w:bCs/>
          <w:sz w:val="28"/>
          <w:szCs w:val="28"/>
          <w:highlight w:val="none"/>
        </w:rPr>
      </w:pPr>
    </w:p>
    <w:p w14:paraId="0185502F">
      <w:pPr>
        <w:ind w:firstLine="1265" w:firstLineChars="450"/>
        <w:rPr>
          <w:rFonts w:hint="eastAsia" w:ascii="宋体" w:hAnsi="宋体" w:eastAsia="宋体" w:cs="宋体"/>
          <w:b/>
          <w:bCs/>
          <w:sz w:val="28"/>
          <w:szCs w:val="28"/>
          <w:highlight w:val="none"/>
        </w:rPr>
      </w:pPr>
    </w:p>
    <w:p w14:paraId="7261BF09">
      <w:pPr>
        <w:ind w:firstLine="1265" w:firstLineChars="450"/>
        <w:rPr>
          <w:rFonts w:hint="eastAsia" w:ascii="宋体" w:hAnsi="宋体" w:eastAsia="宋体" w:cs="宋体"/>
          <w:b/>
          <w:bCs/>
          <w:sz w:val="28"/>
          <w:szCs w:val="28"/>
          <w:highlight w:val="none"/>
          <w:u w:val="single"/>
        </w:rPr>
      </w:pPr>
      <w:r>
        <w:rPr>
          <w:rFonts w:hint="eastAsia" w:ascii="宋体" w:hAnsi="宋体" w:eastAsia="宋体" w:cs="宋体"/>
          <w:b/>
          <w:bCs/>
          <w:sz w:val="28"/>
          <w:szCs w:val="28"/>
          <w:highlight w:val="none"/>
        </w:rPr>
        <w:t xml:space="preserve">供应商: </w:t>
      </w:r>
      <w:r>
        <w:rPr>
          <w:rFonts w:hint="eastAsia" w:ascii="宋体" w:hAnsi="宋体" w:eastAsia="宋体" w:cs="宋体"/>
          <w:b/>
          <w:bCs/>
          <w:sz w:val="28"/>
          <w:szCs w:val="28"/>
          <w:highlight w:val="none"/>
          <w:u w:val="single"/>
        </w:rPr>
        <w:t xml:space="preserve">                    （全称）（盖章）</w:t>
      </w:r>
    </w:p>
    <w:p w14:paraId="2AEAC3AB">
      <w:pPr>
        <w:ind w:firstLine="1265" w:firstLineChars="450"/>
        <w:rPr>
          <w:rFonts w:hint="eastAsia" w:ascii="宋体" w:hAnsi="宋体" w:eastAsia="宋体" w:cs="宋体"/>
          <w:b/>
          <w:bCs/>
          <w:sz w:val="28"/>
          <w:szCs w:val="28"/>
          <w:highlight w:val="none"/>
          <w:u w:val="single"/>
        </w:rPr>
      </w:pPr>
      <w:r>
        <w:rPr>
          <w:rFonts w:hint="eastAsia" w:ascii="宋体" w:hAnsi="宋体" w:eastAsia="宋体" w:cs="宋体"/>
          <w:b/>
          <w:bCs/>
          <w:sz w:val="28"/>
          <w:szCs w:val="28"/>
          <w:highlight w:val="none"/>
        </w:rPr>
        <w:t>法定代表人：</w:t>
      </w:r>
      <w:r>
        <w:rPr>
          <w:rFonts w:hint="eastAsia" w:ascii="宋体" w:hAnsi="宋体" w:eastAsia="宋体" w:cs="宋体"/>
          <w:b/>
          <w:bCs/>
          <w:sz w:val="28"/>
          <w:szCs w:val="28"/>
          <w:highlight w:val="none"/>
          <w:u w:val="single"/>
        </w:rPr>
        <w:t xml:space="preserve">                  （签字或盖章）</w:t>
      </w:r>
    </w:p>
    <w:p w14:paraId="0B613ED5">
      <w:pPr>
        <w:ind w:firstLine="1265" w:firstLineChars="450"/>
        <w:rPr>
          <w:rFonts w:hint="eastAsia" w:ascii="宋体" w:hAnsi="宋体" w:eastAsia="宋体" w:cs="宋体"/>
          <w:b/>
          <w:bCs/>
          <w:sz w:val="32"/>
          <w:szCs w:val="32"/>
          <w:highlight w:val="none"/>
        </w:rPr>
        <w:sectPr>
          <w:footerReference r:id="rId7" w:type="default"/>
          <w:pgSz w:w="11905" w:h="16838"/>
          <w:pgMar w:top="1440" w:right="1803" w:bottom="1440" w:left="1803" w:header="850" w:footer="992" w:gutter="0"/>
          <w:pgBorders>
            <w:top w:val="none" w:sz="0" w:space="0"/>
            <w:left w:val="none" w:sz="0" w:space="0"/>
            <w:bottom w:val="none" w:sz="0" w:space="0"/>
            <w:right w:val="none" w:sz="0" w:space="0"/>
          </w:pgBorders>
          <w:cols w:space="720" w:num="1"/>
          <w:docGrid w:type="lines" w:linePitch="325" w:charSpace="0"/>
        </w:sectPr>
      </w:pPr>
      <w:r>
        <w:rPr>
          <w:rFonts w:hint="eastAsia" w:ascii="宋体" w:hAnsi="宋体" w:eastAsia="宋体" w:cs="宋体"/>
          <w:b/>
          <w:bCs/>
          <w:sz w:val="28"/>
          <w:szCs w:val="28"/>
          <w:highlight w:val="none"/>
        </w:rPr>
        <w:t>时  间：       年      月      日</w:t>
      </w:r>
    </w:p>
    <w:p w14:paraId="2CB41E56">
      <w:pPr>
        <w:pStyle w:val="5"/>
        <w:spacing w:before="0" w:after="0" w:line="440" w:lineRule="exact"/>
        <w:jc w:val="center"/>
        <w:rPr>
          <w:rFonts w:hint="eastAsia" w:ascii="宋体" w:hAnsi="宋体" w:eastAsia="宋体" w:cs="宋体"/>
          <w:sz w:val="30"/>
          <w:szCs w:val="30"/>
          <w:highlight w:val="none"/>
        </w:rPr>
      </w:pPr>
      <w:bookmarkStart w:id="105" w:name="_Toc15159"/>
      <w:bookmarkStart w:id="106" w:name="_Toc12306"/>
      <w:r>
        <w:rPr>
          <w:rFonts w:hint="eastAsia" w:ascii="宋体" w:hAnsi="宋体" w:eastAsia="宋体" w:cs="宋体"/>
          <w:sz w:val="30"/>
          <w:szCs w:val="30"/>
          <w:highlight w:val="none"/>
        </w:rPr>
        <w:t>一、法定代表人身份证明</w:t>
      </w:r>
      <w:bookmarkEnd w:id="105"/>
      <w:bookmarkEnd w:id="106"/>
    </w:p>
    <w:p w14:paraId="14FCA27C">
      <w:pPr>
        <w:pStyle w:val="12"/>
        <w:ind w:left="0" w:leftChars="0" w:firstLine="480" w:firstLineChars="200"/>
        <w:rPr>
          <w:rFonts w:hint="eastAsia" w:ascii="宋体" w:hAnsi="宋体" w:eastAsia="宋体" w:cs="宋体"/>
          <w:sz w:val="24"/>
          <w:szCs w:val="24"/>
          <w:highlight w:val="none"/>
        </w:rPr>
      </w:pPr>
    </w:p>
    <w:p w14:paraId="3AF22F56">
      <w:pPr>
        <w:pStyle w:val="12"/>
        <w:ind w:left="0" w:leftChars="0" w:firstLine="420" w:firstLineChars="175"/>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供应商名称：</w:t>
      </w:r>
      <w:r>
        <w:rPr>
          <w:rFonts w:hint="eastAsia" w:ascii="宋体" w:hAnsi="宋体" w:eastAsia="宋体" w:cs="宋体"/>
          <w:sz w:val="24"/>
          <w:szCs w:val="24"/>
          <w:highlight w:val="none"/>
          <w:u w:val="single"/>
        </w:rPr>
        <w:t xml:space="preserve">                                  </w:t>
      </w:r>
    </w:p>
    <w:p w14:paraId="6A715163">
      <w:pPr>
        <w:pStyle w:val="12"/>
        <w:ind w:left="0" w:leftChars="0" w:firstLine="420" w:firstLineChars="175"/>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地址：</w:t>
      </w:r>
      <w:r>
        <w:rPr>
          <w:rFonts w:hint="eastAsia" w:ascii="宋体" w:hAnsi="宋体" w:eastAsia="宋体" w:cs="宋体"/>
          <w:sz w:val="24"/>
          <w:szCs w:val="24"/>
          <w:highlight w:val="none"/>
          <w:u w:val="single"/>
        </w:rPr>
        <w:t xml:space="preserve">                                        </w:t>
      </w:r>
    </w:p>
    <w:p w14:paraId="184C2AE5">
      <w:pPr>
        <w:pStyle w:val="12"/>
        <w:ind w:left="0" w:leftChars="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成立时间：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3D164432">
      <w:pPr>
        <w:pStyle w:val="12"/>
        <w:ind w:left="0" w:leftChars="0" w:firstLine="420" w:firstLineChars="175"/>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经营期限：</w:t>
      </w:r>
      <w:r>
        <w:rPr>
          <w:rFonts w:hint="eastAsia" w:ascii="宋体" w:hAnsi="宋体" w:eastAsia="宋体" w:cs="宋体"/>
          <w:sz w:val="24"/>
          <w:szCs w:val="24"/>
          <w:highlight w:val="none"/>
          <w:u w:val="single"/>
        </w:rPr>
        <w:t xml:space="preserve">                                    </w:t>
      </w:r>
    </w:p>
    <w:p w14:paraId="1A430410">
      <w:pPr>
        <w:pStyle w:val="12"/>
        <w:ind w:left="0" w:leftChars="0" w:firstLine="420" w:firstLineChars="175"/>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姓名：</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性别：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年龄：</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职务：</w:t>
      </w:r>
      <w:r>
        <w:rPr>
          <w:rFonts w:hint="eastAsia" w:ascii="宋体" w:hAnsi="宋体" w:eastAsia="宋体" w:cs="宋体"/>
          <w:sz w:val="24"/>
          <w:szCs w:val="24"/>
          <w:highlight w:val="none"/>
          <w:u w:val="single"/>
        </w:rPr>
        <w:t xml:space="preserve">              </w:t>
      </w:r>
    </w:p>
    <w:p w14:paraId="17FFA1BF">
      <w:pPr>
        <w:pStyle w:val="12"/>
        <w:ind w:left="0" w:leftChars="0"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系</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（供应商名称）的法定代表人。特此证明。</w:t>
      </w:r>
    </w:p>
    <w:p w14:paraId="44ECDE40">
      <w:pPr>
        <w:spacing w:line="360" w:lineRule="auto"/>
        <w:ind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附：法定代表人身份证复印件或扫描件。</w:t>
      </w:r>
    </w:p>
    <w:tbl>
      <w:tblPr>
        <w:tblStyle w:val="22"/>
        <w:tblW w:w="91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80"/>
      </w:tblGrid>
      <w:tr w14:paraId="59951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93" w:hRule="atLeast"/>
        </w:trPr>
        <w:tc>
          <w:tcPr>
            <w:tcW w:w="9174" w:type="dxa"/>
            <w:tcBorders>
              <w:top w:val="single" w:color="000000" w:sz="4" w:space="0"/>
              <w:left w:val="single" w:color="000000" w:sz="4" w:space="0"/>
              <w:bottom w:val="single" w:color="000000" w:sz="4" w:space="0"/>
              <w:right w:val="single" w:color="000000" w:sz="4" w:space="0"/>
            </w:tcBorders>
            <w:vAlign w:val="center"/>
          </w:tcPr>
          <w:p w14:paraId="64EC5566">
            <w:pPr>
              <w:pStyle w:val="12"/>
              <w:adjustRightInd w:val="0"/>
              <w:snapToGrid w:val="0"/>
              <w:ind w:left="764" w:hanging="449"/>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法定代表人身份证复印件或扫描件</w:t>
            </w:r>
          </w:p>
        </w:tc>
      </w:tr>
    </w:tbl>
    <w:p w14:paraId="480D73F8">
      <w:pPr>
        <w:pStyle w:val="12"/>
        <w:adjustRightInd w:val="0"/>
        <w:snapToGrid w:val="0"/>
        <w:ind w:left="315" w:leftChars="0" w:firstLine="480" w:firstLineChars="200"/>
        <w:jc w:val="right"/>
        <w:rPr>
          <w:rFonts w:hint="eastAsia" w:ascii="宋体" w:hAnsi="宋体" w:eastAsia="宋体" w:cs="宋体"/>
          <w:sz w:val="24"/>
          <w:szCs w:val="24"/>
          <w:highlight w:val="none"/>
        </w:rPr>
      </w:pPr>
    </w:p>
    <w:p w14:paraId="4726DEA4">
      <w:pPr>
        <w:spacing w:line="360" w:lineRule="auto"/>
        <w:rPr>
          <w:rFonts w:hint="eastAsia" w:ascii="宋体" w:hAnsi="宋体" w:eastAsia="宋体" w:cs="宋体"/>
          <w:sz w:val="24"/>
          <w:szCs w:val="24"/>
          <w:highlight w:val="none"/>
        </w:rPr>
      </w:pPr>
    </w:p>
    <w:p w14:paraId="3938027C">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供应商：</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（盖单位公章）</w:t>
      </w:r>
    </w:p>
    <w:p w14:paraId="34C41EC6">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（签字或盖章）</w:t>
      </w:r>
    </w:p>
    <w:p w14:paraId="62DD4F98">
      <w:pPr>
        <w:pStyle w:val="12"/>
        <w:adjustRightInd w:val="0"/>
        <w:snapToGrid w:val="0"/>
        <w:ind w:left="0" w:leftChars="0" w:right="131"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5F4366DD">
      <w:pPr>
        <w:pStyle w:val="12"/>
        <w:adjustRightInd w:val="0"/>
        <w:snapToGrid w:val="0"/>
        <w:ind w:left="315" w:leftChars="0" w:right="131" w:firstLine="560" w:firstLineChars="200"/>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br w:type="page"/>
      </w:r>
    </w:p>
    <w:p w14:paraId="37CE14A9">
      <w:pPr>
        <w:pStyle w:val="5"/>
        <w:spacing w:before="0" w:after="0" w:line="440" w:lineRule="exact"/>
        <w:jc w:val="center"/>
        <w:rPr>
          <w:rFonts w:hint="eastAsia" w:ascii="宋体" w:hAnsi="宋体" w:eastAsia="宋体" w:cs="宋体"/>
          <w:sz w:val="30"/>
          <w:szCs w:val="30"/>
          <w:highlight w:val="none"/>
        </w:rPr>
      </w:pPr>
      <w:bookmarkStart w:id="107" w:name="_Toc2797"/>
      <w:bookmarkStart w:id="108" w:name="_Toc49268612"/>
      <w:bookmarkStart w:id="109" w:name="_Toc7783"/>
      <w:bookmarkStart w:id="110" w:name="_Toc12517"/>
      <w:bookmarkStart w:id="111" w:name="_Toc20805"/>
      <w:bookmarkStart w:id="112" w:name="_Toc467764295"/>
      <w:bookmarkStart w:id="113" w:name="_Toc23027"/>
      <w:bookmarkStart w:id="114" w:name="_Toc514430469"/>
      <w:bookmarkStart w:id="115" w:name="_Toc17963"/>
      <w:bookmarkStart w:id="116" w:name="_Toc11617"/>
      <w:bookmarkStart w:id="117" w:name="_Toc52196411"/>
      <w:bookmarkStart w:id="118" w:name="_Toc24345"/>
      <w:bookmarkStart w:id="119" w:name="_Toc21014"/>
      <w:bookmarkStart w:id="120" w:name="_Toc455145949"/>
      <w:bookmarkStart w:id="121" w:name="_Toc459729771"/>
      <w:bookmarkStart w:id="122" w:name="_Toc5627"/>
      <w:bookmarkStart w:id="123" w:name="_Toc29790"/>
      <w:bookmarkStart w:id="124" w:name="_Toc388189058"/>
      <w:bookmarkStart w:id="125" w:name="_Toc21361"/>
      <w:bookmarkStart w:id="126" w:name="_Toc25789"/>
      <w:r>
        <w:rPr>
          <w:rFonts w:hint="eastAsia" w:ascii="宋体" w:hAnsi="宋体" w:eastAsia="宋体" w:cs="宋体"/>
          <w:sz w:val="30"/>
          <w:szCs w:val="30"/>
          <w:highlight w:val="none"/>
        </w:rPr>
        <w:t>二、授权委托书</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77FB7234">
      <w:pPr>
        <w:spacing w:line="360" w:lineRule="auto"/>
        <w:ind w:firstLine="480" w:firstLineChars="200"/>
        <w:rPr>
          <w:rFonts w:hint="eastAsia" w:ascii="宋体" w:hAnsi="宋体" w:eastAsia="宋体" w:cs="宋体"/>
          <w:sz w:val="24"/>
          <w:szCs w:val="24"/>
          <w:highlight w:val="none"/>
        </w:rPr>
      </w:pPr>
      <w:bookmarkStart w:id="127" w:name="_Toc18209295"/>
    </w:p>
    <w:p w14:paraId="04593ACB">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（姓名），系</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供应商名称）的法定代表人，现委托</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（姓名）为我方代理人，代理人有权签署、澄清确认、递交、撤回、修改</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（项目名称）响应文件、签订合同和处理有关事宜，其法律后果由我方承担。</w:t>
      </w:r>
    </w:p>
    <w:p w14:paraId="6E3121A2">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代理人无转委托权。</w:t>
      </w:r>
    </w:p>
    <w:p w14:paraId="6DE44447">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附：委托代理人身份证复印件或扫描件</w:t>
      </w:r>
    </w:p>
    <w:tbl>
      <w:tblPr>
        <w:tblStyle w:val="22"/>
        <w:tblW w:w="91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80"/>
      </w:tblGrid>
      <w:tr w14:paraId="7B974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3" w:hRule="atLeast"/>
        </w:trPr>
        <w:tc>
          <w:tcPr>
            <w:tcW w:w="9174" w:type="dxa"/>
            <w:tcBorders>
              <w:top w:val="single" w:color="000000" w:sz="4" w:space="0"/>
              <w:left w:val="single" w:color="000000" w:sz="4" w:space="0"/>
              <w:bottom w:val="single" w:color="000000" w:sz="4" w:space="0"/>
              <w:right w:val="single" w:color="000000" w:sz="4" w:space="0"/>
            </w:tcBorders>
            <w:vAlign w:val="center"/>
          </w:tcPr>
          <w:p w14:paraId="691C3E84">
            <w:pPr>
              <w:pStyle w:val="12"/>
              <w:adjustRightInd w:val="0"/>
              <w:snapToGrid w:val="0"/>
              <w:ind w:left="764" w:hanging="449"/>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委托代理人身份证复印件或扫描件</w:t>
            </w:r>
          </w:p>
        </w:tc>
      </w:tr>
    </w:tbl>
    <w:p w14:paraId="76CC2422">
      <w:pPr>
        <w:spacing w:line="360" w:lineRule="auto"/>
        <w:rPr>
          <w:rFonts w:hint="eastAsia" w:ascii="宋体" w:hAnsi="宋体" w:eastAsia="宋体" w:cs="宋体"/>
          <w:sz w:val="24"/>
          <w:szCs w:val="24"/>
          <w:highlight w:val="none"/>
        </w:rPr>
      </w:pPr>
    </w:p>
    <w:p w14:paraId="109310AF">
      <w:pPr>
        <w:spacing w:line="360" w:lineRule="auto"/>
        <w:rPr>
          <w:rFonts w:hint="eastAsia" w:ascii="宋体" w:hAnsi="宋体" w:eastAsia="宋体" w:cs="宋体"/>
          <w:sz w:val="24"/>
          <w:szCs w:val="24"/>
          <w:highlight w:val="none"/>
        </w:rPr>
      </w:pPr>
    </w:p>
    <w:p w14:paraId="74F3C570">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供应商：</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（盖单位公章）</w:t>
      </w:r>
    </w:p>
    <w:p w14:paraId="46EA5EE9">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（签字或盖章）</w:t>
      </w:r>
    </w:p>
    <w:p w14:paraId="69C1EB4E">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委托代理人：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（签字或盖章）</w:t>
      </w:r>
    </w:p>
    <w:p w14:paraId="21036BF8">
      <w:pPr>
        <w:spacing w:line="360" w:lineRule="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委托代理人联系方式：</w:t>
      </w:r>
      <w:r>
        <w:rPr>
          <w:rFonts w:hint="eastAsia" w:ascii="宋体" w:hAnsi="宋体" w:eastAsia="宋体" w:cs="宋体"/>
          <w:sz w:val="24"/>
          <w:szCs w:val="24"/>
          <w:highlight w:val="none"/>
          <w:u w:val="single"/>
        </w:rPr>
        <w:t xml:space="preserve">                             </w:t>
      </w:r>
    </w:p>
    <w:p w14:paraId="1B51CE8E">
      <w:pPr>
        <w:tabs>
          <w:tab w:val="left" w:pos="6387"/>
        </w:tabs>
        <w:spacing w:line="360" w:lineRule="auto"/>
        <w:ind w:right="-88" w:rightChars="-42"/>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bookmarkEnd w:id="127"/>
    </w:p>
    <w:p w14:paraId="2C6DDFAD">
      <w:pPr>
        <w:widowControl/>
        <w:jc w:val="left"/>
        <w:rPr>
          <w:rFonts w:hint="eastAsia" w:ascii="宋体" w:hAnsi="宋体" w:eastAsia="宋体" w:cs="宋体"/>
          <w:color w:val="000000"/>
          <w:kern w:val="0"/>
          <w:sz w:val="28"/>
          <w:szCs w:val="28"/>
          <w:highlight w:val="none"/>
        </w:rPr>
      </w:pPr>
      <w:r>
        <w:rPr>
          <w:rFonts w:hint="eastAsia" w:ascii="宋体" w:hAnsi="宋体" w:eastAsia="宋体" w:cs="宋体"/>
          <w:color w:val="000000"/>
          <w:sz w:val="28"/>
          <w:szCs w:val="28"/>
          <w:highlight w:val="none"/>
        </w:rPr>
        <w:br w:type="page"/>
      </w:r>
    </w:p>
    <w:p w14:paraId="3AFC3F3E">
      <w:pPr>
        <w:pStyle w:val="5"/>
        <w:spacing w:before="0" w:after="0" w:line="440" w:lineRule="exact"/>
        <w:jc w:val="center"/>
        <w:rPr>
          <w:rFonts w:hint="eastAsia" w:ascii="宋体" w:hAnsi="宋体" w:eastAsia="宋体" w:cs="宋体"/>
          <w:sz w:val="30"/>
          <w:szCs w:val="30"/>
          <w:highlight w:val="none"/>
          <w:lang w:val="en-US" w:eastAsia="zh-CN"/>
        </w:rPr>
      </w:pPr>
      <w:bookmarkStart w:id="128" w:name="_Toc25013"/>
      <w:bookmarkStart w:id="129" w:name="_Toc23280"/>
      <w:r>
        <w:rPr>
          <w:rFonts w:hint="eastAsia" w:ascii="宋体" w:hAnsi="宋体" w:eastAsia="宋体" w:cs="宋体"/>
          <w:sz w:val="30"/>
          <w:szCs w:val="30"/>
          <w:highlight w:val="none"/>
          <w:lang w:val="en-US" w:eastAsia="zh-CN"/>
        </w:rPr>
        <w:t>三</w:t>
      </w:r>
      <w:r>
        <w:rPr>
          <w:rFonts w:hint="eastAsia" w:ascii="宋体" w:hAnsi="宋体" w:eastAsia="宋体" w:cs="宋体"/>
          <w:sz w:val="30"/>
          <w:szCs w:val="30"/>
          <w:highlight w:val="none"/>
        </w:rPr>
        <w:t>、</w:t>
      </w:r>
      <w:r>
        <w:rPr>
          <w:rFonts w:hint="eastAsia" w:ascii="宋体" w:hAnsi="宋体" w:eastAsia="宋体" w:cs="宋体"/>
          <w:sz w:val="30"/>
          <w:szCs w:val="30"/>
          <w:highlight w:val="none"/>
          <w:lang w:val="en-US" w:eastAsia="zh-CN"/>
        </w:rPr>
        <w:t>营业执照</w:t>
      </w:r>
      <w:bookmarkEnd w:id="128"/>
    </w:p>
    <w:p w14:paraId="51EDE98C">
      <w:pPr>
        <w:rPr>
          <w:rFonts w:hint="eastAsia" w:ascii="宋体" w:hAnsi="宋体" w:eastAsia="宋体" w:cs="宋体"/>
          <w:sz w:val="24"/>
          <w:szCs w:val="24"/>
          <w:highlight w:val="none"/>
        </w:rPr>
      </w:pPr>
    </w:p>
    <w:p w14:paraId="185D0363">
      <w:pP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提供</w:t>
      </w:r>
      <w:r>
        <w:rPr>
          <w:rFonts w:hint="eastAsia" w:ascii="宋体" w:hAnsi="宋体" w:eastAsia="宋体" w:cs="宋体"/>
          <w:sz w:val="24"/>
          <w:szCs w:val="24"/>
          <w:highlight w:val="none"/>
        </w:rPr>
        <w:t>营业执照或事业单位法人证书复印件或扫描件。</w:t>
      </w:r>
      <w:r>
        <w:rPr>
          <w:rFonts w:hint="eastAsia" w:ascii="宋体" w:hAnsi="宋体" w:eastAsia="宋体" w:cs="宋体"/>
          <w:sz w:val="24"/>
          <w:szCs w:val="24"/>
          <w:highlight w:val="none"/>
        </w:rPr>
        <w:br w:type="page"/>
      </w:r>
    </w:p>
    <w:p w14:paraId="73533792">
      <w:pPr>
        <w:pStyle w:val="5"/>
        <w:spacing w:before="0" w:after="0" w:line="440" w:lineRule="exact"/>
        <w:jc w:val="center"/>
        <w:rPr>
          <w:rFonts w:hint="eastAsia" w:ascii="宋体" w:hAnsi="宋体" w:eastAsia="宋体" w:cs="宋体"/>
          <w:sz w:val="30"/>
          <w:szCs w:val="30"/>
          <w:highlight w:val="none"/>
        </w:rPr>
      </w:pPr>
      <w:bookmarkStart w:id="130" w:name="_Toc9673"/>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rPr>
        <w:t>、业绩证明</w:t>
      </w:r>
      <w:bookmarkEnd w:id="129"/>
      <w:bookmarkEnd w:id="130"/>
    </w:p>
    <w:p w14:paraId="5A87D0ED">
      <w:pPr>
        <w:rPr>
          <w:rFonts w:hint="eastAsia" w:ascii="宋体" w:hAnsi="宋体" w:eastAsia="宋体" w:cs="宋体"/>
          <w:sz w:val="24"/>
          <w:szCs w:val="24"/>
          <w:highlight w:val="none"/>
        </w:rPr>
      </w:pPr>
    </w:p>
    <w:p w14:paraId="2766FBBA">
      <w:pPr>
        <w:rPr>
          <w:rFonts w:hint="eastAsia" w:ascii="宋体" w:hAnsi="宋体" w:eastAsia="宋体" w:cs="宋体"/>
          <w:sz w:val="30"/>
          <w:szCs w:val="30"/>
          <w:highlight w:val="none"/>
        </w:rPr>
      </w:pPr>
      <w:r>
        <w:rPr>
          <w:rFonts w:hint="eastAsia" w:ascii="宋体" w:hAnsi="宋体" w:eastAsia="宋体" w:cs="宋体"/>
          <w:sz w:val="24"/>
          <w:szCs w:val="24"/>
          <w:highlight w:val="none"/>
        </w:rPr>
        <w:t>提供合同等资料复印件或扫描件。</w:t>
      </w:r>
      <w:r>
        <w:rPr>
          <w:rFonts w:hint="eastAsia" w:ascii="宋体" w:hAnsi="宋体" w:eastAsia="宋体" w:cs="宋体"/>
          <w:sz w:val="30"/>
          <w:szCs w:val="30"/>
          <w:highlight w:val="none"/>
        </w:rPr>
        <w:br w:type="page"/>
      </w:r>
    </w:p>
    <w:p w14:paraId="34D3CA10">
      <w:pPr>
        <w:pStyle w:val="5"/>
        <w:spacing w:before="0" w:after="0" w:line="440" w:lineRule="exact"/>
        <w:jc w:val="center"/>
        <w:rPr>
          <w:rFonts w:hint="eastAsia" w:ascii="宋体" w:hAnsi="宋体" w:eastAsia="宋体" w:cs="宋体"/>
          <w:sz w:val="30"/>
          <w:szCs w:val="30"/>
          <w:highlight w:val="none"/>
        </w:rPr>
      </w:pPr>
      <w:bookmarkStart w:id="131" w:name="_Toc29140"/>
      <w:bookmarkStart w:id="132" w:name="_Toc4025"/>
      <w:r>
        <w:rPr>
          <w:rFonts w:hint="eastAsia" w:ascii="宋体" w:hAnsi="宋体" w:eastAsia="宋体" w:cs="宋体"/>
          <w:sz w:val="30"/>
          <w:szCs w:val="30"/>
          <w:highlight w:val="none"/>
          <w:lang w:val="en-US" w:eastAsia="zh-CN"/>
        </w:rPr>
        <w:t>五</w:t>
      </w:r>
      <w:r>
        <w:rPr>
          <w:rFonts w:hint="eastAsia" w:ascii="宋体" w:hAnsi="宋体" w:eastAsia="宋体" w:cs="宋体"/>
          <w:sz w:val="30"/>
          <w:szCs w:val="30"/>
          <w:highlight w:val="none"/>
        </w:rPr>
        <w:t>、</w:t>
      </w:r>
      <w:bookmarkEnd w:id="131"/>
      <w:bookmarkStart w:id="133" w:name="_Toc7057"/>
      <w:r>
        <w:rPr>
          <w:rFonts w:hint="eastAsia" w:ascii="宋体" w:hAnsi="宋体" w:eastAsia="宋体" w:cs="宋体"/>
          <w:sz w:val="30"/>
          <w:szCs w:val="30"/>
          <w:highlight w:val="none"/>
        </w:rPr>
        <w:t>询价响应函</w:t>
      </w:r>
      <w:bookmarkEnd w:id="132"/>
      <w:bookmarkEnd w:id="133"/>
    </w:p>
    <w:p w14:paraId="3BFBAA32">
      <w:pPr>
        <w:pStyle w:val="20"/>
        <w:shd w:val="clear" w:color="auto" w:fill="FFFFFF"/>
        <w:spacing w:before="0" w:beforeAutospacing="0" w:after="0" w:afterAutospacing="0" w:line="440" w:lineRule="exact"/>
        <w:jc w:val="both"/>
        <w:rPr>
          <w:rFonts w:hint="eastAsia" w:ascii="宋体" w:hAnsi="宋体" w:eastAsia="宋体" w:cs="宋体"/>
          <w:b/>
          <w:color w:val="000000"/>
          <w:highlight w:val="none"/>
        </w:rPr>
      </w:pPr>
      <w:r>
        <w:rPr>
          <w:rFonts w:hint="eastAsia" w:ascii="宋体" w:hAnsi="宋体" w:eastAsia="宋体" w:cs="宋体"/>
          <w:b/>
          <w:color w:val="000000"/>
          <w:highlight w:val="none"/>
          <w:u w:val="single"/>
          <w:shd w:val="clear" w:color="auto" w:fill="FFFFFF"/>
          <w:lang w:eastAsia="zh-CN"/>
        </w:rPr>
        <w:t>南通轨道资源开发有限公司</w:t>
      </w:r>
      <w:r>
        <w:rPr>
          <w:rFonts w:hint="eastAsia" w:ascii="宋体" w:hAnsi="宋体" w:eastAsia="宋体" w:cs="宋体"/>
          <w:b/>
          <w:color w:val="000000"/>
          <w:highlight w:val="none"/>
          <w:u w:val="single"/>
          <w:shd w:val="clear" w:color="auto" w:fill="FFFFFF"/>
        </w:rPr>
        <w:t>：</w:t>
      </w:r>
    </w:p>
    <w:p w14:paraId="40BD0699">
      <w:pPr>
        <w:pStyle w:val="20"/>
        <w:shd w:val="clear" w:color="auto" w:fill="FFFFFF"/>
        <w:spacing w:before="0" w:beforeAutospacing="0" w:after="0" w:afterAutospacing="0" w:line="440" w:lineRule="exact"/>
        <w:ind w:firstLine="480" w:firstLineChars="200"/>
        <w:jc w:val="both"/>
        <w:rPr>
          <w:rFonts w:hint="eastAsia" w:ascii="宋体" w:hAnsi="宋体" w:eastAsia="宋体" w:cs="宋体"/>
          <w:color w:val="000000"/>
          <w:highlight w:val="none"/>
          <w:shd w:val="clear" w:color="auto" w:fill="FFFFFF"/>
        </w:rPr>
      </w:pPr>
      <w:r>
        <w:rPr>
          <w:rFonts w:hint="eastAsia" w:ascii="宋体" w:hAnsi="宋体" w:eastAsia="宋体" w:cs="宋体"/>
          <w:highlight w:val="none"/>
        </w:rPr>
        <w:t>根据已收到的</w:t>
      </w:r>
      <w:r>
        <w:rPr>
          <w:rFonts w:hint="eastAsia" w:ascii="宋体" w:hAnsi="宋体" w:eastAsia="宋体" w:cs="宋体"/>
          <w:highlight w:val="none"/>
          <w:u w:val="single"/>
        </w:rPr>
        <w:t xml:space="preserve">              （项目名称）</w:t>
      </w:r>
      <w:r>
        <w:rPr>
          <w:rFonts w:hint="eastAsia" w:ascii="宋体" w:hAnsi="宋体" w:eastAsia="宋体" w:cs="宋体"/>
          <w:highlight w:val="none"/>
        </w:rPr>
        <w:t>询价文件，遵照规定,我方经考察和认真研究上述询价文件后，愿承认其全部内容。</w:t>
      </w:r>
    </w:p>
    <w:p w14:paraId="2EB2EB88">
      <w:pPr>
        <w:pStyle w:val="20"/>
        <w:shd w:val="clear" w:color="auto" w:fill="FFFFFF"/>
        <w:spacing w:before="0" w:beforeAutospacing="0" w:after="0" w:afterAutospacing="0" w:line="440" w:lineRule="exact"/>
        <w:ind w:firstLine="480" w:firstLineChars="200"/>
        <w:jc w:val="both"/>
        <w:rPr>
          <w:rFonts w:hint="eastAsia" w:ascii="宋体" w:hAnsi="宋体" w:eastAsia="宋体" w:cs="宋体"/>
          <w:color w:val="000000"/>
          <w:highlight w:val="none"/>
        </w:rPr>
      </w:pPr>
      <w:r>
        <w:rPr>
          <w:rFonts w:hint="eastAsia" w:ascii="宋体" w:hAnsi="宋体" w:eastAsia="宋体" w:cs="宋体"/>
          <w:color w:val="000000"/>
          <w:highlight w:val="none"/>
          <w:shd w:val="clear" w:color="auto" w:fill="FFFFFF"/>
        </w:rPr>
        <w:t>1.我方以询价响应文件中的总报价和分项报价，按询价文件中的要求承担</w:t>
      </w:r>
      <w:r>
        <w:rPr>
          <w:rFonts w:hint="eastAsia" w:cs="宋体"/>
          <w:color w:val="000000"/>
          <w:highlight w:val="none"/>
          <w:u w:val="single"/>
          <w:shd w:val="clear" w:color="auto" w:fill="FFFFFF"/>
          <w:lang w:eastAsia="zh-CN"/>
        </w:rPr>
        <w:t>招采中心速通门及人脸识别设备采购项目</w:t>
      </w:r>
      <w:r>
        <w:rPr>
          <w:rFonts w:hint="eastAsia" w:ascii="宋体" w:hAnsi="宋体" w:eastAsia="宋体" w:cs="宋体"/>
          <w:color w:val="000000"/>
          <w:highlight w:val="none"/>
          <w:shd w:val="clear" w:color="auto" w:fill="FFFFFF"/>
        </w:rPr>
        <w:t>的全部工作内容。</w:t>
      </w:r>
    </w:p>
    <w:p w14:paraId="210292FB">
      <w:pPr>
        <w:pStyle w:val="20"/>
        <w:shd w:val="clear" w:color="auto" w:fill="FFFFFF"/>
        <w:spacing w:before="0" w:beforeAutospacing="0" w:after="0" w:afterAutospacing="0" w:line="440" w:lineRule="exact"/>
        <w:ind w:firstLine="480"/>
        <w:jc w:val="both"/>
        <w:rPr>
          <w:rFonts w:hint="eastAsia" w:ascii="宋体" w:hAnsi="宋体" w:eastAsia="宋体" w:cs="宋体"/>
          <w:color w:val="000000"/>
          <w:highlight w:val="none"/>
          <w:shd w:val="clear" w:color="auto" w:fill="FFFFFF"/>
        </w:rPr>
      </w:pPr>
      <w:r>
        <w:rPr>
          <w:rFonts w:hint="eastAsia" w:ascii="宋体" w:hAnsi="宋体" w:eastAsia="宋体" w:cs="宋体"/>
          <w:color w:val="000000"/>
          <w:highlight w:val="none"/>
          <w:shd w:val="clear" w:color="auto" w:fill="FFFFFF"/>
        </w:rPr>
        <w:t>2．如果贵方接受我方询价响应，我方在接到成交通知书后将按成交通知书和询价文件的要求及时签订合同，提交履约保证金。我方保证在询价文件中规定的期限内按照要求提交成果，按询价文件的规定履行合同责任和义务。</w:t>
      </w:r>
    </w:p>
    <w:p w14:paraId="7ACD611A">
      <w:pPr>
        <w:pStyle w:val="20"/>
        <w:shd w:val="clear" w:color="auto" w:fill="FFFFFF"/>
        <w:spacing w:before="0" w:beforeAutospacing="0" w:after="0" w:afterAutospacing="0" w:line="440" w:lineRule="exact"/>
        <w:ind w:firstLine="480"/>
        <w:jc w:val="both"/>
        <w:rPr>
          <w:rFonts w:hint="eastAsia" w:ascii="宋体" w:hAnsi="宋体" w:eastAsia="宋体" w:cs="宋体"/>
          <w:color w:val="000000"/>
          <w:highlight w:val="none"/>
          <w:shd w:val="clear" w:color="auto" w:fill="FFFFFF"/>
        </w:rPr>
      </w:pPr>
      <w:r>
        <w:rPr>
          <w:rFonts w:hint="eastAsia" w:ascii="宋体" w:hAnsi="宋体" w:eastAsia="宋体" w:cs="宋体"/>
          <w:color w:val="000000"/>
          <w:highlight w:val="none"/>
          <w:shd w:val="clear" w:color="auto" w:fill="FFFFFF"/>
        </w:rPr>
        <w:t>3.我方的询价响应文件自递交文件后60天内有效。</w:t>
      </w:r>
    </w:p>
    <w:p w14:paraId="34130BF2">
      <w:pPr>
        <w:pStyle w:val="20"/>
        <w:shd w:val="clear" w:color="auto" w:fill="FFFFFF"/>
        <w:spacing w:before="0" w:beforeAutospacing="0" w:after="0" w:afterAutospacing="0" w:line="440" w:lineRule="exact"/>
        <w:ind w:firstLine="480"/>
        <w:jc w:val="both"/>
        <w:rPr>
          <w:rFonts w:hint="eastAsia" w:ascii="宋体" w:hAnsi="宋体" w:eastAsia="宋体" w:cs="宋体"/>
          <w:color w:val="000000"/>
          <w:highlight w:val="none"/>
          <w:shd w:val="clear" w:color="auto" w:fill="FFFFFF"/>
        </w:rPr>
      </w:pPr>
      <w:r>
        <w:rPr>
          <w:rFonts w:hint="eastAsia" w:ascii="宋体" w:hAnsi="宋体" w:eastAsia="宋体" w:cs="宋体"/>
          <w:color w:val="000000"/>
          <w:highlight w:val="none"/>
          <w:shd w:val="clear" w:color="auto" w:fill="FFFFFF"/>
        </w:rPr>
        <w:t>4.我方充分理解贵方询价文件所提出的关于人员、设备、管理等提出的隐性要求，一旦中标，确保能按照贵方要求执行，否则愿意接受贵方对我方的相关处罚。</w:t>
      </w:r>
    </w:p>
    <w:p w14:paraId="59BE1329">
      <w:pPr>
        <w:pStyle w:val="20"/>
        <w:shd w:val="clear" w:color="auto" w:fill="FFFFFF"/>
        <w:spacing w:before="0" w:beforeAutospacing="0" w:after="0" w:afterAutospacing="0" w:line="440" w:lineRule="exact"/>
        <w:ind w:firstLine="480"/>
        <w:jc w:val="both"/>
        <w:rPr>
          <w:rFonts w:hint="eastAsia" w:ascii="宋体" w:hAnsi="宋体" w:eastAsia="宋体" w:cs="宋体"/>
          <w:color w:val="000000"/>
          <w:highlight w:val="none"/>
          <w:shd w:val="clear" w:color="auto" w:fill="FFFFFF"/>
        </w:rPr>
      </w:pPr>
      <w:r>
        <w:rPr>
          <w:rFonts w:hint="eastAsia" w:ascii="宋体" w:hAnsi="宋体" w:eastAsia="宋体" w:cs="宋体"/>
          <w:color w:val="000000"/>
          <w:highlight w:val="none"/>
          <w:shd w:val="clear" w:color="auto" w:fill="FFFFFF"/>
        </w:rPr>
        <w:t>5.我方理解，贵方不一定接受最低标价的投标或可能接受其他任何投标；同时也理解，贵方不负担我单位的任何投标费用。</w:t>
      </w:r>
    </w:p>
    <w:p w14:paraId="6BF1FA56">
      <w:pPr>
        <w:pStyle w:val="20"/>
        <w:shd w:val="clear" w:color="auto" w:fill="FFFFFF"/>
        <w:spacing w:before="0" w:beforeAutospacing="0" w:after="0" w:afterAutospacing="0" w:line="440" w:lineRule="exact"/>
        <w:ind w:firstLine="480"/>
        <w:jc w:val="both"/>
        <w:rPr>
          <w:rFonts w:hint="eastAsia" w:ascii="宋体" w:hAnsi="宋体" w:eastAsia="宋体" w:cs="宋体"/>
          <w:color w:val="000000"/>
          <w:highlight w:val="none"/>
          <w:shd w:val="clear" w:color="auto" w:fill="FFFFFF"/>
        </w:rPr>
      </w:pPr>
      <w:r>
        <w:rPr>
          <w:rFonts w:hint="eastAsia" w:ascii="宋体" w:hAnsi="宋体" w:eastAsia="宋体" w:cs="宋体"/>
          <w:color w:val="000000"/>
          <w:highlight w:val="none"/>
          <w:shd w:val="clear" w:color="auto" w:fill="FFFFFF"/>
        </w:rPr>
        <w:t>6.我方承诺：本询价响应文件提供的信息、数据、资料或证书均真实有效，否则贵方有权取消我方的询价响应或中标资格。</w:t>
      </w:r>
    </w:p>
    <w:p w14:paraId="3D1DAB68">
      <w:pPr>
        <w:pStyle w:val="20"/>
        <w:shd w:val="clear" w:color="auto" w:fill="FFFFFF"/>
        <w:spacing w:before="0" w:beforeAutospacing="0" w:after="0" w:afterAutospacing="0" w:line="440" w:lineRule="exact"/>
        <w:ind w:firstLine="480"/>
        <w:jc w:val="both"/>
        <w:rPr>
          <w:rFonts w:hint="eastAsia" w:ascii="宋体" w:hAnsi="宋体" w:eastAsia="宋体" w:cs="宋体"/>
          <w:color w:val="000000"/>
          <w:highlight w:val="none"/>
          <w:shd w:val="clear" w:color="auto" w:fill="FFFFFF"/>
        </w:rPr>
      </w:pPr>
      <w:r>
        <w:rPr>
          <w:rFonts w:hint="eastAsia" w:ascii="宋体" w:hAnsi="宋体" w:eastAsia="宋体" w:cs="宋体"/>
          <w:color w:val="000000"/>
          <w:highlight w:val="none"/>
          <w:shd w:val="clear" w:color="auto" w:fill="FFFFFF"/>
        </w:rPr>
        <w:t>7.我方承诺：具有良好的商业信誉和健全的财务会计制度。</w:t>
      </w:r>
    </w:p>
    <w:p w14:paraId="3645797E">
      <w:pPr>
        <w:pStyle w:val="20"/>
        <w:shd w:val="clear" w:color="auto" w:fill="FFFFFF"/>
        <w:spacing w:before="0" w:beforeAutospacing="0" w:after="0" w:afterAutospacing="0" w:line="440" w:lineRule="exact"/>
        <w:ind w:firstLine="480"/>
        <w:jc w:val="both"/>
        <w:rPr>
          <w:rFonts w:hint="eastAsia" w:ascii="宋体" w:hAnsi="宋体" w:eastAsia="宋体" w:cs="宋体"/>
          <w:color w:val="000000"/>
          <w:highlight w:val="none"/>
          <w:shd w:val="clear" w:color="auto" w:fill="FFFFFF"/>
        </w:rPr>
      </w:pPr>
      <w:r>
        <w:rPr>
          <w:rFonts w:hint="eastAsia" w:ascii="宋体" w:hAnsi="宋体" w:eastAsia="宋体" w:cs="宋体"/>
          <w:color w:val="000000"/>
          <w:highlight w:val="none"/>
          <w:shd w:val="clear" w:color="auto" w:fill="FFFFFF"/>
        </w:rPr>
        <w:t>8.我方承诺：</w:t>
      </w:r>
      <w:r>
        <w:rPr>
          <w:rFonts w:hint="eastAsia" w:ascii="宋体" w:hAnsi="宋体" w:eastAsia="宋体" w:cs="宋体"/>
          <w:highlight w:val="none"/>
        </w:rPr>
        <w:t>与采购人存在利害关系可能影响采购公正性的法人、其他组织或者个人，不得参加本项目询价；单位负责人为同一人或者存在控股、管理关系的不同单位，不得参加本项目询价。</w:t>
      </w:r>
      <w:r>
        <w:rPr>
          <w:rFonts w:hint="eastAsia" w:ascii="宋体" w:hAnsi="宋体" w:eastAsia="宋体" w:cs="宋体"/>
          <w:color w:val="000000"/>
          <w:highlight w:val="none"/>
          <w:shd w:val="clear" w:color="auto" w:fill="FFFFFF"/>
        </w:rPr>
        <w:t>否则贵方有权取消我方的询价响应或中标资格。</w:t>
      </w:r>
    </w:p>
    <w:p w14:paraId="22529FE8">
      <w:pPr>
        <w:pStyle w:val="20"/>
        <w:shd w:val="clear" w:color="auto" w:fill="FFFFFF"/>
        <w:spacing w:before="0" w:beforeAutospacing="0" w:after="0" w:afterAutospacing="0" w:line="440" w:lineRule="exact"/>
        <w:ind w:firstLine="480"/>
        <w:jc w:val="both"/>
        <w:rPr>
          <w:rFonts w:hint="eastAsia" w:ascii="宋体" w:hAnsi="宋体" w:eastAsia="宋体" w:cs="宋体"/>
          <w:color w:val="000000"/>
          <w:highlight w:val="none"/>
          <w:shd w:val="clear" w:color="auto" w:fill="FFFFFF"/>
        </w:rPr>
      </w:pPr>
      <w:r>
        <w:rPr>
          <w:rFonts w:hint="eastAsia" w:ascii="宋体" w:hAnsi="宋体" w:eastAsia="宋体" w:cs="宋体"/>
          <w:color w:val="000000"/>
          <w:highlight w:val="none"/>
          <w:shd w:val="clear" w:color="auto" w:fill="FFFFFF"/>
        </w:rPr>
        <w:t>9.我方承诺：</w:t>
      </w:r>
      <w:r>
        <w:rPr>
          <w:rFonts w:hint="eastAsia" w:ascii="宋体" w:hAnsi="宋体" w:eastAsia="宋体" w:cs="宋体"/>
          <w:highlight w:val="none"/>
        </w:rPr>
        <w:t>信用记录中未被“信用中国”网站（www.creditchina.gov.cn）、“中国执行信息公开网（http://zxgk.court.gov.cn/）”等列入失信被执行人、企业经营异常名录、重大税收违法案件当事人等名单。否则，可将我方的询价响应文件按照无效响应文件处理。</w:t>
      </w:r>
    </w:p>
    <w:p w14:paraId="56CD458C">
      <w:pPr>
        <w:tabs>
          <w:tab w:val="left" w:pos="1200"/>
        </w:tabs>
        <w:spacing w:line="440" w:lineRule="exact"/>
        <w:jc w:val="right"/>
        <w:rPr>
          <w:rFonts w:hint="eastAsia" w:ascii="宋体" w:hAnsi="宋体" w:eastAsia="宋体" w:cs="宋体"/>
          <w:sz w:val="24"/>
          <w:szCs w:val="24"/>
          <w:highlight w:val="none"/>
        </w:rPr>
      </w:pPr>
    </w:p>
    <w:p w14:paraId="1BF1E387">
      <w:pPr>
        <w:tabs>
          <w:tab w:val="left" w:pos="1200"/>
        </w:tabs>
        <w:spacing w:line="440" w:lineRule="exact"/>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供应商：</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（盖单位公章）</w:t>
      </w:r>
    </w:p>
    <w:p w14:paraId="29B27974">
      <w:pPr>
        <w:tabs>
          <w:tab w:val="left" w:pos="1200"/>
        </w:tabs>
        <w:spacing w:line="440" w:lineRule="exact"/>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（签字或盖章）</w:t>
      </w:r>
    </w:p>
    <w:p w14:paraId="3EEA0E97">
      <w:pPr>
        <w:pStyle w:val="7"/>
        <w:spacing w:line="440" w:lineRule="exact"/>
        <w:ind w:firstLine="0" w:firstLineChars="0"/>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年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343E7A38">
      <w:pPr>
        <w:widowControl/>
        <w:jc w:val="left"/>
        <w:rPr>
          <w:rFonts w:hint="eastAsia" w:ascii="宋体" w:hAnsi="宋体" w:eastAsia="宋体" w:cs="宋体"/>
          <w:b/>
          <w:sz w:val="24"/>
          <w:szCs w:val="24"/>
          <w:highlight w:val="none"/>
        </w:rPr>
      </w:pPr>
      <w:r>
        <w:rPr>
          <w:rFonts w:hint="eastAsia" w:ascii="宋体" w:hAnsi="宋体" w:eastAsia="宋体" w:cs="宋体"/>
          <w:bCs/>
          <w:sz w:val="24"/>
          <w:szCs w:val="24"/>
          <w:highlight w:val="none"/>
        </w:rPr>
        <w:br w:type="page"/>
      </w:r>
    </w:p>
    <w:p w14:paraId="5BE37522">
      <w:pPr>
        <w:pStyle w:val="5"/>
        <w:spacing w:before="0" w:after="0" w:line="440" w:lineRule="exact"/>
        <w:jc w:val="center"/>
        <w:rPr>
          <w:rFonts w:hint="eastAsia" w:ascii="宋体" w:hAnsi="宋体" w:eastAsia="宋体" w:cs="宋体"/>
          <w:sz w:val="30"/>
          <w:szCs w:val="30"/>
          <w:highlight w:val="none"/>
        </w:rPr>
        <w:sectPr>
          <w:footerReference r:id="rId8" w:type="default"/>
          <w:pgSz w:w="11906" w:h="16838"/>
          <w:pgMar w:top="1440" w:right="1803" w:bottom="1440" w:left="1803" w:header="851" w:footer="992" w:gutter="0"/>
          <w:pgBorders>
            <w:top w:val="none" w:sz="0" w:space="0"/>
            <w:left w:val="none" w:sz="0" w:space="0"/>
            <w:bottom w:val="none" w:sz="0" w:space="0"/>
            <w:right w:val="none" w:sz="0" w:space="0"/>
          </w:pgBorders>
          <w:cols w:space="0" w:num="1"/>
          <w:docGrid w:type="lines" w:linePitch="319" w:charSpace="0"/>
        </w:sectPr>
      </w:pPr>
      <w:bookmarkStart w:id="134" w:name="_Toc3718"/>
    </w:p>
    <w:p w14:paraId="40117B6F">
      <w:pPr>
        <w:keepNext/>
        <w:keepLines/>
        <w:spacing w:line="440" w:lineRule="exact"/>
        <w:jc w:val="center"/>
        <w:outlineLvl w:val="1"/>
        <w:rPr>
          <w:rFonts w:hint="eastAsia" w:ascii="宋体" w:hAnsi="宋体" w:eastAsia="宋体" w:cs="宋体"/>
          <w:b/>
          <w:bCs/>
          <w:kern w:val="0"/>
          <w:sz w:val="32"/>
          <w:szCs w:val="32"/>
          <w:highlight w:val="none"/>
        </w:rPr>
      </w:pPr>
      <w:bookmarkStart w:id="135" w:name="_Toc12463"/>
      <w:r>
        <w:rPr>
          <w:rFonts w:hint="eastAsia" w:ascii="宋体" w:hAnsi="宋体" w:eastAsia="宋体" w:cs="宋体"/>
          <w:b/>
          <w:bCs/>
          <w:kern w:val="0"/>
          <w:sz w:val="32"/>
          <w:szCs w:val="32"/>
          <w:highlight w:val="none"/>
          <w:lang w:val="en-US" w:eastAsia="zh-CN"/>
        </w:rPr>
        <w:t>六</w:t>
      </w:r>
      <w:r>
        <w:rPr>
          <w:rFonts w:hint="eastAsia" w:ascii="宋体" w:hAnsi="宋体" w:eastAsia="宋体" w:cs="宋体"/>
          <w:b/>
          <w:bCs/>
          <w:kern w:val="0"/>
          <w:sz w:val="32"/>
          <w:szCs w:val="32"/>
          <w:highlight w:val="none"/>
        </w:rPr>
        <w:t>、</w:t>
      </w:r>
      <w:bookmarkStart w:id="136" w:name="_Toc18935"/>
      <w:r>
        <w:rPr>
          <w:rFonts w:hint="eastAsia" w:ascii="宋体" w:hAnsi="宋体" w:eastAsia="宋体" w:cs="宋体"/>
          <w:b/>
          <w:bCs/>
          <w:kern w:val="0"/>
          <w:sz w:val="32"/>
          <w:szCs w:val="32"/>
          <w:highlight w:val="none"/>
        </w:rPr>
        <w:t>报价表</w:t>
      </w:r>
      <w:bookmarkEnd w:id="135"/>
      <w:bookmarkEnd w:id="136"/>
    </w:p>
    <w:tbl>
      <w:tblPr>
        <w:tblStyle w:val="22"/>
        <w:tblW w:w="9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5"/>
        <w:gridCol w:w="4895"/>
      </w:tblGrid>
      <w:tr w14:paraId="60B0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4185" w:type="dxa"/>
            <w:tcBorders>
              <w:top w:val="single" w:color="auto" w:sz="12" w:space="0"/>
              <w:left w:val="single" w:color="auto" w:sz="12" w:space="0"/>
            </w:tcBorders>
            <w:vAlign w:val="center"/>
          </w:tcPr>
          <w:p w14:paraId="79B9223E">
            <w:pPr>
              <w:pStyle w:val="3"/>
              <w:spacing w:line="400" w:lineRule="exact"/>
              <w:ind w:left="0"/>
              <w:jc w:val="center"/>
              <w:rPr>
                <w:rFonts w:hint="eastAsia" w:ascii="宋体" w:hAnsi="宋体" w:eastAsia="宋体" w:cs="宋体"/>
                <w:bCs/>
                <w:kern w:val="2"/>
                <w:sz w:val="21"/>
                <w:szCs w:val="24"/>
                <w:highlight w:val="none"/>
              </w:rPr>
            </w:pPr>
            <w:r>
              <w:rPr>
                <w:rFonts w:hint="eastAsia" w:ascii="宋体" w:hAnsi="宋体" w:eastAsia="宋体" w:cs="宋体"/>
                <w:bCs/>
                <w:kern w:val="2"/>
                <w:sz w:val="21"/>
                <w:szCs w:val="24"/>
                <w:highlight w:val="none"/>
              </w:rPr>
              <w:t>含税总报价(人民币小写，精确到分)</w:t>
            </w:r>
          </w:p>
        </w:tc>
        <w:tc>
          <w:tcPr>
            <w:tcW w:w="4895" w:type="dxa"/>
            <w:tcBorders>
              <w:top w:val="single" w:color="auto" w:sz="12" w:space="0"/>
              <w:right w:val="single" w:color="auto" w:sz="12" w:space="0"/>
            </w:tcBorders>
            <w:vAlign w:val="center"/>
          </w:tcPr>
          <w:p w14:paraId="4E63AB52">
            <w:pPr>
              <w:pStyle w:val="3"/>
              <w:spacing w:line="400" w:lineRule="exact"/>
              <w:ind w:left="0"/>
              <w:jc w:val="center"/>
              <w:rPr>
                <w:rFonts w:hint="eastAsia" w:ascii="宋体" w:hAnsi="宋体" w:eastAsia="宋体" w:cs="宋体"/>
                <w:bCs/>
                <w:szCs w:val="21"/>
                <w:highlight w:val="none"/>
              </w:rPr>
            </w:pPr>
          </w:p>
        </w:tc>
      </w:tr>
      <w:tr w14:paraId="65CAF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185" w:type="dxa"/>
            <w:tcBorders>
              <w:left w:val="single" w:color="auto" w:sz="12" w:space="0"/>
            </w:tcBorders>
            <w:vAlign w:val="center"/>
          </w:tcPr>
          <w:p w14:paraId="63AB7B29">
            <w:pPr>
              <w:pStyle w:val="3"/>
              <w:spacing w:line="400" w:lineRule="exact"/>
              <w:ind w:left="0"/>
              <w:jc w:val="center"/>
              <w:rPr>
                <w:rFonts w:hint="eastAsia" w:ascii="宋体" w:hAnsi="宋体" w:eastAsia="宋体" w:cs="宋体"/>
                <w:bCs/>
                <w:kern w:val="2"/>
                <w:sz w:val="21"/>
                <w:szCs w:val="24"/>
                <w:highlight w:val="none"/>
              </w:rPr>
            </w:pPr>
            <w:r>
              <w:rPr>
                <w:rFonts w:hint="eastAsia" w:ascii="宋体" w:hAnsi="宋体" w:eastAsia="宋体" w:cs="宋体"/>
                <w:bCs/>
                <w:kern w:val="2"/>
                <w:sz w:val="21"/>
                <w:szCs w:val="24"/>
                <w:highlight w:val="none"/>
              </w:rPr>
              <w:t>不含税总报价(人民币小写，精确到分)</w:t>
            </w:r>
          </w:p>
        </w:tc>
        <w:tc>
          <w:tcPr>
            <w:tcW w:w="4895" w:type="dxa"/>
            <w:tcBorders>
              <w:right w:val="single" w:color="auto" w:sz="12" w:space="0"/>
            </w:tcBorders>
            <w:vAlign w:val="center"/>
          </w:tcPr>
          <w:p w14:paraId="44A0BEF8">
            <w:pPr>
              <w:pStyle w:val="3"/>
              <w:spacing w:line="400" w:lineRule="exact"/>
              <w:ind w:left="0"/>
              <w:jc w:val="center"/>
              <w:rPr>
                <w:rFonts w:hint="eastAsia" w:ascii="宋体" w:hAnsi="宋体" w:eastAsia="宋体" w:cs="宋体"/>
                <w:bCs/>
                <w:szCs w:val="21"/>
                <w:highlight w:val="none"/>
              </w:rPr>
            </w:pPr>
          </w:p>
        </w:tc>
      </w:tr>
      <w:tr w14:paraId="776A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185" w:type="dxa"/>
            <w:tcBorders>
              <w:left w:val="single" w:color="auto" w:sz="12" w:space="0"/>
            </w:tcBorders>
            <w:vAlign w:val="center"/>
          </w:tcPr>
          <w:p w14:paraId="36C7E456">
            <w:pPr>
              <w:pStyle w:val="3"/>
              <w:spacing w:line="400" w:lineRule="exact"/>
              <w:ind w:left="0"/>
              <w:jc w:val="center"/>
              <w:rPr>
                <w:rFonts w:hint="eastAsia" w:ascii="宋体" w:hAnsi="宋体" w:eastAsia="宋体" w:cs="宋体"/>
                <w:bCs/>
                <w:kern w:val="2"/>
                <w:sz w:val="21"/>
                <w:szCs w:val="24"/>
                <w:highlight w:val="none"/>
              </w:rPr>
            </w:pPr>
            <w:r>
              <w:rPr>
                <w:rFonts w:hint="eastAsia" w:ascii="宋体" w:hAnsi="宋体" w:eastAsia="宋体" w:cs="宋体"/>
                <w:bCs/>
                <w:kern w:val="2"/>
                <w:sz w:val="21"/>
                <w:szCs w:val="24"/>
                <w:highlight w:val="none"/>
              </w:rPr>
              <w:t>税率（%）</w:t>
            </w:r>
          </w:p>
        </w:tc>
        <w:tc>
          <w:tcPr>
            <w:tcW w:w="4895" w:type="dxa"/>
            <w:tcBorders>
              <w:right w:val="single" w:color="auto" w:sz="12" w:space="0"/>
            </w:tcBorders>
            <w:vAlign w:val="center"/>
          </w:tcPr>
          <w:p w14:paraId="2D8F8EE9">
            <w:pPr>
              <w:pStyle w:val="3"/>
              <w:spacing w:line="400" w:lineRule="exact"/>
              <w:ind w:left="0"/>
              <w:jc w:val="center"/>
              <w:rPr>
                <w:rFonts w:hint="default" w:ascii="宋体" w:hAnsi="宋体" w:eastAsia="宋体" w:cs="宋体"/>
                <w:bCs/>
                <w:szCs w:val="21"/>
                <w:highlight w:val="none"/>
                <w:lang w:val="en-US" w:eastAsia="zh-CN"/>
              </w:rPr>
            </w:pPr>
          </w:p>
        </w:tc>
      </w:tr>
      <w:tr w14:paraId="7AD0C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4185" w:type="dxa"/>
            <w:tcBorders>
              <w:left w:val="single" w:color="auto" w:sz="12" w:space="0"/>
              <w:bottom w:val="single" w:color="auto" w:sz="12" w:space="0"/>
            </w:tcBorders>
            <w:vAlign w:val="center"/>
          </w:tcPr>
          <w:p w14:paraId="435AF888">
            <w:pPr>
              <w:widowControl/>
              <w:jc w:val="center"/>
              <w:textAlignment w:val="center"/>
              <w:rPr>
                <w:rFonts w:hint="eastAsia" w:ascii="宋体" w:hAnsi="宋体" w:eastAsia="宋体" w:cs="宋体"/>
                <w:highlight w:val="none"/>
              </w:rPr>
            </w:pPr>
            <w:r>
              <w:rPr>
                <w:rFonts w:hint="eastAsia" w:ascii="宋体" w:hAnsi="宋体" w:eastAsia="宋体" w:cs="宋体"/>
                <w:bCs/>
                <w:highlight w:val="none"/>
              </w:rPr>
              <w:t>备注</w:t>
            </w:r>
          </w:p>
        </w:tc>
        <w:tc>
          <w:tcPr>
            <w:tcW w:w="4895" w:type="dxa"/>
            <w:tcBorders>
              <w:bottom w:val="single" w:color="auto" w:sz="12" w:space="0"/>
              <w:right w:val="single" w:color="auto" w:sz="12" w:space="0"/>
            </w:tcBorders>
            <w:vAlign w:val="center"/>
          </w:tcPr>
          <w:p w14:paraId="13FD6322">
            <w:pPr>
              <w:spacing w:line="360" w:lineRule="exact"/>
              <w:jc w:val="center"/>
              <w:rPr>
                <w:rFonts w:hint="eastAsia" w:ascii="宋体" w:hAnsi="宋体" w:eastAsia="宋体" w:cs="宋体"/>
                <w:highlight w:val="none"/>
              </w:rPr>
            </w:pPr>
          </w:p>
        </w:tc>
      </w:tr>
    </w:tbl>
    <w:p w14:paraId="37811D29">
      <w:pPr>
        <w:tabs>
          <w:tab w:val="left" w:pos="5362"/>
        </w:tabs>
        <w:spacing w:line="440" w:lineRule="exact"/>
        <w:ind w:left="655" w:hanging="655" w:hangingChars="312"/>
        <w:rPr>
          <w:rFonts w:hint="eastAsia" w:ascii="宋体" w:hAnsi="宋体" w:eastAsia="宋体" w:cs="宋体"/>
          <w:highlight w:val="none"/>
        </w:rPr>
      </w:pPr>
      <w:r>
        <w:rPr>
          <w:rFonts w:hint="eastAsia" w:ascii="宋体" w:hAnsi="宋体" w:eastAsia="宋体" w:cs="宋体"/>
          <w:highlight w:val="none"/>
        </w:rPr>
        <w:t>注：1.本表包括了乙方的全部工作内容及其费用；</w:t>
      </w:r>
    </w:p>
    <w:p w14:paraId="6F487EE4">
      <w:pPr>
        <w:spacing w:line="440" w:lineRule="exact"/>
        <w:ind w:left="-21" w:firstLine="441"/>
        <w:rPr>
          <w:rFonts w:hint="eastAsia" w:ascii="宋体" w:hAnsi="宋体" w:eastAsia="宋体" w:cs="宋体"/>
          <w:highlight w:val="none"/>
        </w:rPr>
      </w:pPr>
      <w:r>
        <w:rPr>
          <w:rFonts w:hint="eastAsia" w:ascii="宋体" w:hAnsi="宋体" w:eastAsia="宋体" w:cs="宋体"/>
          <w:highlight w:val="none"/>
        </w:rPr>
        <w:t>2.含税总报价不得高于限价，否则响应文件按废标处理。</w:t>
      </w:r>
    </w:p>
    <w:p w14:paraId="4B38D83B">
      <w:pPr>
        <w:rPr>
          <w:rFonts w:hint="eastAsia" w:ascii="宋体" w:hAnsi="宋体" w:eastAsia="宋体" w:cs="宋体"/>
          <w:highlight w:val="none"/>
        </w:rPr>
      </w:pPr>
    </w:p>
    <w:p w14:paraId="1B56339D">
      <w:pPr>
        <w:tabs>
          <w:tab w:val="left" w:pos="1200"/>
          <w:tab w:val="left" w:pos="8190"/>
        </w:tabs>
        <w:spacing w:line="440" w:lineRule="exact"/>
        <w:ind w:right="-99" w:rightChars="-47"/>
        <w:jc w:val="right"/>
        <w:rPr>
          <w:rFonts w:hint="eastAsia" w:ascii="宋体" w:hAnsi="宋体" w:eastAsia="宋体" w:cs="宋体"/>
          <w:szCs w:val="21"/>
          <w:highlight w:val="none"/>
        </w:rPr>
      </w:pPr>
    </w:p>
    <w:p w14:paraId="5ECC1C62">
      <w:pPr>
        <w:tabs>
          <w:tab w:val="left" w:pos="1200"/>
          <w:tab w:val="left" w:pos="8190"/>
        </w:tabs>
        <w:spacing w:line="440" w:lineRule="exact"/>
        <w:ind w:right="-99" w:rightChars="-47"/>
        <w:jc w:val="right"/>
        <w:rPr>
          <w:rFonts w:hint="eastAsia" w:ascii="宋体" w:hAnsi="宋体" w:eastAsia="宋体" w:cs="宋体"/>
          <w:szCs w:val="21"/>
          <w:highlight w:val="none"/>
        </w:rPr>
      </w:pPr>
      <w:r>
        <w:rPr>
          <w:rFonts w:hint="eastAsia" w:ascii="宋体" w:hAnsi="宋体" w:eastAsia="宋体" w:cs="宋体"/>
          <w:szCs w:val="21"/>
          <w:highlight w:val="none"/>
        </w:rPr>
        <w:t>供应商：</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（盖单位公章）</w:t>
      </w:r>
    </w:p>
    <w:p w14:paraId="5769CA58">
      <w:pPr>
        <w:tabs>
          <w:tab w:val="left" w:pos="1200"/>
        </w:tabs>
        <w:spacing w:line="440" w:lineRule="exact"/>
        <w:ind w:right="-99" w:rightChars="-47"/>
        <w:jc w:val="right"/>
        <w:rPr>
          <w:rFonts w:hint="eastAsia" w:ascii="宋体" w:hAnsi="宋体" w:eastAsia="宋体" w:cs="宋体"/>
          <w:szCs w:val="21"/>
          <w:highlight w:val="none"/>
        </w:rPr>
      </w:pPr>
      <w:r>
        <w:rPr>
          <w:rFonts w:hint="eastAsia" w:ascii="宋体" w:hAnsi="宋体" w:eastAsia="宋体" w:cs="宋体"/>
          <w:szCs w:val="21"/>
          <w:highlight w:val="none"/>
        </w:rPr>
        <w:t>法定代表人：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（签字或盖章）</w:t>
      </w:r>
    </w:p>
    <w:p w14:paraId="319F6A32">
      <w:pPr>
        <w:pStyle w:val="7"/>
        <w:spacing w:line="440" w:lineRule="exact"/>
        <w:ind w:right="-99" w:rightChars="-47" w:firstLine="0" w:firstLineChars="0"/>
        <w:jc w:val="right"/>
        <w:rPr>
          <w:rFonts w:hint="eastAsia" w:ascii="宋体" w:hAnsi="宋体" w:eastAsia="宋体" w:cs="宋体"/>
          <w:szCs w:val="21"/>
          <w:highlight w:val="none"/>
        </w:rPr>
      </w:pPr>
      <w:r>
        <w:rPr>
          <w:rFonts w:hint="eastAsia" w:ascii="宋体" w:hAnsi="宋体" w:eastAsia="宋体" w:cs="宋体"/>
          <w:szCs w:val="21"/>
          <w:highlight w:val="none"/>
        </w:rPr>
        <w:t>日期：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年 </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bookmarkEnd w:id="134"/>
    </w:p>
    <w:p w14:paraId="58DDF890">
      <w:pPr>
        <w:rPr>
          <w:rFonts w:hint="eastAsia" w:ascii="宋体" w:hAnsi="宋体" w:eastAsia="宋体" w:cs="宋体"/>
          <w:szCs w:val="21"/>
          <w:highlight w:val="none"/>
        </w:rPr>
      </w:pPr>
      <w:r>
        <w:rPr>
          <w:rFonts w:hint="eastAsia" w:ascii="宋体" w:hAnsi="宋体" w:eastAsia="宋体" w:cs="宋体"/>
          <w:szCs w:val="21"/>
          <w:highlight w:val="none"/>
        </w:rPr>
        <w:br w:type="page"/>
      </w:r>
    </w:p>
    <w:p w14:paraId="44CCDC32">
      <w:pPr>
        <w:keepNext/>
        <w:keepLines/>
        <w:spacing w:line="440" w:lineRule="exact"/>
        <w:jc w:val="center"/>
        <w:outlineLvl w:val="1"/>
        <w:rPr>
          <w:rFonts w:hint="eastAsia" w:ascii="宋体" w:hAnsi="宋体" w:eastAsia="宋体" w:cs="宋体"/>
          <w:b/>
          <w:bCs/>
          <w:kern w:val="0"/>
          <w:sz w:val="32"/>
          <w:szCs w:val="32"/>
          <w:highlight w:val="none"/>
          <w:vertAlign w:val="baseline"/>
        </w:rPr>
      </w:pPr>
      <w:bookmarkStart w:id="137" w:name="_Toc18053"/>
      <w:r>
        <w:rPr>
          <w:rFonts w:hint="eastAsia" w:ascii="宋体" w:hAnsi="宋体" w:eastAsia="宋体" w:cs="宋体"/>
          <w:b/>
          <w:bCs/>
          <w:kern w:val="0"/>
          <w:sz w:val="32"/>
          <w:szCs w:val="32"/>
          <w:highlight w:val="none"/>
          <w:lang w:val="en-US" w:eastAsia="zh-CN"/>
        </w:rPr>
        <w:t>七</w:t>
      </w:r>
      <w:r>
        <w:rPr>
          <w:rFonts w:hint="eastAsia" w:ascii="宋体" w:hAnsi="宋体" w:eastAsia="宋体" w:cs="宋体"/>
          <w:b/>
          <w:bCs/>
          <w:kern w:val="0"/>
          <w:sz w:val="32"/>
          <w:szCs w:val="32"/>
          <w:highlight w:val="none"/>
        </w:rPr>
        <w:t>、</w:t>
      </w:r>
      <w:r>
        <w:rPr>
          <w:rFonts w:hint="eastAsia" w:ascii="宋体" w:hAnsi="宋体" w:eastAsia="宋体" w:cs="宋体"/>
          <w:b/>
          <w:bCs/>
          <w:kern w:val="0"/>
          <w:sz w:val="32"/>
          <w:szCs w:val="32"/>
          <w:highlight w:val="none"/>
          <w:lang w:val="en-US" w:eastAsia="zh-CN"/>
        </w:rPr>
        <w:t>分项</w:t>
      </w:r>
      <w:r>
        <w:rPr>
          <w:rFonts w:hint="eastAsia" w:ascii="宋体" w:hAnsi="宋体" w:eastAsia="宋体" w:cs="宋体"/>
          <w:b/>
          <w:bCs/>
          <w:kern w:val="0"/>
          <w:sz w:val="32"/>
          <w:szCs w:val="32"/>
          <w:highlight w:val="none"/>
        </w:rPr>
        <w:t>报价表</w:t>
      </w:r>
      <w:bookmarkEnd w:id="137"/>
    </w:p>
    <w:tbl>
      <w:tblPr>
        <w:tblStyle w:val="23"/>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1734"/>
        <w:gridCol w:w="1146"/>
        <w:gridCol w:w="1613"/>
        <w:gridCol w:w="1640"/>
        <w:gridCol w:w="1380"/>
      </w:tblGrid>
      <w:tr w14:paraId="196F59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1" w:hRule="atLeast"/>
        </w:trPr>
        <w:tc>
          <w:tcPr>
            <w:tcW w:w="8260" w:type="dxa"/>
            <w:gridSpan w:val="6"/>
            <w:tcBorders>
              <w:tl2br w:val="nil"/>
              <w:tr2bl w:val="nil"/>
            </w:tcBorders>
            <w:vAlign w:val="center"/>
          </w:tcPr>
          <w:p w14:paraId="1485EA20">
            <w:pPr>
              <w:keepNext/>
              <w:keepLines/>
              <w:spacing w:line="440" w:lineRule="exact"/>
              <w:jc w:val="center"/>
              <w:outlineLvl w:val="1"/>
              <w:rPr>
                <w:rFonts w:hint="default" w:ascii="宋体" w:hAnsi="宋体" w:eastAsia="宋体" w:cs="宋体"/>
                <w:b w:val="0"/>
                <w:bCs w:val="0"/>
                <w:kern w:val="0"/>
                <w:sz w:val="21"/>
                <w:szCs w:val="21"/>
                <w:highlight w:val="none"/>
                <w:vertAlign w:val="baseline"/>
                <w:lang w:val="en-US" w:eastAsia="zh-CN"/>
              </w:rPr>
            </w:pPr>
            <w:r>
              <w:rPr>
                <w:rFonts w:hint="eastAsia" w:ascii="宋体" w:hAnsi="宋体" w:eastAsia="宋体" w:cs="宋体"/>
                <w:b/>
                <w:bCs/>
                <w:kern w:val="0"/>
                <w:sz w:val="21"/>
                <w:szCs w:val="21"/>
                <w:highlight w:val="none"/>
                <w:vertAlign w:val="baseline"/>
                <w:lang w:val="en-US" w:eastAsia="zh-CN"/>
              </w:rPr>
              <w:t>一期</w:t>
            </w:r>
          </w:p>
        </w:tc>
      </w:tr>
      <w:tr w14:paraId="3D0A39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747" w:type="dxa"/>
            <w:tcBorders>
              <w:tl2br w:val="nil"/>
              <w:tr2bl w:val="nil"/>
            </w:tcBorders>
            <w:vAlign w:val="center"/>
          </w:tcPr>
          <w:p w14:paraId="4BC68EA3">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序号</w:t>
            </w:r>
          </w:p>
        </w:tc>
        <w:tc>
          <w:tcPr>
            <w:tcW w:w="1734" w:type="dxa"/>
            <w:tcBorders>
              <w:tl2br w:val="nil"/>
              <w:tr2bl w:val="nil"/>
            </w:tcBorders>
            <w:vAlign w:val="center"/>
          </w:tcPr>
          <w:p w14:paraId="09B29D3B">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名称</w:t>
            </w:r>
          </w:p>
        </w:tc>
        <w:tc>
          <w:tcPr>
            <w:tcW w:w="1146" w:type="dxa"/>
            <w:tcBorders>
              <w:tl2br w:val="nil"/>
              <w:tr2bl w:val="nil"/>
            </w:tcBorders>
            <w:vAlign w:val="center"/>
          </w:tcPr>
          <w:p w14:paraId="6DF52316">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暂定数量</w:t>
            </w:r>
          </w:p>
        </w:tc>
        <w:tc>
          <w:tcPr>
            <w:tcW w:w="1613" w:type="dxa"/>
            <w:tcBorders>
              <w:tl2br w:val="nil"/>
              <w:tr2bl w:val="nil"/>
            </w:tcBorders>
            <w:vAlign w:val="center"/>
          </w:tcPr>
          <w:p w14:paraId="04E2B75A">
            <w:pPr>
              <w:keepNext/>
              <w:keepLines/>
              <w:spacing w:line="440" w:lineRule="exact"/>
              <w:jc w:val="center"/>
              <w:outlineLvl w:val="1"/>
              <w:rPr>
                <w:rFonts w:hint="default"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品牌及型号</w:t>
            </w:r>
          </w:p>
        </w:tc>
        <w:tc>
          <w:tcPr>
            <w:tcW w:w="1640" w:type="dxa"/>
            <w:tcBorders>
              <w:tl2br w:val="nil"/>
              <w:tr2bl w:val="nil"/>
            </w:tcBorders>
            <w:vAlign w:val="center"/>
          </w:tcPr>
          <w:p w14:paraId="711E7232">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单价（元）</w:t>
            </w:r>
          </w:p>
        </w:tc>
        <w:tc>
          <w:tcPr>
            <w:tcW w:w="1380" w:type="dxa"/>
            <w:tcBorders>
              <w:tl2br w:val="nil"/>
              <w:tr2bl w:val="nil"/>
            </w:tcBorders>
            <w:vAlign w:val="center"/>
          </w:tcPr>
          <w:p w14:paraId="4D043256">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小计（元）</w:t>
            </w:r>
          </w:p>
        </w:tc>
      </w:tr>
      <w:tr w14:paraId="6FFE37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747" w:type="dxa"/>
            <w:tcBorders>
              <w:tl2br w:val="nil"/>
              <w:tr2bl w:val="nil"/>
            </w:tcBorders>
            <w:vAlign w:val="center"/>
          </w:tcPr>
          <w:p w14:paraId="24C6ABD9">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1</w:t>
            </w:r>
          </w:p>
        </w:tc>
        <w:tc>
          <w:tcPr>
            <w:tcW w:w="1734" w:type="dxa"/>
            <w:tcBorders>
              <w:tl2br w:val="nil"/>
              <w:tr2bl w:val="nil"/>
            </w:tcBorders>
            <w:shd w:val="clear" w:color="auto" w:fill="auto"/>
            <w:vAlign w:val="center"/>
          </w:tcPr>
          <w:p w14:paraId="3E99347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单通道速通门</w:t>
            </w:r>
          </w:p>
        </w:tc>
        <w:tc>
          <w:tcPr>
            <w:tcW w:w="1146" w:type="dxa"/>
            <w:tcBorders>
              <w:tl2br w:val="nil"/>
              <w:tr2bl w:val="nil"/>
            </w:tcBorders>
            <w:shd w:val="clear" w:color="auto" w:fill="auto"/>
            <w:vAlign w:val="center"/>
          </w:tcPr>
          <w:p w14:paraId="28F47A1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2</w:t>
            </w:r>
            <w:r>
              <w:rPr>
                <w:rFonts w:hint="eastAsia" w:ascii="宋体" w:hAnsi="宋体" w:eastAsia="宋体" w:cs="宋体"/>
                <w:szCs w:val="21"/>
                <w:highlight w:val="none"/>
              </w:rPr>
              <w:t>套</w:t>
            </w:r>
          </w:p>
        </w:tc>
        <w:tc>
          <w:tcPr>
            <w:tcW w:w="1613" w:type="dxa"/>
            <w:tcBorders>
              <w:tl2br w:val="nil"/>
              <w:tr2bl w:val="nil"/>
            </w:tcBorders>
            <w:vAlign w:val="center"/>
          </w:tcPr>
          <w:p w14:paraId="474C5B44">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640" w:type="dxa"/>
            <w:tcBorders>
              <w:tl2br w:val="nil"/>
              <w:tr2bl w:val="nil"/>
            </w:tcBorders>
            <w:vAlign w:val="center"/>
          </w:tcPr>
          <w:p w14:paraId="7E53CD6E">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380" w:type="dxa"/>
            <w:tcBorders>
              <w:tl2br w:val="nil"/>
              <w:tr2bl w:val="nil"/>
            </w:tcBorders>
            <w:vAlign w:val="center"/>
          </w:tcPr>
          <w:p w14:paraId="6E304784">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r>
      <w:tr w14:paraId="14E311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747" w:type="dxa"/>
            <w:tcBorders>
              <w:tl2br w:val="nil"/>
              <w:tr2bl w:val="nil"/>
            </w:tcBorders>
            <w:vAlign w:val="center"/>
          </w:tcPr>
          <w:p w14:paraId="7D2D7EE5">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2</w:t>
            </w:r>
          </w:p>
        </w:tc>
        <w:tc>
          <w:tcPr>
            <w:tcW w:w="1734" w:type="dxa"/>
            <w:tcBorders>
              <w:tl2br w:val="nil"/>
              <w:tr2bl w:val="nil"/>
            </w:tcBorders>
            <w:shd w:val="clear" w:color="auto" w:fill="auto"/>
            <w:vAlign w:val="center"/>
          </w:tcPr>
          <w:p w14:paraId="02379C3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人脸识别终端</w:t>
            </w:r>
          </w:p>
        </w:tc>
        <w:tc>
          <w:tcPr>
            <w:tcW w:w="1146" w:type="dxa"/>
            <w:tcBorders>
              <w:tl2br w:val="nil"/>
              <w:tr2bl w:val="nil"/>
            </w:tcBorders>
            <w:shd w:val="clear" w:color="auto" w:fill="auto"/>
            <w:vAlign w:val="center"/>
          </w:tcPr>
          <w:p w14:paraId="4D85A06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台</w:t>
            </w:r>
          </w:p>
        </w:tc>
        <w:tc>
          <w:tcPr>
            <w:tcW w:w="1613" w:type="dxa"/>
            <w:tcBorders>
              <w:tl2br w:val="nil"/>
              <w:tr2bl w:val="nil"/>
            </w:tcBorders>
            <w:vAlign w:val="center"/>
          </w:tcPr>
          <w:p w14:paraId="216F9C22">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640" w:type="dxa"/>
            <w:tcBorders>
              <w:tl2br w:val="nil"/>
              <w:tr2bl w:val="nil"/>
            </w:tcBorders>
            <w:vAlign w:val="center"/>
          </w:tcPr>
          <w:p w14:paraId="414A6F08">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380" w:type="dxa"/>
            <w:tcBorders>
              <w:tl2br w:val="nil"/>
              <w:tr2bl w:val="nil"/>
            </w:tcBorders>
            <w:vAlign w:val="center"/>
          </w:tcPr>
          <w:p w14:paraId="3A1A3EBF">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r>
      <w:tr w14:paraId="490AFC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747" w:type="dxa"/>
            <w:tcBorders>
              <w:tl2br w:val="nil"/>
              <w:tr2bl w:val="nil"/>
            </w:tcBorders>
            <w:vAlign w:val="center"/>
          </w:tcPr>
          <w:p w14:paraId="7BF3A3A6">
            <w:pPr>
              <w:keepNext/>
              <w:keepLines/>
              <w:spacing w:line="440" w:lineRule="exact"/>
              <w:jc w:val="center"/>
              <w:outlineLvl w:val="1"/>
              <w:rPr>
                <w:rFonts w:hint="default"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3</w:t>
            </w:r>
          </w:p>
        </w:tc>
        <w:tc>
          <w:tcPr>
            <w:tcW w:w="1734" w:type="dxa"/>
            <w:tcBorders>
              <w:tl2br w:val="nil"/>
              <w:tr2bl w:val="nil"/>
            </w:tcBorders>
            <w:shd w:val="clear" w:color="auto" w:fill="auto"/>
            <w:vAlign w:val="center"/>
          </w:tcPr>
          <w:p w14:paraId="0A4B14A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布线辅材</w:t>
            </w:r>
          </w:p>
        </w:tc>
        <w:tc>
          <w:tcPr>
            <w:tcW w:w="1146" w:type="dxa"/>
            <w:tcBorders>
              <w:tl2br w:val="nil"/>
              <w:tr2bl w:val="nil"/>
            </w:tcBorders>
            <w:shd w:val="clear" w:color="auto" w:fill="auto"/>
            <w:vAlign w:val="center"/>
          </w:tcPr>
          <w:p w14:paraId="655D29D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1项</w:t>
            </w:r>
          </w:p>
        </w:tc>
        <w:tc>
          <w:tcPr>
            <w:tcW w:w="1613" w:type="dxa"/>
            <w:tcBorders>
              <w:tl2br w:val="nil"/>
              <w:tr2bl w:val="nil"/>
            </w:tcBorders>
            <w:vAlign w:val="center"/>
          </w:tcPr>
          <w:p w14:paraId="2628F460">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640" w:type="dxa"/>
            <w:tcBorders>
              <w:tl2br w:val="nil"/>
              <w:tr2bl w:val="nil"/>
            </w:tcBorders>
            <w:vAlign w:val="center"/>
          </w:tcPr>
          <w:p w14:paraId="53377D91">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380" w:type="dxa"/>
            <w:tcBorders>
              <w:tl2br w:val="nil"/>
              <w:tr2bl w:val="nil"/>
            </w:tcBorders>
            <w:vAlign w:val="center"/>
          </w:tcPr>
          <w:p w14:paraId="57FE9E43">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r>
      <w:tr w14:paraId="6C8CEB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880" w:type="dxa"/>
            <w:gridSpan w:val="5"/>
            <w:tcBorders>
              <w:tl2br w:val="nil"/>
              <w:tr2bl w:val="nil"/>
            </w:tcBorders>
            <w:vAlign w:val="center"/>
          </w:tcPr>
          <w:p w14:paraId="180A0C94">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合计</w:t>
            </w:r>
          </w:p>
        </w:tc>
        <w:tc>
          <w:tcPr>
            <w:tcW w:w="1380" w:type="dxa"/>
            <w:tcBorders>
              <w:tl2br w:val="nil"/>
              <w:tr2bl w:val="nil"/>
            </w:tcBorders>
            <w:vAlign w:val="center"/>
          </w:tcPr>
          <w:p w14:paraId="0BB0BBF6">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r>
      <w:tr w14:paraId="567FB7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8260" w:type="dxa"/>
            <w:gridSpan w:val="6"/>
            <w:tcBorders>
              <w:tl2br w:val="nil"/>
              <w:tr2bl w:val="nil"/>
            </w:tcBorders>
            <w:vAlign w:val="center"/>
          </w:tcPr>
          <w:p w14:paraId="6D393326">
            <w:pPr>
              <w:keepNext/>
              <w:keepLines/>
              <w:spacing w:line="440" w:lineRule="exact"/>
              <w:jc w:val="center"/>
              <w:outlineLvl w:val="1"/>
              <w:rPr>
                <w:rFonts w:hint="default" w:ascii="宋体" w:hAnsi="宋体" w:eastAsia="宋体" w:cs="宋体"/>
                <w:b w:val="0"/>
                <w:bCs w:val="0"/>
                <w:kern w:val="0"/>
                <w:sz w:val="21"/>
                <w:szCs w:val="21"/>
                <w:highlight w:val="none"/>
                <w:vertAlign w:val="baseline"/>
                <w:lang w:val="en-US" w:eastAsia="zh-CN"/>
              </w:rPr>
            </w:pPr>
            <w:r>
              <w:rPr>
                <w:rFonts w:hint="eastAsia" w:ascii="宋体" w:hAnsi="宋体" w:eastAsia="宋体" w:cs="宋体"/>
                <w:b/>
                <w:bCs/>
                <w:kern w:val="0"/>
                <w:sz w:val="21"/>
                <w:szCs w:val="21"/>
                <w:highlight w:val="none"/>
                <w:vertAlign w:val="baseline"/>
                <w:lang w:val="en-US" w:eastAsia="zh-CN"/>
              </w:rPr>
              <w:t>二期</w:t>
            </w:r>
          </w:p>
        </w:tc>
      </w:tr>
      <w:tr w14:paraId="591A42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747" w:type="dxa"/>
            <w:tcBorders>
              <w:tl2br w:val="nil"/>
              <w:tr2bl w:val="nil"/>
            </w:tcBorders>
            <w:vAlign w:val="center"/>
          </w:tcPr>
          <w:p w14:paraId="796C1440">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序号</w:t>
            </w:r>
          </w:p>
        </w:tc>
        <w:tc>
          <w:tcPr>
            <w:tcW w:w="1734" w:type="dxa"/>
            <w:tcBorders>
              <w:tl2br w:val="nil"/>
              <w:tr2bl w:val="nil"/>
            </w:tcBorders>
            <w:vAlign w:val="center"/>
          </w:tcPr>
          <w:p w14:paraId="4E723CDD">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名称</w:t>
            </w:r>
          </w:p>
        </w:tc>
        <w:tc>
          <w:tcPr>
            <w:tcW w:w="1146" w:type="dxa"/>
            <w:tcBorders>
              <w:tl2br w:val="nil"/>
              <w:tr2bl w:val="nil"/>
            </w:tcBorders>
            <w:vAlign w:val="center"/>
          </w:tcPr>
          <w:p w14:paraId="4046EE74">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暂定数量</w:t>
            </w:r>
          </w:p>
        </w:tc>
        <w:tc>
          <w:tcPr>
            <w:tcW w:w="1613" w:type="dxa"/>
            <w:tcBorders>
              <w:tl2br w:val="nil"/>
              <w:tr2bl w:val="nil"/>
            </w:tcBorders>
            <w:vAlign w:val="center"/>
          </w:tcPr>
          <w:p w14:paraId="43CF83C9">
            <w:pPr>
              <w:keepNext/>
              <w:keepLines/>
              <w:spacing w:line="440" w:lineRule="exact"/>
              <w:jc w:val="center"/>
              <w:outlineLvl w:val="1"/>
              <w:rPr>
                <w:rFonts w:hint="default"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品牌及型号</w:t>
            </w:r>
          </w:p>
        </w:tc>
        <w:tc>
          <w:tcPr>
            <w:tcW w:w="1640" w:type="dxa"/>
            <w:tcBorders>
              <w:tl2br w:val="nil"/>
              <w:tr2bl w:val="nil"/>
            </w:tcBorders>
            <w:vAlign w:val="center"/>
          </w:tcPr>
          <w:p w14:paraId="116B6855">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单价（元）</w:t>
            </w:r>
          </w:p>
        </w:tc>
        <w:tc>
          <w:tcPr>
            <w:tcW w:w="1380" w:type="dxa"/>
            <w:tcBorders>
              <w:tl2br w:val="nil"/>
              <w:tr2bl w:val="nil"/>
            </w:tcBorders>
            <w:vAlign w:val="center"/>
          </w:tcPr>
          <w:p w14:paraId="6DF07EE8">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小计（元）</w:t>
            </w:r>
          </w:p>
        </w:tc>
      </w:tr>
      <w:tr w14:paraId="5EBBB8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747" w:type="dxa"/>
            <w:tcBorders>
              <w:tl2br w:val="nil"/>
              <w:tr2bl w:val="nil"/>
            </w:tcBorders>
            <w:vAlign w:val="center"/>
          </w:tcPr>
          <w:p w14:paraId="238C5B01">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1</w:t>
            </w:r>
          </w:p>
        </w:tc>
        <w:tc>
          <w:tcPr>
            <w:tcW w:w="1734" w:type="dxa"/>
            <w:tcBorders>
              <w:tl2br w:val="nil"/>
              <w:tr2bl w:val="nil"/>
            </w:tcBorders>
            <w:shd w:val="clear" w:color="auto" w:fill="auto"/>
            <w:vAlign w:val="center"/>
          </w:tcPr>
          <w:p w14:paraId="6DA0345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单通道速通门</w:t>
            </w:r>
          </w:p>
        </w:tc>
        <w:tc>
          <w:tcPr>
            <w:tcW w:w="1146" w:type="dxa"/>
            <w:tcBorders>
              <w:tl2br w:val="nil"/>
              <w:tr2bl w:val="nil"/>
            </w:tcBorders>
            <w:shd w:val="clear" w:color="auto" w:fill="auto"/>
            <w:vAlign w:val="center"/>
          </w:tcPr>
          <w:p w14:paraId="7116C89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1</w:t>
            </w:r>
            <w:r>
              <w:rPr>
                <w:rFonts w:hint="eastAsia" w:ascii="宋体" w:hAnsi="宋体" w:eastAsia="宋体" w:cs="宋体"/>
                <w:szCs w:val="21"/>
                <w:highlight w:val="none"/>
              </w:rPr>
              <w:t>套</w:t>
            </w:r>
          </w:p>
        </w:tc>
        <w:tc>
          <w:tcPr>
            <w:tcW w:w="1613" w:type="dxa"/>
            <w:tcBorders>
              <w:tl2br w:val="nil"/>
              <w:tr2bl w:val="nil"/>
            </w:tcBorders>
            <w:vAlign w:val="center"/>
          </w:tcPr>
          <w:p w14:paraId="7A8DDCA0">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640" w:type="dxa"/>
            <w:tcBorders>
              <w:tl2br w:val="nil"/>
              <w:tr2bl w:val="nil"/>
            </w:tcBorders>
            <w:vAlign w:val="center"/>
          </w:tcPr>
          <w:p w14:paraId="57ED7525">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380" w:type="dxa"/>
            <w:tcBorders>
              <w:tl2br w:val="nil"/>
              <w:tr2bl w:val="nil"/>
            </w:tcBorders>
            <w:vAlign w:val="center"/>
          </w:tcPr>
          <w:p w14:paraId="38494BC4">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r>
      <w:tr w14:paraId="7953E9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747" w:type="dxa"/>
            <w:tcBorders>
              <w:tl2br w:val="nil"/>
              <w:tr2bl w:val="nil"/>
            </w:tcBorders>
            <w:vAlign w:val="center"/>
          </w:tcPr>
          <w:p w14:paraId="374AEDA0">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2</w:t>
            </w:r>
          </w:p>
        </w:tc>
        <w:tc>
          <w:tcPr>
            <w:tcW w:w="1734" w:type="dxa"/>
            <w:tcBorders>
              <w:tl2br w:val="nil"/>
              <w:tr2bl w:val="nil"/>
            </w:tcBorders>
            <w:shd w:val="clear" w:color="auto" w:fill="auto"/>
            <w:vAlign w:val="center"/>
          </w:tcPr>
          <w:p w14:paraId="67CE254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人脸识别终端</w:t>
            </w:r>
          </w:p>
        </w:tc>
        <w:tc>
          <w:tcPr>
            <w:tcW w:w="1146" w:type="dxa"/>
            <w:tcBorders>
              <w:tl2br w:val="nil"/>
              <w:tr2bl w:val="nil"/>
            </w:tcBorders>
            <w:shd w:val="clear" w:color="auto" w:fill="auto"/>
            <w:vAlign w:val="center"/>
          </w:tcPr>
          <w:p w14:paraId="316F7FD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2</w:t>
            </w:r>
            <w:r>
              <w:rPr>
                <w:rFonts w:hint="eastAsia" w:ascii="宋体" w:hAnsi="宋体" w:eastAsia="宋体" w:cs="宋体"/>
                <w:szCs w:val="21"/>
                <w:highlight w:val="none"/>
              </w:rPr>
              <w:t>台</w:t>
            </w:r>
          </w:p>
        </w:tc>
        <w:tc>
          <w:tcPr>
            <w:tcW w:w="1613" w:type="dxa"/>
            <w:tcBorders>
              <w:tl2br w:val="nil"/>
              <w:tr2bl w:val="nil"/>
            </w:tcBorders>
            <w:vAlign w:val="center"/>
          </w:tcPr>
          <w:p w14:paraId="74EFE269">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640" w:type="dxa"/>
            <w:tcBorders>
              <w:tl2br w:val="nil"/>
              <w:tr2bl w:val="nil"/>
            </w:tcBorders>
            <w:vAlign w:val="center"/>
          </w:tcPr>
          <w:p w14:paraId="1EE97DB7">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380" w:type="dxa"/>
            <w:tcBorders>
              <w:tl2br w:val="nil"/>
              <w:tr2bl w:val="nil"/>
            </w:tcBorders>
            <w:vAlign w:val="center"/>
          </w:tcPr>
          <w:p w14:paraId="0490B4AE">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r>
      <w:tr w14:paraId="627ABD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747" w:type="dxa"/>
            <w:tcBorders>
              <w:tl2br w:val="nil"/>
              <w:tr2bl w:val="nil"/>
            </w:tcBorders>
            <w:vAlign w:val="center"/>
          </w:tcPr>
          <w:p w14:paraId="7409B245">
            <w:pPr>
              <w:keepNext/>
              <w:keepLines/>
              <w:spacing w:line="440" w:lineRule="exact"/>
              <w:jc w:val="center"/>
              <w:outlineLvl w:val="1"/>
              <w:rPr>
                <w:rFonts w:hint="default"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3</w:t>
            </w:r>
          </w:p>
        </w:tc>
        <w:tc>
          <w:tcPr>
            <w:tcW w:w="1734" w:type="dxa"/>
            <w:tcBorders>
              <w:tl2br w:val="nil"/>
              <w:tr2bl w:val="nil"/>
            </w:tcBorders>
            <w:shd w:val="clear" w:color="auto" w:fill="auto"/>
            <w:vAlign w:val="center"/>
          </w:tcPr>
          <w:p w14:paraId="770581D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布线辅材</w:t>
            </w:r>
          </w:p>
        </w:tc>
        <w:tc>
          <w:tcPr>
            <w:tcW w:w="1146" w:type="dxa"/>
            <w:tcBorders>
              <w:tl2br w:val="nil"/>
              <w:tr2bl w:val="nil"/>
            </w:tcBorders>
            <w:shd w:val="clear" w:color="auto" w:fill="auto"/>
            <w:vAlign w:val="center"/>
          </w:tcPr>
          <w:p w14:paraId="248827E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1项</w:t>
            </w:r>
          </w:p>
        </w:tc>
        <w:tc>
          <w:tcPr>
            <w:tcW w:w="1613" w:type="dxa"/>
            <w:tcBorders>
              <w:tl2br w:val="nil"/>
              <w:tr2bl w:val="nil"/>
            </w:tcBorders>
            <w:vAlign w:val="center"/>
          </w:tcPr>
          <w:p w14:paraId="1705FA1A">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640" w:type="dxa"/>
            <w:tcBorders>
              <w:tl2br w:val="nil"/>
              <w:tr2bl w:val="nil"/>
            </w:tcBorders>
            <w:vAlign w:val="center"/>
          </w:tcPr>
          <w:p w14:paraId="6B302D39">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c>
          <w:tcPr>
            <w:tcW w:w="1380" w:type="dxa"/>
            <w:tcBorders>
              <w:tl2br w:val="nil"/>
              <w:tr2bl w:val="nil"/>
            </w:tcBorders>
            <w:vAlign w:val="center"/>
          </w:tcPr>
          <w:p w14:paraId="4C66A507">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r>
      <w:tr w14:paraId="5B4B20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6880" w:type="dxa"/>
            <w:gridSpan w:val="5"/>
            <w:tcBorders>
              <w:tl2br w:val="nil"/>
              <w:tr2bl w:val="nil"/>
            </w:tcBorders>
            <w:vAlign w:val="center"/>
          </w:tcPr>
          <w:p w14:paraId="6137AB2E">
            <w:pPr>
              <w:keepNext/>
              <w:keepLines/>
              <w:spacing w:line="440" w:lineRule="exact"/>
              <w:jc w:val="center"/>
              <w:outlineLvl w:val="1"/>
              <w:rPr>
                <w:rFonts w:hint="eastAsia"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合计</w:t>
            </w:r>
          </w:p>
        </w:tc>
        <w:tc>
          <w:tcPr>
            <w:tcW w:w="1380" w:type="dxa"/>
            <w:tcBorders>
              <w:tl2br w:val="nil"/>
              <w:tr2bl w:val="nil"/>
            </w:tcBorders>
            <w:vAlign w:val="center"/>
          </w:tcPr>
          <w:p w14:paraId="2C23C49B">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r>
      <w:tr w14:paraId="2A8C43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6880" w:type="dxa"/>
            <w:gridSpan w:val="5"/>
            <w:tcBorders>
              <w:tl2br w:val="nil"/>
              <w:tr2bl w:val="nil"/>
            </w:tcBorders>
            <w:vAlign w:val="center"/>
          </w:tcPr>
          <w:p w14:paraId="4CF373C0">
            <w:pPr>
              <w:keepNext/>
              <w:keepLines/>
              <w:spacing w:line="440" w:lineRule="exact"/>
              <w:jc w:val="center"/>
              <w:outlineLvl w:val="1"/>
              <w:rPr>
                <w:rFonts w:hint="default" w:ascii="宋体" w:hAnsi="宋体" w:eastAsia="宋体" w:cs="宋体"/>
                <w:b w:val="0"/>
                <w:bCs w:val="0"/>
                <w:kern w:val="0"/>
                <w:sz w:val="21"/>
                <w:szCs w:val="21"/>
                <w:highlight w:val="none"/>
                <w:vertAlign w:val="baseline"/>
                <w:lang w:val="en-US" w:eastAsia="zh-CN"/>
              </w:rPr>
            </w:pPr>
            <w:r>
              <w:rPr>
                <w:rFonts w:hint="eastAsia" w:ascii="宋体" w:hAnsi="宋体" w:eastAsia="宋体" w:cs="宋体"/>
                <w:b w:val="0"/>
                <w:bCs w:val="0"/>
                <w:kern w:val="0"/>
                <w:sz w:val="21"/>
                <w:szCs w:val="21"/>
                <w:highlight w:val="none"/>
                <w:vertAlign w:val="baseline"/>
                <w:lang w:val="en-US" w:eastAsia="zh-CN"/>
              </w:rPr>
              <w:t>共计（一期+二期）</w:t>
            </w:r>
          </w:p>
        </w:tc>
        <w:tc>
          <w:tcPr>
            <w:tcW w:w="1380" w:type="dxa"/>
            <w:tcBorders>
              <w:tl2br w:val="nil"/>
              <w:tr2bl w:val="nil"/>
            </w:tcBorders>
            <w:vAlign w:val="center"/>
          </w:tcPr>
          <w:p w14:paraId="3A0ED1A8">
            <w:pPr>
              <w:keepNext/>
              <w:keepLines/>
              <w:spacing w:line="440" w:lineRule="exact"/>
              <w:jc w:val="center"/>
              <w:outlineLvl w:val="1"/>
              <w:rPr>
                <w:rFonts w:hint="eastAsia" w:ascii="宋体" w:hAnsi="宋体" w:eastAsia="宋体" w:cs="宋体"/>
                <w:b w:val="0"/>
                <w:bCs w:val="0"/>
                <w:kern w:val="0"/>
                <w:sz w:val="21"/>
                <w:szCs w:val="21"/>
                <w:highlight w:val="none"/>
                <w:vertAlign w:val="baseline"/>
              </w:rPr>
            </w:pPr>
          </w:p>
        </w:tc>
      </w:tr>
    </w:tbl>
    <w:p w14:paraId="0CB1A51B">
      <w:pPr>
        <w:rPr>
          <w:rFonts w:hint="eastAsia" w:ascii="宋体" w:hAnsi="宋体" w:eastAsia="宋体" w:cs="宋体"/>
          <w:highlight w:val="none"/>
        </w:rPr>
      </w:pPr>
    </w:p>
    <w:p w14:paraId="7E05F4C6">
      <w:pPr>
        <w:tabs>
          <w:tab w:val="left" w:pos="1200"/>
          <w:tab w:val="left" w:pos="8190"/>
        </w:tabs>
        <w:spacing w:line="440" w:lineRule="exact"/>
        <w:ind w:right="-99" w:rightChars="-47"/>
        <w:jc w:val="right"/>
        <w:rPr>
          <w:rFonts w:hint="eastAsia" w:ascii="宋体" w:hAnsi="宋体" w:eastAsia="宋体" w:cs="宋体"/>
          <w:szCs w:val="21"/>
          <w:highlight w:val="none"/>
        </w:rPr>
      </w:pPr>
    </w:p>
    <w:p w14:paraId="276821A9">
      <w:pPr>
        <w:tabs>
          <w:tab w:val="left" w:pos="1200"/>
          <w:tab w:val="left" w:pos="8190"/>
        </w:tabs>
        <w:spacing w:line="440" w:lineRule="exact"/>
        <w:ind w:right="-99" w:rightChars="-47"/>
        <w:jc w:val="right"/>
        <w:rPr>
          <w:rFonts w:hint="eastAsia" w:ascii="宋体" w:hAnsi="宋体" w:eastAsia="宋体" w:cs="宋体"/>
          <w:szCs w:val="21"/>
          <w:highlight w:val="none"/>
        </w:rPr>
      </w:pPr>
      <w:r>
        <w:rPr>
          <w:rFonts w:hint="eastAsia" w:ascii="宋体" w:hAnsi="宋体" w:eastAsia="宋体" w:cs="宋体"/>
          <w:szCs w:val="21"/>
          <w:highlight w:val="none"/>
        </w:rPr>
        <w:t>供应商：</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（盖单位公章）</w:t>
      </w:r>
    </w:p>
    <w:p w14:paraId="2844174D">
      <w:pPr>
        <w:tabs>
          <w:tab w:val="left" w:pos="1200"/>
        </w:tabs>
        <w:spacing w:line="440" w:lineRule="exact"/>
        <w:ind w:right="-99" w:rightChars="-47"/>
        <w:jc w:val="right"/>
        <w:rPr>
          <w:rFonts w:hint="eastAsia" w:ascii="宋体" w:hAnsi="宋体" w:eastAsia="宋体" w:cs="宋体"/>
          <w:szCs w:val="21"/>
          <w:highlight w:val="none"/>
        </w:rPr>
      </w:pPr>
      <w:r>
        <w:rPr>
          <w:rFonts w:hint="eastAsia" w:ascii="宋体" w:hAnsi="宋体" w:eastAsia="宋体" w:cs="宋体"/>
          <w:szCs w:val="21"/>
          <w:highlight w:val="none"/>
        </w:rPr>
        <w:t>法定代表人：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（签字或盖章）</w:t>
      </w:r>
    </w:p>
    <w:p w14:paraId="0C6A6991">
      <w:pPr>
        <w:pStyle w:val="7"/>
        <w:spacing w:line="440" w:lineRule="exact"/>
        <w:ind w:right="-99" w:rightChars="-47" w:firstLine="0" w:firstLineChars="0"/>
        <w:jc w:val="right"/>
        <w:rPr>
          <w:rFonts w:hint="eastAsia" w:ascii="宋体" w:hAnsi="宋体" w:eastAsia="宋体" w:cs="宋体"/>
          <w:szCs w:val="21"/>
          <w:highlight w:val="none"/>
        </w:rPr>
      </w:pPr>
      <w:r>
        <w:rPr>
          <w:rFonts w:hint="eastAsia" w:ascii="宋体" w:hAnsi="宋体" w:eastAsia="宋体" w:cs="宋体"/>
          <w:szCs w:val="21"/>
          <w:highlight w:val="none"/>
        </w:rPr>
        <w:t>日期：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年 </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14:paraId="4CDE936C">
      <w:pPr>
        <w:bidi w:val="0"/>
        <w:rPr>
          <w:rFonts w:hint="eastAsia"/>
          <w:highlight w:val="none"/>
        </w:rPr>
      </w:pPr>
    </w:p>
    <w:p w14:paraId="321E73B0">
      <w:pPr>
        <w:bidi w:val="0"/>
        <w:rPr>
          <w:rFonts w:hint="eastAsia"/>
          <w:highlight w:val="none"/>
        </w:rPr>
      </w:pPr>
    </w:p>
    <w:p w14:paraId="1FEC52F6">
      <w:pPr>
        <w:rPr>
          <w:rFonts w:hint="eastAsia" w:ascii="宋体" w:hAnsi="宋体" w:eastAsia="宋体" w:cs="宋体"/>
          <w:highlight w:val="none"/>
        </w:rPr>
      </w:pPr>
    </w:p>
    <w:sectPr>
      <w:pgSz w:w="11906" w:h="16838"/>
      <w:pgMar w:top="1440" w:right="1803" w:bottom="1440" w:left="1803" w:header="851" w:footer="992" w:gutter="0"/>
      <w:pgBorders>
        <w:top w:val="none" w:sz="0" w:space="0"/>
        <w:left w:val="none" w:sz="0" w:space="0"/>
        <w:bottom w:val="none" w:sz="0" w:space="0"/>
        <w:right w:val="none" w:sz="0" w:space="0"/>
      </w:pgBorders>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楷体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靱.">
    <w:altName w:val="宋体"/>
    <w:panose1 w:val="00000000000000000000"/>
    <w:charset w:val="86"/>
    <w:family w:val="roma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59C3B">
    <w:pPr>
      <w:pStyle w:val="14"/>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1C210">
    <w:pPr>
      <w:pStyle w:val="14"/>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EA3F70">
                          <w:pPr>
                            <w:pStyle w:val="14"/>
                            <w:rPr>
                              <w:rFonts w:hint="eastAsia"/>
                              <w:sz w:val="18"/>
                              <w:szCs w:val="18"/>
                            </w:rPr>
                          </w:pP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  \* MERGEFORMAT </w:instrText>
                          </w:r>
                          <w:r>
                            <w:rPr>
                              <w:rFonts w:hint="eastAsia" w:ascii="宋体" w:hAnsi="宋体" w:eastAsia="宋体" w:cs="宋体"/>
                              <w:sz w:val="18"/>
                              <w:szCs w:val="18"/>
                            </w:rPr>
                            <w:fldChar w:fldCharType="separate"/>
                          </w:r>
                          <w:r>
                            <w:rPr>
                              <w:rFonts w:hint="eastAsia" w:ascii="宋体" w:hAnsi="宋体" w:eastAsia="宋体" w:cs="宋体"/>
                              <w:sz w:val="18"/>
                              <w:szCs w:val="18"/>
                            </w:rPr>
                            <w:t>3</w:t>
                          </w:r>
                          <w:r>
                            <w:rPr>
                              <w:rFonts w:hint="eastAsia" w:ascii="宋体" w:hAnsi="宋体" w:eastAsia="宋体" w:cs="宋体"/>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AEA3F70">
                    <w:pPr>
                      <w:pStyle w:val="14"/>
                      <w:rPr>
                        <w:rFonts w:hint="eastAsia"/>
                        <w:sz w:val="18"/>
                        <w:szCs w:val="18"/>
                      </w:rPr>
                    </w:pP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  \* MERGEFORMAT </w:instrText>
                    </w:r>
                    <w:r>
                      <w:rPr>
                        <w:rFonts w:hint="eastAsia" w:ascii="宋体" w:hAnsi="宋体" w:eastAsia="宋体" w:cs="宋体"/>
                        <w:sz w:val="18"/>
                        <w:szCs w:val="18"/>
                      </w:rPr>
                      <w:fldChar w:fldCharType="separate"/>
                    </w:r>
                    <w:r>
                      <w:rPr>
                        <w:rFonts w:hint="eastAsia" w:ascii="宋体" w:hAnsi="宋体" w:eastAsia="宋体" w:cs="宋体"/>
                        <w:sz w:val="18"/>
                        <w:szCs w:val="18"/>
                      </w:rPr>
                      <w:t>3</w:t>
                    </w:r>
                    <w:r>
                      <w:rPr>
                        <w:rFonts w:hint="eastAsia" w:ascii="宋体" w:hAnsi="宋体" w:eastAsia="宋体" w:cs="宋体"/>
                        <w:sz w:val="18"/>
                        <w:szCs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54ABD">
    <w:pPr>
      <w:pStyle w:val="14"/>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E205D2">
                          <w:pPr>
                            <w:pStyle w:val="14"/>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FE205D2">
                    <w:pPr>
                      <w:pStyle w:val="14"/>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68C66">
    <w:pPr>
      <w:pStyle w:val="14"/>
      <w:jc w:val="center"/>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9841"/>
                          </w:sdtPr>
                          <w:sdtContent>
                            <w:p w14:paraId="4F1F9EED">
                              <w:pPr>
                                <w:pStyle w:val="14"/>
                                <w:jc w:val="center"/>
                                <w:rPr>
                                  <w:rFonts w:hint="eastAsia"/>
                                </w:rPr>
                              </w:pPr>
                              <w:r>
                                <w:fldChar w:fldCharType="begin"/>
                              </w:r>
                              <w:r>
                                <w:instrText xml:space="preserve">PAGE   \* MERGEFORMAT</w:instrText>
                              </w:r>
                              <w:r>
                                <w:fldChar w:fldCharType="separate"/>
                              </w:r>
                              <w:r>
                                <w:rPr>
                                  <w:lang w:val="zh-CN"/>
                                </w:rPr>
                                <w:t>1</w:t>
                              </w:r>
                              <w:r>
                                <w:fldChar w:fldCharType="end"/>
                              </w:r>
                            </w:p>
                          </w:sdtContent>
                        </w:sdt>
                        <w:p w14:paraId="0B20D865">
                          <w:pPr>
                            <w:pStyle w:val="7"/>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sdt>
                    <w:sdtPr>
                      <w:id w:val="147469841"/>
                    </w:sdtPr>
                    <w:sdtContent>
                      <w:p w14:paraId="4F1F9EED">
                        <w:pPr>
                          <w:pStyle w:val="14"/>
                          <w:jc w:val="center"/>
                          <w:rPr>
                            <w:rFonts w:hint="eastAsia"/>
                          </w:rPr>
                        </w:pPr>
                        <w:r>
                          <w:fldChar w:fldCharType="begin"/>
                        </w:r>
                        <w:r>
                          <w:instrText xml:space="preserve">PAGE   \* MERGEFORMAT</w:instrText>
                        </w:r>
                        <w:r>
                          <w:fldChar w:fldCharType="separate"/>
                        </w:r>
                        <w:r>
                          <w:rPr>
                            <w:lang w:val="zh-CN"/>
                          </w:rPr>
                          <w:t>1</w:t>
                        </w:r>
                        <w:r>
                          <w:fldChar w:fldCharType="end"/>
                        </w:r>
                      </w:p>
                    </w:sdtContent>
                  </w:sdt>
                  <w:p w14:paraId="0B20D865">
                    <w:pPr>
                      <w:pStyle w:val="7"/>
                      <w:rPr>
                        <w:rFonts w:hint="eastAsia"/>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5703E">
    <w:pPr>
      <w:pStyle w:val="1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EB278">
    <w:pPr>
      <w:pBdr>
        <w:bottom w:val="thinThickSmallGap" w:color="auto" w:sz="12" w:space="0"/>
      </w:pBdr>
      <w:ind w:left="1" w:right="-141" w:rightChars="-67"/>
      <w:textAlignment w:val="center"/>
      <w:rPr>
        <w:rFonts w:hint="eastAsia"/>
        <w:szCs w:val="21"/>
      </w:rPr>
    </w:pPr>
    <w:r>
      <w:rPr>
        <w:b/>
        <w:szCs w:val="21"/>
      </w:rPr>
      <w:t xml:space="preserve">. </w:t>
    </w:r>
    <w:r>
      <w:rPr>
        <w:bCs/>
        <w:szCs w:val="21"/>
      </w:rPr>
      <w:fldChar w:fldCharType="begin"/>
    </w:r>
    <w:r>
      <w:rPr>
        <w:bCs/>
        <w:szCs w:val="21"/>
      </w:rPr>
      <w:instrText xml:space="preserve"> PAGE </w:instrText>
    </w:r>
    <w:r>
      <w:rPr>
        <w:bCs/>
        <w:szCs w:val="21"/>
      </w:rPr>
      <w:fldChar w:fldCharType="separate"/>
    </w:r>
    <w:r>
      <w:rPr>
        <w:bCs/>
        <w:szCs w:val="21"/>
      </w:rPr>
      <w:t>24</w:t>
    </w:r>
    <w:r>
      <w:rPr>
        <w:bCs/>
        <w:szCs w:val="21"/>
      </w:rPr>
      <w:fldChar w:fldCharType="end"/>
    </w:r>
    <w:r>
      <w:rPr>
        <w:bCs/>
        <w:szCs w:val="21"/>
      </w:rPr>
      <w:t xml:space="preserve"> .</w:t>
    </w:r>
    <w:r>
      <w:rPr>
        <w:rFonts w:hint="eastAsia" w:ascii="宋体" w:hAnsi="宋体"/>
        <w:kern w:val="0"/>
        <w:szCs w:val="21"/>
      </w:rPr>
      <w:t xml:space="preserve">南通市城市轨道交通2号线一期工程正线家具采购项目            </w:t>
    </w:r>
    <w:r>
      <w:rPr>
        <w:rFonts w:hint="eastAsia"/>
        <w:bCs/>
        <w:szCs w:val="21"/>
      </w:rPr>
      <w:t xml:space="preserve">      </w:t>
    </w:r>
    <w:r>
      <w:rPr>
        <w:rFonts w:hint="eastAsia"/>
        <w:szCs w:val="21"/>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QyYTNlZGQxYmM4NjY4ZWE0MjY4MWE4MjE0NjlhZmUifQ=="/>
  </w:docVars>
  <w:rsids>
    <w:rsidRoot w:val="003B1FB4"/>
    <w:rsid w:val="000549BD"/>
    <w:rsid w:val="00061836"/>
    <w:rsid w:val="000D5654"/>
    <w:rsid w:val="00107DE6"/>
    <w:rsid w:val="001577C8"/>
    <w:rsid w:val="00182FC8"/>
    <w:rsid w:val="001E1982"/>
    <w:rsid w:val="002A696C"/>
    <w:rsid w:val="002D61E1"/>
    <w:rsid w:val="002E1B4B"/>
    <w:rsid w:val="00350FCD"/>
    <w:rsid w:val="003B1FB4"/>
    <w:rsid w:val="0050385C"/>
    <w:rsid w:val="00523EB0"/>
    <w:rsid w:val="00536DA7"/>
    <w:rsid w:val="005567D2"/>
    <w:rsid w:val="005607DA"/>
    <w:rsid w:val="005B1BBB"/>
    <w:rsid w:val="005B7CC6"/>
    <w:rsid w:val="00600ECB"/>
    <w:rsid w:val="006222EB"/>
    <w:rsid w:val="00637499"/>
    <w:rsid w:val="00667F61"/>
    <w:rsid w:val="00692FA7"/>
    <w:rsid w:val="0071733A"/>
    <w:rsid w:val="00725556"/>
    <w:rsid w:val="007E65D3"/>
    <w:rsid w:val="007F20F3"/>
    <w:rsid w:val="008B3C35"/>
    <w:rsid w:val="008B3EBB"/>
    <w:rsid w:val="008F6424"/>
    <w:rsid w:val="00943827"/>
    <w:rsid w:val="009632EF"/>
    <w:rsid w:val="009C337D"/>
    <w:rsid w:val="00A42068"/>
    <w:rsid w:val="00A970E8"/>
    <w:rsid w:val="00AA413D"/>
    <w:rsid w:val="00AD4EE7"/>
    <w:rsid w:val="00B10D1C"/>
    <w:rsid w:val="00B26ACD"/>
    <w:rsid w:val="00B32454"/>
    <w:rsid w:val="00BD4AAE"/>
    <w:rsid w:val="00C74082"/>
    <w:rsid w:val="00D20B4D"/>
    <w:rsid w:val="00D20C3F"/>
    <w:rsid w:val="00D36043"/>
    <w:rsid w:val="00D74B29"/>
    <w:rsid w:val="00D75221"/>
    <w:rsid w:val="00D95616"/>
    <w:rsid w:val="00E55F32"/>
    <w:rsid w:val="00E81B92"/>
    <w:rsid w:val="00F06D68"/>
    <w:rsid w:val="00F62F76"/>
    <w:rsid w:val="00F67520"/>
    <w:rsid w:val="00F92C97"/>
    <w:rsid w:val="01130852"/>
    <w:rsid w:val="01170C55"/>
    <w:rsid w:val="014D0C00"/>
    <w:rsid w:val="014F0B3B"/>
    <w:rsid w:val="0157753E"/>
    <w:rsid w:val="01626374"/>
    <w:rsid w:val="017460A8"/>
    <w:rsid w:val="018054F1"/>
    <w:rsid w:val="018E7861"/>
    <w:rsid w:val="01934780"/>
    <w:rsid w:val="01A3073B"/>
    <w:rsid w:val="01D86DE9"/>
    <w:rsid w:val="01DB715F"/>
    <w:rsid w:val="01F05373"/>
    <w:rsid w:val="01FF0067"/>
    <w:rsid w:val="023C4667"/>
    <w:rsid w:val="028E44B9"/>
    <w:rsid w:val="029B6145"/>
    <w:rsid w:val="02A22BA1"/>
    <w:rsid w:val="02AD40CA"/>
    <w:rsid w:val="02B65C90"/>
    <w:rsid w:val="02C60BF3"/>
    <w:rsid w:val="02F54FC6"/>
    <w:rsid w:val="03086AA8"/>
    <w:rsid w:val="030C0A49"/>
    <w:rsid w:val="032770F0"/>
    <w:rsid w:val="0337738D"/>
    <w:rsid w:val="03377B2F"/>
    <w:rsid w:val="03541CED"/>
    <w:rsid w:val="035E3D65"/>
    <w:rsid w:val="035F453B"/>
    <w:rsid w:val="03631D93"/>
    <w:rsid w:val="03AA0CB7"/>
    <w:rsid w:val="03B47C4B"/>
    <w:rsid w:val="03C50E3C"/>
    <w:rsid w:val="03DA48E8"/>
    <w:rsid w:val="03EF7C67"/>
    <w:rsid w:val="03F21AD0"/>
    <w:rsid w:val="03F248A9"/>
    <w:rsid w:val="03F37758"/>
    <w:rsid w:val="03F60FF6"/>
    <w:rsid w:val="0402799B"/>
    <w:rsid w:val="0405310F"/>
    <w:rsid w:val="04160396"/>
    <w:rsid w:val="04333FF8"/>
    <w:rsid w:val="043A563D"/>
    <w:rsid w:val="04406715"/>
    <w:rsid w:val="04B27174"/>
    <w:rsid w:val="04BE3ED5"/>
    <w:rsid w:val="04F62A1A"/>
    <w:rsid w:val="04FD3C4F"/>
    <w:rsid w:val="0517066E"/>
    <w:rsid w:val="051C765B"/>
    <w:rsid w:val="05222FC2"/>
    <w:rsid w:val="053C6EDC"/>
    <w:rsid w:val="056F4EFC"/>
    <w:rsid w:val="057E6160"/>
    <w:rsid w:val="05A50F26"/>
    <w:rsid w:val="05AA2098"/>
    <w:rsid w:val="05B20F4D"/>
    <w:rsid w:val="05B6205D"/>
    <w:rsid w:val="05C060B4"/>
    <w:rsid w:val="05CF7D50"/>
    <w:rsid w:val="05FD1851"/>
    <w:rsid w:val="06023C82"/>
    <w:rsid w:val="06374B62"/>
    <w:rsid w:val="064249C6"/>
    <w:rsid w:val="06585F98"/>
    <w:rsid w:val="066606B5"/>
    <w:rsid w:val="066761DB"/>
    <w:rsid w:val="0676641E"/>
    <w:rsid w:val="068B1EC9"/>
    <w:rsid w:val="068E5516"/>
    <w:rsid w:val="06976AC0"/>
    <w:rsid w:val="069A3EBB"/>
    <w:rsid w:val="06BC6527"/>
    <w:rsid w:val="06D9586C"/>
    <w:rsid w:val="070E48A8"/>
    <w:rsid w:val="073F50CC"/>
    <w:rsid w:val="075C1AB8"/>
    <w:rsid w:val="075F5104"/>
    <w:rsid w:val="07885B96"/>
    <w:rsid w:val="079052BE"/>
    <w:rsid w:val="07A16205"/>
    <w:rsid w:val="07AB0349"/>
    <w:rsid w:val="07BA1D4E"/>
    <w:rsid w:val="07CF503D"/>
    <w:rsid w:val="07E92107"/>
    <w:rsid w:val="08007A98"/>
    <w:rsid w:val="08031F33"/>
    <w:rsid w:val="08061E83"/>
    <w:rsid w:val="08082567"/>
    <w:rsid w:val="08204208"/>
    <w:rsid w:val="08314631"/>
    <w:rsid w:val="085207C5"/>
    <w:rsid w:val="087B6ACF"/>
    <w:rsid w:val="087E2DD8"/>
    <w:rsid w:val="08915791"/>
    <w:rsid w:val="08962DA7"/>
    <w:rsid w:val="08D93BA8"/>
    <w:rsid w:val="08E97B4C"/>
    <w:rsid w:val="08FD5DC4"/>
    <w:rsid w:val="090C3DE8"/>
    <w:rsid w:val="09293C1C"/>
    <w:rsid w:val="092C1016"/>
    <w:rsid w:val="09475E50"/>
    <w:rsid w:val="094F3109"/>
    <w:rsid w:val="09502F56"/>
    <w:rsid w:val="09542264"/>
    <w:rsid w:val="097A3FC4"/>
    <w:rsid w:val="09886B94"/>
    <w:rsid w:val="0992356F"/>
    <w:rsid w:val="09A17C56"/>
    <w:rsid w:val="09CE1B6F"/>
    <w:rsid w:val="09D32F52"/>
    <w:rsid w:val="09E331B4"/>
    <w:rsid w:val="09E367E8"/>
    <w:rsid w:val="0A216915"/>
    <w:rsid w:val="0A4837C0"/>
    <w:rsid w:val="0A544CC8"/>
    <w:rsid w:val="0A5C3376"/>
    <w:rsid w:val="0A6C6C62"/>
    <w:rsid w:val="0A6D3361"/>
    <w:rsid w:val="0A8A41C5"/>
    <w:rsid w:val="0ABA0BDC"/>
    <w:rsid w:val="0AE506A2"/>
    <w:rsid w:val="0AE75B3C"/>
    <w:rsid w:val="0B0B182B"/>
    <w:rsid w:val="0B2428ED"/>
    <w:rsid w:val="0B3316D4"/>
    <w:rsid w:val="0B6D2CFE"/>
    <w:rsid w:val="0B6F52BB"/>
    <w:rsid w:val="0B7E674B"/>
    <w:rsid w:val="0B8E420A"/>
    <w:rsid w:val="0BA071E0"/>
    <w:rsid w:val="0BA63302"/>
    <w:rsid w:val="0BBB283E"/>
    <w:rsid w:val="0BC11EE9"/>
    <w:rsid w:val="0BC35C62"/>
    <w:rsid w:val="0BC424F5"/>
    <w:rsid w:val="0BD73E58"/>
    <w:rsid w:val="0BDA2695"/>
    <w:rsid w:val="0C000C64"/>
    <w:rsid w:val="0C105C49"/>
    <w:rsid w:val="0C2C7CAB"/>
    <w:rsid w:val="0C3B7F04"/>
    <w:rsid w:val="0C631072"/>
    <w:rsid w:val="0C825B1D"/>
    <w:rsid w:val="0C8460D5"/>
    <w:rsid w:val="0C963376"/>
    <w:rsid w:val="0C9910B8"/>
    <w:rsid w:val="0CC359AF"/>
    <w:rsid w:val="0CD619C5"/>
    <w:rsid w:val="0CF34325"/>
    <w:rsid w:val="0CFD33F5"/>
    <w:rsid w:val="0D124B42"/>
    <w:rsid w:val="0D301714"/>
    <w:rsid w:val="0D37043B"/>
    <w:rsid w:val="0D5D20E6"/>
    <w:rsid w:val="0D7A4A46"/>
    <w:rsid w:val="0D8853B5"/>
    <w:rsid w:val="0D8A0C99"/>
    <w:rsid w:val="0D8A34B8"/>
    <w:rsid w:val="0DB241E0"/>
    <w:rsid w:val="0DB547BE"/>
    <w:rsid w:val="0DD71FA0"/>
    <w:rsid w:val="0DDF2AFB"/>
    <w:rsid w:val="0DE549DB"/>
    <w:rsid w:val="0DFC4113"/>
    <w:rsid w:val="0E06277D"/>
    <w:rsid w:val="0E1F1149"/>
    <w:rsid w:val="0E385D2E"/>
    <w:rsid w:val="0E3C648A"/>
    <w:rsid w:val="0E5C4CC4"/>
    <w:rsid w:val="0E6643C1"/>
    <w:rsid w:val="0EB65F51"/>
    <w:rsid w:val="0EC0292C"/>
    <w:rsid w:val="0ED5253C"/>
    <w:rsid w:val="0EFE5F92"/>
    <w:rsid w:val="0F01127E"/>
    <w:rsid w:val="0F1A5289"/>
    <w:rsid w:val="0F236BBB"/>
    <w:rsid w:val="0F48325A"/>
    <w:rsid w:val="0F5117D6"/>
    <w:rsid w:val="0F9C5147"/>
    <w:rsid w:val="0FB56209"/>
    <w:rsid w:val="0FCE6A44"/>
    <w:rsid w:val="0FD068F7"/>
    <w:rsid w:val="0FDE06D0"/>
    <w:rsid w:val="0FE25086"/>
    <w:rsid w:val="1027357A"/>
    <w:rsid w:val="1038065F"/>
    <w:rsid w:val="10394D7A"/>
    <w:rsid w:val="103A226A"/>
    <w:rsid w:val="108F0808"/>
    <w:rsid w:val="10927418"/>
    <w:rsid w:val="10993435"/>
    <w:rsid w:val="109F18A3"/>
    <w:rsid w:val="10DA43E1"/>
    <w:rsid w:val="10E4370F"/>
    <w:rsid w:val="10F82C51"/>
    <w:rsid w:val="110F3B44"/>
    <w:rsid w:val="111E587A"/>
    <w:rsid w:val="11216C1D"/>
    <w:rsid w:val="11380EA0"/>
    <w:rsid w:val="114A2981"/>
    <w:rsid w:val="115209CB"/>
    <w:rsid w:val="115D4462"/>
    <w:rsid w:val="117852DF"/>
    <w:rsid w:val="118032A3"/>
    <w:rsid w:val="1193356B"/>
    <w:rsid w:val="11963E18"/>
    <w:rsid w:val="119E7DF7"/>
    <w:rsid w:val="11A448C7"/>
    <w:rsid w:val="11B81FE1"/>
    <w:rsid w:val="11BD5937"/>
    <w:rsid w:val="11E44CC8"/>
    <w:rsid w:val="11F56779"/>
    <w:rsid w:val="11FC1ECD"/>
    <w:rsid w:val="123553DF"/>
    <w:rsid w:val="12411FD6"/>
    <w:rsid w:val="12476C85"/>
    <w:rsid w:val="12533DA4"/>
    <w:rsid w:val="1260628E"/>
    <w:rsid w:val="12767ED2"/>
    <w:rsid w:val="1286542A"/>
    <w:rsid w:val="128D0D77"/>
    <w:rsid w:val="12C01BCE"/>
    <w:rsid w:val="12CA43DE"/>
    <w:rsid w:val="12D40755"/>
    <w:rsid w:val="12ED7A68"/>
    <w:rsid w:val="12F62807"/>
    <w:rsid w:val="13262589"/>
    <w:rsid w:val="138403CC"/>
    <w:rsid w:val="13BB75C8"/>
    <w:rsid w:val="13C3713F"/>
    <w:rsid w:val="13C609E5"/>
    <w:rsid w:val="13E21014"/>
    <w:rsid w:val="13F476FC"/>
    <w:rsid w:val="14076166"/>
    <w:rsid w:val="140B63F8"/>
    <w:rsid w:val="14477FE7"/>
    <w:rsid w:val="147860A8"/>
    <w:rsid w:val="1481188B"/>
    <w:rsid w:val="14911761"/>
    <w:rsid w:val="149D16A7"/>
    <w:rsid w:val="149D3294"/>
    <w:rsid w:val="14AA20B4"/>
    <w:rsid w:val="14B00D4D"/>
    <w:rsid w:val="14B3487E"/>
    <w:rsid w:val="14C066D6"/>
    <w:rsid w:val="14C34F24"/>
    <w:rsid w:val="14ED5654"/>
    <w:rsid w:val="14F670A8"/>
    <w:rsid w:val="14F677CC"/>
    <w:rsid w:val="14FE2281"/>
    <w:rsid w:val="152265CD"/>
    <w:rsid w:val="15436C90"/>
    <w:rsid w:val="1566380D"/>
    <w:rsid w:val="15802E15"/>
    <w:rsid w:val="15A308B2"/>
    <w:rsid w:val="15B36D47"/>
    <w:rsid w:val="15BC24B9"/>
    <w:rsid w:val="15D66ED9"/>
    <w:rsid w:val="15ED387C"/>
    <w:rsid w:val="16332567"/>
    <w:rsid w:val="1638724C"/>
    <w:rsid w:val="165D1D4B"/>
    <w:rsid w:val="165F2A2B"/>
    <w:rsid w:val="16624DBC"/>
    <w:rsid w:val="169D6D1F"/>
    <w:rsid w:val="169E17A5"/>
    <w:rsid w:val="16C5772D"/>
    <w:rsid w:val="16D451C7"/>
    <w:rsid w:val="16D63AA2"/>
    <w:rsid w:val="16E507BE"/>
    <w:rsid w:val="17013AE2"/>
    <w:rsid w:val="1713571E"/>
    <w:rsid w:val="173B3498"/>
    <w:rsid w:val="1762215E"/>
    <w:rsid w:val="176C7539"/>
    <w:rsid w:val="177366C3"/>
    <w:rsid w:val="178642C9"/>
    <w:rsid w:val="17AA4300"/>
    <w:rsid w:val="17C76AD9"/>
    <w:rsid w:val="17CA0378"/>
    <w:rsid w:val="17E53404"/>
    <w:rsid w:val="17EC6AFA"/>
    <w:rsid w:val="180729F7"/>
    <w:rsid w:val="180C68D7"/>
    <w:rsid w:val="181119FA"/>
    <w:rsid w:val="181B432F"/>
    <w:rsid w:val="186662F2"/>
    <w:rsid w:val="18770DA5"/>
    <w:rsid w:val="189129DB"/>
    <w:rsid w:val="189D7BD5"/>
    <w:rsid w:val="189E07B8"/>
    <w:rsid w:val="18A94DED"/>
    <w:rsid w:val="18B40FBC"/>
    <w:rsid w:val="18B67FA0"/>
    <w:rsid w:val="18B95A3D"/>
    <w:rsid w:val="18BA4890"/>
    <w:rsid w:val="18D249C3"/>
    <w:rsid w:val="18E134FB"/>
    <w:rsid w:val="18EA3550"/>
    <w:rsid w:val="18ED4334"/>
    <w:rsid w:val="19126789"/>
    <w:rsid w:val="19173A91"/>
    <w:rsid w:val="19191C63"/>
    <w:rsid w:val="19193365"/>
    <w:rsid w:val="19297320"/>
    <w:rsid w:val="193277BF"/>
    <w:rsid w:val="196D2C5C"/>
    <w:rsid w:val="1990311A"/>
    <w:rsid w:val="19A0612D"/>
    <w:rsid w:val="19BE6D80"/>
    <w:rsid w:val="19CE05F3"/>
    <w:rsid w:val="19DE2475"/>
    <w:rsid w:val="19E020D4"/>
    <w:rsid w:val="19EC0531"/>
    <w:rsid w:val="1A041EBA"/>
    <w:rsid w:val="1A1A55E6"/>
    <w:rsid w:val="1A1C5267"/>
    <w:rsid w:val="1A2A0518"/>
    <w:rsid w:val="1A2F6BB8"/>
    <w:rsid w:val="1A545A6F"/>
    <w:rsid w:val="1A5605E9"/>
    <w:rsid w:val="1A7647E7"/>
    <w:rsid w:val="1A874F40"/>
    <w:rsid w:val="1A927101"/>
    <w:rsid w:val="1AA17AB6"/>
    <w:rsid w:val="1AB01AA7"/>
    <w:rsid w:val="1AC90DBB"/>
    <w:rsid w:val="1ACA5F2D"/>
    <w:rsid w:val="1ADB223A"/>
    <w:rsid w:val="1AFF1486"/>
    <w:rsid w:val="1B0A2A89"/>
    <w:rsid w:val="1B171B26"/>
    <w:rsid w:val="1B1F09DB"/>
    <w:rsid w:val="1B5468D6"/>
    <w:rsid w:val="1B577A36"/>
    <w:rsid w:val="1B8151F1"/>
    <w:rsid w:val="1B85437C"/>
    <w:rsid w:val="1B943177"/>
    <w:rsid w:val="1BA10E42"/>
    <w:rsid w:val="1BD6378F"/>
    <w:rsid w:val="1BF6332A"/>
    <w:rsid w:val="1C4F06E5"/>
    <w:rsid w:val="1C5648D0"/>
    <w:rsid w:val="1C9553F8"/>
    <w:rsid w:val="1CC96E50"/>
    <w:rsid w:val="1CCF02AF"/>
    <w:rsid w:val="1CDC6B57"/>
    <w:rsid w:val="1D04432C"/>
    <w:rsid w:val="1D1F69ED"/>
    <w:rsid w:val="1D240D8E"/>
    <w:rsid w:val="1D6103FD"/>
    <w:rsid w:val="1D7E2E6D"/>
    <w:rsid w:val="1DA23028"/>
    <w:rsid w:val="1DA56095"/>
    <w:rsid w:val="1DF9030C"/>
    <w:rsid w:val="1DFC2F2D"/>
    <w:rsid w:val="1E2A7DC2"/>
    <w:rsid w:val="1E5B7F19"/>
    <w:rsid w:val="1E636E30"/>
    <w:rsid w:val="1E6673D8"/>
    <w:rsid w:val="1E7B1CA7"/>
    <w:rsid w:val="1E9A4F48"/>
    <w:rsid w:val="1EA731C1"/>
    <w:rsid w:val="1EAC07D7"/>
    <w:rsid w:val="1EC24C68"/>
    <w:rsid w:val="1EEB29E8"/>
    <w:rsid w:val="1EF37E84"/>
    <w:rsid w:val="1F063A06"/>
    <w:rsid w:val="1F674C92"/>
    <w:rsid w:val="1F7A1FF1"/>
    <w:rsid w:val="1F861028"/>
    <w:rsid w:val="1FC60134"/>
    <w:rsid w:val="1FFA1F91"/>
    <w:rsid w:val="1FFF642A"/>
    <w:rsid w:val="20247BFF"/>
    <w:rsid w:val="20464C6E"/>
    <w:rsid w:val="20AC4ABE"/>
    <w:rsid w:val="20C548AE"/>
    <w:rsid w:val="20CB422E"/>
    <w:rsid w:val="20D64231"/>
    <w:rsid w:val="20F6042F"/>
    <w:rsid w:val="21055681"/>
    <w:rsid w:val="21406E88"/>
    <w:rsid w:val="21742949"/>
    <w:rsid w:val="217840FE"/>
    <w:rsid w:val="2188160C"/>
    <w:rsid w:val="21B63A75"/>
    <w:rsid w:val="21CB241D"/>
    <w:rsid w:val="21E85FCA"/>
    <w:rsid w:val="221548E5"/>
    <w:rsid w:val="221B014E"/>
    <w:rsid w:val="222A213F"/>
    <w:rsid w:val="22350C23"/>
    <w:rsid w:val="22420BD0"/>
    <w:rsid w:val="227663F2"/>
    <w:rsid w:val="22C97440"/>
    <w:rsid w:val="22CE51C0"/>
    <w:rsid w:val="22D13310"/>
    <w:rsid w:val="22F81EC6"/>
    <w:rsid w:val="22F866E1"/>
    <w:rsid w:val="23027530"/>
    <w:rsid w:val="23056708"/>
    <w:rsid w:val="23142000"/>
    <w:rsid w:val="233E17D0"/>
    <w:rsid w:val="23575EA4"/>
    <w:rsid w:val="2398629F"/>
    <w:rsid w:val="23BD3591"/>
    <w:rsid w:val="23D762F6"/>
    <w:rsid w:val="23EE3640"/>
    <w:rsid w:val="23F30C56"/>
    <w:rsid w:val="246B3BB5"/>
    <w:rsid w:val="246F652F"/>
    <w:rsid w:val="247578BD"/>
    <w:rsid w:val="24C7060D"/>
    <w:rsid w:val="24D40A88"/>
    <w:rsid w:val="25036D06"/>
    <w:rsid w:val="250F51D5"/>
    <w:rsid w:val="253B7D61"/>
    <w:rsid w:val="254933EC"/>
    <w:rsid w:val="254B640F"/>
    <w:rsid w:val="258013FF"/>
    <w:rsid w:val="25813A04"/>
    <w:rsid w:val="25873D4C"/>
    <w:rsid w:val="258E6E89"/>
    <w:rsid w:val="25A17296"/>
    <w:rsid w:val="25CC175F"/>
    <w:rsid w:val="25D03FE5"/>
    <w:rsid w:val="25E2786E"/>
    <w:rsid w:val="262413B5"/>
    <w:rsid w:val="26296BB1"/>
    <w:rsid w:val="262D4649"/>
    <w:rsid w:val="26450929"/>
    <w:rsid w:val="2661634B"/>
    <w:rsid w:val="269C2A4F"/>
    <w:rsid w:val="26BC7A25"/>
    <w:rsid w:val="26CF59AB"/>
    <w:rsid w:val="26D94133"/>
    <w:rsid w:val="26E15B99"/>
    <w:rsid w:val="26EE20B0"/>
    <w:rsid w:val="26EF7DFB"/>
    <w:rsid w:val="27191928"/>
    <w:rsid w:val="2736025A"/>
    <w:rsid w:val="274104B7"/>
    <w:rsid w:val="27531993"/>
    <w:rsid w:val="275375C4"/>
    <w:rsid w:val="2758738F"/>
    <w:rsid w:val="275F738A"/>
    <w:rsid w:val="27870033"/>
    <w:rsid w:val="27890A62"/>
    <w:rsid w:val="27893DAB"/>
    <w:rsid w:val="27C73119"/>
    <w:rsid w:val="27CE0F0A"/>
    <w:rsid w:val="27D44EFA"/>
    <w:rsid w:val="27F74757"/>
    <w:rsid w:val="28021016"/>
    <w:rsid w:val="280E20B7"/>
    <w:rsid w:val="284B1061"/>
    <w:rsid w:val="28726438"/>
    <w:rsid w:val="28B906C0"/>
    <w:rsid w:val="28BB6A0A"/>
    <w:rsid w:val="28E24A9D"/>
    <w:rsid w:val="28E26357"/>
    <w:rsid w:val="28FB3848"/>
    <w:rsid w:val="29032C29"/>
    <w:rsid w:val="290336EA"/>
    <w:rsid w:val="290D4568"/>
    <w:rsid w:val="291476A5"/>
    <w:rsid w:val="29634188"/>
    <w:rsid w:val="296E3259"/>
    <w:rsid w:val="29820AB2"/>
    <w:rsid w:val="29891E41"/>
    <w:rsid w:val="29C03740"/>
    <w:rsid w:val="29C72386"/>
    <w:rsid w:val="2A0911D4"/>
    <w:rsid w:val="2A0E0200"/>
    <w:rsid w:val="2A3F0751"/>
    <w:rsid w:val="2A560DF6"/>
    <w:rsid w:val="2A726C79"/>
    <w:rsid w:val="2ABE5B1A"/>
    <w:rsid w:val="2AC62C21"/>
    <w:rsid w:val="2AD74E2E"/>
    <w:rsid w:val="2AF04F74"/>
    <w:rsid w:val="2B103C7E"/>
    <w:rsid w:val="2B165246"/>
    <w:rsid w:val="2B243FAA"/>
    <w:rsid w:val="2B7D59D5"/>
    <w:rsid w:val="2B8473D6"/>
    <w:rsid w:val="2BB1567F"/>
    <w:rsid w:val="2BC367BD"/>
    <w:rsid w:val="2BCF1FA9"/>
    <w:rsid w:val="2BDA36C4"/>
    <w:rsid w:val="2BEE5AF4"/>
    <w:rsid w:val="2C4C3402"/>
    <w:rsid w:val="2C6377AD"/>
    <w:rsid w:val="2C6C4A11"/>
    <w:rsid w:val="2C702950"/>
    <w:rsid w:val="2C714D71"/>
    <w:rsid w:val="2C7400DA"/>
    <w:rsid w:val="2C7548FE"/>
    <w:rsid w:val="2CAF25B0"/>
    <w:rsid w:val="2CCF5C64"/>
    <w:rsid w:val="2CDC5892"/>
    <w:rsid w:val="2CE42831"/>
    <w:rsid w:val="2CE65C19"/>
    <w:rsid w:val="2D08350A"/>
    <w:rsid w:val="2D145EC5"/>
    <w:rsid w:val="2D1E0D80"/>
    <w:rsid w:val="2D4F33A1"/>
    <w:rsid w:val="2D7876F7"/>
    <w:rsid w:val="2D877BC2"/>
    <w:rsid w:val="2D8D5C78"/>
    <w:rsid w:val="2D8D74D8"/>
    <w:rsid w:val="2D957F46"/>
    <w:rsid w:val="2DC5391B"/>
    <w:rsid w:val="2DD35D80"/>
    <w:rsid w:val="2E195FFC"/>
    <w:rsid w:val="2E2016DB"/>
    <w:rsid w:val="2E36678D"/>
    <w:rsid w:val="2E4439BD"/>
    <w:rsid w:val="2E67471B"/>
    <w:rsid w:val="2E6764D8"/>
    <w:rsid w:val="2EBE07DF"/>
    <w:rsid w:val="2ECD27D0"/>
    <w:rsid w:val="2ED31DB0"/>
    <w:rsid w:val="2EDF460C"/>
    <w:rsid w:val="2EEC4921"/>
    <w:rsid w:val="2F182020"/>
    <w:rsid w:val="2F1F6DA3"/>
    <w:rsid w:val="2F216E40"/>
    <w:rsid w:val="2F285C58"/>
    <w:rsid w:val="2F436A23"/>
    <w:rsid w:val="2F4D7FCC"/>
    <w:rsid w:val="2F4F58DB"/>
    <w:rsid w:val="2F533315"/>
    <w:rsid w:val="2F601055"/>
    <w:rsid w:val="2F7C5FE4"/>
    <w:rsid w:val="2FAD6B34"/>
    <w:rsid w:val="2FE02815"/>
    <w:rsid w:val="2FEE1F30"/>
    <w:rsid w:val="2FFE733B"/>
    <w:rsid w:val="30360848"/>
    <w:rsid w:val="30474804"/>
    <w:rsid w:val="304940D8"/>
    <w:rsid w:val="304E16EE"/>
    <w:rsid w:val="30700C98"/>
    <w:rsid w:val="309549FE"/>
    <w:rsid w:val="30964D84"/>
    <w:rsid w:val="30CA669A"/>
    <w:rsid w:val="30D00B9B"/>
    <w:rsid w:val="30D047F9"/>
    <w:rsid w:val="30DB333C"/>
    <w:rsid w:val="30E05F2B"/>
    <w:rsid w:val="30FD4EC2"/>
    <w:rsid w:val="31541218"/>
    <w:rsid w:val="31634510"/>
    <w:rsid w:val="317B3A2D"/>
    <w:rsid w:val="317E6003"/>
    <w:rsid w:val="31A17F44"/>
    <w:rsid w:val="31A812D2"/>
    <w:rsid w:val="31AD4B3A"/>
    <w:rsid w:val="31AF1D23"/>
    <w:rsid w:val="31EC5663"/>
    <w:rsid w:val="321E77E6"/>
    <w:rsid w:val="32395DE2"/>
    <w:rsid w:val="323D60FF"/>
    <w:rsid w:val="32A277CA"/>
    <w:rsid w:val="32AE46C6"/>
    <w:rsid w:val="33092EA9"/>
    <w:rsid w:val="33482725"/>
    <w:rsid w:val="33512DC5"/>
    <w:rsid w:val="33594996"/>
    <w:rsid w:val="337376BE"/>
    <w:rsid w:val="337D1398"/>
    <w:rsid w:val="338250D8"/>
    <w:rsid w:val="338B2C59"/>
    <w:rsid w:val="33A17EB0"/>
    <w:rsid w:val="33B91BDD"/>
    <w:rsid w:val="33C1667B"/>
    <w:rsid w:val="33FE342B"/>
    <w:rsid w:val="33FF7B43"/>
    <w:rsid w:val="34075C82"/>
    <w:rsid w:val="340F73E6"/>
    <w:rsid w:val="344C063B"/>
    <w:rsid w:val="344C36D7"/>
    <w:rsid w:val="345D63A4"/>
    <w:rsid w:val="34E8433A"/>
    <w:rsid w:val="34FD2AAD"/>
    <w:rsid w:val="35142D24"/>
    <w:rsid w:val="35602ED6"/>
    <w:rsid w:val="35632153"/>
    <w:rsid w:val="356E638F"/>
    <w:rsid w:val="359635F1"/>
    <w:rsid w:val="35A4385C"/>
    <w:rsid w:val="35AB1391"/>
    <w:rsid w:val="361D7406"/>
    <w:rsid w:val="361E6007"/>
    <w:rsid w:val="362176E6"/>
    <w:rsid w:val="362B4280"/>
    <w:rsid w:val="363C3B54"/>
    <w:rsid w:val="363C5FCD"/>
    <w:rsid w:val="36432D79"/>
    <w:rsid w:val="36472DD8"/>
    <w:rsid w:val="367936F0"/>
    <w:rsid w:val="368E5CE6"/>
    <w:rsid w:val="368F2A60"/>
    <w:rsid w:val="36981915"/>
    <w:rsid w:val="36AF4EB1"/>
    <w:rsid w:val="36BF7EB7"/>
    <w:rsid w:val="36CA1CEB"/>
    <w:rsid w:val="36E168A2"/>
    <w:rsid w:val="36E440AD"/>
    <w:rsid w:val="37023232"/>
    <w:rsid w:val="3703214E"/>
    <w:rsid w:val="371D62BE"/>
    <w:rsid w:val="372E04CB"/>
    <w:rsid w:val="374D6B39"/>
    <w:rsid w:val="375128C7"/>
    <w:rsid w:val="37677539"/>
    <w:rsid w:val="37863E63"/>
    <w:rsid w:val="379816BA"/>
    <w:rsid w:val="379A5256"/>
    <w:rsid w:val="37BC5760"/>
    <w:rsid w:val="37DA3BEF"/>
    <w:rsid w:val="37EE1CCB"/>
    <w:rsid w:val="380B4369"/>
    <w:rsid w:val="382A1E1E"/>
    <w:rsid w:val="38390ED6"/>
    <w:rsid w:val="384010E0"/>
    <w:rsid w:val="38433B03"/>
    <w:rsid w:val="38445CD2"/>
    <w:rsid w:val="38563836"/>
    <w:rsid w:val="387168C2"/>
    <w:rsid w:val="387C7014"/>
    <w:rsid w:val="38821AF2"/>
    <w:rsid w:val="388738C9"/>
    <w:rsid w:val="38A620ED"/>
    <w:rsid w:val="38C611F4"/>
    <w:rsid w:val="38D155B2"/>
    <w:rsid w:val="38E01351"/>
    <w:rsid w:val="38F46E58"/>
    <w:rsid w:val="390414E4"/>
    <w:rsid w:val="390E5CB1"/>
    <w:rsid w:val="394731E4"/>
    <w:rsid w:val="39846EB6"/>
    <w:rsid w:val="39A248CB"/>
    <w:rsid w:val="39A91C31"/>
    <w:rsid w:val="39B53613"/>
    <w:rsid w:val="39CE16DA"/>
    <w:rsid w:val="39DC5FBD"/>
    <w:rsid w:val="3A092B2A"/>
    <w:rsid w:val="3A2D545E"/>
    <w:rsid w:val="3A3B05D1"/>
    <w:rsid w:val="3A4563D8"/>
    <w:rsid w:val="3A4A6EED"/>
    <w:rsid w:val="3A4B4EF0"/>
    <w:rsid w:val="3A4C4B05"/>
    <w:rsid w:val="3A557B1D"/>
    <w:rsid w:val="3A6648D6"/>
    <w:rsid w:val="3A9B69E0"/>
    <w:rsid w:val="3A9B7C26"/>
    <w:rsid w:val="3AA0523C"/>
    <w:rsid w:val="3AC92B77"/>
    <w:rsid w:val="3AD273C0"/>
    <w:rsid w:val="3ADB6274"/>
    <w:rsid w:val="3AF47336"/>
    <w:rsid w:val="3B246625"/>
    <w:rsid w:val="3B506C62"/>
    <w:rsid w:val="3B992BD7"/>
    <w:rsid w:val="3BB645EB"/>
    <w:rsid w:val="3BE6298F"/>
    <w:rsid w:val="3C103A9D"/>
    <w:rsid w:val="3C1C6B44"/>
    <w:rsid w:val="3C3E4D0D"/>
    <w:rsid w:val="3C5A4785"/>
    <w:rsid w:val="3C6127A9"/>
    <w:rsid w:val="3C6D73A0"/>
    <w:rsid w:val="3CAF70AC"/>
    <w:rsid w:val="3CC549B2"/>
    <w:rsid w:val="3CDB6A41"/>
    <w:rsid w:val="3CDE204C"/>
    <w:rsid w:val="3CE04446"/>
    <w:rsid w:val="3D406863"/>
    <w:rsid w:val="3D51281E"/>
    <w:rsid w:val="3D605157"/>
    <w:rsid w:val="3D6E33D0"/>
    <w:rsid w:val="3D7B3755"/>
    <w:rsid w:val="3D7E738B"/>
    <w:rsid w:val="3D8825E6"/>
    <w:rsid w:val="3DA5103A"/>
    <w:rsid w:val="3DE47B36"/>
    <w:rsid w:val="3DF14C86"/>
    <w:rsid w:val="3DF40CFB"/>
    <w:rsid w:val="3E18158D"/>
    <w:rsid w:val="3E31321A"/>
    <w:rsid w:val="3E483BB4"/>
    <w:rsid w:val="3E9B15A0"/>
    <w:rsid w:val="3E9C3F6D"/>
    <w:rsid w:val="3EA6138C"/>
    <w:rsid w:val="3ECD76FC"/>
    <w:rsid w:val="3EE25404"/>
    <w:rsid w:val="3EF45B57"/>
    <w:rsid w:val="3EF5367D"/>
    <w:rsid w:val="3EF92832"/>
    <w:rsid w:val="3EFC2C5D"/>
    <w:rsid w:val="3EFD7166"/>
    <w:rsid w:val="3F1000C2"/>
    <w:rsid w:val="3F101821"/>
    <w:rsid w:val="3F192EF0"/>
    <w:rsid w:val="3F4C14EF"/>
    <w:rsid w:val="3F4C679F"/>
    <w:rsid w:val="3F4C7741"/>
    <w:rsid w:val="3F5624AC"/>
    <w:rsid w:val="3F8A0269"/>
    <w:rsid w:val="3F920C7C"/>
    <w:rsid w:val="3FCD243B"/>
    <w:rsid w:val="3FD55988"/>
    <w:rsid w:val="3FE07E89"/>
    <w:rsid w:val="3FE200A5"/>
    <w:rsid w:val="403A3A3D"/>
    <w:rsid w:val="404C3770"/>
    <w:rsid w:val="406F128D"/>
    <w:rsid w:val="40984D90"/>
    <w:rsid w:val="40AE5488"/>
    <w:rsid w:val="40C164A8"/>
    <w:rsid w:val="40D460E1"/>
    <w:rsid w:val="40D863D6"/>
    <w:rsid w:val="40DA57F1"/>
    <w:rsid w:val="40F033C2"/>
    <w:rsid w:val="41056899"/>
    <w:rsid w:val="41160006"/>
    <w:rsid w:val="41175B2C"/>
    <w:rsid w:val="411F6550"/>
    <w:rsid w:val="414B60ED"/>
    <w:rsid w:val="41534BC0"/>
    <w:rsid w:val="416F7F33"/>
    <w:rsid w:val="41CD5B07"/>
    <w:rsid w:val="41DB6285"/>
    <w:rsid w:val="41EB4FF5"/>
    <w:rsid w:val="41EF2605"/>
    <w:rsid w:val="41F41FE1"/>
    <w:rsid w:val="420936C7"/>
    <w:rsid w:val="420A0C87"/>
    <w:rsid w:val="42187DAE"/>
    <w:rsid w:val="42971083"/>
    <w:rsid w:val="42D33472"/>
    <w:rsid w:val="42D46C1B"/>
    <w:rsid w:val="43505326"/>
    <w:rsid w:val="43AA2C88"/>
    <w:rsid w:val="43CF173E"/>
    <w:rsid w:val="43D321DE"/>
    <w:rsid w:val="43E95AA6"/>
    <w:rsid w:val="43FE4D82"/>
    <w:rsid w:val="443F7874"/>
    <w:rsid w:val="4456696C"/>
    <w:rsid w:val="44C22253"/>
    <w:rsid w:val="45106920"/>
    <w:rsid w:val="45331436"/>
    <w:rsid w:val="45356EC9"/>
    <w:rsid w:val="45390767"/>
    <w:rsid w:val="453F38A4"/>
    <w:rsid w:val="4545710C"/>
    <w:rsid w:val="454669E0"/>
    <w:rsid w:val="45512953"/>
    <w:rsid w:val="4554734F"/>
    <w:rsid w:val="4585575A"/>
    <w:rsid w:val="45876549"/>
    <w:rsid w:val="458D4075"/>
    <w:rsid w:val="459C028B"/>
    <w:rsid w:val="45AA6F6F"/>
    <w:rsid w:val="45B357D5"/>
    <w:rsid w:val="45B918A8"/>
    <w:rsid w:val="45BA2B7D"/>
    <w:rsid w:val="45D04998"/>
    <w:rsid w:val="460926E4"/>
    <w:rsid w:val="460F1C96"/>
    <w:rsid w:val="46115240"/>
    <w:rsid w:val="4613720A"/>
    <w:rsid w:val="461C11F4"/>
    <w:rsid w:val="46453835"/>
    <w:rsid w:val="4654337F"/>
    <w:rsid w:val="469320F9"/>
    <w:rsid w:val="46D16476"/>
    <w:rsid w:val="46E44703"/>
    <w:rsid w:val="46E86555"/>
    <w:rsid w:val="47440DC1"/>
    <w:rsid w:val="477A2E85"/>
    <w:rsid w:val="47847198"/>
    <w:rsid w:val="47A81BD4"/>
    <w:rsid w:val="47B033BC"/>
    <w:rsid w:val="47B14F84"/>
    <w:rsid w:val="47CF7161"/>
    <w:rsid w:val="47D23443"/>
    <w:rsid w:val="47F753A6"/>
    <w:rsid w:val="481D349E"/>
    <w:rsid w:val="48766AD5"/>
    <w:rsid w:val="487B35EF"/>
    <w:rsid w:val="489B34E7"/>
    <w:rsid w:val="489E7DD6"/>
    <w:rsid w:val="48D87CB6"/>
    <w:rsid w:val="48E00EFA"/>
    <w:rsid w:val="48FD5F50"/>
    <w:rsid w:val="49307B69"/>
    <w:rsid w:val="493C25D4"/>
    <w:rsid w:val="494951F7"/>
    <w:rsid w:val="494C0871"/>
    <w:rsid w:val="494D2A33"/>
    <w:rsid w:val="49662D5A"/>
    <w:rsid w:val="4970227E"/>
    <w:rsid w:val="498A1B9C"/>
    <w:rsid w:val="498D40EA"/>
    <w:rsid w:val="49BD2466"/>
    <w:rsid w:val="4A1E617D"/>
    <w:rsid w:val="4A205A52"/>
    <w:rsid w:val="4A3B5ADB"/>
    <w:rsid w:val="4A3D67CF"/>
    <w:rsid w:val="4A5750B4"/>
    <w:rsid w:val="4A665746"/>
    <w:rsid w:val="4A78588E"/>
    <w:rsid w:val="4A7A6660"/>
    <w:rsid w:val="4A995804"/>
    <w:rsid w:val="4AAE5753"/>
    <w:rsid w:val="4AFE26BA"/>
    <w:rsid w:val="4B111096"/>
    <w:rsid w:val="4B1D08B4"/>
    <w:rsid w:val="4B274558"/>
    <w:rsid w:val="4B2772B4"/>
    <w:rsid w:val="4B3764A5"/>
    <w:rsid w:val="4B5E6D7A"/>
    <w:rsid w:val="4B6A2461"/>
    <w:rsid w:val="4B6C068A"/>
    <w:rsid w:val="4B8E10E1"/>
    <w:rsid w:val="4B9762C0"/>
    <w:rsid w:val="4BA426B2"/>
    <w:rsid w:val="4BAF1783"/>
    <w:rsid w:val="4BB754A1"/>
    <w:rsid w:val="4BCF3BD3"/>
    <w:rsid w:val="4BD54814"/>
    <w:rsid w:val="4C243449"/>
    <w:rsid w:val="4C3F6401"/>
    <w:rsid w:val="4C6360CA"/>
    <w:rsid w:val="4C860569"/>
    <w:rsid w:val="4C891FD4"/>
    <w:rsid w:val="4CBE7479"/>
    <w:rsid w:val="4CCA4F23"/>
    <w:rsid w:val="4CE55288"/>
    <w:rsid w:val="4CEE1E37"/>
    <w:rsid w:val="4D0E0C85"/>
    <w:rsid w:val="4D220E31"/>
    <w:rsid w:val="4D326B78"/>
    <w:rsid w:val="4D354BFE"/>
    <w:rsid w:val="4D3937F2"/>
    <w:rsid w:val="4D3F04A9"/>
    <w:rsid w:val="4D3F08E5"/>
    <w:rsid w:val="4D427BD0"/>
    <w:rsid w:val="4D9008BD"/>
    <w:rsid w:val="4D901140"/>
    <w:rsid w:val="4D9C1D46"/>
    <w:rsid w:val="4DA62712"/>
    <w:rsid w:val="4DA71163"/>
    <w:rsid w:val="4DA76C00"/>
    <w:rsid w:val="4DB03590"/>
    <w:rsid w:val="4DBB074D"/>
    <w:rsid w:val="4DBF37D4"/>
    <w:rsid w:val="4DD51249"/>
    <w:rsid w:val="4DF70A31"/>
    <w:rsid w:val="4E1402DE"/>
    <w:rsid w:val="4E200716"/>
    <w:rsid w:val="4E555EE6"/>
    <w:rsid w:val="4E6B06B5"/>
    <w:rsid w:val="4E7D0E90"/>
    <w:rsid w:val="4EE71234"/>
    <w:rsid w:val="4EEC47CE"/>
    <w:rsid w:val="4EFF13E5"/>
    <w:rsid w:val="4F343E85"/>
    <w:rsid w:val="4F3D0E54"/>
    <w:rsid w:val="4F3D70A6"/>
    <w:rsid w:val="4F5E6AB0"/>
    <w:rsid w:val="4F74503C"/>
    <w:rsid w:val="4F8C5937"/>
    <w:rsid w:val="4F8E742F"/>
    <w:rsid w:val="4FE941EC"/>
    <w:rsid w:val="501A2154"/>
    <w:rsid w:val="50213CEB"/>
    <w:rsid w:val="503D071F"/>
    <w:rsid w:val="505C17AE"/>
    <w:rsid w:val="50626B94"/>
    <w:rsid w:val="507813C6"/>
    <w:rsid w:val="50E167CF"/>
    <w:rsid w:val="50FA3D93"/>
    <w:rsid w:val="51117001"/>
    <w:rsid w:val="51246E66"/>
    <w:rsid w:val="51257DF2"/>
    <w:rsid w:val="51416066"/>
    <w:rsid w:val="51474BCE"/>
    <w:rsid w:val="51497F84"/>
    <w:rsid w:val="515108BD"/>
    <w:rsid w:val="515F5A90"/>
    <w:rsid w:val="517B3EB5"/>
    <w:rsid w:val="51806DAD"/>
    <w:rsid w:val="51BB2C6F"/>
    <w:rsid w:val="51BE3252"/>
    <w:rsid w:val="51C22CB8"/>
    <w:rsid w:val="51C24AFB"/>
    <w:rsid w:val="51CD2963"/>
    <w:rsid w:val="51D33CF1"/>
    <w:rsid w:val="51E27A91"/>
    <w:rsid w:val="52114A6A"/>
    <w:rsid w:val="521315F1"/>
    <w:rsid w:val="52175153"/>
    <w:rsid w:val="5221680B"/>
    <w:rsid w:val="524114C4"/>
    <w:rsid w:val="524D7600"/>
    <w:rsid w:val="52727066"/>
    <w:rsid w:val="527A5F1B"/>
    <w:rsid w:val="528943B0"/>
    <w:rsid w:val="52974D1F"/>
    <w:rsid w:val="52990A97"/>
    <w:rsid w:val="52997891"/>
    <w:rsid w:val="52A31916"/>
    <w:rsid w:val="52AB34CB"/>
    <w:rsid w:val="52B61649"/>
    <w:rsid w:val="52C10903"/>
    <w:rsid w:val="52CB6777"/>
    <w:rsid w:val="52DC20E5"/>
    <w:rsid w:val="52E840C9"/>
    <w:rsid w:val="52EB47AC"/>
    <w:rsid w:val="5307508F"/>
    <w:rsid w:val="533D6CAE"/>
    <w:rsid w:val="53542C10"/>
    <w:rsid w:val="535A0DBC"/>
    <w:rsid w:val="535A6478"/>
    <w:rsid w:val="53620E89"/>
    <w:rsid w:val="53682217"/>
    <w:rsid w:val="53865D3E"/>
    <w:rsid w:val="538C5F06"/>
    <w:rsid w:val="538D040F"/>
    <w:rsid w:val="538D2364"/>
    <w:rsid w:val="539603B9"/>
    <w:rsid w:val="53A14F26"/>
    <w:rsid w:val="53D225BC"/>
    <w:rsid w:val="53D43C9C"/>
    <w:rsid w:val="53E53868"/>
    <w:rsid w:val="53F428F8"/>
    <w:rsid w:val="540A7883"/>
    <w:rsid w:val="54223A58"/>
    <w:rsid w:val="5454607D"/>
    <w:rsid w:val="5463736B"/>
    <w:rsid w:val="54795824"/>
    <w:rsid w:val="54AA4B49"/>
    <w:rsid w:val="54D353CD"/>
    <w:rsid w:val="54D933CD"/>
    <w:rsid w:val="54E81862"/>
    <w:rsid w:val="54E948DF"/>
    <w:rsid w:val="54EC75A4"/>
    <w:rsid w:val="54F41FB5"/>
    <w:rsid w:val="54FB0256"/>
    <w:rsid w:val="5505497F"/>
    <w:rsid w:val="550C09E1"/>
    <w:rsid w:val="550F5041"/>
    <w:rsid w:val="551157A3"/>
    <w:rsid w:val="55186E34"/>
    <w:rsid w:val="55992B5C"/>
    <w:rsid w:val="559E0172"/>
    <w:rsid w:val="55B6370E"/>
    <w:rsid w:val="55E24503"/>
    <w:rsid w:val="56250239"/>
    <w:rsid w:val="56352885"/>
    <w:rsid w:val="56382375"/>
    <w:rsid w:val="56644F18"/>
    <w:rsid w:val="56740E56"/>
    <w:rsid w:val="567710EF"/>
    <w:rsid w:val="567C04B4"/>
    <w:rsid w:val="56BB2C1C"/>
    <w:rsid w:val="56DA342C"/>
    <w:rsid w:val="56DF169C"/>
    <w:rsid w:val="56F03D99"/>
    <w:rsid w:val="5705494D"/>
    <w:rsid w:val="570B1838"/>
    <w:rsid w:val="57387588"/>
    <w:rsid w:val="573A3ECB"/>
    <w:rsid w:val="5756101C"/>
    <w:rsid w:val="575907F5"/>
    <w:rsid w:val="5765719A"/>
    <w:rsid w:val="57F8000E"/>
    <w:rsid w:val="580E0F44"/>
    <w:rsid w:val="58134E48"/>
    <w:rsid w:val="582A3F3F"/>
    <w:rsid w:val="582B57B9"/>
    <w:rsid w:val="582C5F09"/>
    <w:rsid w:val="58325EFF"/>
    <w:rsid w:val="583B7EFB"/>
    <w:rsid w:val="58670CF0"/>
    <w:rsid w:val="58A955C7"/>
    <w:rsid w:val="58E40592"/>
    <w:rsid w:val="58E93DFA"/>
    <w:rsid w:val="58EA0B58"/>
    <w:rsid w:val="58F921C2"/>
    <w:rsid w:val="590A6A01"/>
    <w:rsid w:val="59323A1D"/>
    <w:rsid w:val="593432C8"/>
    <w:rsid w:val="59435580"/>
    <w:rsid w:val="59441031"/>
    <w:rsid w:val="59657925"/>
    <w:rsid w:val="59682F71"/>
    <w:rsid w:val="59C873C6"/>
    <w:rsid w:val="59E3540B"/>
    <w:rsid w:val="59FF11D8"/>
    <w:rsid w:val="5A4E03B9"/>
    <w:rsid w:val="5A574C29"/>
    <w:rsid w:val="5A5C0D28"/>
    <w:rsid w:val="5A6A4FD7"/>
    <w:rsid w:val="5AA63D51"/>
    <w:rsid w:val="5AC16DDD"/>
    <w:rsid w:val="5ADF1CCE"/>
    <w:rsid w:val="5AF80252"/>
    <w:rsid w:val="5B106EAE"/>
    <w:rsid w:val="5B393913"/>
    <w:rsid w:val="5B3F26D6"/>
    <w:rsid w:val="5B567BD6"/>
    <w:rsid w:val="5B7F2398"/>
    <w:rsid w:val="5BBE50CA"/>
    <w:rsid w:val="5BD7618C"/>
    <w:rsid w:val="5BF850F5"/>
    <w:rsid w:val="5BFE196B"/>
    <w:rsid w:val="5C1F6E08"/>
    <w:rsid w:val="5C236D4A"/>
    <w:rsid w:val="5C2C472A"/>
    <w:rsid w:val="5C502193"/>
    <w:rsid w:val="5C62014C"/>
    <w:rsid w:val="5C653BA7"/>
    <w:rsid w:val="5C6B33F5"/>
    <w:rsid w:val="5C6C7405"/>
    <w:rsid w:val="5CA83399"/>
    <w:rsid w:val="5CBD4A5F"/>
    <w:rsid w:val="5CC540A6"/>
    <w:rsid w:val="5CC91F79"/>
    <w:rsid w:val="5CCA6D8C"/>
    <w:rsid w:val="5CF241AA"/>
    <w:rsid w:val="5D1A106C"/>
    <w:rsid w:val="5D3245B8"/>
    <w:rsid w:val="5D431EB6"/>
    <w:rsid w:val="5D463117"/>
    <w:rsid w:val="5D881E34"/>
    <w:rsid w:val="5DB13D45"/>
    <w:rsid w:val="5DB46785"/>
    <w:rsid w:val="5DD35AD9"/>
    <w:rsid w:val="5DD37888"/>
    <w:rsid w:val="5DDA6EB2"/>
    <w:rsid w:val="5E196F30"/>
    <w:rsid w:val="5E2D1468"/>
    <w:rsid w:val="5E3574D4"/>
    <w:rsid w:val="5E455888"/>
    <w:rsid w:val="5E4915C3"/>
    <w:rsid w:val="5E8B1BDC"/>
    <w:rsid w:val="5E8E5228"/>
    <w:rsid w:val="5E9465B6"/>
    <w:rsid w:val="5EA52F36"/>
    <w:rsid w:val="5EB50A07"/>
    <w:rsid w:val="5EB55739"/>
    <w:rsid w:val="5EBF1885"/>
    <w:rsid w:val="5EC37AEA"/>
    <w:rsid w:val="5F677827"/>
    <w:rsid w:val="60145372"/>
    <w:rsid w:val="602A71D2"/>
    <w:rsid w:val="603101EA"/>
    <w:rsid w:val="603B2DDA"/>
    <w:rsid w:val="60700984"/>
    <w:rsid w:val="60870181"/>
    <w:rsid w:val="60B80CC9"/>
    <w:rsid w:val="60CE7B5E"/>
    <w:rsid w:val="60DA0BF8"/>
    <w:rsid w:val="60F021CA"/>
    <w:rsid w:val="60F1387B"/>
    <w:rsid w:val="61066080"/>
    <w:rsid w:val="610C0686"/>
    <w:rsid w:val="611D19FA"/>
    <w:rsid w:val="61204131"/>
    <w:rsid w:val="61381C7F"/>
    <w:rsid w:val="615F4C5A"/>
    <w:rsid w:val="61633E0D"/>
    <w:rsid w:val="6166248C"/>
    <w:rsid w:val="61834DEC"/>
    <w:rsid w:val="61A3723C"/>
    <w:rsid w:val="61A905CB"/>
    <w:rsid w:val="61C3168D"/>
    <w:rsid w:val="61C84EF5"/>
    <w:rsid w:val="61D25FF4"/>
    <w:rsid w:val="61FA4982"/>
    <w:rsid w:val="61FB0E26"/>
    <w:rsid w:val="622649F9"/>
    <w:rsid w:val="623E36DF"/>
    <w:rsid w:val="624B3430"/>
    <w:rsid w:val="624C43BB"/>
    <w:rsid w:val="624D6138"/>
    <w:rsid w:val="6267026A"/>
    <w:rsid w:val="62C51434"/>
    <w:rsid w:val="62ED4349"/>
    <w:rsid w:val="62ED4CCD"/>
    <w:rsid w:val="630E06DF"/>
    <w:rsid w:val="63166F37"/>
    <w:rsid w:val="63215357"/>
    <w:rsid w:val="637A5D7B"/>
    <w:rsid w:val="637E7B6C"/>
    <w:rsid w:val="63A8734B"/>
    <w:rsid w:val="63AB633A"/>
    <w:rsid w:val="63AD3BFB"/>
    <w:rsid w:val="63B95A6A"/>
    <w:rsid w:val="63BC4B5A"/>
    <w:rsid w:val="63D61C77"/>
    <w:rsid w:val="63EB4EEE"/>
    <w:rsid w:val="63FD075A"/>
    <w:rsid w:val="64436AB5"/>
    <w:rsid w:val="644B534B"/>
    <w:rsid w:val="645760BC"/>
    <w:rsid w:val="64671D6D"/>
    <w:rsid w:val="6489228A"/>
    <w:rsid w:val="64A81928"/>
    <w:rsid w:val="64C4253B"/>
    <w:rsid w:val="64C43464"/>
    <w:rsid w:val="64C476ED"/>
    <w:rsid w:val="64C729AF"/>
    <w:rsid w:val="64DC3870"/>
    <w:rsid w:val="64E745A4"/>
    <w:rsid w:val="64EC2CA8"/>
    <w:rsid w:val="6576417D"/>
    <w:rsid w:val="65A92947"/>
    <w:rsid w:val="65CD5B7B"/>
    <w:rsid w:val="65DA67A2"/>
    <w:rsid w:val="66163B0A"/>
    <w:rsid w:val="66242210"/>
    <w:rsid w:val="6684491E"/>
    <w:rsid w:val="66925AD1"/>
    <w:rsid w:val="66AA4BC9"/>
    <w:rsid w:val="66CF7AC4"/>
    <w:rsid w:val="66D24120"/>
    <w:rsid w:val="66F95B50"/>
    <w:rsid w:val="670E33AA"/>
    <w:rsid w:val="673426E5"/>
    <w:rsid w:val="674548F2"/>
    <w:rsid w:val="674E66DB"/>
    <w:rsid w:val="67741042"/>
    <w:rsid w:val="677D5BED"/>
    <w:rsid w:val="679E4D0E"/>
    <w:rsid w:val="67ED57A5"/>
    <w:rsid w:val="682D2E4E"/>
    <w:rsid w:val="68525F93"/>
    <w:rsid w:val="68686AEA"/>
    <w:rsid w:val="68B73EBF"/>
    <w:rsid w:val="68ED6FEF"/>
    <w:rsid w:val="68F420D2"/>
    <w:rsid w:val="68FE2FAA"/>
    <w:rsid w:val="69002CE9"/>
    <w:rsid w:val="6907196F"/>
    <w:rsid w:val="691868F3"/>
    <w:rsid w:val="691B590A"/>
    <w:rsid w:val="693B7D5A"/>
    <w:rsid w:val="69594684"/>
    <w:rsid w:val="69636A92"/>
    <w:rsid w:val="696A6892"/>
    <w:rsid w:val="69851B9E"/>
    <w:rsid w:val="69961435"/>
    <w:rsid w:val="699C229F"/>
    <w:rsid w:val="69AC6EAA"/>
    <w:rsid w:val="69C66CD0"/>
    <w:rsid w:val="69F65ECC"/>
    <w:rsid w:val="6A072332"/>
    <w:rsid w:val="6A1F674E"/>
    <w:rsid w:val="6ACC5D87"/>
    <w:rsid w:val="6AD14C52"/>
    <w:rsid w:val="6AD47298"/>
    <w:rsid w:val="6AE578F2"/>
    <w:rsid w:val="6B054A88"/>
    <w:rsid w:val="6B0B6B13"/>
    <w:rsid w:val="6B142F59"/>
    <w:rsid w:val="6B431D5A"/>
    <w:rsid w:val="6B4849B1"/>
    <w:rsid w:val="6B4E24B7"/>
    <w:rsid w:val="6BC9530F"/>
    <w:rsid w:val="6BCA58C6"/>
    <w:rsid w:val="6C047C83"/>
    <w:rsid w:val="6C447B47"/>
    <w:rsid w:val="6C847C6A"/>
    <w:rsid w:val="6CA17546"/>
    <w:rsid w:val="6CC22541"/>
    <w:rsid w:val="6CC3531E"/>
    <w:rsid w:val="6CF00164"/>
    <w:rsid w:val="6CF56BD1"/>
    <w:rsid w:val="6CF77AC1"/>
    <w:rsid w:val="6D163421"/>
    <w:rsid w:val="6D1A3DA5"/>
    <w:rsid w:val="6D226274"/>
    <w:rsid w:val="6D254FA9"/>
    <w:rsid w:val="6D392803"/>
    <w:rsid w:val="6D512242"/>
    <w:rsid w:val="6D631F76"/>
    <w:rsid w:val="6D7C0AE9"/>
    <w:rsid w:val="6D8141AA"/>
    <w:rsid w:val="6DA505FF"/>
    <w:rsid w:val="6DB35909"/>
    <w:rsid w:val="6DC5678C"/>
    <w:rsid w:val="6E044E45"/>
    <w:rsid w:val="6E0A5F70"/>
    <w:rsid w:val="6E182EDE"/>
    <w:rsid w:val="6E463D8D"/>
    <w:rsid w:val="6E4F136D"/>
    <w:rsid w:val="6E5B49FB"/>
    <w:rsid w:val="6E5E0992"/>
    <w:rsid w:val="6E6A700D"/>
    <w:rsid w:val="6E9074AE"/>
    <w:rsid w:val="6E91666F"/>
    <w:rsid w:val="6EAD3A45"/>
    <w:rsid w:val="6EAD4C9B"/>
    <w:rsid w:val="6EC6456A"/>
    <w:rsid w:val="6ECE4B29"/>
    <w:rsid w:val="6F113990"/>
    <w:rsid w:val="6F142651"/>
    <w:rsid w:val="6F190B3E"/>
    <w:rsid w:val="6F266C57"/>
    <w:rsid w:val="6F485BA3"/>
    <w:rsid w:val="6F516A80"/>
    <w:rsid w:val="6F55385B"/>
    <w:rsid w:val="6F5F5E0D"/>
    <w:rsid w:val="6F643E35"/>
    <w:rsid w:val="6FB70357"/>
    <w:rsid w:val="6FBA38B6"/>
    <w:rsid w:val="6FD76132"/>
    <w:rsid w:val="6FF36EBB"/>
    <w:rsid w:val="6FFA58DA"/>
    <w:rsid w:val="6FFD3863"/>
    <w:rsid w:val="703F36CC"/>
    <w:rsid w:val="7040659E"/>
    <w:rsid w:val="708348B7"/>
    <w:rsid w:val="70993623"/>
    <w:rsid w:val="70A408DB"/>
    <w:rsid w:val="70CF0EC2"/>
    <w:rsid w:val="70D96DA8"/>
    <w:rsid w:val="70FF6F71"/>
    <w:rsid w:val="71072D19"/>
    <w:rsid w:val="71431EA2"/>
    <w:rsid w:val="71573041"/>
    <w:rsid w:val="71615EB0"/>
    <w:rsid w:val="717300E1"/>
    <w:rsid w:val="718A28DB"/>
    <w:rsid w:val="718B3849"/>
    <w:rsid w:val="71A469C4"/>
    <w:rsid w:val="71CF72AB"/>
    <w:rsid w:val="71D16E10"/>
    <w:rsid w:val="72164FA8"/>
    <w:rsid w:val="722649A5"/>
    <w:rsid w:val="72302F09"/>
    <w:rsid w:val="723C5A8B"/>
    <w:rsid w:val="72924A04"/>
    <w:rsid w:val="729937EA"/>
    <w:rsid w:val="72AC1CC9"/>
    <w:rsid w:val="72B734B8"/>
    <w:rsid w:val="72D96DE6"/>
    <w:rsid w:val="730E64E0"/>
    <w:rsid w:val="73555EBD"/>
    <w:rsid w:val="73925BAA"/>
    <w:rsid w:val="7395275D"/>
    <w:rsid w:val="73CF0FF0"/>
    <w:rsid w:val="73D61A67"/>
    <w:rsid w:val="74135A7E"/>
    <w:rsid w:val="742D0570"/>
    <w:rsid w:val="74327BA4"/>
    <w:rsid w:val="74364F53"/>
    <w:rsid w:val="743D52CE"/>
    <w:rsid w:val="74463990"/>
    <w:rsid w:val="744877CF"/>
    <w:rsid w:val="74703282"/>
    <w:rsid w:val="74716D26"/>
    <w:rsid w:val="749D7B1B"/>
    <w:rsid w:val="74B17A6A"/>
    <w:rsid w:val="74B6435D"/>
    <w:rsid w:val="74BE4222"/>
    <w:rsid w:val="74C57072"/>
    <w:rsid w:val="74DB1B9D"/>
    <w:rsid w:val="74F6722B"/>
    <w:rsid w:val="74FA69CC"/>
    <w:rsid w:val="75045DEC"/>
    <w:rsid w:val="750758DC"/>
    <w:rsid w:val="751B4EE4"/>
    <w:rsid w:val="753F5076"/>
    <w:rsid w:val="756C2FB4"/>
    <w:rsid w:val="758E56B6"/>
    <w:rsid w:val="759A04FF"/>
    <w:rsid w:val="75C82C96"/>
    <w:rsid w:val="75DE663D"/>
    <w:rsid w:val="765C7562"/>
    <w:rsid w:val="766823AB"/>
    <w:rsid w:val="766B0673"/>
    <w:rsid w:val="76766CBF"/>
    <w:rsid w:val="76854D0B"/>
    <w:rsid w:val="769F5444"/>
    <w:rsid w:val="76B86E8E"/>
    <w:rsid w:val="76CC01DA"/>
    <w:rsid w:val="76D7666E"/>
    <w:rsid w:val="76DC1BD1"/>
    <w:rsid w:val="76DE3E86"/>
    <w:rsid w:val="76FD0D45"/>
    <w:rsid w:val="771A36A5"/>
    <w:rsid w:val="772C5186"/>
    <w:rsid w:val="775E429A"/>
    <w:rsid w:val="77B52A02"/>
    <w:rsid w:val="77CB5FF1"/>
    <w:rsid w:val="77F376A8"/>
    <w:rsid w:val="77F739E6"/>
    <w:rsid w:val="77FC2DAB"/>
    <w:rsid w:val="780576E7"/>
    <w:rsid w:val="781400F4"/>
    <w:rsid w:val="782B3690"/>
    <w:rsid w:val="78320EC2"/>
    <w:rsid w:val="783936BC"/>
    <w:rsid w:val="783D05B3"/>
    <w:rsid w:val="7854778A"/>
    <w:rsid w:val="785931B9"/>
    <w:rsid w:val="788021F6"/>
    <w:rsid w:val="78860F9A"/>
    <w:rsid w:val="78B83176"/>
    <w:rsid w:val="78BD05A7"/>
    <w:rsid w:val="78D51699"/>
    <w:rsid w:val="78DD3D89"/>
    <w:rsid w:val="78E274D8"/>
    <w:rsid w:val="78E3749D"/>
    <w:rsid w:val="791D747D"/>
    <w:rsid w:val="794B1BA1"/>
    <w:rsid w:val="79A25BD4"/>
    <w:rsid w:val="79BB2413"/>
    <w:rsid w:val="79BD41C2"/>
    <w:rsid w:val="7A1C5986"/>
    <w:rsid w:val="7A61783D"/>
    <w:rsid w:val="7A8772A3"/>
    <w:rsid w:val="7A8F3CFA"/>
    <w:rsid w:val="7AB13D02"/>
    <w:rsid w:val="7AD1051F"/>
    <w:rsid w:val="7AD565AB"/>
    <w:rsid w:val="7AEA338E"/>
    <w:rsid w:val="7AF75AAB"/>
    <w:rsid w:val="7B0A598D"/>
    <w:rsid w:val="7B292109"/>
    <w:rsid w:val="7B7274B5"/>
    <w:rsid w:val="7BA21E8B"/>
    <w:rsid w:val="7BD931D0"/>
    <w:rsid w:val="7C0641F8"/>
    <w:rsid w:val="7C0D307F"/>
    <w:rsid w:val="7C17408A"/>
    <w:rsid w:val="7C296F99"/>
    <w:rsid w:val="7C55517F"/>
    <w:rsid w:val="7C694787"/>
    <w:rsid w:val="7C6A0C2B"/>
    <w:rsid w:val="7C6D1FC3"/>
    <w:rsid w:val="7C7810BB"/>
    <w:rsid w:val="7C7A4BE6"/>
    <w:rsid w:val="7CA0464C"/>
    <w:rsid w:val="7CB9583F"/>
    <w:rsid w:val="7CBC7B4E"/>
    <w:rsid w:val="7CC36CEE"/>
    <w:rsid w:val="7CCF05C4"/>
    <w:rsid w:val="7D0A41BC"/>
    <w:rsid w:val="7D1731FF"/>
    <w:rsid w:val="7D1B3CD3"/>
    <w:rsid w:val="7D261F50"/>
    <w:rsid w:val="7D2D5DF4"/>
    <w:rsid w:val="7D3E79C1"/>
    <w:rsid w:val="7D450D50"/>
    <w:rsid w:val="7D6311E5"/>
    <w:rsid w:val="7D747887"/>
    <w:rsid w:val="7D926908"/>
    <w:rsid w:val="7DC022C0"/>
    <w:rsid w:val="7DDC4B20"/>
    <w:rsid w:val="7DE14F1D"/>
    <w:rsid w:val="7DEE2688"/>
    <w:rsid w:val="7DF06F0E"/>
    <w:rsid w:val="7DFA5FDE"/>
    <w:rsid w:val="7E071003"/>
    <w:rsid w:val="7E8E1E5B"/>
    <w:rsid w:val="7E927FC5"/>
    <w:rsid w:val="7EAB72D9"/>
    <w:rsid w:val="7ECC2314"/>
    <w:rsid w:val="7ED36EBB"/>
    <w:rsid w:val="7EE55BE9"/>
    <w:rsid w:val="7EF21420"/>
    <w:rsid w:val="7F032C71"/>
    <w:rsid w:val="7F34107C"/>
    <w:rsid w:val="7F39127B"/>
    <w:rsid w:val="7F5E6DA6"/>
    <w:rsid w:val="7F6B42CA"/>
    <w:rsid w:val="7F6C6A68"/>
    <w:rsid w:val="7F805A9C"/>
    <w:rsid w:val="7F9A1827"/>
    <w:rsid w:val="7FA51C53"/>
    <w:rsid w:val="7FC40652"/>
    <w:rsid w:val="7FD340CD"/>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9"/>
    <w:pPr>
      <w:spacing w:before="100" w:beforeAutospacing="1" w:after="100" w:afterAutospacing="1"/>
      <w:jc w:val="left"/>
      <w:outlineLvl w:val="0"/>
    </w:pPr>
    <w:rPr>
      <w:rFonts w:hint="eastAsia" w:ascii="宋体" w:hAnsi="宋体" w:eastAsia="宋体" w:cs="Times New Roman"/>
      <w:b/>
      <w:kern w:val="44"/>
      <w:sz w:val="48"/>
      <w:szCs w:val="48"/>
    </w:rPr>
  </w:style>
  <w:style w:type="paragraph" w:styleId="5">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unhideWhenUsed/>
    <w:qFormat/>
    <w:uiPriority w:val="0"/>
    <w:pPr>
      <w:keepNext/>
      <w:keepLines/>
      <w:spacing w:line="590" w:lineRule="exact"/>
      <w:ind w:firstLine="880" w:firstLineChars="200"/>
      <w:jc w:val="left"/>
      <w:outlineLvl w:val="2"/>
    </w:pPr>
    <w:rPr>
      <w:rFonts w:ascii="Times New Roman" w:hAnsi="Times New Roman" w:eastAsia="方正楷体_GBK"/>
      <w:sz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left="765"/>
    </w:pPr>
    <w:rPr>
      <w:rFonts w:ascii="仿宋_GB2312" w:eastAsia="仿宋_GB2312"/>
      <w:kern w:val="0"/>
      <w:sz w:val="28"/>
      <w:szCs w:val="20"/>
    </w:rPr>
  </w:style>
  <w:style w:type="paragraph" w:styleId="7">
    <w:name w:val="Normal Indent"/>
    <w:basedOn w:val="1"/>
    <w:next w:val="1"/>
    <w:link w:val="35"/>
    <w:semiHidden/>
    <w:unhideWhenUsed/>
    <w:qFormat/>
    <w:uiPriority w:val="0"/>
    <w:pPr>
      <w:widowControl/>
      <w:ind w:firstLine="420" w:firstLineChars="200"/>
      <w:jc w:val="left"/>
    </w:pPr>
  </w:style>
  <w:style w:type="paragraph" w:styleId="8">
    <w:name w:val="index 5"/>
    <w:next w:val="1"/>
    <w:qFormat/>
    <w:uiPriority w:val="0"/>
    <w:pPr>
      <w:widowControl w:val="0"/>
      <w:adjustRightInd w:val="0"/>
      <w:snapToGrid w:val="0"/>
      <w:spacing w:line="360" w:lineRule="auto"/>
      <w:jc w:val="center"/>
    </w:pPr>
    <w:rPr>
      <w:rFonts w:ascii="宋体" w:hAnsi="宋体" w:eastAsia="宋体" w:cs="宋体"/>
      <w:bCs/>
      <w:sz w:val="21"/>
      <w:szCs w:val="21"/>
      <w:lang w:val="en-US" w:eastAsia="zh-CN" w:bidi="ar-SA"/>
    </w:rPr>
  </w:style>
  <w:style w:type="paragraph" w:styleId="9">
    <w:name w:val="toa heading"/>
    <w:basedOn w:val="1"/>
    <w:next w:val="1"/>
    <w:semiHidden/>
    <w:qFormat/>
    <w:uiPriority w:val="0"/>
    <w:pPr>
      <w:jc w:val="center"/>
    </w:pPr>
    <w:rPr>
      <w:rFonts w:ascii="Arial" w:hAnsi="Arial" w:eastAsia="黑体"/>
      <w:sz w:val="36"/>
    </w:rPr>
  </w:style>
  <w:style w:type="paragraph" w:styleId="10">
    <w:name w:val="annotation text"/>
    <w:basedOn w:val="1"/>
    <w:unhideWhenUsed/>
    <w:qFormat/>
    <w:uiPriority w:val="99"/>
    <w:pPr>
      <w:jc w:val="left"/>
    </w:pPr>
  </w:style>
  <w:style w:type="paragraph" w:styleId="11">
    <w:name w:val="Body Text"/>
    <w:basedOn w:val="1"/>
    <w:next w:val="7"/>
    <w:qFormat/>
    <w:uiPriority w:val="0"/>
    <w:rPr>
      <w:rFonts w:ascii="仿宋_GB2312" w:hAnsi="Times New Roman" w:eastAsia="仿宋_GB2312" w:cs="Times New Roman"/>
      <w:kern w:val="0"/>
      <w:sz w:val="24"/>
      <w:szCs w:val="20"/>
    </w:rPr>
  </w:style>
  <w:style w:type="paragraph" w:styleId="12">
    <w:name w:val="Plain Text"/>
    <w:basedOn w:val="1"/>
    <w:link w:val="34"/>
    <w:unhideWhenUsed/>
    <w:qFormat/>
    <w:uiPriority w:val="0"/>
    <w:pPr>
      <w:spacing w:line="360" w:lineRule="auto"/>
      <w:ind w:left="708" w:leftChars="150" w:hanging="393" w:hangingChars="187"/>
    </w:pPr>
    <w:rPr>
      <w:rFonts w:ascii="宋体" w:hAnsi="Courier New" w:eastAsia="宋体" w:cs="Times New Roman"/>
      <w:kern w:val="0"/>
      <w:sz w:val="20"/>
      <w:szCs w:val="21"/>
    </w:rPr>
  </w:style>
  <w:style w:type="paragraph" w:styleId="13">
    <w:name w:val="Balloon Text"/>
    <w:basedOn w:val="1"/>
    <w:link w:val="32"/>
    <w:semiHidden/>
    <w:unhideWhenUsed/>
    <w:qFormat/>
    <w:uiPriority w:val="99"/>
    <w:rPr>
      <w:sz w:val="18"/>
      <w:szCs w:val="18"/>
    </w:rPr>
  </w:style>
  <w:style w:type="paragraph" w:styleId="14">
    <w:name w:val="footer"/>
    <w:basedOn w:val="1"/>
    <w:link w:val="31"/>
    <w:unhideWhenUsed/>
    <w:qFormat/>
    <w:uiPriority w:val="99"/>
    <w:pPr>
      <w:tabs>
        <w:tab w:val="center" w:pos="4153"/>
        <w:tab w:val="right" w:pos="8306"/>
      </w:tabs>
      <w:snapToGrid w:val="0"/>
      <w:jc w:val="left"/>
    </w:pPr>
    <w:rPr>
      <w:sz w:val="18"/>
      <w:szCs w:val="18"/>
    </w:rPr>
  </w:style>
  <w:style w:type="paragraph" w:styleId="15">
    <w:name w:val="envelope return"/>
    <w:basedOn w:val="1"/>
    <w:unhideWhenUsed/>
    <w:qFormat/>
    <w:uiPriority w:val="99"/>
    <w:pPr>
      <w:snapToGrid w:val="0"/>
    </w:pPr>
    <w:rPr>
      <w:rFonts w:ascii="Arial" w:hAnsi="Arial"/>
    </w:rPr>
  </w:style>
  <w:style w:type="paragraph" w:styleId="16">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semiHidden/>
    <w:unhideWhenUsed/>
    <w:qFormat/>
    <w:uiPriority w:val="39"/>
  </w:style>
  <w:style w:type="paragraph" w:styleId="18">
    <w:name w:val="toc 2"/>
    <w:basedOn w:val="1"/>
    <w:next w:val="1"/>
    <w:semiHidden/>
    <w:unhideWhenUsed/>
    <w:qFormat/>
    <w:uiPriority w:val="39"/>
    <w:pPr>
      <w:ind w:left="420" w:leftChars="200"/>
    </w:pPr>
  </w:style>
  <w:style w:type="paragraph" w:styleId="19">
    <w:name w:val="Body Text 2"/>
    <w:basedOn w:val="1"/>
    <w:next w:val="11"/>
    <w:qFormat/>
    <w:uiPriority w:val="99"/>
    <w:pPr>
      <w:spacing w:after="120" w:line="480" w:lineRule="auto"/>
    </w:pPr>
    <w:rPr>
      <w:kern w:val="0"/>
      <w:sz w:val="20"/>
      <w:szCs w:val="20"/>
    </w:rPr>
  </w:style>
  <w:style w:type="paragraph" w:styleId="20">
    <w:name w:val="Normal (Web)"/>
    <w:basedOn w:val="1"/>
    <w:semiHidden/>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21">
    <w:name w:val="Body Text First Indent"/>
    <w:basedOn w:val="11"/>
    <w:next w:val="1"/>
    <w:qFormat/>
    <w:uiPriority w:val="0"/>
    <w:pPr>
      <w:spacing w:after="120" w:line="360" w:lineRule="auto"/>
      <w:ind w:firstLine="482"/>
    </w:pPr>
    <w:rPr>
      <w:rFonts w:ascii="Times New Roman" w:eastAsia="宋体"/>
      <w:b/>
      <w:kern w:val="2"/>
      <w:szCs w:val="24"/>
    </w:r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Hyperlink"/>
    <w:basedOn w:val="24"/>
    <w:semiHidden/>
    <w:unhideWhenUsed/>
    <w:qFormat/>
    <w:uiPriority w:val="99"/>
    <w:rPr>
      <w:color w:val="0000FF"/>
      <w:u w:val="single"/>
    </w:rPr>
  </w:style>
  <w:style w:type="character" w:styleId="26">
    <w:name w:val="annotation reference"/>
    <w:basedOn w:val="24"/>
    <w:semiHidden/>
    <w:unhideWhenUsed/>
    <w:qFormat/>
    <w:uiPriority w:val="99"/>
    <w:rPr>
      <w:sz w:val="21"/>
      <w:szCs w:val="21"/>
    </w:rPr>
  </w:style>
  <w:style w:type="paragraph" w:customStyle="1" w:styleId="27">
    <w:name w:val="正文会展"/>
    <w:basedOn w:val="1"/>
    <w:qFormat/>
    <w:uiPriority w:val="0"/>
    <w:pPr>
      <w:ind w:firstLine="480"/>
    </w:pPr>
    <w:rPr>
      <w:rFonts w:ascii="Calibri" w:hAnsi="Calibri" w:eastAsia="宋体" w:cs="宋体"/>
    </w:rPr>
  </w:style>
  <w:style w:type="paragraph" w:customStyle="1" w:styleId="28">
    <w:name w:val="Default"/>
    <w:qFormat/>
    <w:uiPriority w:val="0"/>
    <w:pPr>
      <w:widowControl w:val="0"/>
      <w:autoSpaceDE w:val="0"/>
      <w:autoSpaceDN w:val="0"/>
      <w:adjustRightInd w:val="0"/>
    </w:pPr>
    <w:rPr>
      <w:rFonts w:ascii="方正小标宋·靱." w:eastAsia="方正小标宋·靱." w:cs="方正小标宋·靱." w:hAnsiTheme="minorHAnsi"/>
      <w:color w:val="000000"/>
      <w:sz w:val="24"/>
      <w:szCs w:val="24"/>
      <w:lang w:val="en-US" w:eastAsia="zh-CN" w:bidi="ar-SA"/>
    </w:rPr>
  </w:style>
  <w:style w:type="character" w:customStyle="1" w:styleId="29">
    <w:name w:val="标题 2 字符"/>
    <w:basedOn w:val="24"/>
    <w:link w:val="5"/>
    <w:semiHidden/>
    <w:qFormat/>
    <w:uiPriority w:val="9"/>
    <w:rPr>
      <w:rFonts w:asciiTheme="majorHAnsi" w:hAnsiTheme="majorHAnsi" w:eastAsiaTheme="majorEastAsia" w:cstheme="majorBidi"/>
      <w:b/>
      <w:bCs/>
      <w:sz w:val="32"/>
      <w:szCs w:val="32"/>
    </w:rPr>
  </w:style>
  <w:style w:type="character" w:customStyle="1" w:styleId="30">
    <w:name w:val="页眉 字符"/>
    <w:basedOn w:val="24"/>
    <w:link w:val="16"/>
    <w:qFormat/>
    <w:uiPriority w:val="99"/>
    <w:rPr>
      <w:sz w:val="18"/>
      <w:szCs w:val="18"/>
    </w:rPr>
  </w:style>
  <w:style w:type="character" w:customStyle="1" w:styleId="31">
    <w:name w:val="页脚 字符"/>
    <w:basedOn w:val="24"/>
    <w:link w:val="14"/>
    <w:qFormat/>
    <w:uiPriority w:val="99"/>
    <w:rPr>
      <w:sz w:val="18"/>
      <w:szCs w:val="18"/>
    </w:rPr>
  </w:style>
  <w:style w:type="character" w:customStyle="1" w:styleId="32">
    <w:name w:val="批注框文本 字符"/>
    <w:basedOn w:val="24"/>
    <w:link w:val="13"/>
    <w:semiHidden/>
    <w:qFormat/>
    <w:uiPriority w:val="99"/>
    <w:rPr>
      <w:sz w:val="18"/>
      <w:szCs w:val="18"/>
    </w:rPr>
  </w:style>
  <w:style w:type="character" w:customStyle="1" w:styleId="33">
    <w:name w:val="纯文本 Char"/>
    <w:basedOn w:val="24"/>
    <w:semiHidden/>
    <w:qFormat/>
    <w:uiPriority w:val="99"/>
    <w:rPr>
      <w:rFonts w:ascii="宋体" w:hAnsi="Courier New" w:eastAsia="宋体" w:cs="Courier New"/>
      <w:szCs w:val="21"/>
    </w:rPr>
  </w:style>
  <w:style w:type="character" w:customStyle="1" w:styleId="34">
    <w:name w:val="纯文本 字符"/>
    <w:link w:val="12"/>
    <w:qFormat/>
    <w:locked/>
    <w:uiPriority w:val="0"/>
    <w:rPr>
      <w:rFonts w:ascii="宋体" w:hAnsi="Courier New" w:eastAsia="宋体" w:cs="Times New Roman"/>
      <w:kern w:val="0"/>
      <w:sz w:val="20"/>
      <w:szCs w:val="21"/>
    </w:rPr>
  </w:style>
  <w:style w:type="character" w:customStyle="1" w:styleId="35">
    <w:name w:val="正文缩进 字符"/>
    <w:link w:val="7"/>
    <w:semiHidden/>
    <w:qFormat/>
    <w:locked/>
    <w:uiPriority w:val="0"/>
  </w:style>
  <w:style w:type="character" w:customStyle="1" w:styleId="36">
    <w:name w:val="font81"/>
    <w:basedOn w:val="24"/>
    <w:qFormat/>
    <w:uiPriority w:val="0"/>
    <w:rPr>
      <w:rFonts w:hint="eastAsia" w:ascii="楷体" w:hAnsi="楷体" w:eastAsia="楷体" w:cs="楷体"/>
      <w:b/>
      <w:bCs/>
      <w:color w:val="000000"/>
      <w:sz w:val="18"/>
      <w:szCs w:val="18"/>
      <w:u w:val="none"/>
    </w:rPr>
  </w:style>
  <w:style w:type="character" w:customStyle="1" w:styleId="37">
    <w:name w:val="font91"/>
    <w:basedOn w:val="24"/>
    <w:qFormat/>
    <w:uiPriority w:val="0"/>
    <w:rPr>
      <w:rFonts w:hint="eastAsia" w:ascii="宋体" w:hAnsi="宋体" w:eastAsia="宋体" w:cs="宋体"/>
      <w:color w:val="000000"/>
      <w:sz w:val="18"/>
      <w:szCs w:val="18"/>
      <w:u w:val="none"/>
    </w:rPr>
  </w:style>
  <w:style w:type="character" w:customStyle="1" w:styleId="38">
    <w:name w:val="font101"/>
    <w:basedOn w:val="24"/>
    <w:qFormat/>
    <w:uiPriority w:val="0"/>
    <w:rPr>
      <w:rFonts w:hint="eastAsia" w:ascii="楷体" w:hAnsi="楷体" w:eastAsia="楷体" w:cs="楷体"/>
      <w:b/>
      <w:bCs/>
      <w:color w:val="000000"/>
      <w:sz w:val="18"/>
      <w:szCs w:val="18"/>
      <w:u w:val="none"/>
    </w:rPr>
  </w:style>
  <w:style w:type="character" w:customStyle="1" w:styleId="39">
    <w:name w:val="font112"/>
    <w:basedOn w:val="24"/>
    <w:qFormat/>
    <w:uiPriority w:val="0"/>
    <w:rPr>
      <w:rFonts w:hint="eastAsia" w:ascii="楷体" w:hAnsi="楷体" w:eastAsia="楷体" w:cs="楷体"/>
      <w:color w:val="000000"/>
      <w:sz w:val="18"/>
      <w:szCs w:val="18"/>
      <w:u w:val="single"/>
    </w:rPr>
  </w:style>
  <w:style w:type="paragraph" w:customStyle="1" w:styleId="40">
    <w:name w:val="WPSOffice手动目录 1"/>
    <w:qFormat/>
    <w:uiPriority w:val="0"/>
    <w:rPr>
      <w:rFonts w:ascii="Times New Roman" w:hAnsi="Times New Roman" w:eastAsia="宋体" w:cs="Times New Roman"/>
      <w:lang w:val="en-US" w:eastAsia="zh-CN" w:bidi="ar-SA"/>
    </w:rPr>
  </w:style>
  <w:style w:type="paragraph" w:customStyle="1" w:styleId="41">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42">
    <w:name w:val="font11"/>
    <w:basedOn w:val="24"/>
    <w:qFormat/>
    <w:uiPriority w:val="0"/>
    <w:rPr>
      <w:rFonts w:hint="eastAsia" w:ascii="宋体" w:hAnsi="宋体" w:eastAsia="宋体" w:cs="宋体"/>
      <w:color w:val="FF0000"/>
      <w:sz w:val="22"/>
      <w:szCs w:val="22"/>
      <w:u w:val="none"/>
    </w:rPr>
  </w:style>
  <w:style w:type="character" w:customStyle="1" w:styleId="43">
    <w:name w:val="font01"/>
    <w:basedOn w:val="24"/>
    <w:qFormat/>
    <w:uiPriority w:val="0"/>
    <w:rPr>
      <w:rFonts w:hint="eastAsia" w:ascii="宋体" w:hAnsi="宋体" w:eastAsia="宋体" w:cs="宋体"/>
      <w:color w:val="000000"/>
      <w:sz w:val="22"/>
      <w:szCs w:val="22"/>
      <w:u w:val="none"/>
    </w:rPr>
  </w:style>
  <w:style w:type="character" w:customStyle="1" w:styleId="44">
    <w:name w:val="font51"/>
    <w:basedOn w:val="24"/>
    <w:qFormat/>
    <w:uiPriority w:val="0"/>
    <w:rPr>
      <w:rFonts w:hint="eastAsia" w:ascii="宋体" w:hAnsi="宋体" w:eastAsia="宋体" w:cs="宋体"/>
      <w:color w:val="000000"/>
      <w:sz w:val="20"/>
      <w:szCs w:val="20"/>
      <w:u w:val="none"/>
    </w:rPr>
  </w:style>
  <w:style w:type="character" w:customStyle="1" w:styleId="45">
    <w:name w:val="font61"/>
    <w:basedOn w:val="24"/>
    <w:qFormat/>
    <w:uiPriority w:val="0"/>
    <w:rPr>
      <w:rFonts w:hint="eastAsia" w:ascii="宋体" w:hAnsi="宋体" w:eastAsia="宋体" w:cs="宋体"/>
      <w:color w:val="1A1A1A"/>
      <w:sz w:val="20"/>
      <w:szCs w:val="20"/>
      <w:u w:val="none"/>
    </w:rPr>
  </w:style>
  <w:style w:type="character" w:customStyle="1" w:styleId="46">
    <w:name w:val="font71"/>
    <w:basedOn w:val="24"/>
    <w:qFormat/>
    <w:uiPriority w:val="0"/>
    <w:rPr>
      <w:rFonts w:ascii="Tahoma" w:hAnsi="Tahoma" w:eastAsia="Tahoma" w:cs="Tahoma"/>
      <w:color w:val="1A1A1A"/>
      <w:sz w:val="20"/>
      <w:szCs w:val="20"/>
      <w:u w:val="none"/>
    </w:rPr>
  </w:style>
  <w:style w:type="character" w:customStyle="1" w:styleId="47">
    <w:name w:val="font21"/>
    <w:basedOn w:val="24"/>
    <w:qFormat/>
    <w:uiPriority w:val="0"/>
    <w:rPr>
      <w:rFonts w:hint="eastAsia" w:ascii="宋体" w:hAnsi="宋体" w:eastAsia="宋体" w:cs="宋体"/>
      <w:color w:val="000000"/>
      <w:sz w:val="21"/>
      <w:szCs w:val="21"/>
      <w:u w:val="none"/>
    </w:rPr>
  </w:style>
  <w:style w:type="character" w:customStyle="1" w:styleId="48">
    <w:name w:val="font31"/>
    <w:basedOn w:val="24"/>
    <w:qFormat/>
    <w:uiPriority w:val="0"/>
    <w:rPr>
      <w:rFonts w:hint="eastAsia" w:ascii="宋体" w:hAnsi="宋体" w:eastAsia="宋体" w:cs="宋体"/>
      <w:color w:val="1A1A1A"/>
      <w:sz w:val="21"/>
      <w:szCs w:val="21"/>
      <w:u w:val="none"/>
    </w:rPr>
  </w:style>
  <w:style w:type="paragraph" w:customStyle="1" w:styleId="49">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50">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51">
    <w:name w:val="纯文本11"/>
    <w:basedOn w:val="1"/>
    <w:qFormat/>
    <w:uiPriority w:val="0"/>
    <w:rPr>
      <w:rFonts w:ascii="宋体" w:hAnsi="Courier New" w:cs="Courier New"/>
    </w:rPr>
  </w:style>
  <w:style w:type="paragraph" w:customStyle="1" w:styleId="52">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3e4168fe-a8a0-4a78-9ab4-598a83dd1b0f</errorID>
      <errorWord>：</errorWord>
      <group>L1_Format</group>
      <groupName>格式问题</groupName>
      <ability>L2_HalfPunc</ability>
      <abilityName>全半角检查</abilityName>
      <candidateList>
        <item>:</item>
      </candidateList>
      <explain>文本全半角错误。</explain>
      <paraID>2F58A743</paraID>
      <start>70</start>
      <end>71</end>
      <status>unmodified</status>
      <modifiedWord/>
      <trackRevisions>false</trackRevisions>
    </reviewItem>
    <reviewItem>
      <errorID>31db6152-2922-4d38-9e2b-4115b1c92544</errorID>
      <errorWord>：</errorWord>
      <group>L1_Format</group>
      <groupName>格式问题</groupName>
      <ability>L2_HalfPunc</ability>
      <abilityName>全半角检查</abilityName>
      <candidateList>
        <item>:</item>
      </candidateList>
      <explain>文本全半角错误。</explain>
      <paraID>2F58A743</paraID>
      <start>76</start>
      <end>77</end>
      <status>unmodified</status>
      <modifiedWord/>
      <trackRevisions>false</trackRevisions>
    </reviewItem>
    <reviewItem>
      <errorID>70be39ff-896a-462d-9ae5-a4b31f036dc1</errorID>
      <errorWord>下午13：30</errorWord>
      <group>L1_Knowledge</group>
      <groupName>知识性问题</groupName>
      <ability>L2_Time</ability>
      <abilityName>日期时间</abilityName>
      <candidateList>
        <item>13:30</item>
      </candidateList>
      <explain>24小时制的时间，不需要强调“下午”，并且冒号应使用半角。</explain>
      <paraID>2F58A743</paraID>
      <start>80</start>
      <end>87</end>
      <status>unmodified</status>
      <modifiedWord/>
      <trackRevisions>false</trackRevisions>
    </reviewItem>
    <reviewItem>
      <errorID>4c3b7afc-4662-4fce-bb99-14ca943a52a1</errorID>
      <errorWord>：</errorWord>
      <group>L1_Format</group>
      <groupName>格式问题</groupName>
      <ability>L2_HalfPunc</ability>
      <abilityName>全半角检查</abilityName>
      <candidateList>
        <item>:</item>
      </candidateList>
      <explain>文本全半角错误。</explain>
      <paraID>2F58A743</paraID>
      <start>90</start>
      <end>91</end>
      <status>unmodified</status>
      <modifiedWord/>
      <trackRevisions>false</trackRevisions>
    </reviewItem>
    <reviewItem>
      <errorID>e0330b01-4965-4f4a-aaa9-e63e6fffc218</errorID>
      <errorWord>签</errorWord>
      <group>L1_Word</group>
      <groupName>字词问题</groupName>
      <ability>L2_Typo</ability>
      <abilityName>字词错误</abilityName>
      <candidateList>
        <item>签订</item>
      </candidateList>
      <explain>〈动〉订立条约或合同并签字：两国～了贸易议定书和支付协定。</explain>
      <paraID>6259E4C7</paraID>
      <start>35</start>
      <end>36</end>
      <status>unmodified</status>
      <modifiedWord/>
      <trackRevisions>false</trackRevisions>
    </reviewItem>
    <reviewItem>
      <errorID>ad3b5d56-dbb1-4432-bc75-1ec03d35a2fb</errorID>
      <errorWord>为止</errorWord>
      <group>L1_Word</group>
      <groupName>字词问题</groupName>
      <ability>L2_Typo</ability>
      <abilityName>字词错误</abilityName>
      <candidateList>
        <item>止</item>
      </candidateList>
      <explain/>
      <paraID>50D36631</paraID>
      <start>28</start>
      <end>30</end>
      <status>unmodified</status>
      <modifiedWord/>
      <trackRevisions>false</trackRevisions>
    </reviewItem>
    <reviewItem>
      <errorID>70e58260-ac60-4359-9f14-e7e68b71c05c</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5A46FE35</paraID>
      <start>30</start>
      <end>34</end>
      <status>unmodified</status>
      <modifiedWord/>
      <trackRevisions>false</trackRevisions>
    </reviewItem>
    <reviewItem>
      <errorID>2d6c4110-dc52-45d3-8fe5-a49724c39645</errorID>
      <errorWord>《民法典》</errorWord>
      <group>L1_Word</group>
      <groupName>字词问题</groupName>
      <ability>L2_Typo</ability>
      <abilityName>字词错误</abilityName>
      <candidateList>
        <item>《中华人民共和国民法典》</item>
      </candidateList>
      <explain/>
      <paraID>4A411562</paraID>
      <start>14</start>
      <end>19</end>
      <status>unmodified</status>
      <modifiedWord/>
      <trackRevisions>false</trackRevisions>
    </reviewItem>
    <reviewItem>
      <errorID>1d84f78e-274a-4396-b039-ec6ed7bf4f1c</errorID>
      <errorWord>;</errorWord>
      <group>L1_Format</group>
      <groupName>格式问题</groupName>
      <ability>L2_HalfPunc</ability>
      <abilityName>全半角检查</abilityName>
      <candidateList>
        <item>；</item>
      </candidateList>
      <explain>文本全半角错误。</explain>
      <paraID>44385250</paraID>
      <start>46</start>
      <end>47</end>
      <status>unmodified</status>
      <modifiedWord/>
      <trackRevisions>false</trackRevisions>
    </reviewItem>
    <reviewItem>
      <errorID>bf36e73c-ed5e-47e0-9e02-ca53c9f05693</errorID>
      <errorWord>,</errorWord>
      <group>L1_Format</group>
      <groupName>格式问题</groupName>
      <ability>L2_HalfPunc</ability>
      <abilityName>全半角检查</abilityName>
      <candidateList>
        <item>，</item>
      </candidateList>
      <explain>文本全半角错误。</explain>
      <paraID>44385250</paraID>
      <start>52</start>
      <end>53</end>
      <status>unmodified</status>
      <modifiedWord/>
      <trackRevisions>false</trackRevisions>
    </reviewItem>
    <reviewItem>
      <errorID>c73c9142-33be-41da-8e58-4c764acb7862</errorID>
      <errorWord>:</errorWord>
      <group>L1_Format</group>
      <groupName>格式问题</groupName>
      <ability>L2_HalfPunc</ability>
      <abilityName>全半角检查</abilityName>
      <candidateList>
        <item>：</item>
      </candidateList>
      <explain>文本全半角错误。</explain>
      <paraID>7261BF09</paraID>
      <start>3</start>
      <end>4</end>
      <status>unmodified</status>
      <modifiedWord/>
      <trackRevisions>false</trackRevisions>
    </reviewItem>
    <reviewItem>
      <errorID>3e7846b8-bcc3-44bd-8c16-2da3e00c8614</errorID>
      <errorWord>,</errorWord>
      <group>L1_Format</group>
      <groupName>格式问题</groupName>
      <ability>L2_HalfPunc</ability>
      <abilityName>全半角检查</abilityName>
      <candidateList>
        <item>，</item>
      </candidateList>
      <explain>文本全半角错误。</explain>
      <paraID>40BD0699</paraID>
      <start>35</start>
      <end>36</end>
      <status>unmodified</status>
      <modifiedWord/>
      <trackRevisions>false</trackRevisions>
    </reviewItem>
    <reviewItem>
      <errorID>b7437584-b5d2-4daa-871a-e47645f4754c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210292FB</paraID>
      <start>0</start>
      <end>2</end>
      <status>unmodified</status>
      <modifiedWord/>
      <trackRevisions>false</trackRevisions>
    </reviewItem>
    <reviewItem>
      <errorID>20c2863b-fbbc-4c01-904b-39c733899fbc</errorID>
      <errorWord>/）</errorWord>
      <group>L1_Punc</group>
      <groupName>标点问题</groupName>
      <ability>L2_Punc</ability>
      <abilityName>标点符号检查</abilityName>
      <candidateList>
        <item>）</item>
      </candidateList>
      <explain/>
      <paraID>22529FE8</paraID>
      <start>82</start>
      <end>84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671B0F-DE7D-41A8-B1D2-A6E36EC52DD9}">
  <ds:schemaRefs/>
</ds:datastoreItem>
</file>

<file path=docProps/app.xml><?xml version="1.0" encoding="utf-8"?>
<Properties xmlns="http://schemas.openxmlformats.org/officeDocument/2006/extended-properties" xmlns:vt="http://schemas.openxmlformats.org/officeDocument/2006/docPropsVTypes">
  <Template>Normal</Template>
  <Pages>21</Pages>
  <Words>1419</Words>
  <Characters>1541</Characters>
  <Lines>110</Lines>
  <Paragraphs>31</Paragraphs>
  <TotalTime>2</TotalTime>
  <ScaleCrop>false</ScaleCrop>
  <LinksUpToDate>false</LinksUpToDate>
  <CharactersWithSpaces>1588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2026-01-12T09:30:00Z</dcterms:created>
  <dc:creator>王杰</dc:creator>
  <cp:lastModifiedBy>吴颖沛</cp:lastModifiedBy>
  <cp:lastPrinted>2026-09-20T01:07:00Z</cp:lastPrinted>
  <dcterms:modified xsi:type="dcterms:W3CDTF">2026-10-22T05:51:41Z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9BAAE95D50164ED3B4713D0C446B5BF2_13</vt:lpwstr>
  </property>
  <property fmtid="{D5CDD505-2E9C-101B-9397-08002B2CF9AE}" pid="4" name="KSOTemplateDocerSaveRecord">
    <vt:lpwstr>eyJoZGlkIjoiMzFkYTY2NjhhNDVhYTZjZjQwZjI3ZTljNmI3MzY0NzMiLCJ1c2VySWQiOiIxNDgxMjYwNTI4In0=</vt:lpwstr>
  </property>
</Properties>
</file>