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83EDD8">
      <w:pPr>
        <w:spacing w:line="480" w:lineRule="auto"/>
        <w:ind w:firstLine="0" w:firstLineChars="0"/>
        <w:rPr>
          <w:rFonts w:ascii="黑体" w:hAnsi="黑体" w:eastAsia="黑体"/>
          <w:sz w:val="44"/>
          <w:szCs w:val="48"/>
          <w:highlight w:val="none"/>
          <w:u w:val="single"/>
        </w:rPr>
      </w:pPr>
    </w:p>
    <w:p w14:paraId="1311C4F0">
      <w:pPr>
        <w:ind w:firstLine="0" w:firstLineChars="0"/>
        <w:jc w:val="center"/>
        <w:rPr>
          <w:rFonts w:hint="eastAsia" w:ascii="宋体" w:hAnsi="宋体" w:eastAsia="宋体" w:cs="宋体"/>
          <w:b/>
          <w:bCs/>
          <w:sz w:val="40"/>
          <w:szCs w:val="40"/>
          <w:highlight w:val="none"/>
          <w:lang w:eastAsia="zh-CN"/>
        </w:rPr>
      </w:pPr>
      <w:bookmarkStart w:id="0" w:name="_Toc6457"/>
      <w:r>
        <w:rPr>
          <w:rFonts w:hint="eastAsia" w:ascii="宋体" w:hAnsi="宋体" w:eastAsia="宋体" w:cs="宋体"/>
          <w:b/>
          <w:bCs/>
          <w:sz w:val="40"/>
          <w:szCs w:val="40"/>
          <w:highlight w:val="none"/>
          <w:lang w:eastAsia="zh-CN"/>
        </w:rPr>
        <w:t>南通轨道交通运营有限公司工会委员会银行账户开立服务项目</w:t>
      </w:r>
    </w:p>
    <w:p w14:paraId="3AEAEAA1">
      <w:pPr>
        <w:ind w:firstLine="0" w:firstLineChars="0"/>
        <w:jc w:val="center"/>
        <w:rPr>
          <w:rFonts w:ascii="宋体" w:hAnsi="宋体" w:cs="宋体"/>
          <w:b/>
          <w:bCs/>
          <w:sz w:val="40"/>
          <w:szCs w:val="40"/>
          <w:highlight w:val="none"/>
        </w:rPr>
      </w:pPr>
      <w:r>
        <w:rPr>
          <w:rFonts w:hint="eastAsia" w:ascii="宋体" w:hAnsi="宋体" w:cs="宋体"/>
          <w:b/>
          <w:bCs/>
          <w:sz w:val="40"/>
          <w:szCs w:val="40"/>
          <w:highlight w:val="none"/>
        </w:rPr>
        <w:t>（项目编号：</w:t>
      </w:r>
      <w:r>
        <w:rPr>
          <w:rFonts w:hint="eastAsia" w:ascii="宋体" w:hAnsi="宋体" w:cs="宋体"/>
          <w:b/>
          <w:bCs/>
          <w:color w:val="000000" w:themeColor="text1"/>
          <w:sz w:val="40"/>
          <w:szCs w:val="40"/>
          <w:highlight w:val="none"/>
          <w:u w:val="single"/>
          <w:lang w:val="en-US" w:eastAsia="zh-CN"/>
          <w14:textFill>
            <w14:solidFill>
              <w14:schemeClr w14:val="tx1"/>
            </w14:solidFill>
          </w14:textFill>
        </w:rPr>
        <w:t>NTGY-2026-FW-BX-043</w:t>
      </w:r>
      <w:r>
        <w:rPr>
          <w:rFonts w:hint="eastAsia" w:ascii="宋体" w:hAnsi="宋体" w:cs="宋体"/>
          <w:b/>
          <w:bCs/>
          <w:sz w:val="40"/>
          <w:szCs w:val="40"/>
          <w:highlight w:val="none"/>
        </w:rPr>
        <w:t>）</w:t>
      </w:r>
      <w:bookmarkEnd w:id="0"/>
    </w:p>
    <w:p w14:paraId="3A7604ED">
      <w:pPr>
        <w:ind w:firstLine="480"/>
        <w:rPr>
          <w:rFonts w:ascii="宋体" w:hAnsi="宋体" w:cs="宋体"/>
          <w:b/>
          <w:bCs/>
          <w:sz w:val="44"/>
          <w:szCs w:val="44"/>
          <w:highlight w:val="none"/>
        </w:rPr>
      </w:pPr>
      <w:r>
        <w:rPr>
          <w:highlight w:val="none"/>
        </w:rPr>
        <w:t xml:space="preserve"> </w:t>
      </w:r>
      <w:bookmarkStart w:id="1" w:name="_Toc11519"/>
    </w:p>
    <w:p w14:paraId="372A12CA">
      <w:pPr>
        <w:ind w:firstLine="0" w:firstLineChars="0"/>
        <w:jc w:val="center"/>
        <w:rPr>
          <w:rFonts w:ascii="宋体" w:hAnsi="宋体" w:cs="宋体"/>
          <w:b/>
          <w:bCs/>
          <w:sz w:val="44"/>
          <w:szCs w:val="44"/>
          <w:highlight w:val="none"/>
        </w:rPr>
      </w:pPr>
    </w:p>
    <w:p w14:paraId="42FDA021">
      <w:pPr>
        <w:ind w:firstLine="0" w:firstLineChars="0"/>
        <w:jc w:val="center"/>
        <w:rPr>
          <w:rFonts w:ascii="宋体" w:hAnsi="宋体" w:cs="宋体"/>
          <w:b/>
          <w:bCs/>
          <w:sz w:val="72"/>
          <w:szCs w:val="72"/>
          <w:highlight w:val="none"/>
        </w:rPr>
      </w:pPr>
    </w:p>
    <w:p w14:paraId="15D74205">
      <w:pPr>
        <w:ind w:firstLine="0" w:firstLineChars="0"/>
        <w:jc w:val="center"/>
        <w:rPr>
          <w:rFonts w:ascii="宋体" w:hAnsi="宋体" w:cs="宋体"/>
          <w:b/>
          <w:bCs/>
          <w:sz w:val="72"/>
          <w:szCs w:val="72"/>
          <w:highlight w:val="none"/>
        </w:rPr>
      </w:pPr>
      <w:r>
        <w:rPr>
          <w:rFonts w:hint="eastAsia" w:ascii="宋体" w:hAnsi="宋体" w:cs="宋体"/>
          <w:b/>
          <w:bCs/>
          <w:sz w:val="72"/>
          <w:szCs w:val="72"/>
          <w:highlight w:val="none"/>
        </w:rPr>
        <w:t>采购文件</w:t>
      </w:r>
      <w:bookmarkEnd w:id="1"/>
    </w:p>
    <w:p w14:paraId="5A089377">
      <w:pPr>
        <w:ind w:firstLine="0" w:firstLineChars="0"/>
        <w:jc w:val="center"/>
        <w:rPr>
          <w:rFonts w:ascii="黑体" w:hAnsi="黑体" w:eastAsia="黑体"/>
          <w:sz w:val="48"/>
          <w:szCs w:val="52"/>
          <w:highlight w:val="none"/>
        </w:rPr>
      </w:pPr>
    </w:p>
    <w:p w14:paraId="0709371C">
      <w:pPr>
        <w:ind w:firstLine="0" w:firstLineChars="0"/>
        <w:jc w:val="center"/>
        <w:rPr>
          <w:rFonts w:ascii="黑体" w:hAnsi="黑体" w:eastAsia="黑体"/>
          <w:sz w:val="48"/>
          <w:szCs w:val="52"/>
          <w:highlight w:val="none"/>
        </w:rPr>
      </w:pPr>
    </w:p>
    <w:p w14:paraId="0FF7E748">
      <w:pPr>
        <w:ind w:firstLine="0" w:firstLineChars="0"/>
        <w:jc w:val="center"/>
        <w:rPr>
          <w:rFonts w:ascii="黑体" w:hAnsi="黑体" w:eastAsia="黑体"/>
          <w:sz w:val="48"/>
          <w:szCs w:val="52"/>
          <w:highlight w:val="none"/>
        </w:rPr>
      </w:pPr>
    </w:p>
    <w:p w14:paraId="4A9AB21F">
      <w:pPr>
        <w:ind w:firstLine="0" w:firstLineChars="0"/>
        <w:jc w:val="center"/>
        <w:rPr>
          <w:rFonts w:ascii="黑体" w:hAnsi="黑体" w:eastAsia="黑体"/>
          <w:sz w:val="48"/>
          <w:szCs w:val="52"/>
          <w:highlight w:val="none"/>
        </w:rPr>
      </w:pPr>
    </w:p>
    <w:p w14:paraId="657E92AD">
      <w:pPr>
        <w:ind w:firstLine="1680" w:firstLineChars="700"/>
        <w:rPr>
          <w:rFonts w:hint="eastAsia" w:ascii="宋体" w:hAnsi="宋体" w:eastAsia="宋体"/>
          <w:szCs w:val="24"/>
          <w:highlight w:val="none"/>
          <w:u w:val="single"/>
          <w:lang w:eastAsia="zh-CN"/>
        </w:rPr>
      </w:pPr>
      <w:r>
        <w:rPr>
          <w:rFonts w:hint="eastAsia" w:ascii="宋体" w:hAnsi="宋体"/>
          <w:szCs w:val="24"/>
          <w:highlight w:val="none"/>
        </w:rPr>
        <w:t>采 购 人：</w:t>
      </w:r>
      <w:r>
        <w:rPr>
          <w:rFonts w:hint="eastAsia" w:ascii="宋体" w:hAnsi="宋体"/>
          <w:szCs w:val="24"/>
          <w:highlight w:val="none"/>
          <w:u w:val="single"/>
          <w:lang w:eastAsia="zh-CN"/>
        </w:rPr>
        <w:t>南通轨道交通运营有限公司工会委员会</w:t>
      </w:r>
    </w:p>
    <w:p w14:paraId="6B108994">
      <w:pPr>
        <w:ind w:firstLine="1680" w:firstLineChars="700"/>
        <w:rPr>
          <w:rFonts w:ascii="宋体" w:hAnsi="宋体"/>
          <w:szCs w:val="24"/>
          <w:highlight w:val="none"/>
        </w:rPr>
      </w:pPr>
      <w:r>
        <w:rPr>
          <w:rFonts w:hint="eastAsia" w:ascii="宋体" w:hAnsi="宋体"/>
          <w:szCs w:val="24"/>
          <w:highlight w:val="none"/>
        </w:rPr>
        <w:t>代理机构：</w:t>
      </w:r>
      <w:r>
        <w:rPr>
          <w:rFonts w:hint="eastAsia" w:ascii="宋体" w:hAnsi="宋体"/>
          <w:szCs w:val="24"/>
          <w:highlight w:val="none"/>
          <w:u w:val="single"/>
        </w:rPr>
        <w:t>江苏建达全过程工程咨询有限公司</w:t>
      </w:r>
    </w:p>
    <w:p w14:paraId="63CC71E8">
      <w:pPr>
        <w:ind w:firstLine="0" w:firstLineChars="0"/>
        <w:jc w:val="center"/>
        <w:rPr>
          <w:rFonts w:hint="eastAsia" w:ascii="宋体" w:hAnsi="宋体" w:eastAsia="宋体"/>
          <w:szCs w:val="24"/>
          <w:highlight w:val="none"/>
          <w:u w:val="single"/>
          <w:lang w:eastAsia="zh-CN"/>
        </w:rPr>
      </w:pPr>
      <w:r>
        <w:rPr>
          <w:rFonts w:hint="eastAsia" w:ascii="宋体" w:hAnsi="宋体"/>
          <w:szCs w:val="24"/>
          <w:highlight w:val="none"/>
        </w:rPr>
        <w:t>编制时间：</w:t>
      </w:r>
      <w:r>
        <w:rPr>
          <w:rFonts w:hint="eastAsia" w:ascii="宋体" w:hAnsi="宋体"/>
          <w:szCs w:val="24"/>
          <w:highlight w:val="none"/>
          <w:u w:val="single"/>
          <w:lang w:eastAsia="zh-CN"/>
        </w:rPr>
        <w:t>2026年</w:t>
      </w:r>
      <w:r>
        <w:rPr>
          <w:rFonts w:hint="eastAsia" w:ascii="宋体" w:hAnsi="宋体"/>
          <w:szCs w:val="24"/>
          <w:highlight w:val="none"/>
          <w:u w:val="single"/>
          <w:lang w:val="en-US" w:eastAsia="zh-CN"/>
        </w:rPr>
        <w:t>10</w:t>
      </w:r>
      <w:r>
        <w:rPr>
          <w:rFonts w:hint="eastAsia" w:ascii="宋体" w:hAnsi="宋体"/>
          <w:szCs w:val="24"/>
          <w:highlight w:val="none"/>
          <w:u w:val="single"/>
          <w:lang w:eastAsia="zh-CN"/>
        </w:rPr>
        <w:t>月</w:t>
      </w:r>
    </w:p>
    <w:p w14:paraId="5C85806C">
      <w:pPr>
        <w:spacing w:line="240" w:lineRule="auto"/>
        <w:ind w:firstLine="0" w:firstLineChars="0"/>
        <w:jc w:val="center"/>
        <w:rPr>
          <w:rFonts w:ascii="宋体" w:hAnsi="宋体"/>
          <w:sz w:val="21"/>
          <w:highlight w:val="none"/>
        </w:rPr>
        <w:sectPr>
          <w:headerReference r:id="rId7" w:type="first"/>
          <w:footerReference r:id="rId10" w:type="first"/>
          <w:headerReference r:id="rId5" w:type="default"/>
          <w:footerReference r:id="rId8" w:type="default"/>
          <w:headerReference r:id="rId6" w:type="even"/>
          <w:footerReference r:id="rId9" w:type="even"/>
          <w:pgSz w:w="11906" w:h="16838"/>
          <w:pgMar w:top="1418" w:right="1588" w:bottom="1418" w:left="1588" w:header="851" w:footer="992" w:gutter="0"/>
          <w:cols w:space="425" w:num="1"/>
          <w:docGrid w:linePitch="312" w:charSpace="0"/>
        </w:sectPr>
      </w:pPr>
    </w:p>
    <w:sdt>
      <w:sdtPr>
        <w:rPr>
          <w:rFonts w:eastAsia="宋体"/>
          <w:bCs w:val="0"/>
          <w:kern w:val="2"/>
          <w:sz w:val="24"/>
          <w:szCs w:val="22"/>
          <w:highlight w:val="none"/>
        </w:rPr>
        <w:id w:val="147453442"/>
        <w:docPartObj>
          <w:docPartGallery w:val="Table of Contents"/>
          <w:docPartUnique/>
        </w:docPartObj>
      </w:sdtPr>
      <w:sdtEndPr>
        <w:rPr>
          <w:rFonts w:eastAsia="宋体"/>
          <w:bCs w:val="0"/>
          <w:kern w:val="2"/>
          <w:sz w:val="24"/>
          <w:szCs w:val="22"/>
          <w:highlight w:val="none"/>
        </w:rPr>
      </w:sdtEndPr>
      <w:sdtContent>
        <w:p w14:paraId="5BD4F4A1">
          <w:pPr>
            <w:pStyle w:val="2"/>
            <w:ind w:firstLine="0" w:firstLineChars="0"/>
            <w:rPr>
              <w:highlight w:val="none"/>
            </w:rPr>
          </w:pPr>
          <w:bookmarkStart w:id="2" w:name="_Toc76"/>
          <w:r>
            <w:rPr>
              <w:rFonts w:hint="eastAsia"/>
              <w:sz w:val="40"/>
              <w:szCs w:val="40"/>
              <w:highlight w:val="none"/>
            </w:rPr>
            <w:t>目录</w:t>
          </w:r>
          <w:bookmarkEnd w:id="2"/>
        </w:p>
        <w:p w14:paraId="100C4BC0">
          <w:pPr>
            <w:pStyle w:val="21"/>
            <w:tabs>
              <w:tab w:val="right" w:leader="dot" w:pos="8306"/>
            </w:tabs>
            <w:rPr>
              <w:rFonts w:ascii="宋体" w:hAnsi="宋体" w:eastAsia="宋体" w:cs="宋体"/>
              <w:sz w:val="28"/>
              <w:szCs w:val="28"/>
              <w:highlight w:val="none"/>
            </w:rPr>
          </w:pPr>
          <w:r>
            <w:rPr>
              <w:rFonts w:hint="eastAsia" w:ascii="宋体" w:hAnsi="宋体" w:cs="宋体"/>
              <w:sz w:val="28"/>
              <w:szCs w:val="28"/>
              <w:highlight w:val="none"/>
            </w:rPr>
            <w:fldChar w:fldCharType="begin"/>
          </w:r>
          <w:r>
            <w:rPr>
              <w:rFonts w:hint="eastAsia" w:ascii="宋体" w:hAnsi="宋体" w:cs="宋体"/>
              <w:sz w:val="28"/>
              <w:szCs w:val="28"/>
              <w:highlight w:val="none"/>
            </w:rPr>
            <w:instrText xml:space="preserve">TOC \o "1-1" \h \u </w:instrText>
          </w:r>
          <w:r>
            <w:rPr>
              <w:rFonts w:hint="eastAsia" w:ascii="宋体" w:hAnsi="宋体" w:cs="宋体"/>
              <w:sz w:val="28"/>
              <w:szCs w:val="28"/>
              <w:highlight w:val="none"/>
            </w:rPr>
            <w:fldChar w:fldCharType="separate"/>
          </w:r>
        </w:p>
        <w:p w14:paraId="48B1240F">
          <w:pPr>
            <w:pStyle w:val="21"/>
            <w:tabs>
              <w:tab w:val="right" w:leader="dot" w:pos="8306"/>
            </w:tabs>
            <w:rPr>
              <w:rFonts w:ascii="宋体" w:hAnsi="宋体" w:eastAsia="宋体" w:cs="宋体"/>
              <w:sz w:val="28"/>
              <w:szCs w:val="28"/>
              <w:highlight w:val="none"/>
            </w:rPr>
          </w:pPr>
          <w:r>
            <w:rPr>
              <w:highlight w:val="none"/>
            </w:rPr>
            <w:fldChar w:fldCharType="begin"/>
          </w:r>
          <w:r>
            <w:rPr>
              <w:highlight w:val="none"/>
            </w:rPr>
            <w:instrText xml:space="preserve"> HYPERLINK \l "_Toc15324" </w:instrText>
          </w:r>
          <w:r>
            <w:rPr>
              <w:highlight w:val="none"/>
            </w:rPr>
            <w:fldChar w:fldCharType="separate"/>
          </w:r>
          <w:r>
            <w:rPr>
              <w:rFonts w:hint="eastAsia" w:ascii="宋体" w:hAnsi="宋体" w:eastAsia="宋体" w:cs="宋体"/>
              <w:sz w:val="28"/>
              <w:szCs w:val="28"/>
              <w:highlight w:val="none"/>
            </w:rPr>
            <w:t>第一章 采购公告</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_Toc15324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714B658E">
          <w:pPr>
            <w:pStyle w:val="21"/>
            <w:tabs>
              <w:tab w:val="right" w:leader="dot" w:pos="8306"/>
            </w:tabs>
            <w:rPr>
              <w:rFonts w:ascii="宋体" w:hAnsi="宋体" w:eastAsia="宋体" w:cs="宋体"/>
              <w:sz w:val="28"/>
              <w:szCs w:val="28"/>
              <w:highlight w:val="none"/>
            </w:rPr>
          </w:pPr>
          <w:r>
            <w:rPr>
              <w:highlight w:val="none"/>
            </w:rPr>
            <w:fldChar w:fldCharType="begin"/>
          </w:r>
          <w:r>
            <w:rPr>
              <w:highlight w:val="none"/>
            </w:rPr>
            <w:instrText xml:space="preserve"> HYPERLINK \l "_Toc18896" </w:instrText>
          </w:r>
          <w:r>
            <w:rPr>
              <w:highlight w:val="none"/>
            </w:rPr>
            <w:fldChar w:fldCharType="separate"/>
          </w:r>
          <w:r>
            <w:rPr>
              <w:rFonts w:hint="eastAsia" w:ascii="宋体" w:hAnsi="宋体" w:eastAsia="宋体" w:cs="宋体"/>
              <w:sz w:val="28"/>
              <w:szCs w:val="28"/>
              <w:highlight w:val="none"/>
            </w:rPr>
            <w:t>第二章 供应商须知</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_Toc18896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5</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19E842C5">
          <w:pPr>
            <w:pStyle w:val="21"/>
            <w:tabs>
              <w:tab w:val="right" w:leader="dot" w:pos="8306"/>
            </w:tabs>
            <w:rPr>
              <w:rFonts w:ascii="宋体" w:hAnsi="宋体" w:eastAsia="宋体" w:cs="宋体"/>
              <w:sz w:val="28"/>
              <w:szCs w:val="28"/>
              <w:highlight w:val="none"/>
            </w:rPr>
          </w:pPr>
          <w:r>
            <w:rPr>
              <w:highlight w:val="none"/>
            </w:rPr>
            <w:fldChar w:fldCharType="begin"/>
          </w:r>
          <w:r>
            <w:rPr>
              <w:highlight w:val="none"/>
            </w:rPr>
            <w:instrText xml:space="preserve"> HYPERLINK \l "_Toc30142" </w:instrText>
          </w:r>
          <w:r>
            <w:rPr>
              <w:highlight w:val="none"/>
            </w:rPr>
            <w:fldChar w:fldCharType="separate"/>
          </w:r>
          <w:r>
            <w:rPr>
              <w:rFonts w:hint="eastAsia" w:ascii="宋体" w:hAnsi="宋体" w:eastAsia="宋体" w:cs="宋体"/>
              <w:bCs/>
              <w:kern w:val="44"/>
              <w:sz w:val="28"/>
              <w:szCs w:val="28"/>
              <w:highlight w:val="none"/>
            </w:rPr>
            <w:t>第三章 评审方法</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_Toc30142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15</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3DDF7C19">
          <w:pPr>
            <w:pStyle w:val="21"/>
            <w:tabs>
              <w:tab w:val="right" w:leader="dot" w:pos="8306"/>
            </w:tabs>
            <w:rPr>
              <w:rFonts w:ascii="宋体" w:hAnsi="宋体" w:eastAsia="宋体" w:cs="宋体"/>
              <w:sz w:val="28"/>
              <w:szCs w:val="28"/>
              <w:highlight w:val="none"/>
            </w:rPr>
          </w:pPr>
          <w:r>
            <w:rPr>
              <w:highlight w:val="none"/>
            </w:rPr>
            <w:fldChar w:fldCharType="begin"/>
          </w:r>
          <w:r>
            <w:rPr>
              <w:highlight w:val="none"/>
            </w:rPr>
            <w:instrText xml:space="preserve"> HYPERLINK \l "_Toc31910" </w:instrText>
          </w:r>
          <w:r>
            <w:rPr>
              <w:highlight w:val="none"/>
            </w:rPr>
            <w:fldChar w:fldCharType="separate"/>
          </w:r>
          <w:r>
            <w:rPr>
              <w:rFonts w:hint="eastAsia" w:ascii="宋体" w:hAnsi="宋体" w:eastAsia="宋体" w:cs="宋体"/>
              <w:bCs/>
              <w:kern w:val="44"/>
              <w:sz w:val="28"/>
              <w:szCs w:val="28"/>
              <w:highlight w:val="none"/>
            </w:rPr>
            <w:t>第</w:t>
          </w:r>
          <w:r>
            <w:rPr>
              <w:rFonts w:hint="eastAsia" w:ascii="宋体" w:hAnsi="宋体" w:eastAsia="宋体" w:cs="宋体"/>
              <w:bCs/>
              <w:kern w:val="44"/>
              <w:sz w:val="28"/>
              <w:szCs w:val="28"/>
              <w:highlight w:val="none"/>
              <w:lang w:val="en-US" w:eastAsia="zh-CN"/>
            </w:rPr>
            <w:t>四</w:t>
          </w:r>
          <w:r>
            <w:rPr>
              <w:rFonts w:hint="eastAsia" w:ascii="宋体" w:hAnsi="宋体" w:eastAsia="宋体" w:cs="宋体"/>
              <w:bCs/>
              <w:kern w:val="44"/>
              <w:sz w:val="28"/>
              <w:szCs w:val="28"/>
              <w:highlight w:val="none"/>
            </w:rPr>
            <w:t>章 采购需求</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_Toc31910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22</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2880A5DF">
          <w:pPr>
            <w:pStyle w:val="21"/>
            <w:tabs>
              <w:tab w:val="right" w:leader="dot" w:pos="8306"/>
            </w:tabs>
            <w:rPr>
              <w:highlight w:val="none"/>
            </w:rPr>
          </w:pPr>
          <w:r>
            <w:rPr>
              <w:highlight w:val="none"/>
            </w:rPr>
            <w:fldChar w:fldCharType="begin"/>
          </w:r>
          <w:r>
            <w:rPr>
              <w:highlight w:val="none"/>
            </w:rPr>
            <w:instrText xml:space="preserve"> HYPERLINK \l "_Toc14421" </w:instrText>
          </w:r>
          <w:r>
            <w:rPr>
              <w:highlight w:val="none"/>
            </w:rPr>
            <w:fldChar w:fldCharType="separate"/>
          </w:r>
          <w:r>
            <w:rPr>
              <w:rFonts w:hint="eastAsia" w:ascii="宋体" w:hAnsi="宋体" w:eastAsia="宋体" w:cs="宋体"/>
              <w:bCs/>
              <w:kern w:val="44"/>
              <w:sz w:val="28"/>
              <w:szCs w:val="28"/>
              <w:highlight w:val="none"/>
            </w:rPr>
            <w:t>第</w:t>
          </w:r>
          <w:r>
            <w:rPr>
              <w:rFonts w:hint="eastAsia" w:ascii="宋体" w:hAnsi="宋体" w:eastAsia="宋体" w:cs="宋体"/>
              <w:bCs/>
              <w:kern w:val="44"/>
              <w:sz w:val="28"/>
              <w:szCs w:val="28"/>
              <w:highlight w:val="none"/>
              <w:lang w:eastAsia="zh-CN"/>
            </w:rPr>
            <w:t>五</w:t>
          </w:r>
          <w:r>
            <w:rPr>
              <w:rFonts w:hint="eastAsia" w:ascii="宋体" w:hAnsi="宋体" w:eastAsia="宋体" w:cs="宋体"/>
              <w:bCs/>
              <w:kern w:val="44"/>
              <w:sz w:val="28"/>
              <w:szCs w:val="28"/>
              <w:highlight w:val="none"/>
            </w:rPr>
            <w:t>章 响应文件格式</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_Toc14421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25</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5AEA1BEF">
          <w:pPr>
            <w:ind w:firstLine="480"/>
            <w:rPr>
              <w:highlight w:val="none"/>
            </w:rPr>
          </w:pPr>
          <w:r>
            <w:rPr>
              <w:rFonts w:hint="eastAsia" w:ascii="宋体" w:hAnsi="宋体" w:cs="宋体"/>
              <w:szCs w:val="28"/>
              <w:highlight w:val="none"/>
            </w:rPr>
            <w:fldChar w:fldCharType="end"/>
          </w:r>
        </w:p>
      </w:sdtContent>
    </w:sdt>
    <w:p w14:paraId="275727F9">
      <w:pPr>
        <w:ind w:firstLine="480"/>
        <w:rPr>
          <w:highlight w:val="none"/>
        </w:rPr>
      </w:pPr>
    </w:p>
    <w:p w14:paraId="5C7AF6AE">
      <w:pPr>
        <w:ind w:firstLine="480"/>
        <w:rPr>
          <w:highlight w:val="none"/>
        </w:rPr>
      </w:pPr>
    </w:p>
    <w:p w14:paraId="56B997C8">
      <w:pPr>
        <w:ind w:firstLine="480"/>
        <w:rPr>
          <w:highlight w:val="none"/>
        </w:rPr>
        <w:sectPr>
          <w:footerReference r:id="rId11" w:type="default"/>
          <w:pgSz w:w="11906" w:h="16838"/>
          <w:pgMar w:top="1418" w:right="1588" w:bottom="1418" w:left="1588" w:header="851" w:footer="992" w:gutter="0"/>
          <w:pgNumType w:start="1"/>
          <w:cols w:space="425" w:num="1"/>
          <w:docGrid w:linePitch="312" w:charSpace="0"/>
        </w:sectPr>
      </w:pPr>
    </w:p>
    <w:p w14:paraId="3A95587D">
      <w:pPr>
        <w:ind w:firstLine="0" w:firstLineChars="0"/>
        <w:rPr>
          <w:highlight w:val="none"/>
        </w:rPr>
      </w:pPr>
    </w:p>
    <w:p w14:paraId="0347A671">
      <w:pPr>
        <w:ind w:firstLine="480"/>
        <w:rPr>
          <w:highlight w:val="none"/>
        </w:rPr>
      </w:pPr>
    </w:p>
    <w:p w14:paraId="793D3859">
      <w:pPr>
        <w:ind w:firstLine="480"/>
        <w:rPr>
          <w:highlight w:val="none"/>
        </w:rPr>
      </w:pPr>
    </w:p>
    <w:p w14:paraId="6674FFCE">
      <w:pPr>
        <w:ind w:firstLine="480"/>
        <w:rPr>
          <w:highlight w:val="none"/>
        </w:rPr>
      </w:pPr>
    </w:p>
    <w:p w14:paraId="27FF04EA">
      <w:pPr>
        <w:ind w:firstLine="480"/>
        <w:rPr>
          <w:highlight w:val="none"/>
        </w:rPr>
      </w:pPr>
    </w:p>
    <w:p w14:paraId="6DDF3B0B">
      <w:pPr>
        <w:ind w:firstLine="480"/>
        <w:rPr>
          <w:highlight w:val="none"/>
        </w:rPr>
      </w:pPr>
    </w:p>
    <w:p w14:paraId="0F352754">
      <w:pPr>
        <w:ind w:firstLine="480"/>
        <w:rPr>
          <w:highlight w:val="none"/>
        </w:rPr>
      </w:pPr>
    </w:p>
    <w:p w14:paraId="127AEE34">
      <w:pPr>
        <w:ind w:firstLine="480"/>
        <w:rPr>
          <w:highlight w:val="none"/>
        </w:rPr>
      </w:pPr>
    </w:p>
    <w:p w14:paraId="086F734A">
      <w:pPr>
        <w:ind w:firstLine="480"/>
        <w:rPr>
          <w:highlight w:val="none"/>
        </w:rPr>
      </w:pPr>
    </w:p>
    <w:p w14:paraId="7B939CF8">
      <w:pPr>
        <w:ind w:firstLine="480"/>
        <w:rPr>
          <w:highlight w:val="none"/>
        </w:rPr>
      </w:pPr>
    </w:p>
    <w:p w14:paraId="33B666FB">
      <w:pPr>
        <w:ind w:firstLine="480"/>
        <w:rPr>
          <w:highlight w:val="none"/>
        </w:rPr>
      </w:pPr>
    </w:p>
    <w:p w14:paraId="343D0B7B">
      <w:pPr>
        <w:ind w:firstLine="480"/>
        <w:rPr>
          <w:highlight w:val="none"/>
        </w:rPr>
      </w:pPr>
    </w:p>
    <w:p w14:paraId="592C178F">
      <w:pPr>
        <w:ind w:firstLine="480"/>
        <w:rPr>
          <w:highlight w:val="none"/>
        </w:rPr>
      </w:pPr>
    </w:p>
    <w:p w14:paraId="7C0E0E34">
      <w:pPr>
        <w:pStyle w:val="2"/>
        <w:ind w:firstLine="0" w:firstLineChars="0"/>
        <w:rPr>
          <w:highlight w:val="none"/>
        </w:rPr>
      </w:pPr>
      <w:bookmarkStart w:id="3" w:name="_Toc15324"/>
      <w:r>
        <w:rPr>
          <w:rFonts w:hint="eastAsia"/>
          <w:highlight w:val="none"/>
        </w:rPr>
        <w:t>第一章 采购公告</w:t>
      </w:r>
      <w:bookmarkEnd w:id="3"/>
    </w:p>
    <w:p w14:paraId="5911F688">
      <w:pPr>
        <w:widowControl/>
        <w:spacing w:line="240" w:lineRule="auto"/>
        <w:ind w:firstLine="0" w:firstLineChars="0"/>
        <w:jc w:val="left"/>
        <w:rPr>
          <w:rFonts w:eastAsia="黑体"/>
          <w:bCs/>
          <w:kern w:val="44"/>
          <w:sz w:val="44"/>
          <w:szCs w:val="44"/>
          <w:highlight w:val="none"/>
        </w:rPr>
      </w:pPr>
      <w:r>
        <w:rPr>
          <w:highlight w:val="none"/>
        </w:rPr>
        <w:br w:type="page"/>
      </w:r>
    </w:p>
    <w:p w14:paraId="271C2F3C">
      <w:pPr>
        <w:ind w:firstLine="0" w:firstLineChars="0"/>
        <w:jc w:val="center"/>
        <w:rPr>
          <w:rFonts w:ascii="黑体" w:hAnsi="黑体" w:eastAsia="黑体"/>
          <w:sz w:val="36"/>
          <w:szCs w:val="36"/>
          <w:highlight w:val="none"/>
        </w:rPr>
      </w:pPr>
      <w:r>
        <w:rPr>
          <w:rFonts w:hint="eastAsia" w:ascii="黑体" w:hAnsi="黑体" w:eastAsia="黑体"/>
          <w:sz w:val="36"/>
          <w:szCs w:val="36"/>
          <w:highlight w:val="none"/>
        </w:rPr>
        <w:t>第一章 采购公告</w:t>
      </w:r>
    </w:p>
    <w:p w14:paraId="303812D0">
      <w:pPr>
        <w:ind w:firstLine="480"/>
        <w:rPr>
          <w:highlight w:val="none"/>
        </w:rPr>
      </w:pPr>
      <w:r>
        <w:rPr>
          <w:rFonts w:hint="eastAsia"/>
          <w:highlight w:val="none"/>
          <w:u w:val="single"/>
          <w:lang w:eastAsia="zh-CN"/>
        </w:rPr>
        <w:t>南通轨道交通运营有限公司工会委员会银行账户开立服务项目</w:t>
      </w:r>
      <w:r>
        <w:rPr>
          <w:rFonts w:hint="eastAsia"/>
          <w:highlight w:val="none"/>
        </w:rPr>
        <w:t>已具备采购条件，现采用</w:t>
      </w:r>
      <w:r>
        <w:rPr>
          <w:rFonts w:hint="eastAsia"/>
          <w:highlight w:val="none"/>
          <w:lang w:eastAsia="zh-CN"/>
        </w:rPr>
        <w:t>公开比选</w:t>
      </w:r>
      <w:r>
        <w:rPr>
          <w:rFonts w:hint="eastAsia"/>
          <w:highlight w:val="none"/>
        </w:rPr>
        <w:t>方式进行</w:t>
      </w:r>
      <w:r>
        <w:rPr>
          <w:highlight w:val="none"/>
        </w:rPr>
        <w:t>采购。</w:t>
      </w:r>
    </w:p>
    <w:p w14:paraId="1EAEEDD3">
      <w:pPr>
        <w:pStyle w:val="3"/>
        <w:ind w:firstLine="482"/>
        <w:rPr>
          <w:highlight w:val="none"/>
        </w:rPr>
      </w:pPr>
      <w:r>
        <w:rPr>
          <w:rFonts w:cs="Times New Roman"/>
          <w:highlight w:val="none"/>
        </w:rPr>
        <w:t>1</w:t>
      </w:r>
      <w:r>
        <w:rPr>
          <w:highlight w:val="none"/>
        </w:rPr>
        <w:t xml:space="preserve"> </w:t>
      </w:r>
      <w:r>
        <w:rPr>
          <w:rFonts w:hint="eastAsia"/>
          <w:highlight w:val="none"/>
        </w:rPr>
        <w:t>项目概况</w:t>
      </w:r>
    </w:p>
    <w:p w14:paraId="20656E1B">
      <w:pPr>
        <w:ind w:firstLine="482"/>
        <w:rPr>
          <w:rFonts w:hint="eastAsia" w:eastAsia="宋体"/>
          <w:highlight w:val="none"/>
          <w:lang w:eastAsia="zh-CN"/>
        </w:rPr>
      </w:pPr>
      <w:r>
        <w:rPr>
          <w:rFonts w:hint="eastAsia"/>
          <w:b/>
          <w:bCs/>
          <w:highlight w:val="none"/>
        </w:rPr>
        <w:t>1</w:t>
      </w:r>
      <w:r>
        <w:rPr>
          <w:b/>
          <w:bCs/>
          <w:highlight w:val="none"/>
        </w:rPr>
        <w:t>.1</w:t>
      </w:r>
      <w:r>
        <w:rPr>
          <w:rFonts w:hint="eastAsia"/>
          <w:b/>
          <w:bCs/>
          <w:highlight w:val="none"/>
        </w:rPr>
        <w:t>项目名称：</w:t>
      </w:r>
      <w:r>
        <w:rPr>
          <w:rFonts w:hint="eastAsia"/>
          <w:highlight w:val="none"/>
          <w:u w:val="single"/>
          <w:lang w:eastAsia="zh-CN"/>
        </w:rPr>
        <w:t>南通轨道交通运营有限公司工会委员会银行账户开立服务项目</w:t>
      </w:r>
    </w:p>
    <w:p w14:paraId="6D881225">
      <w:pPr>
        <w:ind w:firstLine="482"/>
        <w:rPr>
          <w:rFonts w:hint="default" w:eastAsia="宋体"/>
          <w:highlight w:val="none"/>
          <w:u w:val="single"/>
          <w:lang w:val="en-US" w:eastAsia="zh-CN"/>
        </w:rPr>
      </w:pPr>
      <w:r>
        <w:rPr>
          <w:rFonts w:hint="eastAsia"/>
          <w:b/>
          <w:bCs/>
          <w:highlight w:val="none"/>
        </w:rPr>
        <w:t>1</w:t>
      </w:r>
      <w:r>
        <w:rPr>
          <w:b/>
          <w:bCs/>
          <w:highlight w:val="none"/>
        </w:rPr>
        <w:t>.2</w:t>
      </w:r>
      <w:r>
        <w:rPr>
          <w:rFonts w:hint="eastAsia"/>
          <w:b/>
          <w:bCs/>
          <w:highlight w:val="none"/>
        </w:rPr>
        <w:t>项目编号</w:t>
      </w:r>
      <w:r>
        <w:rPr>
          <w:rFonts w:hint="eastAsia"/>
          <w:highlight w:val="none"/>
        </w:rPr>
        <w:t>：</w:t>
      </w:r>
      <w:r>
        <w:rPr>
          <w:rFonts w:hint="eastAsia"/>
          <w:highlight w:val="none"/>
          <w:u w:val="single"/>
          <w:lang w:val="en-US" w:eastAsia="zh-CN"/>
        </w:rPr>
        <w:t>NTGY-2026-FW-BX-043</w:t>
      </w:r>
    </w:p>
    <w:p w14:paraId="5353454B">
      <w:pPr>
        <w:ind w:firstLine="482"/>
        <w:rPr>
          <w:rFonts w:hint="eastAsia" w:eastAsia="宋体"/>
          <w:highlight w:val="none"/>
          <w:lang w:eastAsia="zh-CN"/>
        </w:rPr>
      </w:pPr>
      <w:r>
        <w:rPr>
          <w:rFonts w:hint="eastAsia"/>
          <w:b/>
          <w:bCs/>
          <w:highlight w:val="none"/>
        </w:rPr>
        <w:t>1</w:t>
      </w:r>
      <w:r>
        <w:rPr>
          <w:b/>
          <w:bCs/>
          <w:highlight w:val="none"/>
        </w:rPr>
        <w:t>.3</w:t>
      </w:r>
      <w:r>
        <w:rPr>
          <w:rFonts w:hint="eastAsia"/>
          <w:b/>
          <w:bCs/>
          <w:highlight w:val="none"/>
        </w:rPr>
        <w:t>采购人：</w:t>
      </w:r>
      <w:r>
        <w:rPr>
          <w:rFonts w:hint="eastAsia"/>
          <w:highlight w:val="none"/>
          <w:u w:val="single"/>
          <w:lang w:eastAsia="zh-CN"/>
        </w:rPr>
        <w:t>南通轨道交通运营有限公司工会委员会</w:t>
      </w:r>
    </w:p>
    <w:p w14:paraId="32357537">
      <w:pPr>
        <w:ind w:firstLine="482"/>
        <w:rPr>
          <w:highlight w:val="none"/>
        </w:rPr>
      </w:pPr>
      <w:r>
        <w:rPr>
          <w:rFonts w:hint="eastAsia"/>
          <w:b/>
          <w:bCs/>
          <w:highlight w:val="none"/>
        </w:rPr>
        <w:t>1</w:t>
      </w:r>
      <w:r>
        <w:rPr>
          <w:b/>
          <w:bCs/>
          <w:highlight w:val="none"/>
        </w:rPr>
        <w:t>.4</w:t>
      </w:r>
      <w:r>
        <w:rPr>
          <w:rFonts w:hint="eastAsia"/>
          <w:b/>
          <w:bCs/>
          <w:highlight w:val="none"/>
        </w:rPr>
        <w:t>代理机构：</w:t>
      </w:r>
      <w:r>
        <w:rPr>
          <w:rFonts w:hint="eastAsia" w:ascii="宋体" w:hAnsi="宋体"/>
          <w:szCs w:val="24"/>
          <w:highlight w:val="none"/>
          <w:u w:val="single"/>
        </w:rPr>
        <w:t>江苏建达全过程工程咨询有限公司</w:t>
      </w:r>
    </w:p>
    <w:p w14:paraId="0A4A287E">
      <w:pPr>
        <w:ind w:firstLine="482"/>
        <w:rPr>
          <w:highlight w:val="none"/>
        </w:rPr>
      </w:pPr>
      <w:r>
        <w:rPr>
          <w:rFonts w:hint="eastAsia"/>
          <w:b/>
          <w:bCs/>
          <w:highlight w:val="none"/>
        </w:rPr>
        <w:t>1</w:t>
      </w:r>
      <w:r>
        <w:rPr>
          <w:b/>
          <w:bCs/>
          <w:highlight w:val="none"/>
        </w:rPr>
        <w:t>.5</w:t>
      </w:r>
      <w:r>
        <w:rPr>
          <w:rFonts w:hint="eastAsia"/>
          <w:b/>
          <w:bCs/>
          <w:highlight w:val="none"/>
        </w:rPr>
        <w:t>标段划分：</w:t>
      </w:r>
      <w:r>
        <w:rPr>
          <w:rFonts w:hint="eastAsia"/>
          <w:highlight w:val="none"/>
          <w:u w:val="single"/>
        </w:rPr>
        <w:t>不划分标段</w:t>
      </w:r>
      <w:r>
        <w:rPr>
          <w:highlight w:val="none"/>
          <w:u w:val="single"/>
        </w:rPr>
        <w:t xml:space="preserve"> </w:t>
      </w:r>
    </w:p>
    <w:p w14:paraId="47335F8A">
      <w:pPr>
        <w:ind w:firstLine="482"/>
        <w:rPr>
          <w:rFonts w:hint="default" w:eastAsia="宋体"/>
          <w:highlight w:val="none"/>
          <w:u w:val="single"/>
          <w:lang w:val="en-US" w:eastAsia="zh-CN"/>
        </w:rPr>
      </w:pPr>
      <w:r>
        <w:rPr>
          <w:rFonts w:hint="eastAsia"/>
          <w:b/>
          <w:bCs/>
          <w:highlight w:val="none"/>
        </w:rPr>
        <w:t>1</w:t>
      </w:r>
      <w:r>
        <w:rPr>
          <w:b/>
          <w:bCs/>
          <w:highlight w:val="none"/>
        </w:rPr>
        <w:t>.6</w:t>
      </w:r>
      <w:r>
        <w:rPr>
          <w:rFonts w:hint="eastAsia"/>
          <w:b/>
          <w:bCs/>
          <w:highlight w:val="none"/>
        </w:rPr>
        <w:t>项目限价：</w:t>
      </w:r>
      <w:r>
        <w:rPr>
          <w:rFonts w:hint="eastAsia" w:ascii="Times New Roman" w:hAnsi="Times New Roman" w:eastAsia="宋体"/>
          <w:highlight w:val="none"/>
          <w:u w:val="single"/>
          <w:lang w:val="en-US" w:eastAsia="zh-CN"/>
        </w:rPr>
        <w:t xml:space="preserve"> / </w:t>
      </w:r>
    </w:p>
    <w:p w14:paraId="4F690402">
      <w:pPr>
        <w:pStyle w:val="3"/>
        <w:ind w:firstLine="482"/>
        <w:rPr>
          <w:highlight w:val="none"/>
        </w:rPr>
      </w:pPr>
      <w:r>
        <w:rPr>
          <w:rFonts w:hint="eastAsia" w:cs="Times New Roman"/>
          <w:highlight w:val="none"/>
        </w:rPr>
        <w:t>2</w:t>
      </w:r>
      <w:r>
        <w:rPr>
          <w:rFonts w:cs="Times New Roman"/>
          <w:highlight w:val="none"/>
        </w:rPr>
        <w:t xml:space="preserve"> </w:t>
      </w:r>
      <w:r>
        <w:rPr>
          <w:rFonts w:hint="eastAsia"/>
          <w:highlight w:val="none"/>
        </w:rPr>
        <w:t>采购范围及相关要求</w:t>
      </w:r>
    </w:p>
    <w:p w14:paraId="26522003">
      <w:pPr>
        <w:ind w:left="420" w:firstLine="60" w:firstLineChars="25"/>
        <w:rPr>
          <w:highlight w:val="none"/>
          <w:u w:val="single"/>
        </w:rPr>
      </w:pPr>
      <w:r>
        <w:rPr>
          <w:rFonts w:hint="eastAsia"/>
          <w:b/>
          <w:bCs/>
          <w:highlight w:val="none"/>
        </w:rPr>
        <w:t>2</w:t>
      </w:r>
      <w:r>
        <w:rPr>
          <w:b/>
          <w:bCs/>
          <w:highlight w:val="none"/>
        </w:rPr>
        <w:t>.1</w:t>
      </w:r>
      <w:r>
        <w:rPr>
          <w:rFonts w:hint="eastAsia"/>
          <w:b/>
          <w:bCs/>
          <w:highlight w:val="none"/>
        </w:rPr>
        <w:t>采购范围</w:t>
      </w:r>
      <w:r>
        <w:rPr>
          <w:rFonts w:hint="eastAsia"/>
          <w:highlight w:val="none"/>
        </w:rPr>
        <w:t>：</w:t>
      </w:r>
      <w:r>
        <w:rPr>
          <w:rFonts w:hint="eastAsia"/>
          <w:highlight w:val="none"/>
          <w:u w:val="single"/>
          <w:lang w:eastAsia="zh-CN"/>
        </w:rPr>
        <w:t>见第四章</w:t>
      </w:r>
      <w:r>
        <w:rPr>
          <w:rFonts w:hint="eastAsia"/>
          <w:highlight w:val="none"/>
          <w:u w:val="single"/>
        </w:rPr>
        <w:t>《采购需求》</w:t>
      </w:r>
    </w:p>
    <w:p w14:paraId="78A5146A">
      <w:pPr>
        <w:ind w:left="420" w:firstLine="60" w:firstLineChars="25"/>
        <w:rPr>
          <w:highlight w:val="none"/>
          <w:u w:val="single"/>
        </w:rPr>
      </w:pPr>
      <w:r>
        <w:rPr>
          <w:rFonts w:hint="eastAsia"/>
          <w:b/>
          <w:bCs/>
          <w:highlight w:val="none"/>
        </w:rPr>
        <w:t>2</w:t>
      </w:r>
      <w:r>
        <w:rPr>
          <w:b/>
          <w:bCs/>
          <w:highlight w:val="none"/>
        </w:rPr>
        <w:t>.2</w:t>
      </w:r>
      <w:r>
        <w:rPr>
          <w:rFonts w:hint="eastAsia"/>
          <w:b/>
          <w:bCs/>
          <w:highlight w:val="none"/>
        </w:rPr>
        <w:t>项目</w:t>
      </w:r>
      <w:r>
        <w:rPr>
          <w:rFonts w:hint="eastAsia"/>
          <w:b/>
          <w:bCs/>
          <w:highlight w:val="none"/>
          <w:lang w:val="en-US" w:eastAsia="zh-CN"/>
        </w:rPr>
        <w:t>服务</w:t>
      </w:r>
      <w:r>
        <w:rPr>
          <w:rFonts w:hint="eastAsia"/>
          <w:b/>
          <w:bCs/>
          <w:highlight w:val="none"/>
        </w:rPr>
        <w:t>期：</w:t>
      </w:r>
      <w:r>
        <w:rPr>
          <w:rFonts w:hint="eastAsia"/>
          <w:highlight w:val="none"/>
          <w:u w:val="single"/>
          <w:lang w:eastAsia="zh-CN"/>
        </w:rPr>
        <w:t>见第四章</w:t>
      </w:r>
      <w:r>
        <w:rPr>
          <w:rFonts w:hint="eastAsia"/>
          <w:highlight w:val="none"/>
          <w:u w:val="single"/>
        </w:rPr>
        <w:t>《采购需求》</w:t>
      </w:r>
    </w:p>
    <w:p w14:paraId="3ED2A839">
      <w:pPr>
        <w:ind w:left="420" w:firstLine="60" w:firstLineChars="25"/>
        <w:rPr>
          <w:highlight w:val="none"/>
          <w:u w:val="single"/>
        </w:rPr>
      </w:pPr>
      <w:r>
        <w:rPr>
          <w:rFonts w:hint="eastAsia"/>
          <w:b/>
          <w:bCs/>
          <w:highlight w:val="none"/>
        </w:rPr>
        <w:t>2</w:t>
      </w:r>
      <w:r>
        <w:rPr>
          <w:b/>
          <w:bCs/>
          <w:highlight w:val="none"/>
        </w:rPr>
        <w:t>.3</w:t>
      </w:r>
      <w:r>
        <w:rPr>
          <w:rFonts w:hint="eastAsia"/>
          <w:b/>
          <w:bCs/>
          <w:highlight w:val="none"/>
        </w:rPr>
        <w:t>实施地点：</w:t>
      </w:r>
      <w:r>
        <w:rPr>
          <w:rFonts w:hint="eastAsia"/>
          <w:highlight w:val="none"/>
          <w:u w:val="single"/>
        </w:rPr>
        <w:t>采购人指定地点</w:t>
      </w:r>
    </w:p>
    <w:p w14:paraId="7AAA03C5">
      <w:pPr>
        <w:ind w:firstLine="482"/>
        <w:rPr>
          <w:highlight w:val="none"/>
          <w:u w:val="single"/>
        </w:rPr>
      </w:pPr>
      <w:r>
        <w:rPr>
          <w:rFonts w:hint="eastAsia"/>
          <w:b/>
          <w:bCs/>
          <w:highlight w:val="none"/>
        </w:rPr>
        <w:t>2</w:t>
      </w:r>
      <w:r>
        <w:rPr>
          <w:b/>
          <w:bCs/>
          <w:highlight w:val="none"/>
        </w:rPr>
        <w:t>.4</w:t>
      </w:r>
      <w:r>
        <w:rPr>
          <w:rFonts w:hint="eastAsia"/>
          <w:b/>
          <w:bCs/>
          <w:highlight w:val="none"/>
        </w:rPr>
        <w:t>质量标准：</w:t>
      </w:r>
      <w:r>
        <w:rPr>
          <w:rFonts w:hint="eastAsia"/>
          <w:highlight w:val="none"/>
          <w:u w:val="single"/>
        </w:rPr>
        <w:t>符合国家规范、标准及《采购需求》要求</w:t>
      </w:r>
    </w:p>
    <w:p w14:paraId="2BD03D73">
      <w:pPr>
        <w:ind w:firstLine="482"/>
        <w:rPr>
          <w:highlight w:val="none"/>
          <w:u w:val="single"/>
        </w:rPr>
      </w:pPr>
      <w:r>
        <w:rPr>
          <w:rFonts w:hint="eastAsia"/>
          <w:b/>
          <w:bCs/>
          <w:highlight w:val="none"/>
        </w:rPr>
        <w:t>2</w:t>
      </w:r>
      <w:r>
        <w:rPr>
          <w:b/>
          <w:bCs/>
          <w:highlight w:val="none"/>
        </w:rPr>
        <w:t>.5</w:t>
      </w:r>
      <w:r>
        <w:rPr>
          <w:rFonts w:hint="eastAsia"/>
          <w:b/>
          <w:bCs/>
          <w:highlight w:val="none"/>
        </w:rPr>
        <w:t>合同履行期限：</w:t>
      </w:r>
      <w:r>
        <w:rPr>
          <w:rFonts w:hint="eastAsia"/>
          <w:highlight w:val="none"/>
          <w:u w:val="single"/>
          <w:lang w:eastAsia="zh-CN"/>
        </w:rPr>
        <w:t>见第四章</w:t>
      </w:r>
      <w:r>
        <w:rPr>
          <w:rFonts w:hint="eastAsia"/>
          <w:highlight w:val="none"/>
          <w:u w:val="single"/>
        </w:rPr>
        <w:t>《采购需求》</w:t>
      </w:r>
    </w:p>
    <w:p w14:paraId="2CBEEF6A">
      <w:pPr>
        <w:ind w:firstLine="480"/>
        <w:rPr>
          <w:highlight w:val="none"/>
          <w:u w:val="single"/>
        </w:rPr>
      </w:pPr>
      <w:r>
        <w:rPr>
          <w:rFonts w:hint="eastAsia"/>
          <w:highlight w:val="none"/>
        </w:rPr>
        <w:t>2</w:t>
      </w:r>
      <w:r>
        <w:rPr>
          <w:highlight w:val="none"/>
        </w:rPr>
        <w:t>.6</w:t>
      </w:r>
      <w:r>
        <w:rPr>
          <w:rFonts w:hint="eastAsia"/>
          <w:b/>
          <w:bCs/>
          <w:highlight w:val="none"/>
        </w:rPr>
        <w:t>偏离情况</w:t>
      </w:r>
      <w:r>
        <w:rPr>
          <w:rFonts w:hint="eastAsia"/>
          <w:highlight w:val="none"/>
        </w:rPr>
        <w:t>：</w:t>
      </w:r>
      <w:r>
        <w:rPr>
          <w:rFonts w:hint="eastAsia"/>
          <w:highlight w:val="none"/>
          <w:u w:val="single"/>
        </w:rPr>
        <w:t>不允许负偏离</w:t>
      </w:r>
    </w:p>
    <w:p w14:paraId="50C22226">
      <w:pPr>
        <w:pStyle w:val="3"/>
        <w:ind w:firstLine="482"/>
        <w:rPr>
          <w:highlight w:val="none"/>
        </w:rPr>
      </w:pPr>
      <w:bookmarkStart w:id="4" w:name="_Hlk135227657"/>
      <w:r>
        <w:rPr>
          <w:rFonts w:hint="eastAsia" w:cs="Times New Roman"/>
          <w:highlight w:val="none"/>
        </w:rPr>
        <w:t>3</w:t>
      </w:r>
      <w:r>
        <w:rPr>
          <w:highlight w:val="none"/>
        </w:rPr>
        <w:t xml:space="preserve"> </w:t>
      </w:r>
      <w:r>
        <w:rPr>
          <w:rFonts w:hint="eastAsia"/>
          <w:highlight w:val="none"/>
        </w:rPr>
        <w:t>供应商资格要求</w:t>
      </w:r>
    </w:p>
    <w:bookmarkEnd w:id="4"/>
    <w:p w14:paraId="3F99BAA8">
      <w:pPr>
        <w:ind w:firstLine="480"/>
        <w:rPr>
          <w:rFonts w:hint="eastAsia" w:ascii="Times New Roman" w:hAnsi="Times New Roman" w:eastAsia="宋体"/>
          <w:highlight w:val="none"/>
          <w:u w:val="single"/>
          <w:lang w:eastAsia="zh-CN"/>
        </w:rPr>
      </w:pPr>
      <w:r>
        <w:rPr>
          <w:rFonts w:hint="eastAsia"/>
          <w:b/>
          <w:bCs/>
          <w:highlight w:val="none"/>
        </w:rPr>
        <w:t>3</w:t>
      </w:r>
      <w:r>
        <w:rPr>
          <w:b/>
          <w:bCs/>
          <w:highlight w:val="none"/>
        </w:rPr>
        <w:t>.1</w:t>
      </w:r>
      <w:r>
        <w:rPr>
          <w:rFonts w:hint="eastAsia"/>
          <w:b/>
          <w:bCs/>
          <w:highlight w:val="none"/>
        </w:rPr>
        <w:t>资格要求：</w:t>
      </w:r>
      <w:r>
        <w:rPr>
          <w:rFonts w:hint="eastAsia"/>
          <w:b w:val="0"/>
          <w:bCs w:val="0"/>
          <w:highlight w:val="none"/>
          <w:u w:val="single"/>
        </w:rPr>
        <w:t>参选的银行为中华人民共和国境内依法设立的法人或其他组织，或其分支机构。</w:t>
      </w:r>
    </w:p>
    <w:p w14:paraId="2865A735">
      <w:pPr>
        <w:ind w:firstLine="482"/>
        <w:rPr>
          <w:rFonts w:hint="eastAsia" w:eastAsia="宋体"/>
          <w:highlight w:val="none"/>
          <w:lang w:eastAsia="zh-CN"/>
        </w:rPr>
      </w:pPr>
      <w:r>
        <w:rPr>
          <w:rFonts w:hint="eastAsia"/>
          <w:b/>
          <w:bCs/>
          <w:highlight w:val="none"/>
        </w:rPr>
        <w:t>3</w:t>
      </w:r>
      <w:r>
        <w:rPr>
          <w:b/>
          <w:bCs/>
          <w:highlight w:val="none"/>
        </w:rPr>
        <w:t>.2</w:t>
      </w:r>
      <w:r>
        <w:rPr>
          <w:rFonts w:hint="eastAsia"/>
          <w:b/>
          <w:bCs/>
          <w:highlight w:val="none"/>
        </w:rPr>
        <w:t>资质要求：</w:t>
      </w:r>
      <w:r>
        <w:rPr>
          <w:rFonts w:hint="eastAsia" w:ascii="Times New Roman" w:hAnsi="Times New Roman" w:eastAsia="宋体"/>
          <w:b w:val="0"/>
          <w:bCs w:val="0"/>
          <w:highlight w:val="none"/>
          <w:u w:val="single"/>
        </w:rPr>
        <w:t>参选人须具有合法有效的金融业务许可。</w:t>
      </w:r>
    </w:p>
    <w:p w14:paraId="764B0B0F">
      <w:pPr>
        <w:ind w:firstLine="482"/>
        <w:rPr>
          <w:highlight w:val="none"/>
          <w:u w:val="single"/>
        </w:rPr>
      </w:pPr>
      <w:r>
        <w:rPr>
          <w:rFonts w:hint="eastAsia"/>
          <w:b/>
          <w:bCs/>
          <w:highlight w:val="none"/>
        </w:rPr>
        <w:t>3</w:t>
      </w:r>
      <w:r>
        <w:rPr>
          <w:b/>
          <w:bCs/>
          <w:highlight w:val="none"/>
        </w:rPr>
        <w:t>.3</w:t>
      </w:r>
      <w:r>
        <w:rPr>
          <w:rFonts w:hint="eastAsia"/>
          <w:b/>
          <w:bCs/>
          <w:highlight w:val="none"/>
        </w:rPr>
        <w:t>业绩要求：</w:t>
      </w:r>
      <w:r>
        <w:rPr>
          <w:rFonts w:hint="eastAsia"/>
          <w:highlight w:val="none"/>
          <w:u w:val="single"/>
          <w:lang w:val="en-US" w:eastAsia="zh-CN"/>
        </w:rPr>
        <w:t>/</w:t>
      </w:r>
    </w:p>
    <w:p w14:paraId="75E659C4">
      <w:pPr>
        <w:wordWrap w:val="0"/>
        <w:ind w:left="0" w:leftChars="0" w:firstLine="482" w:firstLineChars="200"/>
        <w:jc w:val="left"/>
        <w:rPr>
          <w:rFonts w:hint="eastAsia"/>
          <w:highlight w:val="none"/>
          <w:u w:val="none"/>
          <w:lang w:val="en-US" w:eastAsia="zh-CN"/>
        </w:rPr>
      </w:pPr>
      <w:r>
        <w:rPr>
          <w:rFonts w:hint="eastAsia"/>
          <w:b/>
          <w:bCs/>
          <w:highlight w:val="none"/>
        </w:rPr>
        <w:t>3</w:t>
      </w:r>
      <w:r>
        <w:rPr>
          <w:b/>
          <w:bCs/>
          <w:highlight w:val="none"/>
        </w:rPr>
        <w:t>.4</w:t>
      </w:r>
      <w:r>
        <w:rPr>
          <w:rFonts w:hint="eastAsia"/>
          <w:b/>
          <w:bCs/>
          <w:highlight w:val="none"/>
        </w:rPr>
        <w:t>信誉要求：</w:t>
      </w:r>
      <w:r>
        <w:rPr>
          <w:rFonts w:hint="eastAsia"/>
          <w:highlight w:val="none"/>
          <w:u w:val="single"/>
          <w:lang w:eastAsia="zh-CN"/>
        </w:rPr>
        <w:t>参选人依法开展经营活动，內部管理机制健全，具有较强的风险控制能力，近 3 年内在经营活动中无重大违法违规记录及重大违约事件、未发生金融风险。</w:t>
      </w:r>
      <w:r>
        <w:rPr>
          <w:rFonts w:hint="eastAsia"/>
          <w:highlight w:val="none"/>
          <w:u w:val="none"/>
          <w:lang w:val="en-US" w:eastAsia="zh-CN"/>
        </w:rPr>
        <w:t xml:space="preserve">    </w:t>
      </w:r>
    </w:p>
    <w:p w14:paraId="1619E5DA">
      <w:pPr>
        <w:wordWrap w:val="0"/>
        <w:ind w:left="0" w:leftChars="0" w:firstLine="482" w:firstLineChars="200"/>
        <w:jc w:val="left"/>
        <w:rPr>
          <w:rFonts w:hint="default" w:eastAsia="宋体"/>
          <w:highlight w:val="none"/>
          <w:u w:val="single"/>
          <w:lang w:val="en-US" w:eastAsia="zh-CN"/>
        </w:rPr>
      </w:pPr>
      <w:r>
        <w:rPr>
          <w:rFonts w:hint="eastAsia"/>
          <w:b/>
          <w:bCs/>
          <w:highlight w:val="none"/>
        </w:rPr>
        <w:t>3</w:t>
      </w:r>
      <w:r>
        <w:rPr>
          <w:b/>
          <w:bCs/>
          <w:highlight w:val="none"/>
        </w:rPr>
        <w:t>.5</w:t>
      </w:r>
      <w:r>
        <w:rPr>
          <w:rFonts w:hint="eastAsia"/>
          <w:b/>
          <w:bCs/>
          <w:highlight w:val="none"/>
        </w:rPr>
        <w:t>人员要求：</w:t>
      </w:r>
      <w:r>
        <w:rPr>
          <w:rFonts w:hint="eastAsia"/>
          <w:highlight w:val="none"/>
          <w:u w:val="single"/>
          <w:lang w:eastAsia="zh-CN"/>
        </w:rPr>
        <w:t>见第四章</w:t>
      </w:r>
      <w:r>
        <w:rPr>
          <w:rFonts w:hint="eastAsia"/>
          <w:highlight w:val="none"/>
          <w:u w:val="single"/>
        </w:rPr>
        <w:t>《采购需求》</w:t>
      </w:r>
    </w:p>
    <w:p w14:paraId="4BED11E5">
      <w:pPr>
        <w:wordWrap w:val="0"/>
        <w:ind w:left="420" w:firstLine="60" w:firstLineChars="25"/>
        <w:jc w:val="left"/>
        <w:rPr>
          <w:highlight w:val="none"/>
        </w:rPr>
      </w:pPr>
      <w:r>
        <w:rPr>
          <w:rFonts w:hint="eastAsia"/>
          <w:b/>
          <w:bCs/>
          <w:highlight w:val="none"/>
        </w:rPr>
        <w:t>3.6联合体要求：</w:t>
      </w:r>
      <w:r>
        <w:rPr>
          <w:rFonts w:hint="eastAsia"/>
          <w:highlight w:val="none"/>
          <w:u w:val="single"/>
        </w:rPr>
        <w:t>不接受</w:t>
      </w:r>
    </w:p>
    <w:p w14:paraId="1959B174">
      <w:pPr>
        <w:wordWrap w:val="0"/>
        <w:ind w:left="420" w:firstLine="60" w:firstLineChars="25"/>
        <w:jc w:val="left"/>
        <w:rPr>
          <w:b/>
          <w:bCs/>
          <w:highlight w:val="none"/>
        </w:rPr>
      </w:pPr>
      <w:r>
        <w:rPr>
          <w:rFonts w:hint="eastAsia"/>
          <w:b/>
          <w:bCs/>
          <w:highlight w:val="none"/>
        </w:rPr>
        <w:t>3.7禁止情形：</w:t>
      </w:r>
    </w:p>
    <w:p w14:paraId="3CEB50C2">
      <w:pPr>
        <w:wordWrap w:val="0"/>
        <w:ind w:firstLine="480" w:firstLineChars="200"/>
        <w:jc w:val="left"/>
        <w:rPr>
          <w:highlight w:val="none"/>
        </w:rPr>
      </w:pPr>
      <w:r>
        <w:rPr>
          <w:rFonts w:hint="eastAsia"/>
          <w:highlight w:val="none"/>
        </w:rPr>
        <w:t>3.7.1每家银行有且只能有一个参选主体；如出现多家分支机构报名的，投标时凭南通市分行及以上机构出具的唯一授权书才能进行投标，否则其投标文件均作否决投标处理。</w:t>
      </w:r>
    </w:p>
    <w:p w14:paraId="16C312FE">
      <w:pPr>
        <w:wordWrap w:val="0"/>
        <w:ind w:left="0" w:leftChars="0" w:firstLine="482" w:firstLineChars="200"/>
        <w:jc w:val="left"/>
        <w:rPr>
          <w:highlight w:val="none"/>
        </w:rPr>
      </w:pPr>
      <w:r>
        <w:rPr>
          <w:rFonts w:hint="eastAsia"/>
          <w:b/>
          <w:highlight w:val="none"/>
        </w:rPr>
        <w:t>3.8其他要求：</w:t>
      </w:r>
      <w:r>
        <w:rPr>
          <w:rFonts w:hint="eastAsia" w:ascii="宋体" w:hAnsi="宋体" w:cs="宋体"/>
          <w:szCs w:val="24"/>
          <w:highlight w:val="none"/>
          <w:u w:val="single"/>
          <w:lang w:val="en-US" w:eastAsia="zh-CN"/>
        </w:rPr>
        <w:t>/</w:t>
      </w:r>
      <w:r>
        <w:rPr>
          <w:rFonts w:hint="eastAsia"/>
          <w:highlight w:val="none"/>
        </w:rPr>
        <w:t xml:space="preserve"> </w:t>
      </w:r>
    </w:p>
    <w:p w14:paraId="543A1894">
      <w:pPr>
        <w:pStyle w:val="3"/>
        <w:ind w:firstLine="482"/>
        <w:rPr>
          <w:highlight w:val="none"/>
        </w:rPr>
      </w:pPr>
      <w:r>
        <w:rPr>
          <w:rFonts w:hint="eastAsia" w:cs="Times New Roman"/>
          <w:highlight w:val="none"/>
        </w:rPr>
        <w:t>4</w:t>
      </w:r>
      <w:r>
        <w:rPr>
          <w:highlight w:val="none"/>
        </w:rPr>
        <w:t xml:space="preserve"> </w:t>
      </w:r>
      <w:r>
        <w:rPr>
          <w:rFonts w:hint="eastAsia"/>
          <w:highlight w:val="none"/>
        </w:rPr>
        <w:t>采购文件的获取</w:t>
      </w:r>
      <w:r>
        <w:rPr>
          <w:rFonts w:hint="eastAsia"/>
          <w:highlight w:val="none"/>
          <w:lang w:eastAsia="zh-CN"/>
        </w:rPr>
        <w:t>：</w:t>
      </w:r>
      <w:r>
        <w:rPr>
          <w:rFonts w:hint="eastAsia"/>
          <w:highlight w:val="none"/>
          <w:u w:val="single"/>
        </w:rPr>
        <w:t>采购文件在本网页内下载</w:t>
      </w:r>
    </w:p>
    <w:p w14:paraId="2D136A74">
      <w:pPr>
        <w:pStyle w:val="3"/>
        <w:ind w:firstLine="482"/>
        <w:rPr>
          <w:highlight w:val="none"/>
        </w:rPr>
      </w:pPr>
      <w:r>
        <w:rPr>
          <w:rFonts w:hint="eastAsia" w:cs="Times New Roman"/>
          <w:highlight w:val="none"/>
        </w:rPr>
        <w:t>5</w:t>
      </w:r>
      <w:r>
        <w:rPr>
          <w:highlight w:val="none"/>
        </w:rPr>
        <w:t xml:space="preserve"> </w:t>
      </w:r>
      <w:r>
        <w:rPr>
          <w:rFonts w:hint="eastAsia"/>
          <w:highlight w:val="none"/>
        </w:rPr>
        <w:t>响应文件的递交</w:t>
      </w:r>
    </w:p>
    <w:p w14:paraId="06B778EF">
      <w:pPr>
        <w:ind w:firstLine="482"/>
        <w:rPr>
          <w:highlight w:val="none"/>
        </w:rPr>
      </w:pPr>
      <w:r>
        <w:rPr>
          <w:rFonts w:hint="eastAsia"/>
          <w:b/>
          <w:bCs/>
          <w:highlight w:val="none"/>
        </w:rPr>
        <w:t>5</w:t>
      </w:r>
      <w:r>
        <w:rPr>
          <w:b/>
          <w:bCs/>
          <w:highlight w:val="none"/>
        </w:rPr>
        <w:t>.1</w:t>
      </w:r>
      <w:bookmarkStart w:id="5" w:name="OLE_LINK177"/>
      <w:r>
        <w:rPr>
          <w:rFonts w:hint="eastAsia"/>
          <w:b/>
          <w:bCs/>
          <w:highlight w:val="none"/>
        </w:rPr>
        <w:t>响应文件递交截止时间</w:t>
      </w:r>
      <w:bookmarkEnd w:id="5"/>
      <w:r>
        <w:rPr>
          <w:rFonts w:hint="eastAsia"/>
          <w:b/>
          <w:bCs/>
          <w:highlight w:val="none"/>
        </w:rPr>
        <w:t>：</w:t>
      </w:r>
      <w:r>
        <w:rPr>
          <w:rFonts w:hint="eastAsia"/>
          <w:highlight w:val="none"/>
          <w:u w:val="single"/>
        </w:rPr>
        <w:t>2</w:t>
      </w:r>
      <w:r>
        <w:rPr>
          <w:highlight w:val="none"/>
          <w:u w:val="single"/>
        </w:rPr>
        <w:t>02</w:t>
      </w:r>
      <w:r>
        <w:rPr>
          <w:rFonts w:hint="eastAsia"/>
          <w:highlight w:val="none"/>
          <w:u w:val="single"/>
          <w:lang w:val="en-US" w:eastAsia="zh-CN"/>
        </w:rPr>
        <w:t>6</w:t>
      </w:r>
      <w:r>
        <w:rPr>
          <w:rFonts w:hint="eastAsia"/>
          <w:highlight w:val="none"/>
          <w:u w:val="single"/>
        </w:rPr>
        <w:t>年</w:t>
      </w:r>
      <w:r>
        <w:rPr>
          <w:rFonts w:hint="eastAsia"/>
          <w:highlight w:val="none"/>
          <w:u w:val="single"/>
          <w:lang w:val="en-US" w:eastAsia="zh-CN"/>
        </w:rPr>
        <w:t>11月2日</w:t>
      </w:r>
      <w:r>
        <w:rPr>
          <w:rFonts w:hint="eastAsia"/>
          <w:highlight w:val="none"/>
          <w:u w:val="single"/>
        </w:rPr>
        <w:t>14:</w:t>
      </w:r>
      <w:r>
        <w:rPr>
          <w:rFonts w:hint="eastAsia"/>
          <w:highlight w:val="none"/>
          <w:u w:val="single"/>
          <w:lang w:val="en-US" w:eastAsia="zh-CN"/>
        </w:rPr>
        <w:t>3</w:t>
      </w:r>
      <w:r>
        <w:rPr>
          <w:highlight w:val="none"/>
          <w:u w:val="single"/>
        </w:rPr>
        <w:t>0</w:t>
      </w:r>
    </w:p>
    <w:p w14:paraId="2AD66638">
      <w:pPr>
        <w:ind w:left="420" w:firstLine="60" w:firstLineChars="25"/>
        <w:rPr>
          <w:rFonts w:ascii="宋体" w:hAnsi="宋体" w:cs="宋体"/>
          <w:szCs w:val="24"/>
          <w:highlight w:val="none"/>
          <w:u w:val="single"/>
        </w:rPr>
      </w:pPr>
      <w:r>
        <w:rPr>
          <w:rFonts w:hint="eastAsia"/>
          <w:b/>
          <w:bCs/>
          <w:highlight w:val="none"/>
        </w:rPr>
        <w:t>5</w:t>
      </w:r>
      <w:r>
        <w:rPr>
          <w:b/>
          <w:bCs/>
          <w:highlight w:val="none"/>
        </w:rPr>
        <w:t>.2</w:t>
      </w:r>
      <w:r>
        <w:rPr>
          <w:rFonts w:hint="eastAsia"/>
          <w:b/>
          <w:bCs/>
          <w:highlight w:val="none"/>
        </w:rPr>
        <w:t>响应文件递交地点：</w:t>
      </w:r>
      <w:r>
        <w:rPr>
          <w:rFonts w:ascii="宋体" w:hAnsi="宋体" w:cs="宋体"/>
          <w:szCs w:val="24"/>
          <w:highlight w:val="none"/>
          <w:u w:val="single"/>
        </w:rPr>
        <w:t>南通市崇川区崇川</w:t>
      </w:r>
      <w:r>
        <w:rPr>
          <w:rFonts w:hint="eastAsia" w:ascii="宋体" w:hAnsi="宋体" w:cs="宋体"/>
          <w:szCs w:val="24"/>
          <w:highlight w:val="none"/>
          <w:u w:val="single"/>
        </w:rPr>
        <w:t>路</w:t>
      </w:r>
      <w:r>
        <w:rPr>
          <w:rFonts w:ascii="宋体" w:hAnsi="宋体" w:cs="宋体"/>
          <w:szCs w:val="24"/>
          <w:highlight w:val="none"/>
          <w:u w:val="single"/>
        </w:rPr>
        <w:t>15</w:t>
      </w:r>
      <w:r>
        <w:rPr>
          <w:rFonts w:hint="eastAsia" w:ascii="宋体" w:hAnsi="宋体" w:cs="宋体"/>
          <w:szCs w:val="24"/>
          <w:highlight w:val="none"/>
          <w:u w:val="single"/>
        </w:rPr>
        <w:t>8</w:t>
      </w:r>
      <w:r>
        <w:rPr>
          <w:rFonts w:ascii="宋体" w:hAnsi="宋体" w:cs="宋体"/>
          <w:szCs w:val="24"/>
          <w:highlight w:val="none"/>
          <w:u w:val="single"/>
        </w:rPr>
        <w:t>号轨道大厦15楼1506开</w:t>
      </w:r>
    </w:p>
    <w:p w14:paraId="20086862">
      <w:pPr>
        <w:ind w:firstLine="0" w:firstLineChars="0"/>
        <w:rPr>
          <w:highlight w:val="none"/>
          <w:u w:val="single"/>
        </w:rPr>
      </w:pPr>
      <w:r>
        <w:rPr>
          <w:rFonts w:ascii="宋体" w:hAnsi="宋体" w:cs="宋体"/>
          <w:szCs w:val="24"/>
          <w:highlight w:val="none"/>
          <w:u w:val="single"/>
        </w:rPr>
        <w:t>标室</w:t>
      </w:r>
    </w:p>
    <w:p w14:paraId="5A933E04">
      <w:pPr>
        <w:ind w:left="420" w:firstLine="60" w:firstLineChars="25"/>
        <w:rPr>
          <w:highlight w:val="none"/>
          <w:u w:val="single"/>
        </w:rPr>
      </w:pPr>
      <w:r>
        <w:rPr>
          <w:rFonts w:hint="eastAsia"/>
          <w:b/>
          <w:bCs/>
          <w:highlight w:val="none"/>
        </w:rPr>
        <w:t>5.3递交方式：</w:t>
      </w:r>
      <w:r>
        <w:rPr>
          <w:rFonts w:hint="eastAsia"/>
          <w:highlight w:val="none"/>
          <w:u w:val="single"/>
        </w:rPr>
        <w:t>由供应商法定代表人或授权代理人现场递交纸质响应文件，</w:t>
      </w:r>
    </w:p>
    <w:p w14:paraId="248B987F">
      <w:pPr>
        <w:ind w:firstLine="0" w:firstLineChars="0"/>
        <w:rPr>
          <w:highlight w:val="none"/>
        </w:rPr>
      </w:pPr>
      <w:r>
        <w:rPr>
          <w:rFonts w:hint="eastAsia"/>
          <w:highlight w:val="none"/>
          <w:u w:val="single"/>
        </w:rPr>
        <w:t>不接受邮寄等其他方式。</w:t>
      </w:r>
    </w:p>
    <w:p w14:paraId="334D850B">
      <w:pPr>
        <w:ind w:firstLine="480"/>
        <w:rPr>
          <w:highlight w:val="none"/>
        </w:rPr>
      </w:pPr>
      <w:r>
        <w:rPr>
          <w:rFonts w:hint="eastAsia"/>
          <w:highlight w:val="none"/>
        </w:rPr>
        <w:t>5</w:t>
      </w:r>
      <w:r>
        <w:rPr>
          <w:highlight w:val="none"/>
        </w:rPr>
        <w:t>.</w:t>
      </w:r>
      <w:r>
        <w:rPr>
          <w:rFonts w:hint="eastAsia"/>
          <w:highlight w:val="none"/>
        </w:rPr>
        <w:t>4逾期送达、未送达指定地点或未密封的响应文件，采购人将拒绝接收。</w:t>
      </w:r>
    </w:p>
    <w:p w14:paraId="4FAA886F">
      <w:pPr>
        <w:pStyle w:val="3"/>
        <w:ind w:firstLine="482"/>
        <w:rPr>
          <w:highlight w:val="none"/>
        </w:rPr>
      </w:pPr>
      <w:r>
        <w:rPr>
          <w:rFonts w:hint="eastAsia" w:cs="Times New Roman"/>
          <w:highlight w:val="none"/>
        </w:rPr>
        <w:t>6</w:t>
      </w:r>
      <w:r>
        <w:rPr>
          <w:highlight w:val="none"/>
        </w:rPr>
        <w:t xml:space="preserve"> </w:t>
      </w:r>
      <w:r>
        <w:rPr>
          <w:rFonts w:hint="eastAsia"/>
          <w:highlight w:val="none"/>
        </w:rPr>
        <w:t>评审时间、地点和评审方法</w:t>
      </w:r>
    </w:p>
    <w:p w14:paraId="096286A6">
      <w:pPr>
        <w:ind w:firstLine="482"/>
        <w:rPr>
          <w:highlight w:val="none"/>
          <w:u w:val="single"/>
        </w:rPr>
      </w:pPr>
      <w:r>
        <w:rPr>
          <w:rFonts w:hint="eastAsia"/>
          <w:b/>
          <w:bCs/>
          <w:highlight w:val="none"/>
        </w:rPr>
        <w:t>6</w:t>
      </w:r>
      <w:r>
        <w:rPr>
          <w:b/>
          <w:bCs/>
          <w:highlight w:val="none"/>
        </w:rPr>
        <w:t>.1</w:t>
      </w:r>
      <w:r>
        <w:rPr>
          <w:rFonts w:hint="eastAsia"/>
          <w:b/>
          <w:bCs/>
          <w:highlight w:val="none"/>
        </w:rPr>
        <w:t>评审时间：</w:t>
      </w:r>
      <w:r>
        <w:rPr>
          <w:rFonts w:hint="eastAsia"/>
          <w:highlight w:val="none"/>
          <w:u w:val="single"/>
        </w:rPr>
        <w:t>同响应文件递交截止时间</w:t>
      </w:r>
    </w:p>
    <w:p w14:paraId="05C51C2F">
      <w:pPr>
        <w:ind w:left="420" w:firstLine="60" w:firstLineChars="25"/>
        <w:rPr>
          <w:highlight w:val="none"/>
          <w:u w:val="single"/>
        </w:rPr>
      </w:pPr>
      <w:r>
        <w:rPr>
          <w:rFonts w:hint="eastAsia"/>
          <w:b/>
          <w:bCs/>
          <w:highlight w:val="none"/>
        </w:rPr>
        <w:t>6</w:t>
      </w:r>
      <w:r>
        <w:rPr>
          <w:b/>
          <w:bCs/>
          <w:highlight w:val="none"/>
        </w:rPr>
        <w:t>.2</w:t>
      </w:r>
      <w:r>
        <w:rPr>
          <w:rFonts w:hint="eastAsia"/>
          <w:b/>
          <w:bCs/>
          <w:highlight w:val="none"/>
        </w:rPr>
        <w:t>评审地点：</w:t>
      </w:r>
      <w:r>
        <w:rPr>
          <w:rFonts w:ascii="宋体" w:hAnsi="宋体" w:cs="宋体"/>
          <w:szCs w:val="24"/>
          <w:highlight w:val="none"/>
          <w:u w:val="single"/>
        </w:rPr>
        <w:t>南通市崇川区崇川</w:t>
      </w:r>
      <w:r>
        <w:rPr>
          <w:rFonts w:hint="eastAsia" w:ascii="宋体" w:hAnsi="宋体" w:cs="宋体"/>
          <w:szCs w:val="24"/>
          <w:highlight w:val="none"/>
          <w:u w:val="single"/>
        </w:rPr>
        <w:t>路</w:t>
      </w:r>
      <w:r>
        <w:rPr>
          <w:rFonts w:ascii="宋体" w:hAnsi="宋体" w:cs="宋体"/>
          <w:szCs w:val="24"/>
          <w:highlight w:val="none"/>
          <w:u w:val="single"/>
        </w:rPr>
        <w:t>15</w:t>
      </w:r>
      <w:r>
        <w:rPr>
          <w:rFonts w:hint="eastAsia" w:ascii="宋体" w:hAnsi="宋体" w:cs="宋体"/>
          <w:szCs w:val="24"/>
          <w:highlight w:val="none"/>
          <w:u w:val="single"/>
        </w:rPr>
        <w:t>8</w:t>
      </w:r>
      <w:r>
        <w:rPr>
          <w:rFonts w:ascii="宋体" w:hAnsi="宋体" w:cs="宋体"/>
          <w:szCs w:val="24"/>
          <w:highlight w:val="none"/>
          <w:u w:val="single"/>
        </w:rPr>
        <w:t>号轨道大厦15楼150</w:t>
      </w:r>
      <w:r>
        <w:rPr>
          <w:rFonts w:hint="eastAsia" w:ascii="宋体" w:hAnsi="宋体" w:cs="宋体"/>
          <w:szCs w:val="24"/>
          <w:highlight w:val="none"/>
          <w:u w:val="single"/>
        </w:rPr>
        <w:t>9评</w:t>
      </w:r>
      <w:r>
        <w:rPr>
          <w:rFonts w:ascii="宋体" w:hAnsi="宋体" w:cs="宋体"/>
          <w:szCs w:val="24"/>
          <w:highlight w:val="none"/>
          <w:u w:val="single"/>
        </w:rPr>
        <w:t>标室</w:t>
      </w:r>
    </w:p>
    <w:p w14:paraId="7EC6BDED">
      <w:pPr>
        <w:pStyle w:val="11"/>
        <w:ind w:firstLine="482"/>
        <w:rPr>
          <w:rFonts w:ascii="Times New Roman" w:cstheme="majorBidi"/>
          <w:kern w:val="2"/>
          <w:sz w:val="24"/>
          <w:szCs w:val="32"/>
          <w:highlight w:val="none"/>
          <w:u w:val="single"/>
        </w:rPr>
      </w:pPr>
      <w:r>
        <w:rPr>
          <w:rFonts w:hint="eastAsia" w:ascii="Times New Roman" w:cstheme="majorBidi"/>
          <w:b/>
          <w:bCs/>
          <w:kern w:val="2"/>
          <w:sz w:val="24"/>
          <w:szCs w:val="32"/>
          <w:highlight w:val="none"/>
        </w:rPr>
        <w:t>6.3资格审查：</w:t>
      </w:r>
      <w:r>
        <w:rPr>
          <w:rFonts w:hint="eastAsia" w:ascii="Times New Roman" w:cstheme="majorBidi"/>
          <w:kern w:val="2"/>
          <w:sz w:val="24"/>
          <w:szCs w:val="32"/>
          <w:highlight w:val="none"/>
          <w:u w:val="single"/>
        </w:rPr>
        <w:t>资格后审</w:t>
      </w:r>
    </w:p>
    <w:p w14:paraId="25F52F54">
      <w:pPr>
        <w:ind w:firstLine="482"/>
        <w:rPr>
          <w:rFonts w:cstheme="majorBidi"/>
          <w:szCs w:val="32"/>
          <w:highlight w:val="none"/>
          <w:u w:val="single"/>
        </w:rPr>
      </w:pPr>
      <w:r>
        <w:rPr>
          <w:rFonts w:hint="eastAsia"/>
          <w:b/>
          <w:bCs/>
          <w:highlight w:val="none"/>
        </w:rPr>
        <w:t>6</w:t>
      </w:r>
      <w:r>
        <w:rPr>
          <w:b/>
          <w:bCs/>
          <w:highlight w:val="none"/>
        </w:rPr>
        <w:t>.</w:t>
      </w:r>
      <w:r>
        <w:rPr>
          <w:rFonts w:hint="eastAsia"/>
          <w:b/>
          <w:bCs/>
          <w:highlight w:val="none"/>
        </w:rPr>
        <w:t>4评审方法：</w:t>
      </w:r>
      <w:r>
        <w:rPr>
          <w:rFonts w:hint="eastAsia" w:cstheme="majorBidi"/>
          <w:szCs w:val="32"/>
          <w:highlight w:val="none"/>
          <w:u w:val="single"/>
        </w:rPr>
        <w:t>综合评分法</w:t>
      </w:r>
    </w:p>
    <w:p w14:paraId="50B30CA3">
      <w:pPr>
        <w:ind w:firstLine="482"/>
        <w:rPr>
          <w:highlight w:val="none"/>
        </w:rPr>
      </w:pPr>
      <w:r>
        <w:rPr>
          <w:rFonts w:hint="eastAsia"/>
          <w:b/>
          <w:bCs/>
          <w:highlight w:val="none"/>
        </w:rPr>
        <w:t>6</w:t>
      </w:r>
      <w:r>
        <w:rPr>
          <w:b/>
          <w:bCs/>
          <w:highlight w:val="none"/>
        </w:rPr>
        <w:t>.5</w:t>
      </w:r>
      <w:r>
        <w:rPr>
          <w:rFonts w:hint="eastAsia"/>
          <w:highlight w:val="none"/>
        </w:rPr>
        <w:t>本项目邀请所有供应商的法定代表人或其授权代理人参加评审会议。</w:t>
      </w:r>
    </w:p>
    <w:p w14:paraId="16823F4F">
      <w:pPr>
        <w:pStyle w:val="3"/>
        <w:ind w:firstLine="482"/>
        <w:rPr>
          <w:highlight w:val="none"/>
        </w:rPr>
      </w:pPr>
      <w:r>
        <w:rPr>
          <w:rFonts w:hint="eastAsia"/>
          <w:highlight w:val="none"/>
        </w:rPr>
        <w:t>7 采购公告媒介</w:t>
      </w:r>
    </w:p>
    <w:p w14:paraId="0E80C20F">
      <w:pPr>
        <w:ind w:firstLine="480"/>
        <w:rPr>
          <w:highlight w:val="none"/>
        </w:rPr>
      </w:pPr>
      <w:r>
        <w:rPr>
          <w:rFonts w:hint="eastAsia"/>
          <w:highlight w:val="none"/>
        </w:rPr>
        <w:t>本公告同时在以下媒体发布：</w:t>
      </w:r>
    </w:p>
    <w:p w14:paraId="7687F6CB">
      <w:pPr>
        <w:ind w:firstLine="480"/>
        <w:rPr>
          <w:color w:val="auto"/>
          <w:highlight w:val="none"/>
          <w:u w:val="single"/>
        </w:rPr>
      </w:pPr>
      <w:r>
        <w:rPr>
          <w:rFonts w:hint="eastAsia"/>
          <w:color w:val="auto"/>
          <w:highlight w:val="none"/>
          <w:u w:val="single"/>
        </w:rPr>
        <w:t>南通轨道交通官方网站（</w:t>
      </w:r>
      <w:r>
        <w:rPr>
          <w:rFonts w:hint="eastAsia"/>
          <w:color w:val="auto"/>
          <w:highlight w:val="none"/>
        </w:rPr>
        <w:fldChar w:fldCharType="begin"/>
      </w:r>
      <w:r>
        <w:rPr>
          <w:color w:val="auto"/>
          <w:highlight w:val="none"/>
        </w:rPr>
        <w:instrText xml:space="preserve"> HYPERLINK "https://www.ntrailway.com/）、" </w:instrText>
      </w:r>
      <w:r>
        <w:rPr>
          <w:rFonts w:hint="eastAsia"/>
          <w:color w:val="auto"/>
          <w:highlight w:val="none"/>
        </w:rPr>
        <w:fldChar w:fldCharType="separate"/>
      </w:r>
      <w:r>
        <w:rPr>
          <w:rFonts w:hint="eastAsia"/>
          <w:color w:val="auto"/>
          <w:highlight w:val="none"/>
          <w:u w:val="single"/>
        </w:rPr>
        <w:t>https://www.ntrailway.com/）</w:t>
      </w:r>
      <w:r>
        <w:rPr>
          <w:rFonts w:hint="eastAsia"/>
          <w:color w:val="auto"/>
          <w:highlight w:val="none"/>
          <w:u w:val="single"/>
        </w:rPr>
        <w:fldChar w:fldCharType="end"/>
      </w:r>
    </w:p>
    <w:p w14:paraId="128DA49F">
      <w:pPr>
        <w:ind w:firstLine="480"/>
        <w:rPr>
          <w:color w:val="auto"/>
          <w:highlight w:val="none"/>
          <w:u w:val="single"/>
        </w:rPr>
      </w:pPr>
      <w:r>
        <w:rPr>
          <w:rFonts w:hint="eastAsia"/>
          <w:color w:val="auto"/>
          <w:highlight w:val="none"/>
          <w:u w:val="single"/>
        </w:rPr>
        <w:t>江苏招标采购服务平台（http://www.jszbcg.com/）</w:t>
      </w:r>
    </w:p>
    <w:p w14:paraId="30C38194">
      <w:pPr>
        <w:pStyle w:val="3"/>
        <w:ind w:firstLine="482"/>
        <w:rPr>
          <w:rFonts w:cs="Times New Roman"/>
          <w:highlight w:val="none"/>
        </w:rPr>
      </w:pPr>
      <w:r>
        <w:rPr>
          <w:rFonts w:hint="eastAsia" w:cs="Times New Roman"/>
          <w:highlight w:val="none"/>
        </w:rPr>
        <w:t>8</w:t>
      </w:r>
      <w:r>
        <w:rPr>
          <w:rFonts w:cs="Times New Roman"/>
          <w:highlight w:val="none"/>
        </w:rPr>
        <w:t xml:space="preserve"> </w:t>
      </w:r>
      <w:r>
        <w:rPr>
          <w:rFonts w:hint="eastAsia" w:cs="Times New Roman"/>
          <w:highlight w:val="none"/>
        </w:rPr>
        <w:t>特别提醒</w:t>
      </w:r>
    </w:p>
    <w:p w14:paraId="18663C05">
      <w:pPr>
        <w:ind w:firstLine="480"/>
        <w:rPr>
          <w:highlight w:val="none"/>
        </w:rPr>
      </w:pPr>
      <w:r>
        <w:rPr>
          <w:rFonts w:hint="eastAsia"/>
          <w:highlight w:val="none"/>
        </w:rPr>
        <w:t>供应商参与采购活动必须严格履行诚信承诺，出现违反本采购文件第六章“承诺函”的行为或其他不良行为的，本公司将做出相应的处理。</w:t>
      </w:r>
    </w:p>
    <w:p w14:paraId="0B3DD276">
      <w:pPr>
        <w:pStyle w:val="3"/>
        <w:ind w:firstLine="482"/>
        <w:rPr>
          <w:highlight w:val="none"/>
        </w:rPr>
      </w:pPr>
      <w:r>
        <w:rPr>
          <w:rFonts w:hint="eastAsia" w:cs="Times New Roman"/>
          <w:highlight w:val="none"/>
        </w:rPr>
        <w:t>9</w:t>
      </w:r>
      <w:r>
        <w:rPr>
          <w:highlight w:val="none"/>
        </w:rPr>
        <w:t xml:space="preserve"> </w:t>
      </w:r>
      <w:r>
        <w:rPr>
          <w:rFonts w:hint="eastAsia"/>
          <w:highlight w:val="none"/>
        </w:rPr>
        <w:t>联系方式</w:t>
      </w:r>
    </w:p>
    <w:p w14:paraId="7726F7FC">
      <w:pPr>
        <w:ind w:firstLine="482"/>
        <w:rPr>
          <w:rFonts w:hint="eastAsia" w:eastAsia="宋体"/>
          <w:highlight w:val="none"/>
          <w:u w:val="single"/>
          <w:lang w:eastAsia="zh-CN"/>
        </w:rPr>
      </w:pPr>
      <w:r>
        <w:rPr>
          <w:rFonts w:hint="eastAsia"/>
          <w:b/>
          <w:bCs/>
          <w:highlight w:val="none"/>
        </w:rPr>
        <w:t>采购人：</w:t>
      </w:r>
      <w:r>
        <w:rPr>
          <w:rFonts w:hint="eastAsia"/>
          <w:highlight w:val="none"/>
          <w:u w:val="single"/>
          <w:lang w:eastAsia="zh-CN"/>
        </w:rPr>
        <w:t>南通轨道交通运营有限公司工会委员会</w:t>
      </w:r>
    </w:p>
    <w:p w14:paraId="2B533BB8">
      <w:pPr>
        <w:ind w:firstLine="482"/>
        <w:rPr>
          <w:rFonts w:hint="eastAsia" w:eastAsia="宋体"/>
          <w:highlight w:val="none"/>
          <w:lang w:val="en-US" w:eastAsia="zh-CN"/>
        </w:rPr>
      </w:pPr>
      <w:r>
        <w:rPr>
          <w:rFonts w:hint="eastAsia"/>
          <w:b/>
          <w:bCs/>
          <w:highlight w:val="none"/>
        </w:rPr>
        <w:t>联系人：</w:t>
      </w:r>
      <w:r>
        <w:rPr>
          <w:rFonts w:hint="eastAsia" w:ascii="Times New Roman" w:hAnsi="Times New Roman" w:eastAsia="宋体"/>
          <w:b w:val="0"/>
          <w:bCs w:val="0"/>
          <w:highlight w:val="none"/>
          <w:u w:val="single"/>
          <w:lang w:eastAsia="zh-CN"/>
        </w:rPr>
        <w:t>汤女士</w:t>
      </w:r>
    </w:p>
    <w:p w14:paraId="3969DBB1">
      <w:pPr>
        <w:ind w:firstLine="482"/>
        <w:rPr>
          <w:b w:val="0"/>
          <w:bCs w:val="0"/>
          <w:highlight w:val="none"/>
          <w:u w:val="single"/>
        </w:rPr>
      </w:pPr>
      <w:r>
        <w:rPr>
          <w:rFonts w:hint="eastAsia"/>
          <w:b/>
          <w:bCs/>
          <w:highlight w:val="none"/>
        </w:rPr>
        <w:t>电话：</w:t>
      </w:r>
      <w:r>
        <w:rPr>
          <w:rFonts w:hint="eastAsia"/>
          <w:b w:val="0"/>
          <w:bCs w:val="0"/>
          <w:highlight w:val="none"/>
          <w:u w:val="single"/>
        </w:rPr>
        <w:t>0513-69888680</w:t>
      </w:r>
    </w:p>
    <w:p w14:paraId="2E3E2F78">
      <w:pPr>
        <w:pStyle w:val="11"/>
        <w:ind w:firstLine="482"/>
        <w:rPr>
          <w:rFonts w:ascii="Times New Roman"/>
          <w:kern w:val="2"/>
          <w:sz w:val="24"/>
          <w:szCs w:val="22"/>
          <w:highlight w:val="none"/>
          <w:u w:val="single"/>
        </w:rPr>
      </w:pPr>
      <w:r>
        <w:rPr>
          <w:rFonts w:hint="eastAsia" w:ascii="Times New Roman"/>
          <w:b/>
          <w:bCs/>
          <w:kern w:val="2"/>
          <w:sz w:val="24"/>
          <w:szCs w:val="22"/>
          <w:highlight w:val="none"/>
        </w:rPr>
        <w:t>地址：</w:t>
      </w:r>
      <w:r>
        <w:rPr>
          <w:rFonts w:hint="eastAsia" w:ascii="Times New Roman"/>
          <w:kern w:val="2"/>
          <w:sz w:val="24"/>
          <w:szCs w:val="22"/>
          <w:highlight w:val="none"/>
          <w:u w:val="single"/>
        </w:rPr>
        <w:t>南通市通州区平潮镇南通轨道交通平东车辆段</w:t>
      </w:r>
    </w:p>
    <w:p w14:paraId="67578A93">
      <w:pPr>
        <w:ind w:firstLine="480"/>
        <w:rPr>
          <w:highlight w:val="none"/>
        </w:rPr>
      </w:pPr>
    </w:p>
    <w:p w14:paraId="5F024030">
      <w:pPr>
        <w:ind w:firstLine="482"/>
        <w:rPr>
          <w:highlight w:val="none"/>
        </w:rPr>
      </w:pPr>
      <w:r>
        <w:rPr>
          <w:rFonts w:hint="eastAsia"/>
          <w:b/>
          <w:bCs/>
          <w:highlight w:val="none"/>
        </w:rPr>
        <w:t>代理机构：</w:t>
      </w:r>
      <w:r>
        <w:rPr>
          <w:rFonts w:hint="eastAsia"/>
          <w:highlight w:val="none"/>
          <w:u w:val="single"/>
        </w:rPr>
        <w:t>江苏建达全过程工程咨询有限公司</w:t>
      </w:r>
    </w:p>
    <w:p w14:paraId="1C4676B8">
      <w:pPr>
        <w:ind w:firstLine="482"/>
        <w:rPr>
          <w:highlight w:val="none"/>
        </w:rPr>
      </w:pPr>
      <w:r>
        <w:rPr>
          <w:rFonts w:hint="eastAsia"/>
          <w:b/>
          <w:bCs/>
          <w:highlight w:val="none"/>
        </w:rPr>
        <w:t>联系人：</w:t>
      </w:r>
      <w:r>
        <w:rPr>
          <w:rFonts w:hint="eastAsia"/>
          <w:highlight w:val="none"/>
          <w:u w:val="single"/>
        </w:rPr>
        <w:t>吴小松</w:t>
      </w:r>
      <w:r>
        <w:rPr>
          <w:highlight w:val="none"/>
          <w:u w:val="single"/>
        </w:rPr>
        <w:t xml:space="preserve"> </w:t>
      </w:r>
    </w:p>
    <w:p w14:paraId="5B688D6A">
      <w:pPr>
        <w:ind w:firstLine="482"/>
        <w:rPr>
          <w:highlight w:val="none"/>
        </w:rPr>
      </w:pPr>
      <w:r>
        <w:rPr>
          <w:rFonts w:hint="eastAsia"/>
          <w:b/>
          <w:bCs/>
          <w:highlight w:val="none"/>
        </w:rPr>
        <w:t>电话：</w:t>
      </w:r>
      <w:r>
        <w:rPr>
          <w:highlight w:val="none"/>
          <w:u w:val="single"/>
        </w:rPr>
        <w:t xml:space="preserve">15301476960 </w:t>
      </w:r>
    </w:p>
    <w:p w14:paraId="27397639">
      <w:pPr>
        <w:ind w:firstLine="482"/>
        <w:rPr>
          <w:highlight w:val="none"/>
          <w:u w:val="single"/>
        </w:rPr>
      </w:pPr>
      <w:r>
        <w:rPr>
          <w:rFonts w:hint="eastAsia"/>
          <w:b/>
          <w:bCs/>
          <w:highlight w:val="none"/>
        </w:rPr>
        <w:t>邮箱：</w:t>
      </w:r>
      <w:r>
        <w:rPr>
          <w:highlight w:val="none"/>
          <w:u w:val="single"/>
        </w:rPr>
        <w:t xml:space="preserve">1614454577@qq.com </w:t>
      </w:r>
    </w:p>
    <w:p w14:paraId="7FF424E2">
      <w:pPr>
        <w:pStyle w:val="11"/>
        <w:ind w:firstLine="482"/>
        <w:rPr>
          <w:rFonts w:ascii="Times New Roman"/>
          <w:kern w:val="2"/>
          <w:sz w:val="24"/>
          <w:szCs w:val="22"/>
          <w:highlight w:val="none"/>
        </w:rPr>
      </w:pPr>
      <w:r>
        <w:rPr>
          <w:rFonts w:hint="eastAsia" w:ascii="Times New Roman"/>
          <w:b/>
          <w:kern w:val="2"/>
          <w:sz w:val="24"/>
          <w:szCs w:val="22"/>
          <w:highlight w:val="none"/>
        </w:rPr>
        <w:t>地址：</w:t>
      </w:r>
      <w:r>
        <w:rPr>
          <w:rFonts w:hint="eastAsia" w:ascii="Times New Roman"/>
          <w:kern w:val="2"/>
          <w:sz w:val="24"/>
          <w:szCs w:val="22"/>
          <w:highlight w:val="none"/>
          <w:u w:val="single"/>
        </w:rPr>
        <w:t>南通市崇川区世纪大道18号恒隆国际大厦B座14楼</w:t>
      </w:r>
    </w:p>
    <w:p w14:paraId="2CB74C99">
      <w:pPr>
        <w:ind w:firstLine="480"/>
        <w:rPr>
          <w:highlight w:val="none"/>
        </w:rPr>
      </w:pPr>
    </w:p>
    <w:p w14:paraId="64A0926D">
      <w:pPr>
        <w:ind w:firstLine="482"/>
        <w:rPr>
          <w:highlight w:val="none"/>
          <w:u w:val="single"/>
        </w:rPr>
      </w:pPr>
      <w:r>
        <w:rPr>
          <w:rFonts w:hint="eastAsia"/>
          <w:b/>
          <w:bCs/>
          <w:highlight w:val="none"/>
        </w:rPr>
        <w:t>监督部门：</w:t>
      </w:r>
      <w:r>
        <w:rPr>
          <w:rFonts w:hint="eastAsia"/>
          <w:highlight w:val="none"/>
          <w:u w:val="single"/>
          <w:lang w:eastAsia="zh-CN"/>
        </w:rPr>
        <w:t>南通轨道交通运营有限公司</w:t>
      </w:r>
      <w:r>
        <w:rPr>
          <w:rFonts w:hint="eastAsia"/>
          <w:highlight w:val="none"/>
          <w:u w:val="single"/>
        </w:rPr>
        <w:t>纪检监督部</w:t>
      </w:r>
    </w:p>
    <w:p w14:paraId="0CFDFB40">
      <w:pPr>
        <w:ind w:firstLine="482"/>
        <w:rPr>
          <w:highlight w:val="none"/>
          <w:u w:val="single"/>
        </w:rPr>
      </w:pPr>
      <w:r>
        <w:rPr>
          <w:rFonts w:hint="eastAsia"/>
          <w:b/>
          <w:bCs/>
          <w:highlight w:val="none"/>
        </w:rPr>
        <w:t>联系电话：</w:t>
      </w:r>
      <w:r>
        <w:rPr>
          <w:rFonts w:hint="eastAsia"/>
          <w:highlight w:val="none"/>
          <w:u w:val="single"/>
        </w:rPr>
        <w:t>0513-69888665</w:t>
      </w:r>
    </w:p>
    <w:p w14:paraId="3A45A2DB">
      <w:pPr>
        <w:pStyle w:val="11"/>
        <w:ind w:firstLine="482"/>
        <w:rPr>
          <w:rFonts w:ascii="Times New Roman"/>
          <w:kern w:val="2"/>
          <w:sz w:val="24"/>
          <w:szCs w:val="22"/>
          <w:highlight w:val="none"/>
          <w:u w:val="single"/>
        </w:rPr>
      </w:pPr>
      <w:r>
        <w:rPr>
          <w:rFonts w:hint="eastAsia" w:ascii="Times New Roman"/>
          <w:b/>
          <w:bCs/>
          <w:kern w:val="2"/>
          <w:sz w:val="24"/>
          <w:szCs w:val="22"/>
          <w:highlight w:val="none"/>
        </w:rPr>
        <w:t>地址：</w:t>
      </w:r>
      <w:r>
        <w:rPr>
          <w:rFonts w:hint="eastAsia" w:ascii="Times New Roman"/>
          <w:kern w:val="2"/>
          <w:sz w:val="24"/>
          <w:szCs w:val="22"/>
          <w:highlight w:val="none"/>
          <w:u w:val="single"/>
        </w:rPr>
        <w:t>南通市通州区平潮镇南通轨道交通平东车辆段综合楼5楼</w:t>
      </w:r>
    </w:p>
    <w:p w14:paraId="1D8BDE1F">
      <w:pPr>
        <w:ind w:firstLine="480"/>
        <w:rPr>
          <w:highlight w:val="none"/>
        </w:rPr>
      </w:pPr>
    </w:p>
    <w:p w14:paraId="2D4648FD">
      <w:pPr>
        <w:ind w:firstLine="480"/>
        <w:rPr>
          <w:highlight w:val="none"/>
        </w:rPr>
      </w:pPr>
    </w:p>
    <w:p w14:paraId="6C644694">
      <w:pPr>
        <w:ind w:firstLine="480"/>
        <w:rPr>
          <w:highlight w:val="none"/>
        </w:rPr>
      </w:pPr>
    </w:p>
    <w:p w14:paraId="53AA5BEE">
      <w:pPr>
        <w:ind w:firstLine="480"/>
        <w:rPr>
          <w:highlight w:val="none"/>
        </w:rPr>
      </w:pPr>
    </w:p>
    <w:p w14:paraId="79782B7B">
      <w:pPr>
        <w:ind w:firstLine="480"/>
        <w:rPr>
          <w:highlight w:val="none"/>
        </w:rPr>
      </w:pPr>
    </w:p>
    <w:p w14:paraId="6827997E">
      <w:pPr>
        <w:ind w:firstLine="480"/>
        <w:rPr>
          <w:highlight w:val="none"/>
          <w:u w:val="single"/>
        </w:rPr>
      </w:pPr>
    </w:p>
    <w:p w14:paraId="696A286D">
      <w:pPr>
        <w:pStyle w:val="36"/>
        <w:rPr>
          <w:rFonts w:ascii="Times New Roman"/>
          <w:kern w:val="2"/>
          <w:sz w:val="24"/>
          <w:szCs w:val="22"/>
          <w:highlight w:val="none"/>
          <w:u w:val="single"/>
        </w:rPr>
      </w:pPr>
    </w:p>
    <w:p w14:paraId="1A0CE9A4">
      <w:pPr>
        <w:pStyle w:val="36"/>
        <w:rPr>
          <w:rFonts w:ascii="Times New Roman"/>
          <w:kern w:val="2"/>
          <w:sz w:val="24"/>
          <w:szCs w:val="22"/>
          <w:highlight w:val="none"/>
          <w:u w:val="single"/>
        </w:rPr>
      </w:pPr>
    </w:p>
    <w:p w14:paraId="21F50CFA">
      <w:pPr>
        <w:ind w:firstLine="480"/>
        <w:rPr>
          <w:highlight w:val="none"/>
        </w:rPr>
      </w:pPr>
      <w:r>
        <w:rPr>
          <w:rFonts w:hint="eastAsia"/>
          <w:highlight w:val="none"/>
        </w:rPr>
        <w:br w:type="page"/>
      </w:r>
    </w:p>
    <w:p w14:paraId="6339CB21">
      <w:pPr>
        <w:ind w:firstLine="480"/>
        <w:rPr>
          <w:highlight w:val="none"/>
        </w:rPr>
      </w:pPr>
    </w:p>
    <w:p w14:paraId="679CB6C7">
      <w:pPr>
        <w:ind w:firstLine="480"/>
        <w:rPr>
          <w:highlight w:val="none"/>
        </w:rPr>
      </w:pPr>
    </w:p>
    <w:p w14:paraId="2FF13207">
      <w:pPr>
        <w:ind w:firstLine="480"/>
        <w:rPr>
          <w:highlight w:val="none"/>
        </w:rPr>
      </w:pPr>
    </w:p>
    <w:p w14:paraId="7C999906">
      <w:pPr>
        <w:ind w:firstLine="480"/>
        <w:rPr>
          <w:highlight w:val="none"/>
        </w:rPr>
      </w:pPr>
    </w:p>
    <w:p w14:paraId="61863726">
      <w:pPr>
        <w:ind w:firstLine="480"/>
        <w:rPr>
          <w:highlight w:val="none"/>
        </w:rPr>
      </w:pPr>
    </w:p>
    <w:p w14:paraId="04747CDF">
      <w:pPr>
        <w:ind w:firstLine="480"/>
        <w:rPr>
          <w:highlight w:val="none"/>
        </w:rPr>
      </w:pPr>
    </w:p>
    <w:p w14:paraId="0ECC2117">
      <w:pPr>
        <w:ind w:firstLine="480"/>
        <w:rPr>
          <w:highlight w:val="none"/>
        </w:rPr>
      </w:pPr>
    </w:p>
    <w:p w14:paraId="1C45F9CC">
      <w:pPr>
        <w:ind w:firstLine="480"/>
        <w:rPr>
          <w:highlight w:val="none"/>
        </w:rPr>
      </w:pPr>
    </w:p>
    <w:p w14:paraId="76BEE928">
      <w:pPr>
        <w:ind w:firstLine="480"/>
        <w:rPr>
          <w:highlight w:val="none"/>
        </w:rPr>
      </w:pPr>
    </w:p>
    <w:p w14:paraId="6BFA20F1">
      <w:pPr>
        <w:ind w:firstLine="480"/>
        <w:rPr>
          <w:highlight w:val="none"/>
        </w:rPr>
      </w:pPr>
    </w:p>
    <w:p w14:paraId="0A033044">
      <w:pPr>
        <w:ind w:firstLine="480"/>
        <w:rPr>
          <w:highlight w:val="none"/>
        </w:rPr>
      </w:pPr>
    </w:p>
    <w:p w14:paraId="3CF5A09F">
      <w:pPr>
        <w:ind w:firstLine="480"/>
        <w:rPr>
          <w:highlight w:val="none"/>
        </w:rPr>
      </w:pPr>
    </w:p>
    <w:p w14:paraId="60FA229B">
      <w:pPr>
        <w:ind w:firstLine="480"/>
        <w:rPr>
          <w:highlight w:val="none"/>
        </w:rPr>
      </w:pPr>
    </w:p>
    <w:p w14:paraId="75DD0B09">
      <w:pPr>
        <w:ind w:firstLine="480"/>
        <w:rPr>
          <w:highlight w:val="none"/>
        </w:rPr>
      </w:pPr>
    </w:p>
    <w:p w14:paraId="399E1C3A">
      <w:pPr>
        <w:ind w:firstLine="480"/>
        <w:rPr>
          <w:highlight w:val="none"/>
        </w:rPr>
      </w:pPr>
    </w:p>
    <w:p w14:paraId="3FF6DB13">
      <w:pPr>
        <w:pStyle w:val="2"/>
        <w:ind w:firstLine="140" w:firstLineChars="32"/>
        <w:rPr>
          <w:highlight w:val="none"/>
        </w:rPr>
      </w:pPr>
      <w:bookmarkStart w:id="6" w:name="_Toc18896"/>
      <w:r>
        <w:rPr>
          <w:rFonts w:hint="eastAsia"/>
          <w:highlight w:val="none"/>
        </w:rPr>
        <w:t>第二章 供应商须知</w:t>
      </w:r>
      <w:bookmarkEnd w:id="6"/>
    </w:p>
    <w:p w14:paraId="039A5DB9">
      <w:pPr>
        <w:ind w:firstLine="640"/>
        <w:rPr>
          <w:sz w:val="32"/>
          <w:szCs w:val="40"/>
          <w:highlight w:val="none"/>
        </w:rPr>
      </w:pPr>
      <w:r>
        <w:rPr>
          <w:rFonts w:hint="eastAsia"/>
          <w:sz w:val="32"/>
          <w:szCs w:val="40"/>
          <w:highlight w:val="none"/>
        </w:rPr>
        <w:br w:type="page"/>
      </w:r>
    </w:p>
    <w:p w14:paraId="75C13FED">
      <w:pPr>
        <w:pStyle w:val="3"/>
        <w:ind w:firstLine="0" w:firstLineChars="0"/>
        <w:jc w:val="center"/>
        <w:rPr>
          <w:sz w:val="32"/>
          <w:szCs w:val="40"/>
          <w:highlight w:val="none"/>
        </w:rPr>
      </w:pPr>
      <w:r>
        <w:rPr>
          <w:rFonts w:hint="eastAsia"/>
          <w:sz w:val="32"/>
          <w:szCs w:val="40"/>
          <w:highlight w:val="none"/>
        </w:rPr>
        <w:t>供应商须知前附表</w:t>
      </w:r>
    </w:p>
    <w:p w14:paraId="21E821FB">
      <w:pPr>
        <w:ind w:firstLine="480"/>
        <w:rPr>
          <w:highlight w:val="none"/>
        </w:rPr>
      </w:pPr>
      <w:r>
        <w:rPr>
          <w:highlight w:val="none"/>
        </w:rPr>
        <w:t> </w:t>
      </w:r>
    </w:p>
    <w:tbl>
      <w:tblPr>
        <w:tblStyle w:val="26"/>
        <w:tblW w:w="492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5"/>
        <w:gridCol w:w="1961"/>
        <w:gridCol w:w="5879"/>
      </w:tblGrid>
      <w:tr w14:paraId="4068A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trPr>
        <w:tc>
          <w:tcPr>
            <w:tcW w:w="553" w:type="pct"/>
            <w:vAlign w:val="center"/>
          </w:tcPr>
          <w:p w14:paraId="1F66689C">
            <w:pPr>
              <w:spacing w:before="156" w:after="156" w:line="300" w:lineRule="auto"/>
              <w:ind w:firstLine="0" w:firstLineChars="0"/>
              <w:jc w:val="center"/>
              <w:rPr>
                <w:rFonts w:asciiTheme="minorEastAsia" w:hAnsiTheme="minorEastAsia" w:eastAsiaTheme="minorEastAsia" w:cstheme="minorEastAsia"/>
                <w:b/>
                <w:sz w:val="22"/>
                <w:highlight w:val="none"/>
              </w:rPr>
            </w:pPr>
            <w:r>
              <w:rPr>
                <w:rFonts w:hint="eastAsia" w:asciiTheme="minorEastAsia" w:hAnsiTheme="minorEastAsia" w:eastAsiaTheme="minorEastAsia" w:cstheme="minorEastAsia"/>
                <w:b/>
                <w:sz w:val="22"/>
                <w:highlight w:val="none"/>
              </w:rPr>
              <w:t>条款号</w:t>
            </w:r>
          </w:p>
        </w:tc>
        <w:tc>
          <w:tcPr>
            <w:tcW w:w="1112" w:type="pct"/>
            <w:vAlign w:val="center"/>
          </w:tcPr>
          <w:p w14:paraId="622C0768">
            <w:pPr>
              <w:spacing w:before="156" w:after="156" w:line="300" w:lineRule="auto"/>
              <w:ind w:left="-106" w:leftChars="-44" w:firstLine="0" w:firstLineChars="0"/>
              <w:jc w:val="center"/>
              <w:rPr>
                <w:rFonts w:asciiTheme="minorEastAsia" w:hAnsiTheme="minorEastAsia" w:eastAsiaTheme="minorEastAsia" w:cstheme="minorEastAsia"/>
                <w:b/>
                <w:sz w:val="22"/>
                <w:highlight w:val="none"/>
              </w:rPr>
            </w:pPr>
            <w:r>
              <w:rPr>
                <w:rFonts w:hint="eastAsia" w:asciiTheme="minorEastAsia" w:hAnsiTheme="minorEastAsia" w:eastAsiaTheme="minorEastAsia" w:cstheme="minorEastAsia"/>
                <w:b/>
                <w:sz w:val="22"/>
                <w:highlight w:val="none"/>
              </w:rPr>
              <w:t>条 款 名 称</w:t>
            </w:r>
          </w:p>
        </w:tc>
        <w:tc>
          <w:tcPr>
            <w:tcW w:w="3334" w:type="pct"/>
            <w:vAlign w:val="center"/>
          </w:tcPr>
          <w:p w14:paraId="4FD5744F">
            <w:pPr>
              <w:spacing w:before="156" w:after="156" w:line="300" w:lineRule="auto"/>
              <w:ind w:left="-9" w:leftChars="-42" w:hanging="92" w:hangingChars="42"/>
              <w:jc w:val="center"/>
              <w:rPr>
                <w:rFonts w:asciiTheme="minorEastAsia" w:hAnsiTheme="minorEastAsia" w:eastAsiaTheme="minorEastAsia" w:cstheme="minorEastAsia"/>
                <w:b/>
                <w:sz w:val="22"/>
                <w:highlight w:val="none"/>
              </w:rPr>
            </w:pPr>
            <w:r>
              <w:rPr>
                <w:rFonts w:hint="eastAsia" w:asciiTheme="minorEastAsia" w:hAnsiTheme="minorEastAsia" w:eastAsiaTheme="minorEastAsia" w:cstheme="minorEastAsia"/>
                <w:b/>
                <w:sz w:val="22"/>
                <w:highlight w:val="none"/>
              </w:rPr>
              <w:t>编 列 内 容</w:t>
            </w:r>
          </w:p>
        </w:tc>
      </w:tr>
      <w:tr w14:paraId="4B32E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exact"/>
        </w:trPr>
        <w:tc>
          <w:tcPr>
            <w:tcW w:w="553" w:type="pct"/>
            <w:vAlign w:val="center"/>
          </w:tcPr>
          <w:p w14:paraId="0E4E3B63">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1.2</w:t>
            </w:r>
          </w:p>
        </w:tc>
        <w:tc>
          <w:tcPr>
            <w:tcW w:w="1112" w:type="pct"/>
            <w:vAlign w:val="center"/>
          </w:tcPr>
          <w:p w14:paraId="54C40EC6">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采购人</w:t>
            </w:r>
          </w:p>
        </w:tc>
        <w:tc>
          <w:tcPr>
            <w:tcW w:w="3334" w:type="pct"/>
            <w:vAlign w:val="center"/>
          </w:tcPr>
          <w:p w14:paraId="22AC98BD">
            <w:pPr>
              <w:spacing w:before="156" w:after="156" w:line="300" w:lineRule="auto"/>
              <w:ind w:left="-31" w:leftChars="-13" w:firstLine="29" w:firstLineChars="14"/>
              <w:jc w:val="left"/>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南通轨道交通运营有限公司工会委员会</w:t>
            </w:r>
          </w:p>
        </w:tc>
      </w:tr>
      <w:tr w14:paraId="4F6D5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1" w:hRule="atLeast"/>
        </w:trPr>
        <w:tc>
          <w:tcPr>
            <w:tcW w:w="553" w:type="pct"/>
            <w:vAlign w:val="center"/>
          </w:tcPr>
          <w:p w14:paraId="274043EB">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1.2</w:t>
            </w:r>
          </w:p>
        </w:tc>
        <w:tc>
          <w:tcPr>
            <w:tcW w:w="1112" w:type="pct"/>
            <w:vAlign w:val="center"/>
          </w:tcPr>
          <w:p w14:paraId="369C81BD">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代理人</w:t>
            </w:r>
          </w:p>
        </w:tc>
        <w:tc>
          <w:tcPr>
            <w:tcW w:w="3334" w:type="pct"/>
          </w:tcPr>
          <w:p w14:paraId="65C1B641">
            <w:pPr>
              <w:spacing w:before="156" w:after="156" w:line="300" w:lineRule="auto"/>
              <w:ind w:left="-31" w:leftChars="-13" w:firstLine="29" w:firstLineChars="14"/>
              <w:rPr>
                <w:rFonts w:ascii="宋体" w:hAnsi="宋体" w:cs="宋体"/>
                <w:sz w:val="21"/>
                <w:szCs w:val="21"/>
                <w:highlight w:val="none"/>
              </w:rPr>
            </w:pPr>
            <w:r>
              <w:rPr>
                <w:rFonts w:hint="eastAsia" w:ascii="宋体" w:hAnsi="宋体" w:cs="宋体"/>
                <w:sz w:val="21"/>
                <w:szCs w:val="21"/>
                <w:highlight w:val="none"/>
              </w:rPr>
              <w:t>江苏建达全过程工程咨询有限公司</w:t>
            </w:r>
          </w:p>
        </w:tc>
      </w:tr>
      <w:tr w14:paraId="60E70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exact"/>
        </w:trPr>
        <w:tc>
          <w:tcPr>
            <w:tcW w:w="553" w:type="pct"/>
            <w:vAlign w:val="center"/>
          </w:tcPr>
          <w:p w14:paraId="14921FEE">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1.2</w:t>
            </w:r>
          </w:p>
        </w:tc>
        <w:tc>
          <w:tcPr>
            <w:tcW w:w="1112" w:type="pct"/>
            <w:vAlign w:val="center"/>
          </w:tcPr>
          <w:p w14:paraId="54D06679">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项目名称</w:t>
            </w:r>
          </w:p>
        </w:tc>
        <w:tc>
          <w:tcPr>
            <w:tcW w:w="3334" w:type="pct"/>
            <w:vAlign w:val="center"/>
          </w:tcPr>
          <w:p w14:paraId="7EB6CF8E">
            <w:pPr>
              <w:spacing w:before="156" w:after="156" w:line="300" w:lineRule="auto"/>
              <w:ind w:firstLine="0" w:firstLineChars="0"/>
              <w:jc w:val="left"/>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南通轨道交通运营有限公司工会委员会银行账户开立服务项目</w:t>
            </w:r>
          </w:p>
        </w:tc>
      </w:tr>
      <w:tr w14:paraId="013BC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exact"/>
        </w:trPr>
        <w:tc>
          <w:tcPr>
            <w:tcW w:w="553" w:type="pct"/>
            <w:vAlign w:val="center"/>
          </w:tcPr>
          <w:p w14:paraId="56C20260">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1.2</w:t>
            </w:r>
          </w:p>
        </w:tc>
        <w:tc>
          <w:tcPr>
            <w:tcW w:w="1112" w:type="pct"/>
            <w:vAlign w:val="center"/>
          </w:tcPr>
          <w:p w14:paraId="34D88E04">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项目编号</w:t>
            </w:r>
          </w:p>
        </w:tc>
        <w:tc>
          <w:tcPr>
            <w:tcW w:w="3334" w:type="pct"/>
            <w:vAlign w:val="center"/>
          </w:tcPr>
          <w:p w14:paraId="3186E7E6">
            <w:pPr>
              <w:spacing w:before="156" w:after="156" w:line="300" w:lineRule="auto"/>
              <w:ind w:left="-31" w:leftChars="-13" w:firstLine="29" w:firstLineChars="14"/>
              <w:jc w:val="left"/>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NTGY-2026-FW-BX-043</w:t>
            </w:r>
          </w:p>
        </w:tc>
      </w:tr>
      <w:tr w14:paraId="1221D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exact"/>
        </w:trPr>
        <w:tc>
          <w:tcPr>
            <w:tcW w:w="553" w:type="pct"/>
            <w:vAlign w:val="center"/>
          </w:tcPr>
          <w:p w14:paraId="0A4EC60D">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1.2</w:t>
            </w:r>
          </w:p>
        </w:tc>
        <w:tc>
          <w:tcPr>
            <w:tcW w:w="1112" w:type="pct"/>
            <w:vAlign w:val="center"/>
          </w:tcPr>
          <w:p w14:paraId="17D14280">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项目工期</w:t>
            </w:r>
          </w:p>
        </w:tc>
        <w:tc>
          <w:tcPr>
            <w:tcW w:w="3334" w:type="pct"/>
            <w:vAlign w:val="center"/>
          </w:tcPr>
          <w:p w14:paraId="5A12E132">
            <w:pPr>
              <w:spacing w:before="156" w:after="156" w:line="300" w:lineRule="auto"/>
              <w:ind w:left="-29" w:leftChars="-12" w:firstLine="31" w:firstLineChars="0"/>
              <w:jc w:val="left"/>
              <w:rPr>
                <w:rFonts w:ascii="宋体" w:hAnsi="宋体" w:cs="宋体"/>
                <w:sz w:val="21"/>
                <w:szCs w:val="21"/>
                <w:highlight w:val="none"/>
              </w:rPr>
            </w:pPr>
            <w:r>
              <w:rPr>
                <w:rFonts w:hint="eastAsia" w:ascii="宋体" w:hAnsi="宋体" w:cs="宋体"/>
                <w:sz w:val="21"/>
                <w:szCs w:val="21"/>
                <w:highlight w:val="none"/>
                <w:lang w:eastAsia="zh-CN"/>
              </w:rPr>
              <w:t>见第四章</w:t>
            </w:r>
            <w:r>
              <w:rPr>
                <w:rFonts w:hint="eastAsia" w:ascii="宋体" w:hAnsi="宋体" w:cs="宋体"/>
                <w:sz w:val="21"/>
                <w:szCs w:val="21"/>
                <w:highlight w:val="none"/>
              </w:rPr>
              <w:t>《采购需求》</w:t>
            </w:r>
          </w:p>
        </w:tc>
      </w:tr>
      <w:tr w14:paraId="60DD7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exact"/>
        </w:trPr>
        <w:tc>
          <w:tcPr>
            <w:tcW w:w="553" w:type="pct"/>
            <w:vAlign w:val="center"/>
          </w:tcPr>
          <w:p w14:paraId="40C4709A">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1.2</w:t>
            </w:r>
          </w:p>
        </w:tc>
        <w:tc>
          <w:tcPr>
            <w:tcW w:w="1112" w:type="pct"/>
            <w:vAlign w:val="center"/>
          </w:tcPr>
          <w:p w14:paraId="6A510126">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实施地点</w:t>
            </w:r>
          </w:p>
        </w:tc>
        <w:tc>
          <w:tcPr>
            <w:tcW w:w="3334" w:type="pct"/>
            <w:vAlign w:val="center"/>
          </w:tcPr>
          <w:p w14:paraId="78DAA6A2">
            <w:pPr>
              <w:spacing w:before="156" w:after="156" w:line="300" w:lineRule="auto"/>
              <w:ind w:left="-31" w:leftChars="-13" w:firstLine="29" w:firstLineChars="14"/>
              <w:jc w:val="left"/>
              <w:rPr>
                <w:rFonts w:ascii="宋体" w:hAnsi="宋体" w:cs="宋体"/>
                <w:sz w:val="21"/>
                <w:szCs w:val="21"/>
                <w:highlight w:val="none"/>
              </w:rPr>
            </w:pPr>
            <w:r>
              <w:rPr>
                <w:rFonts w:ascii="宋体" w:hAnsi="宋体" w:cs="宋体"/>
                <w:sz w:val="21"/>
                <w:szCs w:val="21"/>
                <w:highlight w:val="none"/>
              </w:rPr>
              <w:t>采购人指定地点</w:t>
            </w:r>
          </w:p>
        </w:tc>
      </w:tr>
      <w:tr w14:paraId="06EFE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exact"/>
        </w:trPr>
        <w:tc>
          <w:tcPr>
            <w:tcW w:w="553" w:type="pct"/>
            <w:vAlign w:val="center"/>
          </w:tcPr>
          <w:p w14:paraId="67CA23E1">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1.2</w:t>
            </w:r>
          </w:p>
        </w:tc>
        <w:tc>
          <w:tcPr>
            <w:tcW w:w="1112" w:type="pct"/>
            <w:vAlign w:val="center"/>
          </w:tcPr>
          <w:p w14:paraId="6D325362">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质量及验收标准</w:t>
            </w:r>
          </w:p>
        </w:tc>
        <w:tc>
          <w:tcPr>
            <w:tcW w:w="3334" w:type="pct"/>
            <w:vAlign w:val="center"/>
          </w:tcPr>
          <w:p w14:paraId="7AF406EB">
            <w:pPr>
              <w:spacing w:before="156" w:after="156" w:line="300" w:lineRule="auto"/>
              <w:ind w:left="-31" w:leftChars="-13" w:firstLine="29" w:firstLineChars="14"/>
              <w:jc w:val="left"/>
              <w:rPr>
                <w:rFonts w:ascii="宋体" w:hAnsi="宋体" w:cs="宋体"/>
                <w:sz w:val="21"/>
                <w:szCs w:val="21"/>
                <w:highlight w:val="none"/>
              </w:rPr>
            </w:pPr>
            <w:r>
              <w:rPr>
                <w:rFonts w:hint="eastAsia" w:ascii="宋体" w:hAnsi="宋体" w:cs="宋体"/>
                <w:sz w:val="21"/>
                <w:szCs w:val="21"/>
                <w:highlight w:val="none"/>
              </w:rPr>
              <w:t>符合国家规范、标准及第五章“采购需求”要求</w:t>
            </w:r>
          </w:p>
        </w:tc>
      </w:tr>
      <w:tr w14:paraId="5CAEF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exact"/>
        </w:trPr>
        <w:tc>
          <w:tcPr>
            <w:tcW w:w="553" w:type="pct"/>
            <w:vAlign w:val="center"/>
          </w:tcPr>
          <w:p w14:paraId="3E29A026">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1.3</w:t>
            </w:r>
          </w:p>
        </w:tc>
        <w:tc>
          <w:tcPr>
            <w:tcW w:w="1112" w:type="pct"/>
            <w:vAlign w:val="center"/>
          </w:tcPr>
          <w:p w14:paraId="7D75145F">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供应商资格要求</w:t>
            </w:r>
          </w:p>
        </w:tc>
        <w:tc>
          <w:tcPr>
            <w:tcW w:w="3334" w:type="pct"/>
            <w:vAlign w:val="center"/>
          </w:tcPr>
          <w:p w14:paraId="5E69E595">
            <w:pPr>
              <w:spacing w:before="156" w:after="156" w:line="300" w:lineRule="auto"/>
              <w:ind w:left="-31" w:leftChars="-13" w:firstLine="29" w:firstLineChars="14"/>
              <w:jc w:val="left"/>
              <w:rPr>
                <w:rFonts w:ascii="宋体" w:hAnsi="宋体" w:cs="宋体"/>
                <w:sz w:val="21"/>
                <w:szCs w:val="21"/>
                <w:highlight w:val="none"/>
              </w:rPr>
            </w:pPr>
            <w:r>
              <w:rPr>
                <w:rFonts w:hint="eastAsia" w:ascii="宋体" w:hAnsi="宋体" w:cs="宋体"/>
                <w:sz w:val="21"/>
                <w:szCs w:val="21"/>
                <w:highlight w:val="none"/>
              </w:rPr>
              <w:t>见第一章“采购公告”</w:t>
            </w:r>
          </w:p>
        </w:tc>
      </w:tr>
      <w:tr w14:paraId="773E4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exact"/>
        </w:trPr>
        <w:tc>
          <w:tcPr>
            <w:tcW w:w="553" w:type="pct"/>
            <w:vAlign w:val="center"/>
          </w:tcPr>
          <w:p w14:paraId="3ABA0F0E">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1.8</w:t>
            </w:r>
          </w:p>
        </w:tc>
        <w:tc>
          <w:tcPr>
            <w:tcW w:w="1112" w:type="pct"/>
            <w:vAlign w:val="center"/>
          </w:tcPr>
          <w:p w14:paraId="4DAD8920">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踏勘现场</w:t>
            </w:r>
          </w:p>
        </w:tc>
        <w:tc>
          <w:tcPr>
            <w:tcW w:w="3334" w:type="pct"/>
            <w:vAlign w:val="center"/>
          </w:tcPr>
          <w:p w14:paraId="654B52D9">
            <w:pPr>
              <w:spacing w:before="156" w:after="156" w:line="300" w:lineRule="auto"/>
              <w:ind w:left="-31" w:leftChars="-13" w:firstLine="29" w:firstLineChars="14"/>
              <w:jc w:val="left"/>
              <w:rPr>
                <w:rFonts w:ascii="宋体" w:hAnsi="宋体" w:cs="宋体"/>
                <w:sz w:val="21"/>
                <w:szCs w:val="21"/>
                <w:highlight w:val="none"/>
              </w:rPr>
            </w:pPr>
            <w:r>
              <w:rPr>
                <w:rFonts w:hint="eastAsia" w:ascii="宋体" w:hAnsi="宋体" w:cs="宋体"/>
                <w:sz w:val="21"/>
                <w:szCs w:val="21"/>
                <w:highlight w:val="none"/>
              </w:rPr>
              <w:t>不组织</w:t>
            </w:r>
          </w:p>
        </w:tc>
      </w:tr>
      <w:tr w14:paraId="077CA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trPr>
        <w:tc>
          <w:tcPr>
            <w:tcW w:w="553" w:type="pct"/>
            <w:vAlign w:val="center"/>
          </w:tcPr>
          <w:p w14:paraId="7C1E3C90">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1</w:t>
            </w:r>
            <w:r>
              <w:rPr>
                <w:rFonts w:ascii="宋体" w:hAnsi="宋体" w:cs="宋体"/>
                <w:sz w:val="21"/>
                <w:szCs w:val="21"/>
                <w:highlight w:val="none"/>
              </w:rPr>
              <w:t>.9</w:t>
            </w:r>
          </w:p>
        </w:tc>
        <w:tc>
          <w:tcPr>
            <w:tcW w:w="1112" w:type="pct"/>
            <w:vAlign w:val="center"/>
          </w:tcPr>
          <w:p w14:paraId="413BFB09">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分包</w:t>
            </w:r>
          </w:p>
        </w:tc>
        <w:tc>
          <w:tcPr>
            <w:tcW w:w="3334" w:type="pct"/>
            <w:vAlign w:val="center"/>
          </w:tcPr>
          <w:p w14:paraId="2C00ED78">
            <w:pPr>
              <w:spacing w:before="156" w:after="156" w:line="300" w:lineRule="auto"/>
              <w:ind w:left="-31" w:leftChars="-13" w:firstLine="29" w:firstLineChars="14"/>
              <w:jc w:val="left"/>
              <w:rPr>
                <w:rFonts w:ascii="宋体" w:hAnsi="宋体" w:cs="宋体"/>
                <w:sz w:val="21"/>
                <w:szCs w:val="21"/>
                <w:highlight w:val="none"/>
              </w:rPr>
            </w:pPr>
            <w:r>
              <w:rPr>
                <w:rFonts w:hint="eastAsia" w:ascii="宋体" w:hAnsi="宋体" w:cs="宋体"/>
                <w:sz w:val="21"/>
                <w:szCs w:val="21"/>
                <w:highlight w:val="none"/>
              </w:rPr>
              <w:t>不允许</w:t>
            </w:r>
          </w:p>
        </w:tc>
      </w:tr>
      <w:tr w14:paraId="55A45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4" w:hRule="exact"/>
        </w:trPr>
        <w:tc>
          <w:tcPr>
            <w:tcW w:w="553" w:type="pct"/>
            <w:vAlign w:val="center"/>
          </w:tcPr>
          <w:p w14:paraId="4E85B97C">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2.2.1</w:t>
            </w:r>
          </w:p>
        </w:tc>
        <w:tc>
          <w:tcPr>
            <w:tcW w:w="1112" w:type="pct"/>
            <w:vAlign w:val="center"/>
          </w:tcPr>
          <w:p w14:paraId="0A04853B">
            <w:pPr>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供应商要求澄清采购文件的时间和形式</w:t>
            </w:r>
          </w:p>
        </w:tc>
        <w:tc>
          <w:tcPr>
            <w:tcW w:w="3334" w:type="pct"/>
            <w:vAlign w:val="center"/>
          </w:tcPr>
          <w:p w14:paraId="22524E96">
            <w:pPr>
              <w:spacing w:before="156" w:after="156" w:line="300" w:lineRule="auto"/>
              <w:ind w:left="-31" w:leftChars="-13" w:firstLine="29" w:firstLineChars="14"/>
              <w:jc w:val="left"/>
              <w:rPr>
                <w:rFonts w:ascii="宋体" w:hAnsi="宋体" w:cs="宋体"/>
                <w:sz w:val="21"/>
                <w:szCs w:val="21"/>
                <w:highlight w:val="none"/>
              </w:rPr>
            </w:pPr>
            <w:r>
              <w:rPr>
                <w:rFonts w:hint="eastAsia" w:ascii="宋体" w:hAnsi="宋体" w:cs="宋体"/>
                <w:sz w:val="21"/>
                <w:szCs w:val="21"/>
                <w:highlight w:val="none"/>
              </w:rPr>
              <w:t>要求澄清截止时间：</w:t>
            </w:r>
            <w:r>
              <w:rPr>
                <w:rFonts w:hint="eastAsia" w:ascii="宋体" w:hAnsi="宋体" w:cs="宋体"/>
                <w:sz w:val="21"/>
                <w:szCs w:val="21"/>
                <w:highlight w:val="none"/>
                <w:u w:val="single"/>
                <w:lang w:eastAsia="zh-CN"/>
              </w:rPr>
              <w:t>2026年</w:t>
            </w:r>
            <w:r>
              <w:rPr>
                <w:rFonts w:hint="eastAsia" w:ascii="宋体" w:hAnsi="宋体" w:cs="宋体"/>
                <w:sz w:val="21"/>
                <w:szCs w:val="21"/>
                <w:highlight w:val="none"/>
                <w:u w:val="single"/>
                <w:lang w:val="en-US" w:eastAsia="zh-CN"/>
              </w:rPr>
              <w:t>10</w:t>
            </w:r>
            <w:r>
              <w:rPr>
                <w:rFonts w:hint="eastAsia" w:ascii="宋体" w:hAnsi="宋体" w:cs="宋体"/>
                <w:sz w:val="21"/>
                <w:szCs w:val="21"/>
                <w:highlight w:val="none"/>
                <w:u w:val="single"/>
                <w:lang w:eastAsia="zh-CN"/>
              </w:rPr>
              <w:t>月</w:t>
            </w:r>
            <w:r>
              <w:rPr>
                <w:rFonts w:hint="eastAsia" w:ascii="宋体" w:hAnsi="宋体" w:cs="宋体"/>
                <w:sz w:val="21"/>
                <w:szCs w:val="21"/>
                <w:highlight w:val="none"/>
                <w:u w:val="single"/>
                <w:lang w:val="en-US" w:eastAsia="zh-CN"/>
              </w:rPr>
              <w:t>27</w:t>
            </w:r>
            <w:r>
              <w:rPr>
                <w:rFonts w:hint="eastAsia" w:ascii="宋体" w:hAnsi="宋体" w:cs="宋体"/>
                <w:sz w:val="21"/>
                <w:szCs w:val="21"/>
                <w:highlight w:val="none"/>
                <w:u w:val="single"/>
              </w:rPr>
              <w:t>日17:00</w:t>
            </w:r>
            <w:r>
              <w:rPr>
                <w:rFonts w:hint="eastAsia" w:ascii="宋体" w:hAnsi="宋体" w:cs="宋体"/>
                <w:sz w:val="21"/>
                <w:szCs w:val="21"/>
                <w:highlight w:val="none"/>
              </w:rPr>
              <w:t>采购人有权拒绝回复供应商在上述时间后提出的任何澄清要求。</w:t>
            </w:r>
          </w:p>
          <w:p w14:paraId="0F1E13CA">
            <w:pPr>
              <w:spacing w:before="156" w:after="156" w:line="300" w:lineRule="auto"/>
              <w:ind w:left="-31" w:leftChars="-13" w:firstLine="29" w:firstLineChars="14"/>
              <w:jc w:val="left"/>
              <w:rPr>
                <w:rFonts w:ascii="宋体" w:hAnsi="宋体" w:cs="宋体"/>
                <w:sz w:val="21"/>
                <w:szCs w:val="21"/>
                <w:highlight w:val="none"/>
              </w:rPr>
            </w:pPr>
            <w:r>
              <w:rPr>
                <w:rFonts w:hint="eastAsia" w:ascii="宋体" w:hAnsi="宋体" w:cs="宋体"/>
                <w:sz w:val="21"/>
                <w:szCs w:val="21"/>
                <w:highlight w:val="none"/>
              </w:rPr>
              <w:t>形式：供应商将加盖公章的要求澄清文件以电子邮件形式发送至代理机构电子邮箱</w:t>
            </w:r>
            <w:r>
              <w:rPr>
                <w:rFonts w:hint="eastAsia" w:ascii="宋体" w:hAnsi="宋体" w:cs="宋体"/>
                <w:sz w:val="21"/>
                <w:szCs w:val="21"/>
                <w:highlight w:val="none"/>
                <w:u w:val="single"/>
              </w:rPr>
              <w:t>1614454577@qq.com</w:t>
            </w:r>
          </w:p>
        </w:tc>
      </w:tr>
      <w:tr w14:paraId="4B231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1" w:hRule="exact"/>
        </w:trPr>
        <w:tc>
          <w:tcPr>
            <w:tcW w:w="553" w:type="pct"/>
            <w:vAlign w:val="center"/>
          </w:tcPr>
          <w:p w14:paraId="0691C557">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3.2.3</w:t>
            </w:r>
          </w:p>
        </w:tc>
        <w:tc>
          <w:tcPr>
            <w:tcW w:w="1112" w:type="pct"/>
            <w:vAlign w:val="center"/>
          </w:tcPr>
          <w:p w14:paraId="79338720">
            <w:pPr>
              <w:spacing w:line="300" w:lineRule="auto"/>
              <w:ind w:left="-106" w:leftChars="-44" w:firstLine="0" w:firstLineChars="0"/>
              <w:jc w:val="center"/>
              <w:rPr>
                <w:rFonts w:ascii="宋体" w:hAnsi="宋体" w:cs="宋体"/>
                <w:sz w:val="21"/>
                <w:szCs w:val="21"/>
                <w:highlight w:val="none"/>
              </w:rPr>
            </w:pPr>
            <w:bookmarkStart w:id="7" w:name="OLE_LINK21"/>
            <w:bookmarkStart w:id="8" w:name="OLE_LINK20"/>
            <w:r>
              <w:rPr>
                <w:rFonts w:hint="eastAsia" w:ascii="宋体" w:hAnsi="宋体" w:cs="宋体"/>
                <w:sz w:val="21"/>
                <w:szCs w:val="21"/>
                <w:highlight w:val="none"/>
              </w:rPr>
              <w:t>最高限价</w:t>
            </w:r>
            <w:bookmarkEnd w:id="7"/>
            <w:bookmarkEnd w:id="8"/>
          </w:p>
        </w:tc>
        <w:tc>
          <w:tcPr>
            <w:tcW w:w="3334" w:type="pct"/>
            <w:vAlign w:val="center"/>
          </w:tcPr>
          <w:p w14:paraId="23EC36BE">
            <w:pPr>
              <w:ind w:firstLine="0" w:firstLineChars="0"/>
              <w:jc w:val="left"/>
              <w:rPr>
                <w:rFonts w:ascii="宋体" w:hAnsi="宋体" w:cs="宋体"/>
                <w:b/>
                <w:bCs/>
                <w:kern w:val="0"/>
                <w:sz w:val="21"/>
                <w:szCs w:val="21"/>
                <w:highlight w:val="none"/>
              </w:rPr>
            </w:pPr>
            <w:r>
              <w:rPr>
                <w:rFonts w:hint="eastAsia" w:ascii="宋体" w:hAnsi="宋体" w:eastAsia="宋体" w:cs="宋体"/>
                <w:sz w:val="21"/>
                <w:szCs w:val="21"/>
                <w:highlight w:val="none"/>
                <w:lang w:val="en-US" w:eastAsia="zh-CN"/>
              </w:rPr>
              <w:t>无</w:t>
            </w:r>
          </w:p>
        </w:tc>
      </w:tr>
      <w:tr w14:paraId="403BA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exact"/>
        </w:trPr>
        <w:tc>
          <w:tcPr>
            <w:tcW w:w="553" w:type="pct"/>
            <w:vAlign w:val="center"/>
          </w:tcPr>
          <w:p w14:paraId="473E10D6">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3.3</w:t>
            </w:r>
          </w:p>
        </w:tc>
        <w:tc>
          <w:tcPr>
            <w:tcW w:w="1112" w:type="pct"/>
            <w:vAlign w:val="center"/>
          </w:tcPr>
          <w:p w14:paraId="67B6B81F">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响应文件有效期</w:t>
            </w:r>
          </w:p>
        </w:tc>
        <w:tc>
          <w:tcPr>
            <w:tcW w:w="3334" w:type="pct"/>
            <w:vAlign w:val="center"/>
          </w:tcPr>
          <w:p w14:paraId="12606526">
            <w:pPr>
              <w:spacing w:before="156" w:after="156" w:line="300" w:lineRule="auto"/>
              <w:ind w:left="-31" w:leftChars="-13" w:firstLine="29" w:firstLineChars="14"/>
              <w:jc w:val="left"/>
              <w:rPr>
                <w:rFonts w:ascii="宋体" w:hAnsi="宋体" w:cs="宋体"/>
                <w:sz w:val="21"/>
                <w:szCs w:val="21"/>
                <w:highlight w:val="none"/>
              </w:rPr>
            </w:pPr>
            <w:r>
              <w:rPr>
                <w:rFonts w:hint="eastAsia" w:ascii="宋体" w:hAnsi="宋体" w:cs="宋体"/>
                <w:sz w:val="21"/>
                <w:szCs w:val="21"/>
                <w:highlight w:val="none"/>
                <w:u w:val="single"/>
              </w:rPr>
              <w:t>90日</w:t>
            </w:r>
          </w:p>
        </w:tc>
      </w:tr>
      <w:tr w14:paraId="27798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exact"/>
        </w:trPr>
        <w:tc>
          <w:tcPr>
            <w:tcW w:w="553" w:type="pct"/>
            <w:vAlign w:val="center"/>
          </w:tcPr>
          <w:p w14:paraId="514636FA">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3.4</w:t>
            </w:r>
          </w:p>
        </w:tc>
        <w:tc>
          <w:tcPr>
            <w:tcW w:w="1112" w:type="pct"/>
            <w:vAlign w:val="center"/>
          </w:tcPr>
          <w:p w14:paraId="3E3BA0AE">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响应保证金</w:t>
            </w:r>
          </w:p>
        </w:tc>
        <w:tc>
          <w:tcPr>
            <w:tcW w:w="3334" w:type="pct"/>
            <w:vAlign w:val="bottom"/>
          </w:tcPr>
          <w:p w14:paraId="6EFEF808">
            <w:pPr>
              <w:ind w:firstLine="0" w:firstLineChars="0"/>
              <w:jc w:val="left"/>
              <w:rPr>
                <w:rFonts w:ascii="宋体" w:hAnsi="宋体" w:cs="宋体"/>
                <w:sz w:val="21"/>
                <w:szCs w:val="21"/>
                <w:highlight w:val="none"/>
              </w:rPr>
            </w:pPr>
            <w:r>
              <w:rPr>
                <w:rFonts w:hint="eastAsia" w:ascii="宋体" w:hAnsi="宋体" w:cs="宋体"/>
                <w:sz w:val="21"/>
                <w:szCs w:val="21"/>
                <w:highlight w:val="none"/>
              </w:rPr>
              <w:t>不要求递交</w:t>
            </w:r>
          </w:p>
        </w:tc>
      </w:tr>
      <w:tr w14:paraId="00722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exact"/>
        </w:trPr>
        <w:tc>
          <w:tcPr>
            <w:tcW w:w="553" w:type="pct"/>
            <w:vAlign w:val="center"/>
          </w:tcPr>
          <w:p w14:paraId="25299C59">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3.6</w:t>
            </w:r>
          </w:p>
        </w:tc>
        <w:tc>
          <w:tcPr>
            <w:tcW w:w="1112" w:type="pct"/>
            <w:vAlign w:val="center"/>
          </w:tcPr>
          <w:p w14:paraId="70CA7C98">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是否允许递交备选报价方案</w:t>
            </w:r>
          </w:p>
        </w:tc>
        <w:tc>
          <w:tcPr>
            <w:tcW w:w="3334" w:type="pct"/>
            <w:vAlign w:val="center"/>
          </w:tcPr>
          <w:p w14:paraId="0220F26D">
            <w:pPr>
              <w:spacing w:before="156" w:after="156" w:line="300" w:lineRule="auto"/>
              <w:ind w:left="-31" w:leftChars="-13" w:firstLine="29" w:firstLineChars="14"/>
              <w:jc w:val="left"/>
              <w:rPr>
                <w:rFonts w:ascii="宋体" w:hAnsi="宋体" w:cs="宋体"/>
                <w:sz w:val="21"/>
                <w:szCs w:val="21"/>
                <w:highlight w:val="none"/>
              </w:rPr>
            </w:pPr>
            <w:r>
              <w:rPr>
                <w:rFonts w:hint="eastAsia" w:ascii="宋体" w:hAnsi="宋体" w:cs="宋体"/>
                <w:sz w:val="21"/>
                <w:szCs w:val="21"/>
                <w:highlight w:val="none"/>
              </w:rPr>
              <w:t>不允许</w:t>
            </w:r>
          </w:p>
        </w:tc>
      </w:tr>
      <w:tr w14:paraId="38AE2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3" w:hRule="exact"/>
        </w:trPr>
        <w:tc>
          <w:tcPr>
            <w:tcW w:w="553" w:type="pct"/>
            <w:vAlign w:val="center"/>
          </w:tcPr>
          <w:p w14:paraId="5FC7023C">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3.7.5</w:t>
            </w:r>
          </w:p>
        </w:tc>
        <w:tc>
          <w:tcPr>
            <w:tcW w:w="1112" w:type="pct"/>
            <w:vAlign w:val="center"/>
          </w:tcPr>
          <w:p w14:paraId="0D47E9D3">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响应文件份数</w:t>
            </w:r>
          </w:p>
        </w:tc>
        <w:tc>
          <w:tcPr>
            <w:tcW w:w="3334" w:type="pct"/>
            <w:vAlign w:val="center"/>
          </w:tcPr>
          <w:p w14:paraId="53DF377C">
            <w:pPr>
              <w:spacing w:before="156" w:after="156" w:line="300" w:lineRule="auto"/>
              <w:ind w:left="-29" w:leftChars="-12" w:firstLine="31" w:firstLineChars="0"/>
              <w:jc w:val="left"/>
              <w:rPr>
                <w:rFonts w:ascii="宋体" w:hAnsi="宋体" w:cs="宋体"/>
                <w:sz w:val="21"/>
                <w:szCs w:val="21"/>
                <w:highlight w:val="none"/>
              </w:rPr>
            </w:pPr>
            <w:r>
              <w:rPr>
                <w:rFonts w:hint="eastAsia" w:ascii="宋体" w:hAnsi="宋体" w:cs="宋体"/>
                <w:sz w:val="21"/>
                <w:szCs w:val="21"/>
                <w:highlight w:val="none"/>
              </w:rPr>
              <w:t>响应文件正本</w:t>
            </w:r>
            <w:r>
              <w:rPr>
                <w:rFonts w:hint="eastAsia" w:ascii="宋体" w:hAnsi="宋体" w:cs="宋体"/>
                <w:sz w:val="21"/>
                <w:szCs w:val="21"/>
                <w:highlight w:val="none"/>
                <w:u w:val="single"/>
              </w:rPr>
              <w:t xml:space="preserve"> 1</w:t>
            </w:r>
            <w:r>
              <w:rPr>
                <w:rFonts w:hint="eastAsia" w:ascii="宋体" w:hAnsi="宋体" w:cs="宋体"/>
                <w:sz w:val="21"/>
                <w:szCs w:val="21"/>
                <w:highlight w:val="none"/>
              </w:rPr>
              <w:t>份，副本</w:t>
            </w:r>
            <w:r>
              <w:rPr>
                <w:rFonts w:hint="eastAsia" w:ascii="宋体" w:hAnsi="宋体" w:cs="宋体"/>
                <w:sz w:val="21"/>
                <w:szCs w:val="21"/>
                <w:highlight w:val="none"/>
                <w:u w:val="single"/>
              </w:rPr>
              <w:t>4</w:t>
            </w:r>
            <w:r>
              <w:rPr>
                <w:rFonts w:hint="eastAsia" w:ascii="宋体" w:hAnsi="宋体" w:cs="宋体"/>
                <w:sz w:val="21"/>
                <w:szCs w:val="21"/>
                <w:highlight w:val="none"/>
              </w:rPr>
              <w:t>份，电子文本</w:t>
            </w:r>
            <w:r>
              <w:rPr>
                <w:rFonts w:hint="eastAsia" w:ascii="宋体" w:hAnsi="宋体" w:cs="宋体"/>
                <w:sz w:val="21"/>
                <w:szCs w:val="21"/>
                <w:highlight w:val="none"/>
                <w:u w:val="single"/>
              </w:rPr>
              <w:t>1</w:t>
            </w:r>
            <w:r>
              <w:rPr>
                <w:rFonts w:hint="eastAsia" w:ascii="宋体" w:hAnsi="宋体" w:cs="宋体"/>
                <w:sz w:val="21"/>
                <w:szCs w:val="21"/>
                <w:highlight w:val="none"/>
              </w:rPr>
              <w:t>份（存放U盘介质中，含响应文件正本扫描件PDF版本以及可编辑的word或excel版本）</w:t>
            </w:r>
          </w:p>
        </w:tc>
      </w:tr>
      <w:tr w14:paraId="33078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exact"/>
        </w:trPr>
        <w:tc>
          <w:tcPr>
            <w:tcW w:w="553" w:type="pct"/>
            <w:vAlign w:val="center"/>
          </w:tcPr>
          <w:p w14:paraId="384F5E34">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3.7.6</w:t>
            </w:r>
          </w:p>
        </w:tc>
        <w:tc>
          <w:tcPr>
            <w:tcW w:w="1112" w:type="pct"/>
            <w:vAlign w:val="center"/>
          </w:tcPr>
          <w:p w14:paraId="13F987C4">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装订</w:t>
            </w:r>
          </w:p>
        </w:tc>
        <w:tc>
          <w:tcPr>
            <w:tcW w:w="3334" w:type="pct"/>
            <w:vAlign w:val="center"/>
          </w:tcPr>
          <w:p w14:paraId="4ACD8278">
            <w:pPr>
              <w:pStyle w:val="23"/>
              <w:topLinePunct/>
              <w:spacing w:after="120"/>
              <w:ind w:left="-29" w:leftChars="-12" w:firstLine="30" w:firstLineChars="14"/>
              <w:jc w:val="left"/>
              <w:rPr>
                <w:rFonts w:ascii="宋体" w:hAnsi="宋体" w:cs="宋体"/>
                <w:sz w:val="21"/>
                <w:szCs w:val="21"/>
                <w:highlight w:val="none"/>
              </w:rPr>
            </w:pPr>
            <w:r>
              <w:rPr>
                <w:rFonts w:hint="eastAsia" w:ascii="宋体" w:hAnsi="宋体" w:cs="宋体"/>
                <w:b/>
                <w:bCs/>
                <w:sz w:val="21"/>
                <w:szCs w:val="21"/>
                <w:highlight w:val="none"/>
              </w:rPr>
              <w:t>需要，分册装订，响应文件第一册“ 资格审查”、第二册“商务技术部分”和第三册“报价部分”单独装订，并分开密封，《电子文本》单独密封。</w:t>
            </w:r>
          </w:p>
        </w:tc>
      </w:tr>
      <w:tr w14:paraId="0B691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exact"/>
        </w:trPr>
        <w:tc>
          <w:tcPr>
            <w:tcW w:w="553" w:type="pct"/>
            <w:vAlign w:val="center"/>
          </w:tcPr>
          <w:p w14:paraId="38C29360">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4.1.2</w:t>
            </w:r>
          </w:p>
        </w:tc>
        <w:tc>
          <w:tcPr>
            <w:tcW w:w="1112" w:type="pct"/>
            <w:vAlign w:val="center"/>
          </w:tcPr>
          <w:p w14:paraId="663EF5E9">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封袋上应载明的信息</w:t>
            </w:r>
          </w:p>
        </w:tc>
        <w:tc>
          <w:tcPr>
            <w:tcW w:w="3334" w:type="pct"/>
            <w:vAlign w:val="center"/>
          </w:tcPr>
          <w:p w14:paraId="10F16FAE">
            <w:pPr>
              <w:ind w:left="-31" w:leftChars="-13" w:firstLine="29" w:firstLineChars="14"/>
              <w:jc w:val="left"/>
              <w:rPr>
                <w:rFonts w:ascii="宋体" w:hAnsi="宋体" w:cs="宋体"/>
                <w:bCs/>
                <w:sz w:val="21"/>
                <w:szCs w:val="21"/>
                <w:highlight w:val="none"/>
              </w:rPr>
            </w:pPr>
            <w:r>
              <w:rPr>
                <w:rFonts w:hint="eastAsia" w:ascii="宋体" w:hAnsi="宋体" w:cs="宋体"/>
                <w:bCs/>
                <w:sz w:val="21"/>
                <w:szCs w:val="21"/>
                <w:highlight w:val="none"/>
                <w:lang w:eastAsia="zh-CN"/>
              </w:rPr>
              <w:t>见第五章</w:t>
            </w:r>
            <w:r>
              <w:rPr>
                <w:rFonts w:hint="eastAsia" w:ascii="宋体" w:hAnsi="宋体" w:cs="宋体"/>
                <w:bCs/>
                <w:sz w:val="21"/>
                <w:szCs w:val="21"/>
                <w:highlight w:val="none"/>
              </w:rPr>
              <w:t>“响应文件格式/1 响应文件封面”</w:t>
            </w:r>
          </w:p>
        </w:tc>
      </w:tr>
      <w:tr w14:paraId="14E7F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4" w:hRule="exact"/>
        </w:trPr>
        <w:tc>
          <w:tcPr>
            <w:tcW w:w="553" w:type="pct"/>
            <w:vAlign w:val="center"/>
          </w:tcPr>
          <w:p w14:paraId="6A5CC36D">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4.2</w:t>
            </w:r>
          </w:p>
        </w:tc>
        <w:tc>
          <w:tcPr>
            <w:tcW w:w="1112" w:type="pct"/>
            <w:vAlign w:val="center"/>
          </w:tcPr>
          <w:p w14:paraId="2D4808EB">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递交响应文件的截止时间和地点</w:t>
            </w:r>
          </w:p>
        </w:tc>
        <w:tc>
          <w:tcPr>
            <w:tcW w:w="3334" w:type="pct"/>
            <w:vAlign w:val="center"/>
          </w:tcPr>
          <w:p w14:paraId="09564716">
            <w:pPr>
              <w:spacing w:before="156" w:after="156" w:line="300" w:lineRule="auto"/>
              <w:ind w:left="-31" w:leftChars="-13" w:firstLine="29" w:firstLineChars="14"/>
              <w:jc w:val="left"/>
              <w:rPr>
                <w:rFonts w:ascii="宋体" w:hAnsi="宋体" w:cs="宋体"/>
                <w:sz w:val="21"/>
                <w:szCs w:val="21"/>
                <w:highlight w:val="none"/>
              </w:rPr>
            </w:pPr>
            <w:r>
              <w:rPr>
                <w:rFonts w:hint="eastAsia" w:ascii="宋体" w:hAnsi="宋体" w:cs="宋体"/>
                <w:sz w:val="21"/>
                <w:szCs w:val="21"/>
                <w:highlight w:val="none"/>
              </w:rPr>
              <w:t>见第一章“采购公告”</w:t>
            </w:r>
          </w:p>
        </w:tc>
      </w:tr>
      <w:tr w14:paraId="43FC3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exact"/>
        </w:trPr>
        <w:tc>
          <w:tcPr>
            <w:tcW w:w="553" w:type="pct"/>
            <w:vAlign w:val="center"/>
          </w:tcPr>
          <w:p w14:paraId="1DB428ED">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4.2</w:t>
            </w:r>
          </w:p>
        </w:tc>
        <w:tc>
          <w:tcPr>
            <w:tcW w:w="1112" w:type="pct"/>
            <w:vAlign w:val="center"/>
          </w:tcPr>
          <w:p w14:paraId="03CF22BD">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是否退还响应文件</w:t>
            </w:r>
          </w:p>
        </w:tc>
        <w:tc>
          <w:tcPr>
            <w:tcW w:w="3334" w:type="pct"/>
            <w:vAlign w:val="center"/>
          </w:tcPr>
          <w:p w14:paraId="09A63600">
            <w:pPr>
              <w:spacing w:before="156" w:after="156" w:line="300" w:lineRule="auto"/>
              <w:ind w:left="-31" w:leftChars="-13" w:firstLine="29" w:firstLineChars="14"/>
              <w:jc w:val="left"/>
              <w:rPr>
                <w:rFonts w:ascii="宋体" w:hAnsi="宋体" w:cs="宋体"/>
                <w:sz w:val="21"/>
                <w:szCs w:val="21"/>
                <w:highlight w:val="none"/>
              </w:rPr>
            </w:pPr>
            <w:r>
              <w:rPr>
                <w:rFonts w:hint="eastAsia" w:ascii="宋体" w:hAnsi="宋体" w:cs="宋体"/>
                <w:sz w:val="21"/>
                <w:szCs w:val="21"/>
                <w:highlight w:val="none"/>
              </w:rPr>
              <w:t>不退还</w:t>
            </w:r>
          </w:p>
        </w:tc>
      </w:tr>
      <w:tr w14:paraId="0ECFC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553" w:type="pct"/>
            <w:vAlign w:val="center"/>
          </w:tcPr>
          <w:p w14:paraId="243FD163">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5.1</w:t>
            </w:r>
          </w:p>
        </w:tc>
        <w:tc>
          <w:tcPr>
            <w:tcW w:w="1112" w:type="pct"/>
            <w:vAlign w:val="center"/>
          </w:tcPr>
          <w:p w14:paraId="28D7F624">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评审的时间和地点</w:t>
            </w:r>
          </w:p>
        </w:tc>
        <w:tc>
          <w:tcPr>
            <w:tcW w:w="3334" w:type="pct"/>
            <w:vAlign w:val="center"/>
          </w:tcPr>
          <w:p w14:paraId="51D32E7E">
            <w:pPr>
              <w:spacing w:before="156" w:after="156" w:line="300" w:lineRule="auto"/>
              <w:ind w:left="-31" w:leftChars="-13" w:firstLine="29" w:firstLineChars="14"/>
              <w:jc w:val="left"/>
              <w:rPr>
                <w:rFonts w:ascii="宋体" w:hAnsi="宋体" w:cs="宋体"/>
                <w:sz w:val="21"/>
                <w:szCs w:val="21"/>
                <w:highlight w:val="none"/>
                <w:u w:val="single"/>
              </w:rPr>
            </w:pPr>
            <w:r>
              <w:rPr>
                <w:rFonts w:hint="eastAsia" w:ascii="宋体" w:hAnsi="宋体" w:cs="宋体"/>
                <w:sz w:val="21"/>
                <w:szCs w:val="21"/>
                <w:highlight w:val="none"/>
              </w:rPr>
              <w:t>见第一章“采购公告”</w:t>
            </w:r>
          </w:p>
        </w:tc>
      </w:tr>
      <w:tr w14:paraId="132C5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553" w:type="pct"/>
            <w:vAlign w:val="center"/>
          </w:tcPr>
          <w:p w14:paraId="5911ED03">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5.2</w:t>
            </w:r>
          </w:p>
        </w:tc>
        <w:tc>
          <w:tcPr>
            <w:tcW w:w="1112" w:type="pct"/>
            <w:vAlign w:val="center"/>
          </w:tcPr>
          <w:p w14:paraId="046E4C69">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开启顺序</w:t>
            </w:r>
          </w:p>
        </w:tc>
        <w:tc>
          <w:tcPr>
            <w:tcW w:w="3334" w:type="pct"/>
            <w:vAlign w:val="center"/>
          </w:tcPr>
          <w:p w14:paraId="2CE57590">
            <w:pPr>
              <w:spacing w:before="156" w:after="156" w:line="300" w:lineRule="auto"/>
              <w:ind w:left="-31" w:leftChars="-13" w:firstLine="29" w:firstLineChars="14"/>
              <w:jc w:val="left"/>
              <w:rPr>
                <w:rFonts w:ascii="宋体" w:hAnsi="宋体" w:cs="宋体"/>
                <w:sz w:val="21"/>
                <w:szCs w:val="21"/>
                <w:highlight w:val="none"/>
                <w:u w:val="single"/>
              </w:rPr>
            </w:pPr>
            <w:r>
              <w:rPr>
                <w:rFonts w:ascii="宋体" w:hAnsi="宋体" w:cs="宋体"/>
                <w:sz w:val="21"/>
                <w:szCs w:val="21"/>
                <w:highlight w:val="none"/>
              </w:rPr>
              <w:t>按</w:t>
            </w:r>
            <w:r>
              <w:rPr>
                <w:rFonts w:hint="eastAsia" w:ascii="宋体" w:hAnsi="宋体" w:cs="宋体"/>
                <w:sz w:val="21"/>
                <w:szCs w:val="21"/>
                <w:highlight w:val="none"/>
              </w:rPr>
              <w:t>供应商</w:t>
            </w:r>
            <w:r>
              <w:rPr>
                <w:rFonts w:hint="eastAsia" w:ascii="宋体" w:hAnsi="宋体" w:cs="宋体"/>
                <w:sz w:val="21"/>
                <w:szCs w:val="21"/>
                <w:highlight w:val="none"/>
                <w:lang w:val="en-US" w:eastAsia="zh-CN"/>
              </w:rPr>
              <w:t>签到</w:t>
            </w:r>
            <w:r>
              <w:rPr>
                <w:rFonts w:ascii="宋体" w:hAnsi="宋体" w:cs="宋体"/>
                <w:sz w:val="21"/>
                <w:szCs w:val="21"/>
                <w:highlight w:val="none"/>
              </w:rPr>
              <w:t>的先后顺序</w:t>
            </w:r>
          </w:p>
        </w:tc>
      </w:tr>
      <w:tr w14:paraId="02D7E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exact"/>
        </w:trPr>
        <w:tc>
          <w:tcPr>
            <w:tcW w:w="553" w:type="pct"/>
            <w:vAlign w:val="center"/>
          </w:tcPr>
          <w:p w14:paraId="0C209961">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6.1</w:t>
            </w:r>
          </w:p>
        </w:tc>
        <w:tc>
          <w:tcPr>
            <w:tcW w:w="1112" w:type="pct"/>
            <w:vAlign w:val="center"/>
          </w:tcPr>
          <w:p w14:paraId="039E454C">
            <w:pPr>
              <w:spacing w:before="156" w:after="156" w:line="300" w:lineRule="auto"/>
              <w:ind w:left="-31" w:leftChars="-13" w:firstLine="29" w:firstLineChars="14"/>
              <w:jc w:val="center"/>
              <w:rPr>
                <w:rFonts w:ascii="宋体" w:hAnsi="宋体" w:cs="宋体"/>
                <w:sz w:val="21"/>
                <w:szCs w:val="21"/>
                <w:highlight w:val="none"/>
              </w:rPr>
            </w:pPr>
            <w:r>
              <w:rPr>
                <w:rFonts w:hint="eastAsia" w:ascii="宋体" w:hAnsi="宋体" w:cs="宋体"/>
                <w:sz w:val="21"/>
                <w:szCs w:val="21"/>
                <w:highlight w:val="none"/>
              </w:rPr>
              <w:t>评审小组的组建</w:t>
            </w:r>
          </w:p>
        </w:tc>
        <w:tc>
          <w:tcPr>
            <w:tcW w:w="3334" w:type="pct"/>
            <w:vAlign w:val="center"/>
          </w:tcPr>
          <w:p w14:paraId="69A579A3">
            <w:pPr>
              <w:spacing w:before="156" w:after="156" w:line="300" w:lineRule="auto"/>
              <w:ind w:left="-31" w:leftChars="-13" w:firstLine="29" w:firstLineChars="14"/>
              <w:jc w:val="left"/>
              <w:rPr>
                <w:rFonts w:ascii="宋体" w:hAnsi="宋体" w:cs="宋体"/>
                <w:sz w:val="21"/>
                <w:szCs w:val="21"/>
                <w:highlight w:val="none"/>
              </w:rPr>
            </w:pPr>
            <w:r>
              <w:rPr>
                <w:rFonts w:ascii="宋体" w:hAnsi="宋体" w:cs="宋体"/>
                <w:sz w:val="21"/>
                <w:szCs w:val="21"/>
                <w:highlight w:val="none"/>
                <w:u w:val="single"/>
              </w:rPr>
              <w:t>5</w:t>
            </w:r>
            <w:r>
              <w:rPr>
                <w:rFonts w:hint="eastAsia" w:ascii="宋体" w:hAnsi="宋体" w:cs="宋体"/>
                <w:sz w:val="21"/>
                <w:szCs w:val="21"/>
                <w:highlight w:val="none"/>
              </w:rPr>
              <w:t>人及以上单数</w:t>
            </w:r>
          </w:p>
        </w:tc>
      </w:tr>
      <w:tr w14:paraId="7E09D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exact"/>
        </w:trPr>
        <w:tc>
          <w:tcPr>
            <w:tcW w:w="553" w:type="pct"/>
            <w:vAlign w:val="center"/>
          </w:tcPr>
          <w:p w14:paraId="735804D3">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6.2.3</w:t>
            </w:r>
          </w:p>
        </w:tc>
        <w:tc>
          <w:tcPr>
            <w:tcW w:w="1112" w:type="pct"/>
            <w:vAlign w:val="center"/>
          </w:tcPr>
          <w:p w14:paraId="46BEF48B">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推荐候选成交供应商的排序及数量</w:t>
            </w:r>
          </w:p>
        </w:tc>
        <w:tc>
          <w:tcPr>
            <w:tcW w:w="3334" w:type="pct"/>
            <w:vAlign w:val="center"/>
          </w:tcPr>
          <w:p w14:paraId="0A3DBBB3">
            <w:pPr>
              <w:ind w:firstLine="0" w:firstLineChars="0"/>
              <w:jc w:val="left"/>
              <w:rPr>
                <w:rFonts w:ascii="宋体" w:hAnsi="宋体" w:cs="宋体"/>
                <w:sz w:val="21"/>
                <w:szCs w:val="21"/>
                <w:highlight w:val="none"/>
              </w:rPr>
            </w:pPr>
            <w:r>
              <w:rPr>
                <w:rFonts w:hint="eastAsia" w:ascii="宋体" w:hAnsi="宋体" w:cs="宋体"/>
                <w:sz w:val="21"/>
                <w:szCs w:val="21"/>
                <w:highlight w:val="none"/>
              </w:rPr>
              <w:t>按照最终得分由高到低的顺序推荐</w:t>
            </w:r>
            <w:r>
              <w:rPr>
                <w:rFonts w:hint="eastAsia" w:ascii="宋体" w:hAnsi="宋体" w:cs="宋体"/>
                <w:sz w:val="21"/>
                <w:szCs w:val="21"/>
                <w:highlight w:val="none"/>
                <w:u w:val="single"/>
              </w:rPr>
              <w:t>1</w:t>
            </w:r>
            <w:r>
              <w:rPr>
                <w:rFonts w:hint="eastAsia" w:ascii="宋体" w:hAnsi="宋体" w:cs="宋体"/>
                <w:sz w:val="21"/>
                <w:szCs w:val="21"/>
                <w:highlight w:val="none"/>
              </w:rPr>
              <w:t>名候选成交供应商</w:t>
            </w:r>
          </w:p>
        </w:tc>
      </w:tr>
      <w:tr w14:paraId="73034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exact"/>
        </w:trPr>
        <w:tc>
          <w:tcPr>
            <w:tcW w:w="553" w:type="pct"/>
            <w:vAlign w:val="center"/>
          </w:tcPr>
          <w:p w14:paraId="6006865F">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7.4</w:t>
            </w:r>
          </w:p>
        </w:tc>
        <w:tc>
          <w:tcPr>
            <w:tcW w:w="1112" w:type="pct"/>
            <w:vAlign w:val="center"/>
          </w:tcPr>
          <w:p w14:paraId="2779EB96">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履约保证金</w:t>
            </w:r>
          </w:p>
        </w:tc>
        <w:tc>
          <w:tcPr>
            <w:tcW w:w="3334" w:type="pct"/>
            <w:vAlign w:val="center"/>
          </w:tcPr>
          <w:p w14:paraId="7B642D7F">
            <w:pPr>
              <w:ind w:firstLine="0" w:firstLineChars="0"/>
              <w:jc w:val="left"/>
              <w:rPr>
                <w:rFonts w:ascii="宋体" w:hAnsi="宋体" w:cs="宋体"/>
                <w:sz w:val="21"/>
                <w:szCs w:val="21"/>
                <w:highlight w:val="none"/>
              </w:rPr>
            </w:pPr>
            <w:r>
              <w:rPr>
                <w:rFonts w:hint="eastAsia" w:ascii="宋体" w:hAnsi="宋体" w:cs="宋体"/>
                <w:sz w:val="21"/>
                <w:szCs w:val="21"/>
                <w:highlight w:val="none"/>
              </w:rPr>
              <w:t>不要求递交</w:t>
            </w:r>
          </w:p>
        </w:tc>
      </w:tr>
      <w:tr w14:paraId="5A36E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exact"/>
        </w:trPr>
        <w:tc>
          <w:tcPr>
            <w:tcW w:w="553" w:type="pct"/>
            <w:vAlign w:val="center"/>
          </w:tcPr>
          <w:p w14:paraId="27C69E48">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8.1</w:t>
            </w:r>
          </w:p>
        </w:tc>
        <w:tc>
          <w:tcPr>
            <w:tcW w:w="1112" w:type="pct"/>
            <w:vAlign w:val="center"/>
          </w:tcPr>
          <w:p w14:paraId="74531BA3">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监督部门</w:t>
            </w:r>
          </w:p>
        </w:tc>
        <w:tc>
          <w:tcPr>
            <w:tcW w:w="3334" w:type="pct"/>
            <w:vAlign w:val="center"/>
          </w:tcPr>
          <w:p w14:paraId="330CD362">
            <w:pPr>
              <w:ind w:firstLine="0" w:firstLineChars="0"/>
              <w:jc w:val="left"/>
              <w:rPr>
                <w:rFonts w:ascii="宋体" w:hAnsi="宋体" w:cs="宋体"/>
                <w:sz w:val="21"/>
                <w:szCs w:val="21"/>
                <w:highlight w:val="none"/>
              </w:rPr>
            </w:pPr>
            <w:r>
              <w:rPr>
                <w:rFonts w:hint="eastAsia" w:ascii="宋体" w:hAnsi="宋体" w:cs="宋体"/>
                <w:sz w:val="21"/>
                <w:szCs w:val="21"/>
                <w:highlight w:val="none"/>
              </w:rPr>
              <w:t>见第一章“采购公告”</w:t>
            </w:r>
          </w:p>
        </w:tc>
      </w:tr>
    </w:tbl>
    <w:p w14:paraId="0ACFC4D0">
      <w:pPr>
        <w:ind w:firstLine="480"/>
        <w:rPr>
          <w:highlight w:val="none"/>
        </w:rPr>
      </w:pPr>
    </w:p>
    <w:p w14:paraId="5C6DBB52">
      <w:pPr>
        <w:widowControl/>
        <w:spacing w:line="240" w:lineRule="auto"/>
        <w:ind w:firstLine="0" w:firstLineChars="0"/>
        <w:jc w:val="left"/>
        <w:rPr>
          <w:highlight w:val="none"/>
        </w:rPr>
      </w:pPr>
      <w:r>
        <w:rPr>
          <w:highlight w:val="none"/>
        </w:rPr>
        <w:br w:type="page"/>
      </w:r>
    </w:p>
    <w:p w14:paraId="694598AA">
      <w:pPr>
        <w:pStyle w:val="3"/>
        <w:ind w:firstLine="482"/>
        <w:jc w:val="left"/>
        <w:rPr>
          <w:highlight w:val="none"/>
        </w:rPr>
      </w:pPr>
      <w:r>
        <w:rPr>
          <w:rFonts w:hint="eastAsia"/>
          <w:highlight w:val="none"/>
        </w:rPr>
        <w:t>1</w:t>
      </w:r>
      <w:r>
        <w:rPr>
          <w:highlight w:val="none"/>
        </w:rPr>
        <w:t xml:space="preserve"> </w:t>
      </w:r>
      <w:r>
        <w:rPr>
          <w:rFonts w:hint="eastAsia"/>
          <w:highlight w:val="none"/>
        </w:rPr>
        <w:t>总则</w:t>
      </w:r>
    </w:p>
    <w:p w14:paraId="6C6E6F85">
      <w:pPr>
        <w:pStyle w:val="4"/>
        <w:ind w:firstLine="482"/>
        <w:rPr>
          <w:highlight w:val="none"/>
        </w:rPr>
      </w:pPr>
      <w:r>
        <w:rPr>
          <w:rFonts w:hint="eastAsia"/>
          <w:highlight w:val="none"/>
        </w:rPr>
        <w:t>1.1采购方式</w:t>
      </w:r>
    </w:p>
    <w:p w14:paraId="02D5942A">
      <w:pPr>
        <w:ind w:firstLine="480"/>
        <w:rPr>
          <w:highlight w:val="none"/>
        </w:rPr>
      </w:pPr>
      <w:r>
        <w:rPr>
          <w:rFonts w:hint="eastAsia"/>
          <w:highlight w:val="none"/>
        </w:rPr>
        <w:t>本项目已具备条件，现对本项目采用</w:t>
      </w:r>
      <w:r>
        <w:rPr>
          <w:rFonts w:hint="eastAsia"/>
          <w:highlight w:val="none"/>
          <w:lang w:eastAsia="zh-CN"/>
        </w:rPr>
        <w:t>公开比选</w:t>
      </w:r>
      <w:r>
        <w:rPr>
          <w:rFonts w:hint="eastAsia"/>
          <w:highlight w:val="none"/>
        </w:rPr>
        <w:t>方式进行采购。</w:t>
      </w:r>
    </w:p>
    <w:p w14:paraId="2EEA8FF0">
      <w:pPr>
        <w:pStyle w:val="4"/>
        <w:ind w:firstLine="482"/>
        <w:rPr>
          <w:highlight w:val="none"/>
        </w:rPr>
      </w:pPr>
      <w:r>
        <w:rPr>
          <w:rFonts w:hint="eastAsia"/>
          <w:highlight w:val="none"/>
        </w:rPr>
        <w:t>1.</w:t>
      </w:r>
      <w:r>
        <w:rPr>
          <w:highlight w:val="none"/>
        </w:rPr>
        <w:t>2</w:t>
      </w:r>
      <w:r>
        <w:rPr>
          <w:rFonts w:hint="eastAsia"/>
          <w:highlight w:val="none"/>
        </w:rPr>
        <w:t>项目概况采购范围及相关要求</w:t>
      </w:r>
    </w:p>
    <w:p w14:paraId="655BB226">
      <w:pPr>
        <w:ind w:firstLine="480"/>
        <w:rPr>
          <w:highlight w:val="none"/>
        </w:rPr>
      </w:pPr>
      <w:r>
        <w:rPr>
          <w:rFonts w:hint="eastAsia"/>
          <w:highlight w:val="none"/>
        </w:rPr>
        <w:t>见第一章“采购公告”</w:t>
      </w:r>
    </w:p>
    <w:p w14:paraId="243062B2">
      <w:pPr>
        <w:pStyle w:val="4"/>
        <w:ind w:firstLine="482"/>
        <w:rPr>
          <w:highlight w:val="none"/>
        </w:rPr>
      </w:pPr>
      <w:r>
        <w:rPr>
          <w:rFonts w:hint="eastAsia"/>
          <w:highlight w:val="none"/>
        </w:rPr>
        <w:t>1.3供应商资格要求</w:t>
      </w:r>
    </w:p>
    <w:p w14:paraId="031B8863">
      <w:pPr>
        <w:ind w:firstLine="480"/>
        <w:rPr>
          <w:highlight w:val="none"/>
        </w:rPr>
      </w:pPr>
      <w:r>
        <w:rPr>
          <w:rFonts w:hint="eastAsia"/>
          <w:highlight w:val="none"/>
        </w:rPr>
        <w:t>见第一章“采购公告”。</w:t>
      </w:r>
    </w:p>
    <w:p w14:paraId="4595C1EE">
      <w:pPr>
        <w:pStyle w:val="4"/>
        <w:ind w:firstLine="482"/>
        <w:rPr>
          <w:highlight w:val="none"/>
        </w:rPr>
      </w:pPr>
      <w:r>
        <w:rPr>
          <w:rFonts w:hint="eastAsia"/>
          <w:highlight w:val="none"/>
        </w:rPr>
        <w:t>1.4费用承担</w:t>
      </w:r>
    </w:p>
    <w:p w14:paraId="06D4FE7F">
      <w:pPr>
        <w:ind w:firstLine="480"/>
        <w:rPr>
          <w:highlight w:val="none"/>
        </w:rPr>
      </w:pPr>
      <w:r>
        <w:rPr>
          <w:rFonts w:hint="eastAsia"/>
          <w:highlight w:val="none"/>
        </w:rPr>
        <w:t>供应商准备和参加采购活动发生的费用自理。</w:t>
      </w:r>
    </w:p>
    <w:p w14:paraId="01814E89">
      <w:pPr>
        <w:pStyle w:val="4"/>
        <w:ind w:firstLine="482"/>
        <w:rPr>
          <w:highlight w:val="none"/>
        </w:rPr>
      </w:pPr>
      <w:r>
        <w:rPr>
          <w:rFonts w:hint="eastAsia"/>
          <w:highlight w:val="none"/>
        </w:rPr>
        <w:t>1.5 保密</w:t>
      </w:r>
    </w:p>
    <w:p w14:paraId="25BA33D3">
      <w:pPr>
        <w:ind w:firstLine="480"/>
        <w:rPr>
          <w:highlight w:val="none"/>
        </w:rPr>
      </w:pPr>
      <w:r>
        <w:rPr>
          <w:rFonts w:hint="eastAsia"/>
          <w:highlight w:val="none"/>
        </w:rPr>
        <w:t>供应商应对采购文件及采购活动中获知的采购人商业和技术等未公开信息保密，违者应对由此造成的后果承担法律责任。</w:t>
      </w:r>
    </w:p>
    <w:p w14:paraId="7EDD7165">
      <w:pPr>
        <w:pStyle w:val="4"/>
        <w:ind w:firstLine="482"/>
        <w:rPr>
          <w:highlight w:val="none"/>
        </w:rPr>
      </w:pPr>
      <w:r>
        <w:rPr>
          <w:rFonts w:hint="eastAsia"/>
          <w:highlight w:val="none"/>
        </w:rPr>
        <w:t>1.6 语言文字</w:t>
      </w:r>
    </w:p>
    <w:p w14:paraId="7425FEDF">
      <w:pPr>
        <w:ind w:firstLine="480"/>
        <w:rPr>
          <w:highlight w:val="none"/>
        </w:rPr>
      </w:pPr>
      <w:r>
        <w:rPr>
          <w:rFonts w:hint="eastAsia"/>
          <w:highlight w:val="none"/>
        </w:rPr>
        <w:t>除专用术语外，语言均使用中文（必要时专用术语应附有中文注释）。</w:t>
      </w:r>
    </w:p>
    <w:p w14:paraId="7BA22C3F">
      <w:pPr>
        <w:pStyle w:val="4"/>
        <w:ind w:firstLine="482"/>
        <w:rPr>
          <w:highlight w:val="none"/>
        </w:rPr>
      </w:pPr>
      <w:r>
        <w:rPr>
          <w:rFonts w:hint="eastAsia"/>
          <w:highlight w:val="none"/>
        </w:rPr>
        <w:t>1.7 计量单位</w:t>
      </w:r>
    </w:p>
    <w:p w14:paraId="4DDC0CDC">
      <w:pPr>
        <w:ind w:firstLine="480"/>
        <w:rPr>
          <w:highlight w:val="none"/>
        </w:rPr>
      </w:pPr>
      <w:r>
        <w:rPr>
          <w:rFonts w:hint="eastAsia"/>
          <w:highlight w:val="none"/>
        </w:rPr>
        <w:t>所有计量均采用中华人民共和国法定计量单位（采购文件另有要求的，按照采购文件要求执行）。</w:t>
      </w:r>
    </w:p>
    <w:p w14:paraId="0EEB10B7">
      <w:pPr>
        <w:pStyle w:val="4"/>
        <w:ind w:firstLine="482"/>
        <w:rPr>
          <w:highlight w:val="none"/>
        </w:rPr>
      </w:pPr>
      <w:r>
        <w:rPr>
          <w:rFonts w:hint="eastAsia"/>
          <w:highlight w:val="none"/>
        </w:rPr>
        <w:t>1.8 踏勘现场</w:t>
      </w:r>
    </w:p>
    <w:p w14:paraId="1F322C13">
      <w:pPr>
        <w:ind w:firstLine="480"/>
        <w:rPr>
          <w:highlight w:val="none"/>
        </w:rPr>
      </w:pPr>
      <w:r>
        <w:rPr>
          <w:rFonts w:hint="eastAsia"/>
          <w:highlight w:val="none"/>
        </w:rPr>
        <w:t>1.8.1采购人不组织踏勘现场，供应商自行踏勘现场。</w:t>
      </w:r>
    </w:p>
    <w:p w14:paraId="45FE7DA0">
      <w:pPr>
        <w:ind w:firstLine="480"/>
        <w:rPr>
          <w:highlight w:val="none"/>
        </w:rPr>
      </w:pPr>
      <w:r>
        <w:rPr>
          <w:rFonts w:hint="eastAsia"/>
          <w:highlight w:val="none"/>
        </w:rPr>
        <w:t>1.8.2供应商踏勘现场发生的费用自理。</w:t>
      </w:r>
    </w:p>
    <w:p w14:paraId="31426A1D">
      <w:pPr>
        <w:ind w:firstLine="480"/>
        <w:rPr>
          <w:highlight w:val="none"/>
        </w:rPr>
      </w:pPr>
      <w:r>
        <w:rPr>
          <w:rFonts w:hint="eastAsia"/>
          <w:highlight w:val="none"/>
        </w:rPr>
        <w:t>1.8.</w:t>
      </w:r>
      <w:r>
        <w:rPr>
          <w:highlight w:val="none"/>
        </w:rPr>
        <w:t>3</w:t>
      </w:r>
      <w:r>
        <w:rPr>
          <w:rFonts w:hint="eastAsia"/>
          <w:highlight w:val="none"/>
        </w:rPr>
        <w:t>供应商自行负责在踏勘现场中所发生的人员伤亡和财产损失等全部责任。</w:t>
      </w:r>
    </w:p>
    <w:p w14:paraId="6484B5F5">
      <w:pPr>
        <w:pStyle w:val="4"/>
        <w:ind w:firstLine="482"/>
        <w:rPr>
          <w:highlight w:val="none"/>
        </w:rPr>
      </w:pPr>
      <w:r>
        <w:rPr>
          <w:rFonts w:hint="eastAsia"/>
          <w:highlight w:val="none"/>
        </w:rPr>
        <w:t>1.9 分包</w:t>
      </w:r>
    </w:p>
    <w:p w14:paraId="5DF4DF59">
      <w:pPr>
        <w:ind w:firstLine="480"/>
        <w:rPr>
          <w:highlight w:val="none"/>
        </w:rPr>
      </w:pPr>
      <w:r>
        <w:rPr>
          <w:rFonts w:hint="eastAsia"/>
          <w:highlight w:val="none"/>
        </w:rPr>
        <w:t>不允许供应商在成交后将本项目的任何部分工作进行分包。</w:t>
      </w:r>
    </w:p>
    <w:p w14:paraId="36F6AE3B">
      <w:pPr>
        <w:pStyle w:val="3"/>
        <w:ind w:firstLine="482"/>
        <w:jc w:val="left"/>
        <w:rPr>
          <w:highlight w:val="none"/>
        </w:rPr>
      </w:pPr>
      <w:r>
        <w:rPr>
          <w:rFonts w:hint="eastAsia"/>
          <w:highlight w:val="none"/>
        </w:rPr>
        <w:t>2</w:t>
      </w:r>
      <w:r>
        <w:rPr>
          <w:highlight w:val="none"/>
        </w:rPr>
        <w:t xml:space="preserve"> </w:t>
      </w:r>
      <w:r>
        <w:rPr>
          <w:rFonts w:hint="eastAsia"/>
          <w:highlight w:val="none"/>
        </w:rPr>
        <w:t>采购文件</w:t>
      </w:r>
    </w:p>
    <w:p w14:paraId="35F553CC">
      <w:pPr>
        <w:pStyle w:val="4"/>
        <w:ind w:firstLine="482"/>
        <w:rPr>
          <w:highlight w:val="none"/>
        </w:rPr>
      </w:pPr>
      <w:r>
        <w:rPr>
          <w:rFonts w:hint="eastAsia"/>
          <w:highlight w:val="none"/>
        </w:rPr>
        <w:t>2.1采购文件组成</w:t>
      </w:r>
    </w:p>
    <w:p w14:paraId="4FD888D0">
      <w:pPr>
        <w:ind w:firstLine="480"/>
        <w:rPr>
          <w:highlight w:val="none"/>
        </w:rPr>
      </w:pPr>
      <w:r>
        <w:rPr>
          <w:rFonts w:hint="eastAsia"/>
          <w:highlight w:val="none"/>
        </w:rPr>
        <w:t>本采购文件共</w:t>
      </w:r>
      <w:r>
        <w:rPr>
          <w:rFonts w:hint="eastAsia"/>
          <w:highlight w:val="none"/>
          <w:lang w:val="en-US" w:eastAsia="zh-CN"/>
        </w:rPr>
        <w:t>五</w:t>
      </w:r>
      <w:r>
        <w:rPr>
          <w:rFonts w:hint="eastAsia"/>
          <w:highlight w:val="none"/>
        </w:rPr>
        <w:t>章，内容如下：</w:t>
      </w:r>
    </w:p>
    <w:p w14:paraId="7BCA14A8">
      <w:pPr>
        <w:ind w:firstLine="480"/>
        <w:rPr>
          <w:highlight w:val="none"/>
        </w:rPr>
      </w:pPr>
      <w:r>
        <w:rPr>
          <w:rFonts w:hint="eastAsia"/>
          <w:highlight w:val="none"/>
        </w:rPr>
        <w:t>第一章 采购公告</w:t>
      </w:r>
    </w:p>
    <w:p w14:paraId="28A72354">
      <w:pPr>
        <w:ind w:firstLine="480"/>
        <w:rPr>
          <w:highlight w:val="none"/>
        </w:rPr>
      </w:pPr>
      <w:r>
        <w:rPr>
          <w:rFonts w:hint="eastAsia"/>
          <w:highlight w:val="none"/>
        </w:rPr>
        <w:t>第二章 供应商须知</w:t>
      </w:r>
    </w:p>
    <w:p w14:paraId="4D7C2907">
      <w:pPr>
        <w:ind w:firstLine="480"/>
        <w:rPr>
          <w:highlight w:val="none"/>
        </w:rPr>
      </w:pPr>
      <w:r>
        <w:rPr>
          <w:rFonts w:hint="eastAsia"/>
          <w:highlight w:val="none"/>
        </w:rPr>
        <w:t>第三章 评审方法</w:t>
      </w:r>
    </w:p>
    <w:p w14:paraId="5DF6DAEE">
      <w:pPr>
        <w:ind w:firstLine="480"/>
        <w:rPr>
          <w:highlight w:val="none"/>
        </w:rPr>
      </w:pPr>
      <w:r>
        <w:rPr>
          <w:rFonts w:hint="eastAsia"/>
          <w:highlight w:val="none"/>
        </w:rPr>
        <w:t>第</w:t>
      </w:r>
      <w:r>
        <w:rPr>
          <w:rFonts w:hint="eastAsia"/>
          <w:highlight w:val="none"/>
          <w:lang w:val="en-US" w:eastAsia="zh-CN"/>
        </w:rPr>
        <w:t>四</w:t>
      </w:r>
      <w:r>
        <w:rPr>
          <w:rFonts w:hint="eastAsia"/>
          <w:highlight w:val="none"/>
        </w:rPr>
        <w:t>章 采购需求</w:t>
      </w:r>
    </w:p>
    <w:p w14:paraId="35A52A5C">
      <w:pPr>
        <w:ind w:firstLine="480"/>
        <w:rPr>
          <w:highlight w:val="none"/>
        </w:rPr>
      </w:pPr>
      <w:r>
        <w:rPr>
          <w:rFonts w:hint="eastAsia"/>
          <w:highlight w:val="none"/>
        </w:rPr>
        <w:t>第</w:t>
      </w:r>
      <w:r>
        <w:rPr>
          <w:rFonts w:hint="eastAsia"/>
          <w:highlight w:val="none"/>
          <w:lang w:val="en-US" w:eastAsia="zh-CN"/>
        </w:rPr>
        <w:t>五</w:t>
      </w:r>
      <w:r>
        <w:rPr>
          <w:rFonts w:hint="eastAsia"/>
          <w:highlight w:val="none"/>
        </w:rPr>
        <w:t>章</w:t>
      </w:r>
      <w:r>
        <w:rPr>
          <w:highlight w:val="none"/>
        </w:rPr>
        <w:t xml:space="preserve"> </w:t>
      </w:r>
      <w:r>
        <w:rPr>
          <w:rFonts w:hint="eastAsia"/>
          <w:highlight w:val="none"/>
        </w:rPr>
        <w:t>响应文件格式</w:t>
      </w:r>
    </w:p>
    <w:p w14:paraId="39C83DF8">
      <w:pPr>
        <w:ind w:firstLine="480"/>
        <w:rPr>
          <w:highlight w:val="none"/>
        </w:rPr>
      </w:pPr>
      <w:r>
        <w:rPr>
          <w:rFonts w:hint="eastAsia"/>
          <w:highlight w:val="none"/>
        </w:rPr>
        <w:t>采购人根据本章规定对采购文件所作的澄清、修改，构成采购文件的组成部分。</w:t>
      </w:r>
    </w:p>
    <w:p w14:paraId="3DE8B6CB">
      <w:pPr>
        <w:pStyle w:val="4"/>
        <w:ind w:firstLine="482"/>
        <w:rPr>
          <w:highlight w:val="none"/>
        </w:rPr>
      </w:pPr>
      <w:r>
        <w:rPr>
          <w:rFonts w:hint="eastAsia"/>
          <w:highlight w:val="none"/>
        </w:rPr>
        <w:t>2.2 采购文件的澄清</w:t>
      </w:r>
    </w:p>
    <w:p w14:paraId="4504C862">
      <w:pPr>
        <w:ind w:firstLine="480"/>
        <w:rPr>
          <w:highlight w:val="none"/>
        </w:rPr>
      </w:pPr>
      <w:r>
        <w:rPr>
          <w:rFonts w:hint="eastAsia"/>
          <w:highlight w:val="none"/>
        </w:rPr>
        <w:t>2.2.1供应商应仔细阅读和检查采购文件的全部内容。如发现缺页或附件不全，应及时向采购人提出，以便补齐。如有疑问，应在供应商须知前附表规定的时间前以书面形式，要求采购人对采购文件予以澄清。</w:t>
      </w:r>
    </w:p>
    <w:p w14:paraId="5E443CD0">
      <w:pPr>
        <w:ind w:firstLine="480"/>
        <w:rPr>
          <w:highlight w:val="none"/>
        </w:rPr>
      </w:pPr>
      <w:r>
        <w:rPr>
          <w:rFonts w:hint="eastAsia"/>
          <w:highlight w:val="none"/>
        </w:rPr>
        <w:t>2</w:t>
      </w:r>
      <w:r>
        <w:rPr>
          <w:highlight w:val="none"/>
        </w:rPr>
        <w:t>.2.2</w:t>
      </w:r>
      <w:r>
        <w:rPr>
          <w:rFonts w:hint="eastAsia"/>
          <w:highlight w:val="none"/>
        </w:rPr>
        <w:t>采购人可根据供应商的要求或主动对采购文件进行澄清或修改。采购人可视具体情况在补充文件中通知供应商推迟递交响应文件的截止时间。</w:t>
      </w:r>
    </w:p>
    <w:p w14:paraId="338BEC0E">
      <w:pPr>
        <w:ind w:firstLine="480"/>
        <w:rPr>
          <w:highlight w:val="none"/>
        </w:rPr>
      </w:pPr>
      <w:r>
        <w:rPr>
          <w:rFonts w:hint="eastAsia"/>
          <w:highlight w:val="none"/>
        </w:rPr>
        <w:t>2.2.3供应商在收到补充文件后，应按供应商须知前附表规定的时间和方式通知采购人，确认已收到该补充文件，逾期未通知采购人的默认为充分认可采购人发出的补充文件。</w:t>
      </w:r>
    </w:p>
    <w:p w14:paraId="6434B6CF">
      <w:pPr>
        <w:ind w:firstLine="480"/>
        <w:rPr>
          <w:highlight w:val="none"/>
        </w:rPr>
      </w:pPr>
      <w:r>
        <w:rPr>
          <w:rFonts w:hint="eastAsia"/>
          <w:highlight w:val="none"/>
        </w:rPr>
        <w:t>2</w:t>
      </w:r>
      <w:r>
        <w:rPr>
          <w:highlight w:val="none"/>
        </w:rPr>
        <w:t>.2.4</w:t>
      </w:r>
      <w:r>
        <w:rPr>
          <w:rFonts w:hint="eastAsia"/>
          <w:highlight w:val="none"/>
        </w:rPr>
        <w:t>采购人有权拒绝回复供应商在供应商须知前附表规定的时间后提出的任何澄清要求。</w:t>
      </w:r>
    </w:p>
    <w:p w14:paraId="5C91A503">
      <w:pPr>
        <w:pStyle w:val="3"/>
        <w:ind w:firstLine="482"/>
        <w:jc w:val="left"/>
        <w:rPr>
          <w:highlight w:val="none"/>
        </w:rPr>
      </w:pPr>
      <w:r>
        <w:rPr>
          <w:rFonts w:hint="eastAsia"/>
          <w:highlight w:val="none"/>
        </w:rPr>
        <w:t>3</w:t>
      </w:r>
      <w:r>
        <w:rPr>
          <w:highlight w:val="none"/>
        </w:rPr>
        <w:t xml:space="preserve"> </w:t>
      </w:r>
      <w:r>
        <w:rPr>
          <w:rFonts w:hint="eastAsia"/>
          <w:highlight w:val="none"/>
        </w:rPr>
        <w:t>响应文件</w:t>
      </w:r>
    </w:p>
    <w:p w14:paraId="2E49641C">
      <w:pPr>
        <w:pStyle w:val="4"/>
        <w:ind w:firstLine="482"/>
        <w:rPr>
          <w:highlight w:val="none"/>
        </w:rPr>
      </w:pPr>
      <w:r>
        <w:rPr>
          <w:rFonts w:hint="eastAsia"/>
          <w:highlight w:val="none"/>
        </w:rPr>
        <w:t>3.1 响应文件的组成</w:t>
      </w:r>
    </w:p>
    <w:p w14:paraId="754CFFBA">
      <w:pPr>
        <w:ind w:firstLine="480"/>
        <w:rPr>
          <w:highlight w:val="none"/>
        </w:rPr>
      </w:pPr>
      <w:r>
        <w:rPr>
          <w:rFonts w:hint="eastAsia"/>
          <w:highlight w:val="none"/>
        </w:rPr>
        <w:t>3</w:t>
      </w:r>
      <w:r>
        <w:rPr>
          <w:highlight w:val="none"/>
        </w:rPr>
        <w:t>.1.1</w:t>
      </w:r>
      <w:r>
        <w:rPr>
          <w:rFonts w:hint="eastAsia"/>
          <w:highlight w:val="none"/>
        </w:rPr>
        <w:t>响应文件应包含下列内容</w:t>
      </w:r>
    </w:p>
    <w:p w14:paraId="64BCC061">
      <w:pPr>
        <w:ind w:firstLine="480"/>
        <w:rPr>
          <w:highlight w:val="none"/>
        </w:rPr>
      </w:pPr>
      <w:r>
        <w:rPr>
          <w:rFonts w:hint="eastAsia"/>
          <w:highlight w:val="none"/>
        </w:rPr>
        <w:t xml:space="preserve">第一册 </w:t>
      </w:r>
      <w:r>
        <w:rPr>
          <w:highlight w:val="none"/>
        </w:rPr>
        <w:t xml:space="preserve"> </w:t>
      </w:r>
      <w:r>
        <w:rPr>
          <w:rFonts w:hint="eastAsia"/>
          <w:highlight w:val="none"/>
        </w:rPr>
        <w:t>资格审查部分</w:t>
      </w:r>
    </w:p>
    <w:p w14:paraId="15C9B0C9">
      <w:pPr>
        <w:ind w:firstLine="480"/>
        <w:rPr>
          <w:highlight w:val="none"/>
        </w:rPr>
      </w:pPr>
      <w:r>
        <w:rPr>
          <w:rFonts w:hint="eastAsia"/>
          <w:highlight w:val="none"/>
        </w:rPr>
        <w:t>（1）承诺函</w:t>
      </w:r>
    </w:p>
    <w:p w14:paraId="32061A51">
      <w:pPr>
        <w:ind w:firstLine="480"/>
        <w:rPr>
          <w:highlight w:val="none"/>
        </w:rPr>
      </w:pPr>
      <w:r>
        <w:rPr>
          <w:rFonts w:hint="eastAsia"/>
          <w:highlight w:val="none"/>
        </w:rPr>
        <w:t>（2）营业执照或其他组织证书（提供复印件并加盖公章）</w:t>
      </w:r>
    </w:p>
    <w:p w14:paraId="16031583">
      <w:pPr>
        <w:ind w:firstLine="480"/>
        <w:rPr>
          <w:highlight w:val="none"/>
        </w:rPr>
      </w:pPr>
      <w:r>
        <w:rPr>
          <w:rFonts w:hint="eastAsia"/>
          <w:highlight w:val="none"/>
        </w:rPr>
        <w:t>（3）法定代表人（分支机构负责人）身份证明（提供复印件并加盖公章）</w:t>
      </w:r>
    </w:p>
    <w:p w14:paraId="6CAEEB0D">
      <w:pPr>
        <w:ind w:firstLine="480"/>
        <w:rPr>
          <w:highlight w:val="none"/>
        </w:rPr>
      </w:pPr>
      <w:r>
        <w:rPr>
          <w:rFonts w:hint="eastAsia"/>
          <w:highlight w:val="none"/>
        </w:rPr>
        <w:t>（4）授权委托书原件，授权代理人本人身份证复印件（如有授权）</w:t>
      </w:r>
    </w:p>
    <w:p w14:paraId="3BC2431D">
      <w:pPr>
        <w:ind w:firstLine="480"/>
        <w:rPr>
          <w:rFonts w:hint="eastAsia"/>
          <w:highlight w:val="none"/>
          <w:lang w:eastAsia="zh-CN"/>
        </w:rPr>
      </w:pPr>
      <w:r>
        <w:rPr>
          <w:rFonts w:hint="eastAsia"/>
          <w:highlight w:val="none"/>
        </w:rPr>
        <w:t>（</w:t>
      </w:r>
      <w:r>
        <w:rPr>
          <w:rFonts w:hint="eastAsia"/>
          <w:highlight w:val="none"/>
          <w:lang w:val="en-US" w:eastAsia="zh-CN"/>
        </w:rPr>
        <w:t>5</w:t>
      </w:r>
      <w:r>
        <w:rPr>
          <w:rFonts w:hint="eastAsia"/>
          <w:highlight w:val="none"/>
        </w:rPr>
        <w:t>）</w:t>
      </w:r>
      <w:r>
        <w:rPr>
          <w:rFonts w:hint="eastAsia"/>
          <w:highlight w:val="none"/>
          <w:lang w:eastAsia="zh-CN"/>
        </w:rPr>
        <w:t>资质证书</w:t>
      </w:r>
    </w:p>
    <w:p w14:paraId="2CFCF3DF">
      <w:pPr>
        <w:ind w:firstLine="480"/>
        <w:rPr>
          <w:rFonts w:hint="eastAsia"/>
          <w:highlight w:val="none"/>
          <w:lang w:eastAsia="zh-CN"/>
        </w:rPr>
      </w:pPr>
      <w:r>
        <w:rPr>
          <w:rFonts w:hint="eastAsia"/>
          <w:highlight w:val="none"/>
        </w:rPr>
        <w:t>（</w:t>
      </w:r>
      <w:r>
        <w:rPr>
          <w:rFonts w:hint="eastAsia"/>
          <w:highlight w:val="none"/>
          <w:lang w:val="en-US" w:eastAsia="zh-CN"/>
        </w:rPr>
        <w:t>6</w:t>
      </w:r>
      <w:r>
        <w:rPr>
          <w:rFonts w:hint="eastAsia"/>
          <w:highlight w:val="none"/>
        </w:rPr>
        <w:t>）</w:t>
      </w:r>
      <w:r>
        <w:rPr>
          <w:rFonts w:hint="eastAsia"/>
          <w:highlight w:val="none"/>
          <w:lang w:eastAsia="zh-CN"/>
        </w:rPr>
        <w:t>承诺书</w:t>
      </w:r>
    </w:p>
    <w:p w14:paraId="239B6029">
      <w:pPr>
        <w:ind w:firstLine="480"/>
        <w:rPr>
          <w:highlight w:val="none"/>
        </w:rPr>
      </w:pPr>
      <w:r>
        <w:rPr>
          <w:rFonts w:hint="eastAsia"/>
          <w:highlight w:val="none"/>
        </w:rPr>
        <w:t>（</w:t>
      </w:r>
      <w:r>
        <w:rPr>
          <w:rFonts w:hint="eastAsia"/>
          <w:highlight w:val="none"/>
          <w:lang w:val="en-US" w:eastAsia="zh-CN"/>
        </w:rPr>
        <w:t>7</w:t>
      </w:r>
      <w:r>
        <w:rPr>
          <w:rFonts w:hint="eastAsia"/>
          <w:highlight w:val="none"/>
        </w:rPr>
        <w:t>）供应商认为需要提交的其他资料</w:t>
      </w:r>
    </w:p>
    <w:p w14:paraId="1916A909">
      <w:pPr>
        <w:ind w:firstLine="480"/>
        <w:rPr>
          <w:b/>
          <w:bCs/>
          <w:highlight w:val="none"/>
        </w:rPr>
      </w:pPr>
      <w:r>
        <w:rPr>
          <w:rFonts w:hint="eastAsia"/>
          <w:highlight w:val="none"/>
        </w:rPr>
        <w:t xml:space="preserve">第二册 </w:t>
      </w:r>
      <w:r>
        <w:rPr>
          <w:highlight w:val="none"/>
        </w:rPr>
        <w:t xml:space="preserve"> </w:t>
      </w:r>
      <w:r>
        <w:rPr>
          <w:rFonts w:hint="eastAsia"/>
          <w:highlight w:val="none"/>
        </w:rPr>
        <w:t>商务技术部分</w:t>
      </w:r>
    </w:p>
    <w:p w14:paraId="29827437">
      <w:pPr>
        <w:numPr>
          <w:ilvl w:val="0"/>
          <w:numId w:val="2"/>
        </w:numPr>
        <w:ind w:firstLine="480"/>
        <w:rPr>
          <w:highlight w:val="none"/>
        </w:rPr>
      </w:pPr>
      <w:r>
        <w:rPr>
          <w:rFonts w:hint="eastAsia"/>
          <w:highlight w:val="none"/>
        </w:rPr>
        <w:t>商务和技术偏离表</w:t>
      </w:r>
    </w:p>
    <w:p w14:paraId="50C3C49A">
      <w:pPr>
        <w:widowControl/>
        <w:ind w:firstLine="480"/>
        <w:jc w:val="left"/>
        <w:rPr>
          <w:rFonts w:hint="default" w:eastAsia="宋体"/>
          <w:lang w:val="en-US" w:eastAsia="zh-CN"/>
        </w:rPr>
      </w:pPr>
      <w:r>
        <w:rPr>
          <w:rFonts w:hint="eastAsia"/>
          <w:highlight w:val="none"/>
        </w:rPr>
        <w:t>（</w:t>
      </w:r>
      <w:r>
        <w:rPr>
          <w:highlight w:val="none"/>
        </w:rPr>
        <w:t>2</w:t>
      </w:r>
      <w:r>
        <w:rPr>
          <w:rFonts w:hint="eastAsia"/>
          <w:highlight w:val="none"/>
        </w:rPr>
        <w:t>）参选报价</w:t>
      </w:r>
      <w:r>
        <w:rPr>
          <w:rFonts w:hint="eastAsia"/>
          <w:highlight w:val="none"/>
          <w:lang w:eastAsia="zh-CN"/>
        </w:rPr>
        <w:t>（</w:t>
      </w:r>
      <w:r>
        <w:rPr>
          <w:rFonts w:hint="eastAsia"/>
          <w:highlight w:val="none"/>
          <w:lang w:val="en-US" w:eastAsia="zh-CN"/>
        </w:rPr>
        <w:t>利率）</w:t>
      </w:r>
    </w:p>
    <w:p w14:paraId="760B2E62">
      <w:pPr>
        <w:ind w:firstLine="480"/>
        <w:rPr>
          <w:rFonts w:hint="default" w:eastAsia="宋体"/>
          <w:color w:val="000000" w:themeColor="text1"/>
          <w:highlight w:val="none"/>
          <w:lang w:val="en-US" w:eastAsia="zh-CN"/>
          <w14:textFill>
            <w14:solidFill>
              <w14:schemeClr w14:val="tx1"/>
            </w14:solidFill>
          </w14:textFill>
        </w:rPr>
      </w:pPr>
      <w:r>
        <w:rPr>
          <w:rFonts w:hint="eastAsia"/>
          <w:highlight w:val="none"/>
        </w:rPr>
        <w:t>（3）</w:t>
      </w:r>
      <w:r>
        <w:rPr>
          <w:rFonts w:hint="eastAsia"/>
          <w:highlight w:val="none"/>
          <w:lang w:val="en-US" w:eastAsia="zh-CN"/>
        </w:rPr>
        <w:t>商务</w:t>
      </w:r>
      <w:r>
        <w:rPr>
          <w:rFonts w:hint="eastAsia"/>
          <w:color w:val="000000" w:themeColor="text1"/>
          <w:highlight w:val="none"/>
          <w:lang w:val="en-US" w:eastAsia="zh-CN"/>
          <w14:textFill>
            <w14:solidFill>
              <w14:schemeClr w14:val="tx1"/>
            </w14:solidFill>
          </w14:textFill>
        </w:rPr>
        <w:t>技术部分</w:t>
      </w:r>
    </w:p>
    <w:p w14:paraId="40F2D7E8">
      <w:pPr>
        <w:ind w:firstLine="480"/>
        <w:rPr>
          <w:highlight w:val="none"/>
        </w:rPr>
      </w:pPr>
      <w:r>
        <w:rPr>
          <w:rFonts w:hint="eastAsia"/>
          <w:highlight w:val="none"/>
        </w:rPr>
        <w:t>供应商在评审过程中做出的符合采购文件要求的澄清、说明、补正，构成响应文件的组成部分。</w:t>
      </w:r>
    </w:p>
    <w:p w14:paraId="7E57350E">
      <w:pPr>
        <w:pStyle w:val="4"/>
        <w:ind w:firstLine="482"/>
        <w:rPr>
          <w:highlight w:val="none"/>
        </w:rPr>
      </w:pPr>
      <w:r>
        <w:rPr>
          <w:rFonts w:hint="eastAsia"/>
          <w:highlight w:val="none"/>
        </w:rPr>
        <w:t>3</w:t>
      </w:r>
      <w:r>
        <w:rPr>
          <w:highlight w:val="none"/>
        </w:rPr>
        <w:t xml:space="preserve">.2 </w:t>
      </w:r>
      <w:r>
        <w:rPr>
          <w:rFonts w:hint="eastAsia"/>
          <w:highlight w:val="none"/>
        </w:rPr>
        <w:t>报价</w:t>
      </w:r>
    </w:p>
    <w:p w14:paraId="575C506E">
      <w:pPr>
        <w:ind w:firstLine="480"/>
        <w:rPr>
          <w:highlight w:val="none"/>
        </w:rPr>
      </w:pPr>
      <w:r>
        <w:rPr>
          <w:rFonts w:hint="eastAsia"/>
          <w:highlight w:val="none"/>
        </w:rPr>
        <w:t>3</w:t>
      </w:r>
      <w:r>
        <w:rPr>
          <w:highlight w:val="none"/>
        </w:rPr>
        <w:t>.2.1</w:t>
      </w:r>
      <w:r>
        <w:rPr>
          <w:rFonts w:hint="eastAsia"/>
          <w:highlight w:val="none"/>
        </w:rPr>
        <w:t>供应商应按采购文件提供的格式（</w:t>
      </w:r>
      <w:r>
        <w:rPr>
          <w:rFonts w:hint="eastAsia"/>
          <w:highlight w:val="none"/>
          <w:lang w:eastAsia="zh-CN"/>
        </w:rPr>
        <w:t>见第五章</w:t>
      </w:r>
      <w:r>
        <w:rPr>
          <w:rFonts w:hint="eastAsia"/>
          <w:highlight w:val="none"/>
        </w:rPr>
        <w:t>“响应文件格式”）在</w:t>
      </w:r>
      <w:r>
        <w:rPr>
          <w:rFonts w:hint="eastAsia"/>
          <w:highlight w:val="none"/>
          <w:lang w:val="en-US" w:eastAsia="zh-CN"/>
        </w:rPr>
        <w:t>响应函</w:t>
      </w:r>
      <w:r>
        <w:rPr>
          <w:rFonts w:hint="eastAsia"/>
          <w:highlight w:val="none"/>
        </w:rPr>
        <w:t>进行报价。</w:t>
      </w:r>
      <w:r>
        <w:rPr>
          <w:rFonts w:hint="eastAsia"/>
          <w:highlight w:val="none"/>
          <w:lang w:val="en-US" w:eastAsia="zh-CN"/>
        </w:rPr>
        <w:t>响应函</w:t>
      </w:r>
      <w:r>
        <w:rPr>
          <w:rFonts w:hint="eastAsia"/>
          <w:highlight w:val="none"/>
        </w:rPr>
        <w:t>中报价应为包含国家规定的增值税在内的含税价格，同时应列明增值税税率。</w:t>
      </w:r>
    </w:p>
    <w:p w14:paraId="6E064DF7">
      <w:pPr>
        <w:ind w:firstLine="480"/>
        <w:rPr>
          <w:highlight w:val="none"/>
        </w:rPr>
      </w:pPr>
      <w:r>
        <w:rPr>
          <w:rFonts w:hint="eastAsia"/>
          <w:highlight w:val="none"/>
        </w:rPr>
        <w:t>3.2.2供应商应充分了解采购项目的情况以及影响报价的其他要素。采购人在合同履行过程中，有权对项目实施的内容进行增加或减少。</w:t>
      </w:r>
    </w:p>
    <w:p w14:paraId="75D2BAE1">
      <w:pPr>
        <w:ind w:firstLine="480"/>
        <w:rPr>
          <w:highlight w:val="none"/>
        </w:rPr>
      </w:pPr>
      <w:r>
        <w:rPr>
          <w:rFonts w:hint="eastAsia"/>
          <w:highlight w:val="none"/>
        </w:rPr>
        <w:t>3.2.3采购人设有最高限价的，供应商的报价不得超过最高限价。</w:t>
      </w:r>
    </w:p>
    <w:p w14:paraId="3AB2F50D">
      <w:pPr>
        <w:pStyle w:val="4"/>
        <w:ind w:firstLine="482"/>
        <w:rPr>
          <w:highlight w:val="none"/>
        </w:rPr>
      </w:pPr>
      <w:r>
        <w:rPr>
          <w:rFonts w:hint="eastAsia"/>
          <w:highlight w:val="none"/>
        </w:rPr>
        <w:t>3.3</w:t>
      </w:r>
      <w:r>
        <w:rPr>
          <w:highlight w:val="none"/>
        </w:rPr>
        <w:t xml:space="preserve"> </w:t>
      </w:r>
      <w:r>
        <w:rPr>
          <w:rFonts w:hint="eastAsia"/>
          <w:highlight w:val="none"/>
        </w:rPr>
        <w:t>响应文件有效期</w:t>
      </w:r>
    </w:p>
    <w:p w14:paraId="01C78028">
      <w:pPr>
        <w:ind w:firstLine="480"/>
        <w:rPr>
          <w:highlight w:val="none"/>
        </w:rPr>
      </w:pPr>
      <w:r>
        <w:rPr>
          <w:rFonts w:hint="eastAsia"/>
          <w:highlight w:val="none"/>
        </w:rPr>
        <w:t>除供应商须知前附表另有规定外，响应文件有效期应为9</w:t>
      </w:r>
      <w:r>
        <w:rPr>
          <w:highlight w:val="none"/>
        </w:rPr>
        <w:t>0</w:t>
      </w:r>
      <w:r>
        <w:rPr>
          <w:rFonts w:hint="eastAsia"/>
          <w:highlight w:val="none"/>
        </w:rPr>
        <w:t>日，从采购文件规定的递交响应文件的截止时间开始计算。</w:t>
      </w:r>
    </w:p>
    <w:p w14:paraId="6B4D94CE">
      <w:pPr>
        <w:pStyle w:val="4"/>
        <w:ind w:firstLine="482"/>
        <w:rPr>
          <w:highlight w:val="none"/>
        </w:rPr>
      </w:pPr>
      <w:r>
        <w:rPr>
          <w:rFonts w:hint="eastAsia"/>
          <w:highlight w:val="none"/>
        </w:rPr>
        <w:t>3.4</w:t>
      </w:r>
      <w:r>
        <w:rPr>
          <w:highlight w:val="none"/>
        </w:rPr>
        <w:t xml:space="preserve"> </w:t>
      </w:r>
      <w:r>
        <w:rPr>
          <w:rFonts w:hint="eastAsia"/>
          <w:highlight w:val="none"/>
        </w:rPr>
        <w:t>响应保证金</w:t>
      </w:r>
    </w:p>
    <w:p w14:paraId="7857D549">
      <w:pPr>
        <w:ind w:firstLine="480"/>
        <w:rPr>
          <w:highlight w:val="none"/>
        </w:rPr>
      </w:pPr>
      <w:r>
        <w:rPr>
          <w:rFonts w:hint="eastAsia"/>
          <w:highlight w:val="none"/>
        </w:rPr>
        <w:t>本项目免收保证金</w:t>
      </w:r>
    </w:p>
    <w:p w14:paraId="10A364DD">
      <w:pPr>
        <w:pStyle w:val="4"/>
        <w:ind w:firstLine="482"/>
        <w:rPr>
          <w:highlight w:val="none"/>
        </w:rPr>
      </w:pPr>
      <w:r>
        <w:rPr>
          <w:rFonts w:hint="eastAsia"/>
          <w:highlight w:val="none"/>
        </w:rPr>
        <w:t>3.5</w:t>
      </w:r>
      <w:r>
        <w:rPr>
          <w:highlight w:val="none"/>
        </w:rPr>
        <w:t xml:space="preserve"> </w:t>
      </w:r>
      <w:r>
        <w:rPr>
          <w:rFonts w:hint="eastAsia"/>
          <w:highlight w:val="none"/>
        </w:rPr>
        <w:t>资格审查</w:t>
      </w:r>
    </w:p>
    <w:p w14:paraId="288BEE80">
      <w:pPr>
        <w:ind w:firstLine="480"/>
        <w:rPr>
          <w:highlight w:val="none"/>
        </w:rPr>
      </w:pPr>
      <w:r>
        <w:rPr>
          <w:rFonts w:hint="eastAsia"/>
          <w:highlight w:val="none"/>
        </w:rPr>
        <w:t>供应商应提供第三章“评审方法”规定的资格审查资料。</w:t>
      </w:r>
    </w:p>
    <w:p w14:paraId="37211305">
      <w:pPr>
        <w:pStyle w:val="4"/>
        <w:ind w:firstLine="482"/>
        <w:rPr>
          <w:highlight w:val="none"/>
        </w:rPr>
      </w:pPr>
      <w:r>
        <w:rPr>
          <w:rFonts w:hint="eastAsia"/>
          <w:highlight w:val="none"/>
        </w:rPr>
        <w:t>3</w:t>
      </w:r>
      <w:r>
        <w:rPr>
          <w:highlight w:val="none"/>
        </w:rPr>
        <w:t xml:space="preserve">.6 </w:t>
      </w:r>
      <w:r>
        <w:rPr>
          <w:rFonts w:hint="eastAsia"/>
          <w:highlight w:val="none"/>
        </w:rPr>
        <w:t>响应方案</w:t>
      </w:r>
    </w:p>
    <w:p w14:paraId="696CB8A4">
      <w:pPr>
        <w:ind w:firstLine="480"/>
        <w:rPr>
          <w:highlight w:val="none"/>
        </w:rPr>
      </w:pPr>
      <w:r>
        <w:rPr>
          <w:rFonts w:hint="eastAsia"/>
          <w:highlight w:val="none"/>
        </w:rPr>
        <w:t>3.6.1 响应文件应当对采购文件中的实质性内容作出响应。采购需求中明确为关键条款的，供应商应提供有关证据或证明材料。</w:t>
      </w:r>
    </w:p>
    <w:p w14:paraId="4FBC3F64">
      <w:pPr>
        <w:ind w:firstLine="480"/>
        <w:rPr>
          <w:highlight w:val="none"/>
        </w:rPr>
      </w:pPr>
      <w:r>
        <w:rPr>
          <w:rFonts w:hint="eastAsia"/>
          <w:highlight w:val="none"/>
        </w:rPr>
        <w:t>3.6.2 供应商只能提出唯一的响应方案。供应商在响应文件中提出多个响应方案的其响应文件将被视为无效。</w:t>
      </w:r>
    </w:p>
    <w:p w14:paraId="4169BE81">
      <w:pPr>
        <w:ind w:firstLine="480"/>
        <w:rPr>
          <w:highlight w:val="none"/>
        </w:rPr>
      </w:pPr>
      <w:r>
        <w:rPr>
          <w:rFonts w:hint="eastAsia"/>
          <w:highlight w:val="none"/>
        </w:rPr>
        <w:t>3.6.3 响应文件对采购文件的全部偏差，均应在响应文件的商务和技术偏差表中列明。响应文件偏差表中未列明的内容，将视为供应商响应采购文件的要求；但如发现响应文件的其他部分与商务和技术偏差表的描述不一致或供应商的响应缺乏支持性文件，则评审小组有权要求供应商对相关问题进行澄清，并根据澄清结果对供应商的响应文件进行评审。</w:t>
      </w:r>
    </w:p>
    <w:p w14:paraId="2FE1A7A2">
      <w:pPr>
        <w:pStyle w:val="4"/>
        <w:ind w:firstLine="482"/>
        <w:rPr>
          <w:highlight w:val="none"/>
        </w:rPr>
      </w:pPr>
      <w:r>
        <w:rPr>
          <w:rFonts w:hint="eastAsia"/>
          <w:highlight w:val="none"/>
        </w:rPr>
        <w:t>3</w:t>
      </w:r>
      <w:r>
        <w:rPr>
          <w:highlight w:val="none"/>
        </w:rPr>
        <w:t xml:space="preserve">.7 </w:t>
      </w:r>
      <w:r>
        <w:rPr>
          <w:rFonts w:hint="eastAsia"/>
          <w:highlight w:val="none"/>
        </w:rPr>
        <w:t>响应文件的编制</w:t>
      </w:r>
    </w:p>
    <w:p w14:paraId="0EEE239B">
      <w:pPr>
        <w:ind w:firstLine="480"/>
        <w:rPr>
          <w:highlight w:val="none"/>
        </w:rPr>
      </w:pPr>
      <w:r>
        <w:rPr>
          <w:rFonts w:hint="eastAsia"/>
          <w:highlight w:val="none"/>
        </w:rPr>
        <w:t>3</w:t>
      </w:r>
      <w:r>
        <w:rPr>
          <w:highlight w:val="none"/>
        </w:rPr>
        <w:t>.7.1</w:t>
      </w:r>
      <w:r>
        <w:rPr>
          <w:rFonts w:hint="eastAsia"/>
          <w:highlight w:val="none"/>
        </w:rPr>
        <w:t>响应文件应按第六章“响应文件格式”进行编写，如有必要，可以增加附件作为响应文件的组成部分。</w:t>
      </w:r>
    </w:p>
    <w:p w14:paraId="2A3B4A6F">
      <w:pPr>
        <w:ind w:firstLine="480"/>
        <w:rPr>
          <w:highlight w:val="none"/>
        </w:rPr>
      </w:pPr>
      <w:r>
        <w:rPr>
          <w:rFonts w:hint="eastAsia"/>
          <w:highlight w:val="none"/>
        </w:rPr>
        <w:t>3.7.2 响应文件应用不褪色的材料书写或打印。</w:t>
      </w:r>
    </w:p>
    <w:p w14:paraId="7F0CC0C8">
      <w:pPr>
        <w:ind w:firstLine="480"/>
        <w:rPr>
          <w:highlight w:val="none"/>
        </w:rPr>
      </w:pPr>
      <w:r>
        <w:rPr>
          <w:rFonts w:hint="eastAsia"/>
          <w:highlight w:val="none"/>
          <w:lang w:eastAsia="zh-CN"/>
        </w:rPr>
        <w:t>报价表</w:t>
      </w:r>
      <w:r>
        <w:rPr>
          <w:rFonts w:hint="eastAsia"/>
          <w:highlight w:val="none"/>
        </w:rPr>
        <w:t>应由供应商的法定代表人（单位负责人）或其授权代理人签字并加盖单位公章。</w:t>
      </w:r>
    </w:p>
    <w:p w14:paraId="458AAD3D">
      <w:pPr>
        <w:ind w:firstLine="480"/>
        <w:rPr>
          <w:highlight w:val="none"/>
        </w:rPr>
      </w:pPr>
      <w:r>
        <w:rPr>
          <w:rFonts w:hint="eastAsia"/>
          <w:highlight w:val="none"/>
          <w:lang w:eastAsia="zh-CN"/>
        </w:rPr>
        <w:t>报价表</w:t>
      </w:r>
      <w:r>
        <w:rPr>
          <w:rFonts w:hint="eastAsia"/>
          <w:highlight w:val="none"/>
        </w:rPr>
        <w:t>由代理人签字的，应在响应文件中附授权委托书，授权委托书应由供应商法定代表人（单位负责人）签字并加盖单位公章。</w:t>
      </w:r>
    </w:p>
    <w:p w14:paraId="582DA112">
      <w:pPr>
        <w:ind w:firstLine="480"/>
        <w:rPr>
          <w:highlight w:val="none"/>
        </w:rPr>
      </w:pPr>
      <w:r>
        <w:rPr>
          <w:rFonts w:hint="eastAsia"/>
          <w:highlight w:val="none"/>
        </w:rPr>
        <w:t>3.7.3评审过程中供应商对响应文件的澄清、说明和补正应由供应商的法定代表人（单位负责人）或其授权的代理人签字或加盖单位公章。</w:t>
      </w:r>
    </w:p>
    <w:p w14:paraId="2B7D7523">
      <w:pPr>
        <w:ind w:firstLine="480"/>
        <w:rPr>
          <w:highlight w:val="none"/>
        </w:rPr>
      </w:pPr>
      <w:r>
        <w:rPr>
          <w:rFonts w:hint="eastAsia"/>
          <w:highlight w:val="none"/>
        </w:rPr>
        <w:t>3.7.4响应文件应尽量避免涂改、行间插字或删除。如果出现上述情况，改动之处由供应商的法定代表人（单位负责人）或其授权的代理人签字或加盖单</w:t>
      </w:r>
      <w:r>
        <w:rPr>
          <w:rFonts w:hint="eastAsia"/>
          <w:highlight w:val="none"/>
          <w:lang w:eastAsia="zh-CN"/>
        </w:rPr>
        <w:t>位公</w:t>
      </w:r>
      <w:r>
        <w:rPr>
          <w:rFonts w:hint="eastAsia"/>
          <w:highlight w:val="none"/>
        </w:rPr>
        <w:t>章。</w:t>
      </w:r>
    </w:p>
    <w:p w14:paraId="1767CF04">
      <w:pPr>
        <w:ind w:firstLine="480"/>
        <w:rPr>
          <w:highlight w:val="none"/>
        </w:rPr>
      </w:pPr>
      <w:r>
        <w:rPr>
          <w:rFonts w:hint="eastAsia"/>
          <w:highlight w:val="none"/>
        </w:rPr>
        <w:t>3.7.5响应文件正本一份副本份数见供应商须知前附表。正本和副本的封面右上应清楚地标记“正本”或“副本”的字样。供应商应根据供应商须知前附表要求提交电子版文件。当副本和正本不一致或电子版文件和纸质正本文件不一致时，以纸质正本文件为准。</w:t>
      </w:r>
    </w:p>
    <w:p w14:paraId="4C1EEC7B">
      <w:pPr>
        <w:ind w:firstLine="480"/>
        <w:rPr>
          <w:highlight w:val="none"/>
        </w:rPr>
      </w:pPr>
      <w:r>
        <w:rPr>
          <w:rFonts w:hint="eastAsia"/>
          <w:highlight w:val="none"/>
        </w:rPr>
        <w:t>3.7.6响应文件的正本与副本应分别装订，并编制目录。响应文件需分册装订的，具体分册装订要求见供应商须知前附表规定。</w:t>
      </w:r>
    </w:p>
    <w:p w14:paraId="00A4E676">
      <w:pPr>
        <w:pStyle w:val="3"/>
        <w:ind w:firstLine="482"/>
        <w:jc w:val="left"/>
        <w:rPr>
          <w:highlight w:val="none"/>
        </w:rPr>
      </w:pPr>
      <w:r>
        <w:rPr>
          <w:rFonts w:hint="eastAsia"/>
          <w:highlight w:val="none"/>
        </w:rPr>
        <w:t>4</w:t>
      </w:r>
      <w:r>
        <w:rPr>
          <w:highlight w:val="none"/>
        </w:rPr>
        <w:t xml:space="preserve"> </w:t>
      </w:r>
      <w:r>
        <w:rPr>
          <w:rFonts w:hint="eastAsia"/>
          <w:highlight w:val="none"/>
        </w:rPr>
        <w:t>响应文件的递交</w:t>
      </w:r>
    </w:p>
    <w:p w14:paraId="1525D654">
      <w:pPr>
        <w:pStyle w:val="4"/>
        <w:ind w:firstLine="482"/>
        <w:rPr>
          <w:highlight w:val="none"/>
        </w:rPr>
      </w:pPr>
      <w:r>
        <w:rPr>
          <w:rFonts w:hint="eastAsia"/>
          <w:highlight w:val="none"/>
        </w:rPr>
        <w:t>4</w:t>
      </w:r>
      <w:r>
        <w:rPr>
          <w:highlight w:val="none"/>
        </w:rPr>
        <w:t>.</w:t>
      </w:r>
      <w:r>
        <w:rPr>
          <w:rFonts w:hint="eastAsia"/>
          <w:highlight w:val="none"/>
        </w:rPr>
        <w:t>1</w:t>
      </w:r>
      <w:r>
        <w:rPr>
          <w:highlight w:val="none"/>
        </w:rPr>
        <w:t xml:space="preserve"> </w:t>
      </w:r>
      <w:r>
        <w:rPr>
          <w:rFonts w:hint="eastAsia"/>
          <w:highlight w:val="none"/>
        </w:rPr>
        <w:t>响应文件的包装与标记</w:t>
      </w:r>
    </w:p>
    <w:p w14:paraId="3DF686E9">
      <w:pPr>
        <w:ind w:firstLine="480"/>
        <w:rPr>
          <w:highlight w:val="none"/>
        </w:rPr>
      </w:pPr>
      <w:r>
        <w:rPr>
          <w:rFonts w:hint="eastAsia"/>
          <w:highlight w:val="none"/>
        </w:rPr>
        <w:t>4.1.1 响应文件应密封包装，未密封的响应文件，采购人将拒绝接收；</w:t>
      </w:r>
    </w:p>
    <w:p w14:paraId="052DF28D">
      <w:pPr>
        <w:ind w:firstLine="480"/>
        <w:rPr>
          <w:highlight w:val="none"/>
        </w:rPr>
      </w:pPr>
      <w:r>
        <w:rPr>
          <w:rFonts w:hint="eastAsia"/>
          <w:highlight w:val="none"/>
        </w:rPr>
        <w:t>4.1.2</w:t>
      </w:r>
      <w:r>
        <w:rPr>
          <w:highlight w:val="none"/>
        </w:rPr>
        <w:t xml:space="preserve"> </w:t>
      </w:r>
      <w:r>
        <w:rPr>
          <w:rFonts w:hint="eastAsia"/>
          <w:highlight w:val="none"/>
        </w:rPr>
        <w:t>响应文件封面上应载明的内容见供应商须知前附表。</w:t>
      </w:r>
    </w:p>
    <w:p w14:paraId="0A510553">
      <w:pPr>
        <w:pStyle w:val="4"/>
        <w:ind w:firstLine="482"/>
        <w:rPr>
          <w:highlight w:val="none"/>
        </w:rPr>
      </w:pPr>
      <w:r>
        <w:rPr>
          <w:rFonts w:hint="eastAsia"/>
          <w:highlight w:val="none"/>
        </w:rPr>
        <w:t>4.2</w:t>
      </w:r>
      <w:r>
        <w:rPr>
          <w:highlight w:val="none"/>
        </w:rPr>
        <w:t xml:space="preserve"> </w:t>
      </w:r>
      <w:r>
        <w:rPr>
          <w:rFonts w:hint="eastAsia"/>
          <w:highlight w:val="none"/>
        </w:rPr>
        <w:t>响应文件的递交</w:t>
      </w:r>
    </w:p>
    <w:p w14:paraId="1574DF82">
      <w:pPr>
        <w:ind w:firstLine="480"/>
        <w:rPr>
          <w:highlight w:val="none"/>
        </w:rPr>
      </w:pPr>
      <w:r>
        <w:rPr>
          <w:rFonts w:hint="eastAsia"/>
          <w:highlight w:val="none"/>
        </w:rPr>
        <w:t>4.2</w:t>
      </w:r>
      <w:r>
        <w:rPr>
          <w:highlight w:val="none"/>
        </w:rPr>
        <w:t>.</w:t>
      </w:r>
      <w:r>
        <w:rPr>
          <w:rFonts w:hint="eastAsia"/>
          <w:highlight w:val="none"/>
        </w:rPr>
        <w:t>1</w:t>
      </w:r>
      <w:r>
        <w:rPr>
          <w:highlight w:val="none"/>
        </w:rPr>
        <w:t xml:space="preserve"> </w:t>
      </w:r>
      <w:r>
        <w:rPr>
          <w:rFonts w:hint="eastAsia"/>
          <w:highlight w:val="none"/>
        </w:rPr>
        <w:t>供应商应在供应商须知前附表规定的递交响应文件的截止时间前，将响应文件递交至供应商须知前附表规定的地点。逾期送达的或者未送达指定地点的响应文件采购人将拒绝接收。</w:t>
      </w:r>
    </w:p>
    <w:p w14:paraId="43254FFE">
      <w:pPr>
        <w:ind w:firstLine="480"/>
        <w:rPr>
          <w:highlight w:val="none"/>
        </w:rPr>
      </w:pPr>
      <w:r>
        <w:rPr>
          <w:rFonts w:hint="eastAsia"/>
          <w:highlight w:val="none"/>
        </w:rPr>
        <w:t>4.2.2</w:t>
      </w:r>
      <w:r>
        <w:rPr>
          <w:highlight w:val="none"/>
        </w:rPr>
        <w:t xml:space="preserve"> </w:t>
      </w:r>
      <w:r>
        <w:rPr>
          <w:rFonts w:hint="eastAsia"/>
          <w:highlight w:val="none"/>
        </w:rPr>
        <w:t>除供应商须知前附表另有规定外，供应商所递交的响应文件不予退还。</w:t>
      </w:r>
    </w:p>
    <w:p w14:paraId="0F73302C">
      <w:pPr>
        <w:pStyle w:val="4"/>
        <w:ind w:firstLine="482"/>
        <w:rPr>
          <w:highlight w:val="none"/>
        </w:rPr>
      </w:pPr>
      <w:r>
        <w:rPr>
          <w:rFonts w:hint="eastAsia"/>
          <w:highlight w:val="none"/>
        </w:rPr>
        <w:t>4.3响应文件的修改与撤回</w:t>
      </w:r>
    </w:p>
    <w:p w14:paraId="60D541A7">
      <w:pPr>
        <w:ind w:firstLine="480"/>
        <w:rPr>
          <w:highlight w:val="none"/>
        </w:rPr>
      </w:pPr>
      <w:r>
        <w:rPr>
          <w:rFonts w:hint="eastAsia"/>
          <w:highlight w:val="none"/>
        </w:rPr>
        <w:t>4.3.1在供应商须知前附表规定的递交响应文件的截止时间前供应商可以修改或撤回已递交的响应文件，但应以书面形式通知采购人。</w:t>
      </w:r>
    </w:p>
    <w:p w14:paraId="2F712188">
      <w:pPr>
        <w:ind w:firstLine="480"/>
        <w:rPr>
          <w:highlight w:val="none"/>
        </w:rPr>
      </w:pPr>
      <w:r>
        <w:rPr>
          <w:rFonts w:hint="eastAsia"/>
          <w:highlight w:val="none"/>
        </w:rPr>
        <w:t>4.3.2响应文件的修改文件或供应商撤回已递交响应文件的书面通知应由供应商的法定代表人（单位负责人）或其授权的代理人签字并加盖单位公章。采购人收到供应商撤回响应文件的书面通知后，退回供应商的响应文件。修改的内容为响应文件的组成部分，响应文件的修改文件应按照本章第3</w:t>
      </w:r>
      <w:r>
        <w:rPr>
          <w:rFonts w:hint="eastAsia"/>
          <w:highlight w:val="none"/>
          <w:lang w:eastAsia="zh-CN"/>
        </w:rPr>
        <w:t>条和</w:t>
      </w:r>
      <w:r>
        <w:rPr>
          <w:rFonts w:hint="eastAsia"/>
          <w:highlight w:val="none"/>
        </w:rPr>
        <w:t>第4条的规定进行编制、包装、标记和递交，并标明“修改”字样。</w:t>
      </w:r>
    </w:p>
    <w:p w14:paraId="3A24A75B">
      <w:pPr>
        <w:pStyle w:val="3"/>
        <w:ind w:firstLine="482"/>
        <w:jc w:val="left"/>
        <w:rPr>
          <w:highlight w:val="none"/>
        </w:rPr>
      </w:pPr>
      <w:r>
        <w:rPr>
          <w:rFonts w:hint="eastAsia"/>
          <w:highlight w:val="none"/>
        </w:rPr>
        <w:t>5</w:t>
      </w:r>
      <w:r>
        <w:rPr>
          <w:highlight w:val="none"/>
        </w:rPr>
        <w:t xml:space="preserve"> </w:t>
      </w:r>
      <w:r>
        <w:rPr>
          <w:rFonts w:hint="eastAsia"/>
          <w:highlight w:val="none"/>
        </w:rPr>
        <w:t>开启响应文件</w:t>
      </w:r>
    </w:p>
    <w:p w14:paraId="32D3368C">
      <w:pPr>
        <w:pStyle w:val="4"/>
        <w:ind w:firstLine="482"/>
        <w:rPr>
          <w:highlight w:val="none"/>
        </w:rPr>
      </w:pPr>
      <w:r>
        <w:rPr>
          <w:rFonts w:hint="eastAsia"/>
          <w:highlight w:val="none"/>
        </w:rPr>
        <w:t>5</w:t>
      </w:r>
      <w:r>
        <w:rPr>
          <w:highlight w:val="none"/>
        </w:rPr>
        <w:t>.</w:t>
      </w:r>
      <w:r>
        <w:rPr>
          <w:rFonts w:hint="eastAsia"/>
          <w:highlight w:val="none"/>
        </w:rPr>
        <w:t>1</w:t>
      </w:r>
      <w:r>
        <w:rPr>
          <w:highlight w:val="none"/>
        </w:rPr>
        <w:t xml:space="preserve"> </w:t>
      </w:r>
      <w:r>
        <w:rPr>
          <w:rFonts w:hint="eastAsia"/>
          <w:highlight w:val="none"/>
        </w:rPr>
        <w:t>开启响应文件的时间和地点</w:t>
      </w:r>
    </w:p>
    <w:p w14:paraId="7A3647FE">
      <w:pPr>
        <w:ind w:firstLine="480"/>
        <w:rPr>
          <w:highlight w:val="none"/>
        </w:rPr>
      </w:pPr>
      <w:r>
        <w:rPr>
          <w:rFonts w:hint="eastAsia"/>
          <w:highlight w:val="none"/>
        </w:rPr>
        <w:t>本项目邀请所有供应商的法定代表人或其授权代理人参加现场评审会议。</w:t>
      </w:r>
    </w:p>
    <w:p w14:paraId="0083809D">
      <w:pPr>
        <w:pStyle w:val="4"/>
        <w:ind w:firstLine="482"/>
        <w:rPr>
          <w:highlight w:val="none"/>
        </w:rPr>
      </w:pPr>
      <w:r>
        <w:rPr>
          <w:rFonts w:hint="eastAsia"/>
          <w:highlight w:val="none"/>
        </w:rPr>
        <w:t>5</w:t>
      </w:r>
      <w:r>
        <w:rPr>
          <w:highlight w:val="none"/>
        </w:rPr>
        <w:t xml:space="preserve">.2 </w:t>
      </w:r>
      <w:r>
        <w:rPr>
          <w:rFonts w:hint="eastAsia"/>
          <w:highlight w:val="none"/>
        </w:rPr>
        <w:t>开启程序</w:t>
      </w:r>
    </w:p>
    <w:p w14:paraId="73132B72">
      <w:pPr>
        <w:ind w:firstLine="480"/>
        <w:rPr>
          <w:highlight w:val="none"/>
        </w:rPr>
      </w:pPr>
      <w:r>
        <w:rPr>
          <w:rFonts w:hint="eastAsia"/>
          <w:highlight w:val="none"/>
        </w:rPr>
        <w:t>主持人按下列程序公开开启响应文件</w:t>
      </w:r>
    </w:p>
    <w:p w14:paraId="7252F2C6">
      <w:pPr>
        <w:ind w:firstLine="480"/>
        <w:rPr>
          <w:highlight w:val="none"/>
        </w:rPr>
      </w:pPr>
      <w:r>
        <w:rPr>
          <w:rFonts w:hint="eastAsia"/>
          <w:highlight w:val="none"/>
        </w:rPr>
        <w:t>（1）宣布开启会议纪律；</w:t>
      </w:r>
    </w:p>
    <w:p w14:paraId="391A7BF6">
      <w:pPr>
        <w:ind w:firstLine="480"/>
        <w:rPr>
          <w:highlight w:val="none"/>
        </w:rPr>
      </w:pPr>
      <w:r>
        <w:rPr>
          <w:rFonts w:hint="eastAsia"/>
          <w:highlight w:val="none"/>
        </w:rPr>
        <w:t>（2）宣布参加开启会议的工作人员姓名；</w:t>
      </w:r>
    </w:p>
    <w:p w14:paraId="31B61F52">
      <w:pPr>
        <w:ind w:firstLine="480"/>
        <w:rPr>
          <w:highlight w:val="none"/>
        </w:rPr>
      </w:pPr>
      <w:r>
        <w:rPr>
          <w:rFonts w:hint="eastAsia"/>
          <w:highlight w:val="none"/>
        </w:rPr>
        <w:t>（3）纪检监督员检查确认响应文件的密封情况；</w:t>
      </w:r>
    </w:p>
    <w:p w14:paraId="0068FE1E">
      <w:pPr>
        <w:ind w:firstLine="480"/>
        <w:rPr>
          <w:highlight w:val="none"/>
        </w:rPr>
      </w:pPr>
      <w:r>
        <w:rPr>
          <w:rFonts w:hint="eastAsia"/>
          <w:highlight w:val="none"/>
        </w:rPr>
        <w:t>（4）按照供应商前附表规定的开启顺序开启响应文件，公布递交响应文件的供应商名称；</w:t>
      </w:r>
    </w:p>
    <w:p w14:paraId="0D918AC1">
      <w:pPr>
        <w:ind w:firstLine="480"/>
        <w:rPr>
          <w:highlight w:val="none"/>
        </w:rPr>
      </w:pPr>
      <w:r>
        <w:rPr>
          <w:rFonts w:hint="eastAsia"/>
          <w:highlight w:val="none"/>
        </w:rPr>
        <w:t>（5）相关工作人员等在响应文件开启记录上签字确认；</w:t>
      </w:r>
    </w:p>
    <w:p w14:paraId="6A9B5E9C">
      <w:pPr>
        <w:ind w:firstLine="480"/>
        <w:rPr>
          <w:highlight w:val="none"/>
        </w:rPr>
      </w:pPr>
      <w:r>
        <w:rPr>
          <w:rFonts w:hint="eastAsia"/>
          <w:highlight w:val="none"/>
        </w:rPr>
        <w:t>（6）宣布有关注意事项；</w:t>
      </w:r>
    </w:p>
    <w:p w14:paraId="40F6E0C1">
      <w:pPr>
        <w:ind w:firstLine="480"/>
        <w:rPr>
          <w:highlight w:val="none"/>
        </w:rPr>
      </w:pPr>
      <w:r>
        <w:rPr>
          <w:rFonts w:hint="eastAsia"/>
          <w:highlight w:val="none"/>
        </w:rPr>
        <w:t>（7）开启会议结束。</w:t>
      </w:r>
    </w:p>
    <w:p w14:paraId="6EE80FEC">
      <w:pPr>
        <w:pStyle w:val="4"/>
        <w:ind w:firstLine="482"/>
        <w:rPr>
          <w:highlight w:val="none"/>
        </w:rPr>
      </w:pPr>
      <w:r>
        <w:rPr>
          <w:rFonts w:hint="eastAsia"/>
          <w:highlight w:val="none"/>
        </w:rPr>
        <w:t>5.3</w:t>
      </w:r>
      <w:r>
        <w:rPr>
          <w:highlight w:val="none"/>
        </w:rPr>
        <w:t xml:space="preserve"> </w:t>
      </w:r>
      <w:r>
        <w:rPr>
          <w:rFonts w:hint="eastAsia"/>
          <w:highlight w:val="none"/>
        </w:rPr>
        <w:t>递交响应文件的供应商不足的情形</w:t>
      </w:r>
    </w:p>
    <w:p w14:paraId="13ABF84B">
      <w:pPr>
        <w:pStyle w:val="3"/>
        <w:ind w:firstLine="480"/>
        <w:jc w:val="left"/>
        <w:rPr>
          <w:b w:val="0"/>
          <w:bCs w:val="0"/>
          <w:highlight w:val="none"/>
        </w:rPr>
      </w:pPr>
      <w:r>
        <w:rPr>
          <w:rFonts w:hint="eastAsia"/>
          <w:b w:val="0"/>
          <w:bCs w:val="0"/>
          <w:highlight w:val="none"/>
        </w:rPr>
        <w:t>递交响应文件的供应商数量不足三家的本项目中止。</w:t>
      </w:r>
    </w:p>
    <w:p w14:paraId="357F74D5">
      <w:pPr>
        <w:pStyle w:val="3"/>
        <w:ind w:firstLine="482"/>
        <w:jc w:val="left"/>
        <w:rPr>
          <w:highlight w:val="none"/>
        </w:rPr>
      </w:pPr>
      <w:r>
        <w:rPr>
          <w:rFonts w:hint="eastAsia"/>
          <w:highlight w:val="none"/>
        </w:rPr>
        <w:t>6</w:t>
      </w:r>
      <w:r>
        <w:rPr>
          <w:highlight w:val="none"/>
        </w:rPr>
        <w:t xml:space="preserve"> </w:t>
      </w:r>
      <w:r>
        <w:rPr>
          <w:rFonts w:hint="eastAsia"/>
          <w:highlight w:val="none"/>
        </w:rPr>
        <w:t>评审</w:t>
      </w:r>
    </w:p>
    <w:p w14:paraId="03758D9B">
      <w:pPr>
        <w:pStyle w:val="4"/>
        <w:ind w:firstLine="482"/>
        <w:rPr>
          <w:highlight w:val="none"/>
        </w:rPr>
      </w:pPr>
      <w:r>
        <w:rPr>
          <w:rFonts w:hint="eastAsia"/>
          <w:highlight w:val="none"/>
        </w:rPr>
        <w:t>6.1</w:t>
      </w:r>
      <w:r>
        <w:rPr>
          <w:highlight w:val="none"/>
        </w:rPr>
        <w:t xml:space="preserve"> </w:t>
      </w:r>
      <w:r>
        <w:rPr>
          <w:rFonts w:hint="eastAsia"/>
          <w:highlight w:val="none"/>
        </w:rPr>
        <w:t>评审小组</w:t>
      </w:r>
    </w:p>
    <w:p w14:paraId="4B9FBB92">
      <w:pPr>
        <w:ind w:firstLine="480"/>
        <w:rPr>
          <w:highlight w:val="none"/>
        </w:rPr>
      </w:pPr>
      <w:r>
        <w:rPr>
          <w:rFonts w:hint="eastAsia"/>
          <w:highlight w:val="none"/>
        </w:rPr>
        <w:t>6.1.1评审由采购人组建的评审小组负责，评委的人数见供应商须知前附表。</w:t>
      </w:r>
    </w:p>
    <w:p w14:paraId="126286DC">
      <w:pPr>
        <w:ind w:firstLine="480"/>
        <w:rPr>
          <w:highlight w:val="none"/>
        </w:rPr>
      </w:pPr>
      <w:r>
        <w:rPr>
          <w:rFonts w:hint="eastAsia"/>
          <w:highlight w:val="none"/>
        </w:rPr>
        <w:t>6.1.2评审小组成员有下列情形之一的，应当回避：</w:t>
      </w:r>
    </w:p>
    <w:p w14:paraId="51B842F9">
      <w:pPr>
        <w:ind w:firstLine="480"/>
        <w:rPr>
          <w:highlight w:val="none"/>
        </w:rPr>
      </w:pPr>
      <w:r>
        <w:rPr>
          <w:rFonts w:hint="eastAsia"/>
          <w:highlight w:val="none"/>
        </w:rPr>
        <w:t>（1）供应商主要负责人或供应商主要负责人的近亲属；</w:t>
      </w:r>
    </w:p>
    <w:p w14:paraId="472B481F">
      <w:pPr>
        <w:ind w:firstLine="480"/>
        <w:rPr>
          <w:highlight w:val="none"/>
        </w:rPr>
      </w:pPr>
      <w:r>
        <w:rPr>
          <w:rFonts w:hint="eastAsia"/>
          <w:highlight w:val="none"/>
        </w:rPr>
        <w:t>（2）与供应商有经济利益关系或其他利害关系，可能影响公正评审的。</w:t>
      </w:r>
    </w:p>
    <w:p w14:paraId="063F5D96">
      <w:pPr>
        <w:ind w:firstLine="480"/>
        <w:rPr>
          <w:highlight w:val="none"/>
        </w:rPr>
      </w:pPr>
      <w:r>
        <w:rPr>
          <w:rFonts w:hint="eastAsia"/>
          <w:highlight w:val="none"/>
        </w:rPr>
        <w:t>6.1.3 评审小组组建后，评审小组成员共同推选评审小组组长，评审小组组长负责组织评审工作。</w:t>
      </w:r>
    </w:p>
    <w:p w14:paraId="138A87A8">
      <w:pPr>
        <w:ind w:firstLine="480"/>
        <w:rPr>
          <w:highlight w:val="none"/>
        </w:rPr>
      </w:pPr>
      <w:r>
        <w:rPr>
          <w:rFonts w:hint="eastAsia"/>
          <w:highlight w:val="none"/>
        </w:rPr>
        <w:t>6.1.4在评审过程中评审小组成员对需要共同认定的事项存在争议的，将按照少数服从多数的原则作出结论。持不同意见的评审小组成员应当在评审报告上签署不同意见及理由，否则视为同意评审报告。</w:t>
      </w:r>
    </w:p>
    <w:p w14:paraId="7D06AF5C">
      <w:pPr>
        <w:pStyle w:val="4"/>
        <w:ind w:firstLine="482"/>
        <w:rPr>
          <w:highlight w:val="none"/>
        </w:rPr>
      </w:pPr>
      <w:r>
        <w:rPr>
          <w:rFonts w:hint="eastAsia"/>
          <w:highlight w:val="none"/>
        </w:rPr>
        <w:t>6.2</w:t>
      </w:r>
      <w:r>
        <w:rPr>
          <w:highlight w:val="none"/>
        </w:rPr>
        <w:t xml:space="preserve"> </w:t>
      </w:r>
      <w:r>
        <w:rPr>
          <w:rFonts w:hint="eastAsia"/>
          <w:highlight w:val="none"/>
        </w:rPr>
        <w:t>评审</w:t>
      </w:r>
    </w:p>
    <w:p w14:paraId="7DA44DD2">
      <w:pPr>
        <w:ind w:firstLine="480"/>
        <w:rPr>
          <w:highlight w:val="none"/>
        </w:rPr>
      </w:pPr>
      <w:r>
        <w:rPr>
          <w:rFonts w:hint="eastAsia"/>
          <w:highlight w:val="none"/>
        </w:rPr>
        <w:t>6.2</w:t>
      </w:r>
      <w:r>
        <w:rPr>
          <w:highlight w:val="none"/>
        </w:rPr>
        <w:t>.</w:t>
      </w:r>
      <w:r>
        <w:rPr>
          <w:rFonts w:hint="eastAsia"/>
          <w:highlight w:val="none"/>
        </w:rPr>
        <w:t>1评审小组按照第三章“评审方法”规定的评审标准和程序对响应文件进行评审和比较。</w:t>
      </w:r>
    </w:p>
    <w:p w14:paraId="1D115274">
      <w:pPr>
        <w:ind w:firstLine="480"/>
        <w:rPr>
          <w:highlight w:val="none"/>
        </w:rPr>
      </w:pPr>
      <w:r>
        <w:rPr>
          <w:rFonts w:hint="eastAsia"/>
          <w:highlight w:val="none"/>
        </w:rPr>
        <w:t>6</w:t>
      </w:r>
      <w:r>
        <w:rPr>
          <w:highlight w:val="none"/>
        </w:rPr>
        <w:t>.2.2</w:t>
      </w:r>
      <w:r>
        <w:rPr>
          <w:rFonts w:hint="eastAsia"/>
          <w:highlight w:val="none"/>
        </w:rPr>
        <w:t>评审时发现供应商有串通报价、弄虚作假等违法行为的，其响应文件将被视为无效。</w:t>
      </w:r>
    </w:p>
    <w:p w14:paraId="23C7374C">
      <w:pPr>
        <w:ind w:firstLine="480"/>
        <w:rPr>
          <w:highlight w:val="none"/>
        </w:rPr>
      </w:pPr>
      <w:r>
        <w:rPr>
          <w:rFonts w:hint="eastAsia"/>
          <w:highlight w:val="none"/>
        </w:rPr>
        <w:t>6.2.</w:t>
      </w:r>
      <w:r>
        <w:rPr>
          <w:highlight w:val="none"/>
        </w:rPr>
        <w:t>3</w:t>
      </w:r>
      <w:r>
        <w:rPr>
          <w:rFonts w:hint="eastAsia"/>
          <w:highlight w:val="none"/>
        </w:rPr>
        <w:t>评审完成后，评审小组应当向采购人提交书面评审报告和候选成交供应商名单。评审小组推荐候选成交供应商的排序要求及数量见供应商须知前附表。</w:t>
      </w:r>
    </w:p>
    <w:p w14:paraId="48A44E39">
      <w:pPr>
        <w:pStyle w:val="4"/>
        <w:ind w:firstLine="482"/>
        <w:rPr>
          <w:highlight w:val="none"/>
        </w:rPr>
      </w:pPr>
      <w:r>
        <w:rPr>
          <w:rFonts w:hint="eastAsia"/>
          <w:highlight w:val="none"/>
        </w:rPr>
        <w:t>6.3</w:t>
      </w:r>
      <w:r>
        <w:rPr>
          <w:highlight w:val="none"/>
        </w:rPr>
        <w:t xml:space="preserve"> </w:t>
      </w:r>
      <w:r>
        <w:rPr>
          <w:rFonts w:hint="eastAsia"/>
          <w:highlight w:val="none"/>
        </w:rPr>
        <w:t>定标</w:t>
      </w:r>
    </w:p>
    <w:p w14:paraId="609C359C">
      <w:pPr>
        <w:ind w:firstLine="482"/>
        <w:rPr>
          <w:highlight w:val="none"/>
        </w:rPr>
      </w:pPr>
      <w:r>
        <w:rPr>
          <w:rFonts w:hint="eastAsia"/>
          <w:b/>
          <w:bCs/>
          <w:highlight w:val="none"/>
        </w:rPr>
        <w:t>按照须知前附表的规定，授权评审小组依法确定成交供应商。</w:t>
      </w:r>
    </w:p>
    <w:p w14:paraId="65F1C118">
      <w:pPr>
        <w:pStyle w:val="3"/>
        <w:ind w:firstLine="482"/>
        <w:jc w:val="left"/>
        <w:rPr>
          <w:highlight w:val="none"/>
        </w:rPr>
      </w:pPr>
      <w:r>
        <w:rPr>
          <w:rFonts w:hint="eastAsia"/>
          <w:highlight w:val="none"/>
        </w:rPr>
        <w:t>7</w:t>
      </w:r>
      <w:r>
        <w:rPr>
          <w:highlight w:val="none"/>
        </w:rPr>
        <w:t xml:space="preserve"> </w:t>
      </w:r>
      <w:r>
        <w:rPr>
          <w:rFonts w:hint="eastAsia"/>
          <w:highlight w:val="none"/>
        </w:rPr>
        <w:t>合同授予</w:t>
      </w:r>
    </w:p>
    <w:p w14:paraId="190D1AB1">
      <w:pPr>
        <w:pStyle w:val="4"/>
        <w:ind w:firstLine="482"/>
        <w:rPr>
          <w:highlight w:val="none"/>
        </w:rPr>
      </w:pPr>
      <w:r>
        <w:rPr>
          <w:rFonts w:hint="eastAsia"/>
          <w:highlight w:val="none"/>
        </w:rPr>
        <w:t>7.</w:t>
      </w:r>
      <w:r>
        <w:rPr>
          <w:highlight w:val="none"/>
        </w:rPr>
        <w:t>1</w:t>
      </w:r>
      <w:r>
        <w:rPr>
          <w:rFonts w:hint="eastAsia"/>
          <w:highlight w:val="none"/>
        </w:rPr>
        <w:t>确定成交供应商</w:t>
      </w:r>
    </w:p>
    <w:p w14:paraId="5F4E086D">
      <w:pPr>
        <w:ind w:firstLine="480"/>
        <w:rPr>
          <w:highlight w:val="none"/>
        </w:rPr>
      </w:pPr>
      <w:r>
        <w:rPr>
          <w:rFonts w:hint="eastAsia"/>
          <w:highlight w:val="none"/>
        </w:rPr>
        <w:t>采购人依据评审小组推荐的成交候选供应商根据相关规定确定成交供应商。</w:t>
      </w:r>
    </w:p>
    <w:p w14:paraId="1C27D48A">
      <w:pPr>
        <w:pStyle w:val="4"/>
        <w:ind w:firstLine="482"/>
        <w:rPr>
          <w:highlight w:val="none"/>
        </w:rPr>
      </w:pPr>
      <w:r>
        <w:rPr>
          <w:rFonts w:hint="eastAsia"/>
          <w:highlight w:val="none"/>
        </w:rPr>
        <w:t>7.</w:t>
      </w:r>
      <w:r>
        <w:rPr>
          <w:highlight w:val="none"/>
        </w:rPr>
        <w:t>2</w:t>
      </w:r>
      <w:r>
        <w:rPr>
          <w:rFonts w:hint="eastAsia"/>
          <w:highlight w:val="none"/>
        </w:rPr>
        <w:t>成交结果公示</w:t>
      </w:r>
    </w:p>
    <w:p w14:paraId="6DD6F0C5">
      <w:pPr>
        <w:ind w:firstLine="480"/>
        <w:rPr>
          <w:highlight w:val="none"/>
        </w:rPr>
      </w:pPr>
      <w:r>
        <w:rPr>
          <w:rFonts w:hint="eastAsia"/>
          <w:highlight w:val="none"/>
        </w:rPr>
        <w:t>成交供应商选定后，采购人将在“南通轨道交通官方网站（https://www.ntrailway.com/）”发布成交公示。</w:t>
      </w:r>
    </w:p>
    <w:p w14:paraId="5AB3CBF1">
      <w:pPr>
        <w:pStyle w:val="4"/>
        <w:ind w:firstLine="482"/>
        <w:rPr>
          <w:highlight w:val="none"/>
        </w:rPr>
      </w:pPr>
      <w:r>
        <w:rPr>
          <w:rFonts w:hint="eastAsia"/>
          <w:highlight w:val="none"/>
        </w:rPr>
        <w:t>7</w:t>
      </w:r>
      <w:r>
        <w:rPr>
          <w:highlight w:val="none"/>
        </w:rPr>
        <w:t>.3</w:t>
      </w:r>
      <w:r>
        <w:rPr>
          <w:rFonts w:hint="eastAsia"/>
          <w:highlight w:val="none"/>
        </w:rPr>
        <w:t>发出成交通知书</w:t>
      </w:r>
    </w:p>
    <w:p w14:paraId="7E1AE661">
      <w:pPr>
        <w:ind w:firstLine="480"/>
        <w:rPr>
          <w:highlight w:val="none"/>
        </w:rPr>
      </w:pPr>
      <w:r>
        <w:rPr>
          <w:rFonts w:hint="eastAsia"/>
          <w:highlight w:val="none"/>
        </w:rPr>
        <w:t>公示期结束后，采购人以书面形式向成交供应商发出成交通知书。</w:t>
      </w:r>
    </w:p>
    <w:p w14:paraId="086BFCA2">
      <w:pPr>
        <w:pStyle w:val="4"/>
        <w:ind w:firstLine="482"/>
        <w:rPr>
          <w:highlight w:val="none"/>
        </w:rPr>
      </w:pPr>
      <w:r>
        <w:rPr>
          <w:rFonts w:hint="eastAsia"/>
          <w:highlight w:val="none"/>
        </w:rPr>
        <w:t>7</w:t>
      </w:r>
      <w:r>
        <w:rPr>
          <w:highlight w:val="none"/>
        </w:rPr>
        <w:t>.4</w:t>
      </w:r>
      <w:r>
        <w:rPr>
          <w:rFonts w:hint="eastAsia"/>
          <w:highlight w:val="none"/>
        </w:rPr>
        <w:t>履约保证金（本项目无）</w:t>
      </w:r>
    </w:p>
    <w:p w14:paraId="587AFEA8">
      <w:pPr>
        <w:ind w:firstLine="480"/>
        <w:rPr>
          <w:highlight w:val="none"/>
        </w:rPr>
      </w:pPr>
      <w:r>
        <w:rPr>
          <w:rFonts w:hint="eastAsia"/>
          <w:highlight w:val="none"/>
        </w:rPr>
        <w:t>成交供应商应按供应商须知前附表规定的形式、有效期限和递交时间向采购人递交履约保证金。</w:t>
      </w:r>
    </w:p>
    <w:p w14:paraId="268E5B8A">
      <w:pPr>
        <w:pStyle w:val="4"/>
        <w:ind w:firstLine="482"/>
        <w:rPr>
          <w:highlight w:val="none"/>
        </w:rPr>
      </w:pPr>
      <w:r>
        <w:rPr>
          <w:rFonts w:hint="eastAsia"/>
          <w:highlight w:val="none"/>
        </w:rPr>
        <w:t>7.</w:t>
      </w:r>
      <w:r>
        <w:rPr>
          <w:highlight w:val="none"/>
        </w:rPr>
        <w:t>5</w:t>
      </w:r>
      <w:r>
        <w:rPr>
          <w:rFonts w:hint="eastAsia"/>
          <w:highlight w:val="none"/>
        </w:rPr>
        <w:t>签订合同</w:t>
      </w:r>
    </w:p>
    <w:p w14:paraId="0E8FF59B">
      <w:pPr>
        <w:ind w:firstLine="480"/>
        <w:rPr>
          <w:highlight w:val="none"/>
        </w:rPr>
      </w:pPr>
      <w:r>
        <w:rPr>
          <w:rFonts w:hint="eastAsia"/>
          <w:highlight w:val="none"/>
        </w:rPr>
        <w:t>7</w:t>
      </w:r>
      <w:r>
        <w:rPr>
          <w:highlight w:val="none"/>
        </w:rPr>
        <w:t>.5</w:t>
      </w:r>
      <w:r>
        <w:rPr>
          <w:rFonts w:hint="eastAsia"/>
          <w:highlight w:val="none"/>
        </w:rPr>
        <w:t>.1采购人和成交供应商应当在成交通知书规定的期限内，根据采购文件和成交供应商的响应文件订立</w:t>
      </w:r>
      <w:bookmarkStart w:id="23" w:name="_GoBack"/>
      <w:r>
        <w:rPr>
          <w:rFonts w:hint="eastAsia"/>
          <w:highlight w:val="none"/>
        </w:rPr>
        <w:t>书面合同</w:t>
      </w:r>
      <w:bookmarkEnd w:id="23"/>
      <w:r>
        <w:rPr>
          <w:rFonts w:hint="eastAsia"/>
          <w:highlight w:val="none"/>
        </w:rPr>
        <w:t>。</w:t>
      </w:r>
    </w:p>
    <w:p w14:paraId="09047539">
      <w:pPr>
        <w:ind w:firstLine="480"/>
        <w:rPr>
          <w:highlight w:val="none"/>
        </w:rPr>
      </w:pPr>
      <w:r>
        <w:rPr>
          <w:rFonts w:hint="eastAsia"/>
          <w:highlight w:val="none"/>
        </w:rPr>
        <w:t>7.</w:t>
      </w:r>
      <w:r>
        <w:rPr>
          <w:highlight w:val="none"/>
        </w:rPr>
        <w:t>5</w:t>
      </w:r>
      <w:r>
        <w:rPr>
          <w:rFonts w:hint="eastAsia"/>
          <w:highlight w:val="none"/>
        </w:rPr>
        <w:t>.</w:t>
      </w:r>
      <w:r>
        <w:rPr>
          <w:highlight w:val="none"/>
        </w:rPr>
        <w:t>2</w:t>
      </w:r>
      <w:r>
        <w:rPr>
          <w:rFonts w:hint="eastAsia"/>
          <w:highlight w:val="none"/>
        </w:rPr>
        <w:t>除供应商须知前附表另有规定外，按照第三章“评审方法”规定对响应报价进行修正后，若修正后的响应报价小于按照第三章“评审方法”规定确定的评审价格，则签订合同时以修正后的响应报价为准。</w:t>
      </w:r>
    </w:p>
    <w:p w14:paraId="1DC00996">
      <w:pPr>
        <w:pStyle w:val="3"/>
        <w:ind w:firstLine="482"/>
        <w:jc w:val="left"/>
        <w:rPr>
          <w:highlight w:val="none"/>
        </w:rPr>
      </w:pPr>
      <w:r>
        <w:rPr>
          <w:rFonts w:hint="eastAsia"/>
          <w:highlight w:val="none"/>
        </w:rPr>
        <w:t>8</w:t>
      </w:r>
      <w:r>
        <w:rPr>
          <w:highlight w:val="none"/>
        </w:rPr>
        <w:t xml:space="preserve"> </w:t>
      </w:r>
      <w:r>
        <w:rPr>
          <w:rFonts w:hint="eastAsia"/>
          <w:highlight w:val="none"/>
        </w:rPr>
        <w:t>监督与异议</w:t>
      </w:r>
    </w:p>
    <w:p w14:paraId="4BDB43FA">
      <w:pPr>
        <w:ind w:firstLine="480"/>
        <w:rPr>
          <w:highlight w:val="none"/>
        </w:rPr>
      </w:pPr>
      <w:r>
        <w:rPr>
          <w:rFonts w:hint="eastAsia"/>
          <w:highlight w:val="none"/>
        </w:rPr>
        <w:t>8.1监督部门及联系方式见供应商须知前附表。</w:t>
      </w:r>
    </w:p>
    <w:p w14:paraId="4B612F03">
      <w:pPr>
        <w:ind w:firstLine="480"/>
        <w:rPr>
          <w:highlight w:val="none"/>
        </w:rPr>
      </w:pPr>
      <w:r>
        <w:rPr>
          <w:rFonts w:hint="eastAsia"/>
          <w:highlight w:val="none"/>
        </w:rPr>
        <w:t>8.2供应商或者其他利害关系人可以对成交结果提出异议。异议应在成交结果公示期间以书面形式向监督部门提出，并递交异议函和必要的证明材料，异议函包括但不限于下列内容：</w:t>
      </w:r>
    </w:p>
    <w:p w14:paraId="0ED954E0">
      <w:pPr>
        <w:ind w:firstLine="480"/>
        <w:rPr>
          <w:highlight w:val="none"/>
        </w:rPr>
      </w:pPr>
      <w:r>
        <w:rPr>
          <w:rFonts w:hint="eastAsia"/>
          <w:highlight w:val="none"/>
        </w:rPr>
        <w:t>（1）异议人名称、地址、邮政编码、联系人及联系电话：</w:t>
      </w:r>
    </w:p>
    <w:p w14:paraId="55E9781B">
      <w:pPr>
        <w:ind w:firstLine="480"/>
        <w:rPr>
          <w:highlight w:val="none"/>
        </w:rPr>
      </w:pPr>
      <w:r>
        <w:rPr>
          <w:rFonts w:hint="eastAsia"/>
          <w:highlight w:val="none"/>
        </w:rPr>
        <w:t>（2）具体、明确的异议事项、事实依据及与异议事项相关的请求。</w:t>
      </w:r>
    </w:p>
    <w:p w14:paraId="7F195C3E">
      <w:pPr>
        <w:ind w:firstLine="480"/>
        <w:rPr>
          <w:highlight w:val="none"/>
        </w:rPr>
      </w:pPr>
      <w:r>
        <w:rPr>
          <w:rFonts w:hint="eastAsia"/>
          <w:highlight w:val="none"/>
        </w:rPr>
        <w:t>（3）异议函应由异议人的法定代表人（单位负责人）或其授权的代理人签字并加盖印章。</w:t>
      </w:r>
    </w:p>
    <w:p w14:paraId="17E4B9EA">
      <w:pPr>
        <w:ind w:firstLine="480"/>
        <w:rPr>
          <w:highlight w:val="none"/>
        </w:rPr>
      </w:pPr>
      <w:r>
        <w:rPr>
          <w:rFonts w:hint="eastAsia"/>
          <w:highlight w:val="none"/>
        </w:rPr>
        <w:t>供应商或者其他利害关系人未按照本条要求提出的异议不予受理。</w:t>
      </w:r>
    </w:p>
    <w:p w14:paraId="1812E47E">
      <w:pPr>
        <w:pStyle w:val="3"/>
        <w:ind w:firstLine="482"/>
        <w:jc w:val="left"/>
        <w:rPr>
          <w:highlight w:val="none"/>
        </w:rPr>
      </w:pPr>
      <w:r>
        <w:rPr>
          <w:rFonts w:hint="eastAsia"/>
          <w:highlight w:val="none"/>
        </w:rPr>
        <w:t>9</w:t>
      </w:r>
      <w:r>
        <w:rPr>
          <w:highlight w:val="none"/>
        </w:rPr>
        <w:t xml:space="preserve"> </w:t>
      </w:r>
      <w:r>
        <w:rPr>
          <w:rFonts w:hint="eastAsia"/>
          <w:highlight w:val="none"/>
        </w:rPr>
        <w:t>纪律要求</w:t>
      </w:r>
    </w:p>
    <w:p w14:paraId="6208817D">
      <w:pPr>
        <w:pStyle w:val="4"/>
        <w:ind w:firstLine="482"/>
        <w:rPr>
          <w:highlight w:val="none"/>
        </w:rPr>
      </w:pPr>
      <w:r>
        <w:rPr>
          <w:rFonts w:hint="eastAsia"/>
          <w:highlight w:val="none"/>
        </w:rPr>
        <w:t>9.1对采购人的纪律要求</w:t>
      </w:r>
    </w:p>
    <w:p w14:paraId="1D2D93C1">
      <w:pPr>
        <w:ind w:firstLine="480"/>
        <w:rPr>
          <w:highlight w:val="none"/>
        </w:rPr>
      </w:pPr>
      <w:r>
        <w:rPr>
          <w:rFonts w:hint="eastAsia"/>
          <w:highlight w:val="none"/>
        </w:rPr>
        <w:t>采购人不得泄露采购活动中应当保密的情况和资料，不得与供应商串通损害国家利益、社会公共利益或者他人合法权益。</w:t>
      </w:r>
    </w:p>
    <w:p w14:paraId="21EE48F6">
      <w:pPr>
        <w:pStyle w:val="4"/>
        <w:ind w:firstLine="482"/>
        <w:rPr>
          <w:highlight w:val="none"/>
        </w:rPr>
      </w:pPr>
      <w:r>
        <w:rPr>
          <w:rFonts w:hint="eastAsia"/>
          <w:highlight w:val="none"/>
        </w:rPr>
        <w:t>9.2对供应商的纪律要求</w:t>
      </w:r>
    </w:p>
    <w:p w14:paraId="15BD0BE5">
      <w:pPr>
        <w:ind w:firstLine="480"/>
        <w:rPr>
          <w:highlight w:val="none"/>
        </w:rPr>
      </w:pPr>
      <w:r>
        <w:rPr>
          <w:rFonts w:hint="eastAsia"/>
          <w:highlight w:val="none"/>
        </w:rPr>
        <w:t>供应商不得相互串通或者与采购人串通，不得向采购人或者评审小组成员行贿谋取成交，不得以他人名义参加采购活动或者以其他方式弄虚作假骗取成交；供应商不得以任何方式干扰、影响评审工作。</w:t>
      </w:r>
    </w:p>
    <w:p w14:paraId="490E486D">
      <w:pPr>
        <w:pStyle w:val="4"/>
        <w:ind w:firstLine="482"/>
        <w:rPr>
          <w:highlight w:val="none"/>
        </w:rPr>
      </w:pPr>
      <w:r>
        <w:rPr>
          <w:rFonts w:hint="eastAsia"/>
          <w:highlight w:val="none"/>
        </w:rPr>
        <w:t>9.3对评审小组成员的纪律要求</w:t>
      </w:r>
    </w:p>
    <w:p w14:paraId="1E768A93">
      <w:pPr>
        <w:ind w:firstLine="480"/>
        <w:rPr>
          <w:highlight w:val="none"/>
        </w:rPr>
      </w:pPr>
      <w:r>
        <w:rPr>
          <w:rFonts w:hint="eastAsia"/>
          <w:highlight w:val="none"/>
        </w:rPr>
        <w:t>评审小组成员不得收受他人的财物或者其他好处，不得向他人透露对响应文件的评审和比较、候选成交供应商的推荐情况以及评审有关的其他情况。在评审活动中评审小组成员应当客观、公正地履行职责，遵守职业道德，不得擅离职守，影响评审工作正常进行，不得使用第三章“评审方法”没有规定的评审因素和标准进行评审。</w:t>
      </w:r>
    </w:p>
    <w:p w14:paraId="2CF251A9">
      <w:pPr>
        <w:pStyle w:val="4"/>
        <w:ind w:firstLine="482"/>
        <w:rPr>
          <w:highlight w:val="none"/>
        </w:rPr>
      </w:pPr>
      <w:r>
        <w:rPr>
          <w:rFonts w:hint="eastAsia"/>
          <w:highlight w:val="none"/>
        </w:rPr>
        <w:t>9.4对与采购活动有关的工作人员的纪律要求</w:t>
      </w:r>
    </w:p>
    <w:p w14:paraId="1EFC70C6">
      <w:pPr>
        <w:ind w:firstLine="480"/>
        <w:rPr>
          <w:highlight w:val="none"/>
        </w:rPr>
      </w:pPr>
      <w:r>
        <w:rPr>
          <w:rFonts w:hint="eastAsia"/>
          <w:highlight w:val="none"/>
        </w:rPr>
        <w:t>与采购活动有关的工作人员不得收受他人的财物或者其他好处，不得向他人透露对响应文件的评审和比较、候选成交供应商的推荐情况以及其他有关的情况。在采购活动中，与采购活动有关的工作人员不得擅离职守，影响评审工作正常进行。</w:t>
      </w:r>
    </w:p>
    <w:p w14:paraId="0F06D3A1">
      <w:pPr>
        <w:pStyle w:val="3"/>
        <w:ind w:firstLine="482"/>
        <w:jc w:val="left"/>
        <w:rPr>
          <w:highlight w:val="none"/>
        </w:rPr>
      </w:pPr>
      <w:r>
        <w:rPr>
          <w:rFonts w:hint="eastAsia"/>
          <w:highlight w:val="none"/>
        </w:rPr>
        <w:t>10 需要补充的内容</w:t>
      </w:r>
    </w:p>
    <w:p w14:paraId="48AE886A">
      <w:pPr>
        <w:ind w:firstLine="480"/>
        <w:rPr>
          <w:highlight w:val="none"/>
        </w:rPr>
      </w:pPr>
      <w:r>
        <w:rPr>
          <w:rFonts w:hint="eastAsia"/>
          <w:highlight w:val="none"/>
        </w:rPr>
        <w:t>见供应商须知前附表</w:t>
      </w:r>
    </w:p>
    <w:p w14:paraId="53114136">
      <w:pPr>
        <w:ind w:firstLine="480"/>
        <w:rPr>
          <w:highlight w:val="none"/>
        </w:rPr>
      </w:pPr>
      <w:r>
        <w:rPr>
          <w:rFonts w:hint="eastAsia"/>
          <w:highlight w:val="none"/>
        </w:rPr>
        <w:br w:type="page"/>
      </w:r>
    </w:p>
    <w:p w14:paraId="6ED5CBD0">
      <w:pPr>
        <w:widowControl/>
        <w:spacing w:line="240" w:lineRule="auto"/>
        <w:ind w:firstLine="0" w:firstLineChars="0"/>
        <w:jc w:val="left"/>
        <w:rPr>
          <w:rFonts w:cstheme="majorBidi"/>
          <w:b/>
          <w:bCs/>
          <w:szCs w:val="32"/>
          <w:highlight w:val="none"/>
        </w:rPr>
      </w:pPr>
    </w:p>
    <w:p w14:paraId="257504EA">
      <w:pPr>
        <w:ind w:firstLine="480"/>
        <w:rPr>
          <w:highlight w:val="none"/>
        </w:rPr>
      </w:pPr>
    </w:p>
    <w:p w14:paraId="5B3A6DBA">
      <w:pPr>
        <w:ind w:firstLine="480"/>
        <w:rPr>
          <w:highlight w:val="none"/>
        </w:rPr>
      </w:pPr>
    </w:p>
    <w:p w14:paraId="29767280">
      <w:pPr>
        <w:ind w:firstLine="480"/>
        <w:rPr>
          <w:highlight w:val="none"/>
        </w:rPr>
      </w:pPr>
    </w:p>
    <w:p w14:paraId="6A1AAF38">
      <w:pPr>
        <w:ind w:firstLine="480"/>
        <w:rPr>
          <w:highlight w:val="none"/>
        </w:rPr>
      </w:pPr>
    </w:p>
    <w:p w14:paraId="0AE25A62">
      <w:pPr>
        <w:ind w:firstLine="480"/>
        <w:rPr>
          <w:highlight w:val="none"/>
        </w:rPr>
      </w:pPr>
    </w:p>
    <w:p w14:paraId="6CBC354B">
      <w:pPr>
        <w:ind w:firstLine="480"/>
        <w:rPr>
          <w:highlight w:val="none"/>
        </w:rPr>
      </w:pPr>
    </w:p>
    <w:p w14:paraId="7EDCF6FA">
      <w:pPr>
        <w:ind w:firstLine="480"/>
        <w:rPr>
          <w:highlight w:val="none"/>
        </w:rPr>
      </w:pPr>
    </w:p>
    <w:p w14:paraId="29AAE9E9">
      <w:pPr>
        <w:ind w:firstLine="480"/>
        <w:rPr>
          <w:highlight w:val="none"/>
        </w:rPr>
      </w:pPr>
    </w:p>
    <w:p w14:paraId="33F54A40">
      <w:pPr>
        <w:ind w:firstLine="480"/>
        <w:rPr>
          <w:highlight w:val="none"/>
        </w:rPr>
      </w:pPr>
    </w:p>
    <w:p w14:paraId="36D0027E">
      <w:pPr>
        <w:ind w:firstLine="480"/>
        <w:rPr>
          <w:highlight w:val="none"/>
        </w:rPr>
      </w:pPr>
    </w:p>
    <w:p w14:paraId="591BC0DF">
      <w:pPr>
        <w:ind w:firstLine="480"/>
        <w:rPr>
          <w:highlight w:val="none"/>
        </w:rPr>
      </w:pPr>
    </w:p>
    <w:p w14:paraId="367279EC">
      <w:pPr>
        <w:keepNext/>
        <w:keepLines/>
        <w:ind w:firstLine="141" w:firstLineChars="32"/>
        <w:jc w:val="center"/>
        <w:outlineLvl w:val="0"/>
        <w:rPr>
          <w:rFonts w:eastAsia="黑体"/>
          <w:b/>
          <w:bCs/>
          <w:kern w:val="44"/>
          <w:sz w:val="44"/>
          <w:szCs w:val="44"/>
          <w:highlight w:val="none"/>
        </w:rPr>
      </w:pPr>
      <w:bookmarkStart w:id="9" w:name="_Toc30142"/>
      <w:r>
        <w:rPr>
          <w:rFonts w:hint="eastAsia" w:eastAsia="黑体"/>
          <w:b/>
          <w:bCs/>
          <w:kern w:val="44"/>
          <w:sz w:val="44"/>
          <w:szCs w:val="44"/>
          <w:highlight w:val="none"/>
        </w:rPr>
        <w:t>第三章 评审方法</w:t>
      </w:r>
      <w:bookmarkEnd w:id="9"/>
    </w:p>
    <w:p w14:paraId="41FF541A">
      <w:pPr>
        <w:widowControl/>
        <w:spacing w:line="240" w:lineRule="auto"/>
        <w:ind w:firstLine="0" w:firstLineChars="0"/>
        <w:jc w:val="left"/>
        <w:rPr>
          <w:rFonts w:eastAsia="黑体"/>
          <w:bCs/>
          <w:kern w:val="44"/>
          <w:sz w:val="44"/>
          <w:szCs w:val="44"/>
          <w:highlight w:val="none"/>
        </w:rPr>
      </w:pPr>
      <w:r>
        <w:rPr>
          <w:highlight w:val="none"/>
        </w:rPr>
        <w:br w:type="page"/>
      </w:r>
    </w:p>
    <w:p w14:paraId="2B70257D">
      <w:pPr>
        <w:widowControl/>
        <w:spacing w:line="240" w:lineRule="auto"/>
        <w:ind w:firstLine="0" w:firstLineChars="0"/>
        <w:jc w:val="center"/>
        <w:rPr>
          <w:rFonts w:ascii="宋体" w:hAnsi="宋体" w:cs="宋体"/>
          <w:b/>
          <w:sz w:val="28"/>
          <w:szCs w:val="28"/>
          <w:highlight w:val="none"/>
        </w:rPr>
      </w:pPr>
      <w:r>
        <w:rPr>
          <w:rFonts w:hint="eastAsia" w:ascii="宋体" w:hAnsi="宋体" w:cs="宋体"/>
          <w:b/>
          <w:kern w:val="44"/>
          <w:sz w:val="28"/>
          <w:szCs w:val="28"/>
          <w:highlight w:val="none"/>
        </w:rPr>
        <w:t>评审方法</w:t>
      </w:r>
    </w:p>
    <w:p w14:paraId="0F6E8F85">
      <w:pPr>
        <w:pStyle w:val="3"/>
        <w:ind w:firstLine="482"/>
        <w:jc w:val="left"/>
        <w:rPr>
          <w:highlight w:val="none"/>
        </w:rPr>
      </w:pPr>
      <w:r>
        <w:rPr>
          <w:rFonts w:hint="eastAsia"/>
          <w:highlight w:val="none"/>
        </w:rPr>
        <w:t>1</w:t>
      </w:r>
      <w:r>
        <w:rPr>
          <w:highlight w:val="none"/>
        </w:rPr>
        <w:t xml:space="preserve"> </w:t>
      </w:r>
      <w:r>
        <w:rPr>
          <w:rFonts w:hint="eastAsia"/>
          <w:highlight w:val="none"/>
        </w:rPr>
        <w:t>评审方法</w:t>
      </w:r>
    </w:p>
    <w:p w14:paraId="51EB24FB">
      <w:pPr>
        <w:ind w:firstLine="480"/>
        <w:rPr>
          <w:highlight w:val="none"/>
        </w:rPr>
      </w:pPr>
      <w:r>
        <w:rPr>
          <w:rFonts w:hint="eastAsia"/>
          <w:highlight w:val="none"/>
        </w:rPr>
        <w:t>本项目采用</w:t>
      </w:r>
      <w:r>
        <w:rPr>
          <w:rFonts w:hint="eastAsia"/>
          <w:highlight w:val="none"/>
          <w:u w:val="single"/>
        </w:rPr>
        <w:t>综合评分法</w:t>
      </w:r>
      <w:r>
        <w:rPr>
          <w:rFonts w:hint="eastAsia"/>
          <w:highlight w:val="none"/>
        </w:rPr>
        <w:t>，评审小组对满足采购文件实质性要求的响应文件按照本章规定的方法进行评审，并按照得分由高到低的顺序推荐1名候选成交供应商。</w:t>
      </w:r>
    </w:p>
    <w:p w14:paraId="470A6BB9">
      <w:pPr>
        <w:pStyle w:val="3"/>
        <w:ind w:firstLine="482"/>
        <w:jc w:val="left"/>
        <w:rPr>
          <w:highlight w:val="none"/>
        </w:rPr>
      </w:pPr>
      <w:r>
        <w:rPr>
          <w:rFonts w:hint="eastAsia"/>
          <w:highlight w:val="none"/>
        </w:rPr>
        <w:t>2</w:t>
      </w:r>
      <w:r>
        <w:rPr>
          <w:highlight w:val="none"/>
        </w:rPr>
        <w:t xml:space="preserve"> </w:t>
      </w:r>
      <w:r>
        <w:rPr>
          <w:rFonts w:hint="eastAsia"/>
          <w:highlight w:val="none"/>
        </w:rPr>
        <w:t>评审程序</w:t>
      </w:r>
    </w:p>
    <w:p w14:paraId="2972DFDF">
      <w:pPr>
        <w:pStyle w:val="4"/>
        <w:ind w:firstLine="482"/>
        <w:rPr>
          <w:highlight w:val="none"/>
        </w:rPr>
      </w:pPr>
      <w:r>
        <w:rPr>
          <w:rFonts w:hint="eastAsia"/>
          <w:highlight w:val="none"/>
        </w:rPr>
        <w:t>2</w:t>
      </w:r>
      <w:r>
        <w:rPr>
          <w:highlight w:val="none"/>
        </w:rPr>
        <w:t>.1</w:t>
      </w:r>
      <w:r>
        <w:rPr>
          <w:rFonts w:hint="eastAsia"/>
          <w:highlight w:val="none"/>
        </w:rPr>
        <w:t>初步评审</w:t>
      </w:r>
    </w:p>
    <w:p w14:paraId="68447943">
      <w:pPr>
        <w:ind w:firstLine="480"/>
        <w:rPr>
          <w:highlight w:val="none"/>
        </w:rPr>
      </w:pPr>
      <w:r>
        <w:rPr>
          <w:highlight w:val="none"/>
        </w:rPr>
        <w:t>2.1.1</w:t>
      </w:r>
      <w:r>
        <w:rPr>
          <w:rFonts w:hint="eastAsia"/>
          <w:highlight w:val="none"/>
        </w:rPr>
        <w:t>资格审查</w:t>
      </w:r>
    </w:p>
    <w:p w14:paraId="120080A4">
      <w:pPr>
        <w:ind w:firstLine="480"/>
        <w:rPr>
          <w:highlight w:val="none"/>
        </w:rPr>
      </w:pPr>
      <w:r>
        <w:rPr>
          <w:rFonts w:hint="eastAsia"/>
          <w:highlight w:val="none"/>
        </w:rPr>
        <w:t>供应商未按照附件</w:t>
      </w:r>
      <w:r>
        <w:rPr>
          <w:rFonts w:hint="eastAsia"/>
          <w:highlight w:val="none"/>
          <w:lang w:val="en-US" w:eastAsia="zh-CN"/>
        </w:rPr>
        <w:t>一</w:t>
      </w:r>
      <w:r>
        <w:rPr>
          <w:rFonts w:hint="eastAsia"/>
          <w:highlight w:val="none"/>
        </w:rPr>
        <w:t>“评审标准”中</w:t>
      </w:r>
      <w:r>
        <w:rPr>
          <w:rFonts w:hint="eastAsia"/>
          <w:highlight w:val="none"/>
          <w:lang w:eastAsia="zh-CN"/>
        </w:rPr>
        <w:t>要求</w:t>
      </w:r>
      <w:r>
        <w:rPr>
          <w:rFonts w:hint="eastAsia"/>
          <w:highlight w:val="none"/>
        </w:rPr>
        <w:t>提供证明材料的，其响应文件视为无效。</w:t>
      </w:r>
    </w:p>
    <w:p w14:paraId="3162C1AA">
      <w:pPr>
        <w:ind w:firstLine="480"/>
        <w:rPr>
          <w:highlight w:val="none"/>
        </w:rPr>
      </w:pPr>
      <w:r>
        <w:rPr>
          <w:rFonts w:hint="eastAsia"/>
          <w:highlight w:val="none"/>
        </w:rPr>
        <w:t>2</w:t>
      </w:r>
      <w:r>
        <w:rPr>
          <w:highlight w:val="none"/>
        </w:rPr>
        <w:t>.1.2</w:t>
      </w:r>
      <w:r>
        <w:rPr>
          <w:rFonts w:hint="eastAsia"/>
          <w:highlight w:val="none"/>
        </w:rPr>
        <w:t>符合性审查</w:t>
      </w:r>
    </w:p>
    <w:p w14:paraId="26748356">
      <w:pPr>
        <w:ind w:firstLine="480"/>
        <w:rPr>
          <w:highlight w:val="none"/>
        </w:rPr>
      </w:pPr>
      <w:r>
        <w:rPr>
          <w:rFonts w:hint="eastAsia"/>
          <w:highlight w:val="none"/>
        </w:rPr>
        <w:t>有下列情形之一的其响应文件将被视为无效：</w:t>
      </w:r>
    </w:p>
    <w:p w14:paraId="18E67BC8">
      <w:pPr>
        <w:ind w:firstLine="480"/>
        <w:rPr>
          <w:highlight w:val="none"/>
        </w:rPr>
      </w:pPr>
      <w:r>
        <w:rPr>
          <w:rFonts w:hint="eastAsia"/>
          <w:highlight w:val="none"/>
        </w:rPr>
        <w:t>（1）响应文件未密封或者未按规定密封，或有明显拆封现象的；</w:t>
      </w:r>
    </w:p>
    <w:p w14:paraId="22E67F02">
      <w:pPr>
        <w:ind w:firstLine="480"/>
        <w:rPr>
          <w:highlight w:val="none"/>
        </w:rPr>
      </w:pPr>
      <w:r>
        <w:rPr>
          <w:rFonts w:hint="eastAsia"/>
          <w:highlight w:val="none"/>
        </w:rPr>
        <w:t>（2）不符合供应商须知前附表中规定的响应文件装订要求的；</w:t>
      </w:r>
    </w:p>
    <w:p w14:paraId="712E2966">
      <w:pPr>
        <w:ind w:firstLine="480"/>
        <w:rPr>
          <w:highlight w:val="none"/>
        </w:rPr>
      </w:pPr>
      <w:r>
        <w:rPr>
          <w:rFonts w:hint="eastAsia"/>
          <w:highlight w:val="none"/>
        </w:rPr>
        <w:t>（3）响应文件未加盖供应商公章，未经法定代表人或其授权代理人签署；</w:t>
      </w:r>
    </w:p>
    <w:p w14:paraId="5B23C885">
      <w:pPr>
        <w:ind w:firstLine="480"/>
        <w:rPr>
          <w:highlight w:val="none"/>
        </w:rPr>
      </w:pPr>
      <w:r>
        <w:rPr>
          <w:rFonts w:hint="eastAsia"/>
          <w:highlight w:val="none"/>
        </w:rPr>
        <w:t>（4）如需要授权，未提供合法、有效的授权委托书原件；</w:t>
      </w:r>
    </w:p>
    <w:p w14:paraId="43E5306B">
      <w:pPr>
        <w:ind w:firstLine="480"/>
        <w:rPr>
          <w:highlight w:val="none"/>
        </w:rPr>
      </w:pPr>
      <w:r>
        <w:rPr>
          <w:rFonts w:hint="eastAsia"/>
          <w:highlight w:val="none"/>
        </w:rPr>
        <w:t>（5）未按采购文件规定的格式、内容和要求编制，关键内容字迹潦草、模糊，无法辨认的；</w:t>
      </w:r>
    </w:p>
    <w:p w14:paraId="345A08F2">
      <w:pPr>
        <w:ind w:firstLine="480"/>
        <w:rPr>
          <w:highlight w:val="none"/>
        </w:rPr>
      </w:pPr>
      <w:r>
        <w:rPr>
          <w:rFonts w:hint="eastAsia"/>
          <w:highlight w:val="none"/>
        </w:rPr>
        <w:t>（6）响应文件未对采购文件中的实质性内容作出响应的或未提供采购文件关键条款的相关证据或证明材料的；</w:t>
      </w:r>
    </w:p>
    <w:p w14:paraId="752661E9">
      <w:pPr>
        <w:ind w:firstLine="480"/>
        <w:rPr>
          <w:highlight w:val="none"/>
        </w:rPr>
      </w:pPr>
      <w:r>
        <w:rPr>
          <w:rFonts w:hint="eastAsia"/>
          <w:highlight w:val="none"/>
        </w:rPr>
        <w:t>（</w:t>
      </w:r>
      <w:r>
        <w:rPr>
          <w:rFonts w:hint="eastAsia"/>
          <w:highlight w:val="none"/>
          <w:lang w:val="en-US" w:eastAsia="zh-CN"/>
        </w:rPr>
        <w:t>7</w:t>
      </w:r>
      <w:r>
        <w:rPr>
          <w:rFonts w:hint="eastAsia"/>
          <w:highlight w:val="none"/>
        </w:rPr>
        <w:t>）存在负偏离的。</w:t>
      </w:r>
    </w:p>
    <w:p w14:paraId="39A2EE52">
      <w:pPr>
        <w:pStyle w:val="3"/>
        <w:ind w:firstLine="480"/>
        <w:rPr>
          <w:rFonts w:cstheme="minorBidi"/>
          <w:b w:val="0"/>
          <w:bCs w:val="0"/>
          <w:szCs w:val="22"/>
          <w:highlight w:val="none"/>
        </w:rPr>
      </w:pPr>
      <w:r>
        <w:rPr>
          <w:rFonts w:hint="eastAsia" w:cstheme="minorBidi"/>
          <w:b w:val="0"/>
          <w:bCs w:val="0"/>
          <w:szCs w:val="22"/>
          <w:highlight w:val="none"/>
        </w:rPr>
        <w:t>2.1.3如通过初步评审供应商不足三家的，评审小组应当终止评审，后续评审不再进行。</w:t>
      </w:r>
    </w:p>
    <w:p w14:paraId="7C74377E">
      <w:pPr>
        <w:pStyle w:val="4"/>
        <w:ind w:firstLine="482"/>
        <w:rPr>
          <w:highlight w:val="none"/>
        </w:rPr>
      </w:pPr>
      <w:r>
        <w:rPr>
          <w:highlight w:val="none"/>
        </w:rPr>
        <w:t>2.2</w:t>
      </w:r>
      <w:r>
        <w:rPr>
          <w:rFonts w:hint="eastAsia"/>
          <w:highlight w:val="none"/>
        </w:rPr>
        <w:t>商务技术评审</w:t>
      </w:r>
    </w:p>
    <w:p w14:paraId="257A412F">
      <w:pPr>
        <w:ind w:firstLine="480"/>
        <w:rPr>
          <w:highlight w:val="none"/>
        </w:rPr>
      </w:pPr>
      <w:r>
        <w:rPr>
          <w:rFonts w:hint="eastAsia"/>
          <w:highlight w:val="none"/>
        </w:rPr>
        <w:t>通过“商务和技术偏离表”符合性审查的响应文件进行商务技术评分评审。未通过符合性审查的响应文件，将被</w:t>
      </w:r>
      <w:r>
        <w:rPr>
          <w:rFonts w:hint="eastAsia"/>
          <w:highlight w:val="none"/>
          <w:lang w:eastAsia="zh-CN"/>
        </w:rPr>
        <w:t>判定</w:t>
      </w:r>
      <w:r>
        <w:rPr>
          <w:rFonts w:hint="eastAsia"/>
          <w:highlight w:val="none"/>
        </w:rPr>
        <w:t>为不满足采购文件实质性要求。</w:t>
      </w:r>
    </w:p>
    <w:p w14:paraId="3F8EB57E">
      <w:pPr>
        <w:ind w:firstLine="480"/>
        <w:rPr>
          <w:highlight w:val="none"/>
        </w:rPr>
      </w:pPr>
      <w:r>
        <w:rPr>
          <w:rFonts w:hint="eastAsia"/>
          <w:highlight w:val="none"/>
        </w:rPr>
        <w:t>2</w:t>
      </w:r>
      <w:r>
        <w:rPr>
          <w:highlight w:val="none"/>
        </w:rPr>
        <w:t>.2.1</w:t>
      </w:r>
      <w:r>
        <w:rPr>
          <w:rFonts w:hint="eastAsia"/>
          <w:highlight w:val="none"/>
        </w:rPr>
        <w:t>商务评分标准见附件</w:t>
      </w:r>
      <w:r>
        <w:rPr>
          <w:rFonts w:hint="eastAsia"/>
          <w:highlight w:val="none"/>
          <w:lang w:val="en-US" w:eastAsia="zh-CN"/>
        </w:rPr>
        <w:t>一</w:t>
      </w:r>
      <w:r>
        <w:rPr>
          <w:rFonts w:hint="eastAsia"/>
          <w:highlight w:val="none"/>
        </w:rPr>
        <w:t xml:space="preserve">“评审标准”。 </w:t>
      </w:r>
    </w:p>
    <w:p w14:paraId="7C981A6B">
      <w:pPr>
        <w:ind w:firstLine="480"/>
        <w:rPr>
          <w:highlight w:val="none"/>
        </w:rPr>
      </w:pPr>
      <w:r>
        <w:rPr>
          <w:rFonts w:hint="eastAsia"/>
          <w:highlight w:val="none"/>
        </w:rPr>
        <w:t>2.2.2技术评分标准见附件</w:t>
      </w:r>
      <w:r>
        <w:rPr>
          <w:rFonts w:hint="eastAsia"/>
          <w:highlight w:val="none"/>
          <w:lang w:val="en-US" w:eastAsia="zh-CN"/>
        </w:rPr>
        <w:t>一</w:t>
      </w:r>
      <w:r>
        <w:rPr>
          <w:rFonts w:hint="eastAsia"/>
          <w:highlight w:val="none"/>
        </w:rPr>
        <w:t>“评审标准”。</w:t>
      </w:r>
    </w:p>
    <w:p w14:paraId="2A268E17">
      <w:pPr>
        <w:pStyle w:val="4"/>
        <w:ind w:firstLine="482"/>
        <w:rPr>
          <w:highlight w:val="none"/>
        </w:rPr>
      </w:pPr>
      <w:r>
        <w:rPr>
          <w:rFonts w:hint="eastAsia"/>
          <w:highlight w:val="none"/>
        </w:rPr>
        <w:t>2</w:t>
      </w:r>
      <w:r>
        <w:rPr>
          <w:highlight w:val="none"/>
        </w:rPr>
        <w:t>.3</w:t>
      </w:r>
      <w:r>
        <w:rPr>
          <w:rFonts w:hint="eastAsia"/>
          <w:highlight w:val="none"/>
        </w:rPr>
        <w:t>报价评审</w:t>
      </w:r>
    </w:p>
    <w:p w14:paraId="46FE8264">
      <w:pPr>
        <w:ind w:firstLine="480"/>
        <w:rPr>
          <w:highlight w:val="none"/>
        </w:rPr>
      </w:pPr>
      <w:r>
        <w:rPr>
          <w:rFonts w:hint="eastAsia"/>
          <w:highlight w:val="none"/>
        </w:rPr>
        <w:t>2.</w:t>
      </w:r>
      <w:r>
        <w:rPr>
          <w:highlight w:val="none"/>
        </w:rPr>
        <w:t>3.1</w:t>
      </w:r>
      <w:r>
        <w:rPr>
          <w:rFonts w:hint="eastAsia"/>
          <w:highlight w:val="none"/>
        </w:rPr>
        <w:t>评审价格为供应商在</w:t>
      </w:r>
      <w:r>
        <w:rPr>
          <w:rFonts w:hint="eastAsia"/>
          <w:highlight w:val="none"/>
          <w:lang w:val="en-US" w:eastAsia="zh-CN"/>
        </w:rPr>
        <w:t>响应函</w:t>
      </w:r>
      <w:r>
        <w:rPr>
          <w:rFonts w:hint="eastAsia"/>
          <w:highlight w:val="none"/>
        </w:rPr>
        <w:t>中填写的大写含税价格。</w:t>
      </w:r>
    </w:p>
    <w:p w14:paraId="599D95A6">
      <w:pPr>
        <w:ind w:firstLine="480"/>
        <w:rPr>
          <w:highlight w:val="none"/>
        </w:rPr>
      </w:pPr>
      <w:r>
        <w:rPr>
          <w:highlight w:val="none"/>
        </w:rPr>
        <w:t>2.3.2</w:t>
      </w:r>
      <w:r>
        <w:rPr>
          <w:rFonts w:hint="eastAsia"/>
          <w:highlight w:val="none"/>
        </w:rPr>
        <w:t>报价评分计算方法见附件</w:t>
      </w:r>
      <w:r>
        <w:rPr>
          <w:rFonts w:hint="eastAsia"/>
          <w:highlight w:val="none"/>
          <w:lang w:val="en-US" w:eastAsia="zh-CN"/>
        </w:rPr>
        <w:t>一</w:t>
      </w:r>
      <w:r>
        <w:rPr>
          <w:rFonts w:hint="eastAsia"/>
          <w:highlight w:val="none"/>
        </w:rPr>
        <w:t>“评审标准”。</w:t>
      </w:r>
    </w:p>
    <w:p w14:paraId="055D9B45">
      <w:pPr>
        <w:ind w:firstLine="480"/>
        <w:rPr>
          <w:highlight w:val="none"/>
        </w:rPr>
      </w:pPr>
      <w:r>
        <w:rPr>
          <w:rFonts w:hint="eastAsia"/>
          <w:highlight w:val="none"/>
        </w:rPr>
        <w:t>2</w:t>
      </w:r>
      <w:r>
        <w:rPr>
          <w:highlight w:val="none"/>
        </w:rPr>
        <w:t>.3.2</w:t>
      </w:r>
      <w:r>
        <w:rPr>
          <w:rFonts w:hint="eastAsia"/>
          <w:highlight w:val="none"/>
        </w:rPr>
        <w:t>有下列情形之一的其响应文件将被视为无效：</w:t>
      </w:r>
    </w:p>
    <w:p w14:paraId="14416F9C">
      <w:pPr>
        <w:ind w:firstLine="480"/>
        <w:rPr>
          <w:highlight w:val="none"/>
        </w:rPr>
      </w:pPr>
      <w:r>
        <w:rPr>
          <w:rFonts w:hint="eastAsia"/>
          <w:highlight w:val="none"/>
        </w:rPr>
        <w:t>（1）评审价格超过最高限价</w:t>
      </w:r>
      <w:r>
        <w:rPr>
          <w:rFonts w:hint="eastAsia"/>
          <w:highlight w:val="none"/>
          <w:lang w:val="en-US" w:eastAsia="zh-CN"/>
        </w:rPr>
        <w:t>和单项限价</w:t>
      </w:r>
      <w:r>
        <w:rPr>
          <w:rFonts w:hint="eastAsia"/>
          <w:highlight w:val="none"/>
        </w:rPr>
        <w:t>的；</w:t>
      </w:r>
    </w:p>
    <w:p w14:paraId="3B78AC4C">
      <w:pPr>
        <w:ind w:firstLine="480"/>
        <w:rPr>
          <w:highlight w:val="none"/>
        </w:rPr>
      </w:pPr>
      <w:r>
        <w:rPr>
          <w:rFonts w:hint="eastAsia"/>
          <w:highlight w:val="none"/>
        </w:rPr>
        <w:t>（2）响应文件有效期不满足采购文件要求的；</w:t>
      </w:r>
    </w:p>
    <w:p w14:paraId="7DFAC6F4">
      <w:pPr>
        <w:ind w:firstLine="480"/>
        <w:rPr>
          <w:highlight w:val="none"/>
        </w:rPr>
      </w:pPr>
      <w:r>
        <w:rPr>
          <w:rFonts w:hint="eastAsia"/>
          <w:highlight w:val="none"/>
        </w:rPr>
        <w:t>（3）响应文件未对采购的全部内容进行报价，只响应其中部分内容或出现选择性报价的。</w:t>
      </w:r>
    </w:p>
    <w:p w14:paraId="3FD93CE7">
      <w:pPr>
        <w:ind w:firstLine="480"/>
        <w:rPr>
          <w:highlight w:val="none"/>
        </w:rPr>
      </w:pPr>
      <w:r>
        <w:rPr>
          <w:rFonts w:hint="eastAsia"/>
          <w:highlight w:val="none"/>
        </w:rPr>
        <w:t>（4）按照本章要求对报价进行修正，供应商拒不澄清确认的。</w:t>
      </w:r>
    </w:p>
    <w:p w14:paraId="1D256CFE">
      <w:pPr>
        <w:pStyle w:val="3"/>
        <w:ind w:firstLine="482"/>
        <w:rPr>
          <w:highlight w:val="none"/>
        </w:rPr>
      </w:pPr>
      <w:r>
        <w:rPr>
          <w:rFonts w:hint="eastAsia"/>
          <w:highlight w:val="none"/>
        </w:rPr>
        <w:t>3</w:t>
      </w:r>
      <w:r>
        <w:rPr>
          <w:highlight w:val="none"/>
        </w:rPr>
        <w:t xml:space="preserve"> </w:t>
      </w:r>
      <w:r>
        <w:rPr>
          <w:rFonts w:hint="eastAsia"/>
          <w:highlight w:val="none"/>
        </w:rPr>
        <w:t>响应文件的澄清和补正</w:t>
      </w:r>
    </w:p>
    <w:p w14:paraId="1B07E7B9">
      <w:pPr>
        <w:ind w:firstLine="480"/>
        <w:rPr>
          <w:highlight w:val="none"/>
        </w:rPr>
      </w:pPr>
      <w:r>
        <w:rPr>
          <w:rFonts w:hint="eastAsia"/>
          <w:highlight w:val="none"/>
        </w:rPr>
        <w:t>3</w:t>
      </w:r>
      <w:r>
        <w:rPr>
          <w:highlight w:val="none"/>
        </w:rPr>
        <w:t>.1</w:t>
      </w:r>
      <w:r>
        <w:rPr>
          <w:rFonts w:hint="eastAsia"/>
          <w:highlight w:val="none"/>
        </w:rPr>
        <w:t>响应文件中有含义不明确、同类问题表述不一致或有明显文字和计算错误的内容评审小组可要求供应商在规定时间内进行澄清、说明和补正。供应商澄清、说明和补正的内容应由法定代表人（单位负责人）或其授权的代理人签字或加盖单位公章。澄清、说明和补正不得超出响应文件的范围且不得改变响应文件的实质性内容，并构成响应文件的组成部分。评审小组不接受供应商主动提出的澄清、说明和补正。</w:t>
      </w:r>
    </w:p>
    <w:p w14:paraId="20E82D79">
      <w:pPr>
        <w:ind w:firstLine="480"/>
        <w:rPr>
          <w:highlight w:val="none"/>
        </w:rPr>
      </w:pPr>
      <w:r>
        <w:rPr>
          <w:rFonts w:hint="eastAsia"/>
          <w:highlight w:val="none"/>
        </w:rPr>
        <w:t>3</w:t>
      </w:r>
      <w:r>
        <w:rPr>
          <w:highlight w:val="none"/>
        </w:rPr>
        <w:t>.2</w:t>
      </w:r>
      <w:r>
        <w:rPr>
          <w:rFonts w:hint="eastAsia"/>
          <w:highlight w:val="none"/>
        </w:rPr>
        <w:t>响应</w:t>
      </w:r>
      <w:r>
        <w:rPr>
          <w:highlight w:val="none"/>
        </w:rPr>
        <w:t>文件报价出现前后不一致的，除</w:t>
      </w:r>
      <w:r>
        <w:rPr>
          <w:rFonts w:hint="eastAsia"/>
          <w:highlight w:val="none"/>
        </w:rPr>
        <w:t>采购</w:t>
      </w:r>
      <w:r>
        <w:rPr>
          <w:highlight w:val="none"/>
        </w:rPr>
        <w:t>文件另有规定外</w:t>
      </w:r>
      <w:r>
        <w:rPr>
          <w:rFonts w:hint="eastAsia"/>
          <w:highlight w:val="none"/>
        </w:rPr>
        <w:t>，</w:t>
      </w:r>
      <w:r>
        <w:rPr>
          <w:highlight w:val="none"/>
        </w:rPr>
        <w:t>按照下列</w:t>
      </w:r>
      <w:r>
        <w:rPr>
          <w:rFonts w:hint="eastAsia"/>
          <w:highlight w:val="none"/>
        </w:rPr>
        <w:t>原则对响应报价进行修正，并要求供应商书面澄清确认：</w:t>
      </w:r>
    </w:p>
    <w:p w14:paraId="582D0FD7">
      <w:pPr>
        <w:ind w:firstLine="480"/>
        <w:rPr>
          <w:highlight w:val="none"/>
        </w:rPr>
      </w:pPr>
      <w:r>
        <w:rPr>
          <w:rFonts w:hint="eastAsia"/>
          <w:highlight w:val="none"/>
        </w:rPr>
        <w:t>（1）报价出现不一致的，以</w:t>
      </w:r>
      <w:r>
        <w:rPr>
          <w:rFonts w:hint="eastAsia"/>
          <w:highlight w:val="none"/>
          <w:lang w:val="en-US" w:eastAsia="zh-CN"/>
        </w:rPr>
        <w:t>响应函</w:t>
      </w:r>
      <w:r>
        <w:rPr>
          <w:rFonts w:hint="eastAsia"/>
          <w:highlight w:val="none"/>
        </w:rPr>
        <w:t>中填写的大写含税价格为准；</w:t>
      </w:r>
    </w:p>
    <w:p w14:paraId="7FD2B653">
      <w:pPr>
        <w:ind w:firstLine="480"/>
        <w:rPr>
          <w:highlight w:val="none"/>
        </w:rPr>
      </w:pPr>
      <w:r>
        <w:rPr>
          <w:rFonts w:hint="eastAsia"/>
          <w:highlight w:val="none"/>
        </w:rPr>
        <w:t>（2）大写金额与小写金额不一致的，以大写金额为准；</w:t>
      </w:r>
    </w:p>
    <w:p w14:paraId="3F3CE8F3">
      <w:pPr>
        <w:ind w:firstLine="480"/>
        <w:rPr>
          <w:highlight w:val="none"/>
        </w:rPr>
      </w:pPr>
      <w:r>
        <w:rPr>
          <w:rFonts w:hint="eastAsia"/>
          <w:highlight w:val="none"/>
        </w:rPr>
        <w:t>（3）</w:t>
      </w:r>
      <w:r>
        <w:rPr>
          <w:highlight w:val="none"/>
        </w:rPr>
        <w:t>单价金额小数点或者百分比有明显错位的，以</w:t>
      </w:r>
      <w:r>
        <w:rPr>
          <w:rFonts w:hint="eastAsia"/>
          <w:highlight w:val="none"/>
          <w:lang w:val="en-US" w:eastAsia="zh-CN"/>
        </w:rPr>
        <w:t>响应函</w:t>
      </w:r>
      <w:r>
        <w:rPr>
          <w:rFonts w:hint="eastAsia"/>
          <w:highlight w:val="none"/>
        </w:rPr>
        <w:t>填写的大写含税价格为准</w:t>
      </w:r>
      <w:r>
        <w:rPr>
          <w:highlight w:val="none"/>
        </w:rPr>
        <w:t>，并修改单价；</w:t>
      </w:r>
    </w:p>
    <w:p w14:paraId="7F8D2E8E">
      <w:pPr>
        <w:ind w:firstLine="480"/>
        <w:rPr>
          <w:highlight w:val="none"/>
        </w:rPr>
      </w:pPr>
      <w:r>
        <w:rPr>
          <w:rFonts w:hint="eastAsia"/>
          <w:highlight w:val="none"/>
        </w:rPr>
        <w:t>（4）总价金额与按单价汇总金额不一致的，以单价金额计算结果为准；</w:t>
      </w:r>
    </w:p>
    <w:p w14:paraId="79A643A8">
      <w:pPr>
        <w:ind w:firstLine="480"/>
        <w:rPr>
          <w:highlight w:val="none"/>
        </w:rPr>
      </w:pPr>
      <w:r>
        <w:rPr>
          <w:rFonts w:hint="eastAsia"/>
          <w:highlight w:val="none"/>
        </w:rPr>
        <w:t>同</w:t>
      </w:r>
      <w:r>
        <w:rPr>
          <w:highlight w:val="none"/>
        </w:rPr>
        <w:t>时出现 2 种以上不一致的，按照前款规定的顺序修正。</w:t>
      </w:r>
      <w:r>
        <w:rPr>
          <w:rFonts w:hint="eastAsia"/>
          <w:highlight w:val="none"/>
        </w:rPr>
        <w:t>响应报价的算术错误修正不改变评审价格。当修正后的总报价低于原响应报价时，签订合同时以修正后的报价为准。</w:t>
      </w:r>
    </w:p>
    <w:p w14:paraId="1D370CE1">
      <w:pPr>
        <w:pStyle w:val="3"/>
        <w:ind w:firstLine="482"/>
        <w:rPr>
          <w:highlight w:val="none"/>
        </w:rPr>
      </w:pPr>
      <w:r>
        <w:rPr>
          <w:rFonts w:hint="eastAsia"/>
          <w:highlight w:val="none"/>
        </w:rPr>
        <w:t>4评分与汇总</w:t>
      </w:r>
    </w:p>
    <w:p w14:paraId="25009135">
      <w:pPr>
        <w:ind w:firstLine="480"/>
        <w:rPr>
          <w:color w:val="000000" w:themeColor="text1"/>
          <w:highlight w:val="none"/>
          <w14:textFill>
            <w14:solidFill>
              <w14:schemeClr w14:val="tx1"/>
            </w14:solidFill>
          </w14:textFill>
        </w:rPr>
      </w:pPr>
      <w:bookmarkStart w:id="10" w:name="OLE_LINK30"/>
      <w:bookmarkStart w:id="11" w:name="OLE_LINK31"/>
      <w:r>
        <w:rPr>
          <w:rFonts w:hint="eastAsia"/>
          <w:color w:val="000000" w:themeColor="text1"/>
          <w:highlight w:val="none"/>
          <w14:textFill>
            <w14:solidFill>
              <w14:schemeClr w14:val="tx1"/>
            </w14:solidFill>
          </w14:textFill>
        </w:rPr>
        <w:t>评审小组成员按照评分标准独立对每个有效的</w:t>
      </w:r>
      <w:r>
        <w:rPr>
          <w:rFonts w:hint="eastAsia"/>
          <w:color w:val="000000" w:themeColor="text1"/>
          <w:highlight w:val="none"/>
          <w:lang w:val="en-US" w:eastAsia="zh-CN"/>
          <w14:textFill>
            <w14:solidFill>
              <w14:schemeClr w14:val="tx1"/>
            </w14:solidFill>
          </w14:textFill>
        </w:rPr>
        <w:t>响应</w:t>
      </w:r>
      <w:r>
        <w:rPr>
          <w:rFonts w:hint="eastAsia"/>
          <w:color w:val="000000" w:themeColor="text1"/>
          <w:highlight w:val="none"/>
          <w14:textFill>
            <w14:solidFill>
              <w14:schemeClr w14:val="tx1"/>
            </w14:solidFill>
          </w14:textFill>
        </w:rPr>
        <w:t>文件进行评价、打分，然后汇总每个供应商各项评分因素的得分。各项得分汇总后为该供应商的评分总分。</w:t>
      </w:r>
    </w:p>
    <w:bookmarkEnd w:id="10"/>
    <w:bookmarkEnd w:id="11"/>
    <w:p w14:paraId="28FCE77B">
      <w:pPr>
        <w:pStyle w:val="3"/>
        <w:ind w:firstLine="482"/>
        <w:rPr>
          <w:highlight w:val="none"/>
        </w:rPr>
      </w:pPr>
      <w:r>
        <w:rPr>
          <w:rFonts w:hint="eastAsia"/>
          <w:highlight w:val="none"/>
        </w:rPr>
        <w:t>5</w:t>
      </w:r>
      <w:r>
        <w:rPr>
          <w:highlight w:val="none"/>
        </w:rPr>
        <w:t xml:space="preserve"> </w:t>
      </w:r>
      <w:r>
        <w:rPr>
          <w:rFonts w:hint="eastAsia"/>
          <w:highlight w:val="none"/>
        </w:rPr>
        <w:t>评审结果</w:t>
      </w:r>
    </w:p>
    <w:p w14:paraId="1EBE3378">
      <w:pPr>
        <w:pStyle w:val="4"/>
        <w:ind w:firstLine="482"/>
        <w:rPr>
          <w:highlight w:val="none"/>
        </w:rPr>
      </w:pPr>
      <w:r>
        <w:rPr>
          <w:rFonts w:hint="eastAsia"/>
          <w:highlight w:val="none"/>
        </w:rPr>
        <w:t>5</w:t>
      </w:r>
      <w:r>
        <w:rPr>
          <w:highlight w:val="none"/>
        </w:rPr>
        <w:t>.</w:t>
      </w:r>
      <w:r>
        <w:rPr>
          <w:rFonts w:hint="eastAsia"/>
          <w:highlight w:val="none"/>
        </w:rPr>
        <w:t>1提交书面评审报告</w:t>
      </w:r>
    </w:p>
    <w:p w14:paraId="64EB66F3">
      <w:pPr>
        <w:ind w:firstLine="480"/>
        <w:rPr>
          <w:highlight w:val="none"/>
        </w:rPr>
      </w:pPr>
      <w:r>
        <w:rPr>
          <w:rFonts w:hint="eastAsia"/>
          <w:highlight w:val="none"/>
        </w:rPr>
        <w:t>评审小组完成评审后，向采购人提交书面评审报告。</w:t>
      </w:r>
    </w:p>
    <w:p w14:paraId="1FA95C28">
      <w:pPr>
        <w:pStyle w:val="4"/>
        <w:ind w:firstLine="482"/>
        <w:rPr>
          <w:highlight w:val="none"/>
        </w:rPr>
      </w:pPr>
      <w:r>
        <w:rPr>
          <w:highlight w:val="none"/>
        </w:rPr>
        <w:t>5</w:t>
      </w:r>
      <w:r>
        <w:rPr>
          <w:rFonts w:hint="eastAsia"/>
          <w:highlight w:val="none"/>
        </w:rPr>
        <w:t>.2推荐候选成交供应商</w:t>
      </w:r>
    </w:p>
    <w:p w14:paraId="0BC86572">
      <w:pPr>
        <w:ind w:firstLine="480"/>
        <w:rPr>
          <w:highlight w:val="none"/>
        </w:rPr>
      </w:pPr>
      <w:r>
        <w:rPr>
          <w:rFonts w:hint="eastAsia"/>
          <w:highlight w:val="none"/>
        </w:rPr>
        <w:t>5</w:t>
      </w:r>
      <w:r>
        <w:rPr>
          <w:highlight w:val="none"/>
        </w:rPr>
        <w:t>.2.1</w:t>
      </w:r>
      <w:r>
        <w:rPr>
          <w:rFonts w:hint="eastAsia"/>
          <w:highlight w:val="none"/>
        </w:rPr>
        <w:t>评审小组应在书面评审报告中按照供应商最终得分由高到低的顺序推荐1名候选成交供应商。</w:t>
      </w:r>
    </w:p>
    <w:p w14:paraId="0FC6EA7C">
      <w:pPr>
        <w:ind w:firstLine="480"/>
        <w:rPr>
          <w:highlight w:val="none"/>
        </w:rPr>
        <w:sectPr>
          <w:footerReference r:id="rId12" w:type="default"/>
          <w:pgSz w:w="11906" w:h="16838"/>
          <w:pgMar w:top="1418" w:right="1588" w:bottom="1418" w:left="1588" w:header="851" w:footer="992" w:gutter="0"/>
          <w:pgNumType w:start="1"/>
          <w:cols w:space="425" w:num="1"/>
          <w:docGrid w:linePitch="312" w:charSpace="0"/>
        </w:sectPr>
      </w:pPr>
      <w:r>
        <w:rPr>
          <w:rFonts w:hint="eastAsia"/>
          <w:highlight w:val="none"/>
        </w:rPr>
        <w:t>5</w:t>
      </w:r>
      <w:r>
        <w:rPr>
          <w:highlight w:val="none"/>
        </w:rPr>
        <w:t>.2.2</w:t>
      </w:r>
      <w:r>
        <w:rPr>
          <w:rFonts w:hint="eastAsia"/>
          <w:highlight w:val="none"/>
        </w:rPr>
        <w:t>如果供应商最终得分相同</w:t>
      </w:r>
      <w:r>
        <w:rPr>
          <w:rFonts w:hint="eastAsia" w:ascii="Times New Roman" w:hAnsi="Times New Roman" w:eastAsia="宋体"/>
          <w:highlight w:val="none"/>
        </w:rPr>
        <w:t>，</w:t>
      </w:r>
      <w:r>
        <w:rPr>
          <w:rFonts w:hint="eastAsia"/>
          <w:highlight w:val="none"/>
        </w:rPr>
        <w:t>以</w:t>
      </w:r>
      <w:r>
        <w:rPr>
          <w:rFonts w:hint="eastAsia" w:ascii="Times New Roman" w:hAnsi="Times New Roman" w:eastAsia="宋体"/>
          <w:highlight w:val="none"/>
        </w:rPr>
        <w:t>利率水平指标</w:t>
      </w:r>
      <w:r>
        <w:rPr>
          <w:rFonts w:hint="eastAsia"/>
          <w:highlight w:val="none"/>
        </w:rPr>
        <w:t>得分高的优先，如</w:t>
      </w:r>
      <w:r>
        <w:rPr>
          <w:rFonts w:hint="eastAsia" w:ascii="Times New Roman" w:hAnsi="Times New Roman" w:eastAsia="宋体"/>
          <w:highlight w:val="none"/>
        </w:rPr>
        <w:t>利率水平指标</w:t>
      </w:r>
      <w:r>
        <w:rPr>
          <w:rFonts w:hint="eastAsia"/>
          <w:highlight w:val="none"/>
        </w:rPr>
        <w:t>得分也相同的</w:t>
      </w:r>
      <w:r>
        <w:rPr>
          <w:rFonts w:hint="eastAsia"/>
          <w:highlight w:val="none"/>
          <w:lang w:eastAsia="zh-CN"/>
        </w:rPr>
        <w:t>，</w:t>
      </w:r>
      <w:r>
        <w:rPr>
          <w:rFonts w:hint="eastAsia"/>
          <w:highlight w:val="none"/>
        </w:rPr>
        <w:t>以</w:t>
      </w:r>
      <w:r>
        <w:rPr>
          <w:rFonts w:hint="eastAsia" w:ascii="Times New Roman" w:hAnsi="Times New Roman" w:eastAsia="宋体"/>
          <w:highlight w:val="none"/>
        </w:rPr>
        <w:t>附加增值服务指标</w:t>
      </w:r>
      <w:r>
        <w:rPr>
          <w:rFonts w:hint="eastAsia"/>
          <w:highlight w:val="none"/>
        </w:rPr>
        <w:t>得分高的优先，如</w:t>
      </w:r>
      <w:r>
        <w:rPr>
          <w:rFonts w:hint="eastAsia" w:ascii="Times New Roman" w:hAnsi="Times New Roman" w:eastAsia="宋体"/>
          <w:highlight w:val="none"/>
        </w:rPr>
        <w:t>附加增值服务指标</w:t>
      </w:r>
      <w:r>
        <w:rPr>
          <w:rFonts w:hint="eastAsia"/>
          <w:highlight w:val="none"/>
        </w:rPr>
        <w:t>得分也相同的，以</w:t>
      </w:r>
      <w:r>
        <w:rPr>
          <w:rFonts w:hint="eastAsia" w:ascii="Times New Roman" w:hAnsi="Times New Roman" w:eastAsia="宋体"/>
          <w:highlight w:val="none"/>
        </w:rPr>
        <w:t>服务水平指标</w:t>
      </w:r>
      <w:r>
        <w:rPr>
          <w:rFonts w:hint="eastAsia"/>
          <w:highlight w:val="none"/>
        </w:rPr>
        <w:t>得分高的优先，如</w:t>
      </w:r>
      <w:r>
        <w:rPr>
          <w:rFonts w:hint="eastAsia" w:ascii="Times New Roman" w:hAnsi="Times New Roman" w:eastAsia="宋体"/>
          <w:highlight w:val="none"/>
        </w:rPr>
        <w:t>服务水平指标</w:t>
      </w:r>
      <w:r>
        <w:rPr>
          <w:rFonts w:hint="eastAsia"/>
          <w:highlight w:val="none"/>
        </w:rPr>
        <w:t>得分也相同的，</w:t>
      </w:r>
      <w:r>
        <w:rPr>
          <w:rFonts w:hint="eastAsia" w:ascii="Times New Roman" w:hAnsi="Times New Roman" w:eastAsia="宋体"/>
          <w:highlight w:val="none"/>
        </w:rPr>
        <w:t>由评标委员会</w:t>
      </w:r>
      <w:r>
        <w:rPr>
          <w:rFonts w:hint="eastAsia"/>
          <w:highlight w:val="none"/>
        </w:rPr>
        <w:t>通过抽签形式确定候选成交供应商。</w:t>
      </w:r>
    </w:p>
    <w:p w14:paraId="26B548D8">
      <w:pPr>
        <w:pStyle w:val="3"/>
        <w:ind w:firstLine="482"/>
        <w:rPr>
          <w:highlight w:val="none"/>
        </w:rPr>
      </w:pPr>
      <w:bookmarkStart w:id="12" w:name="_Toc5079"/>
      <w:r>
        <w:rPr>
          <w:rFonts w:hint="eastAsia"/>
          <w:highlight w:val="none"/>
        </w:rPr>
        <w:t>附件</w:t>
      </w:r>
      <w:r>
        <w:rPr>
          <w:rFonts w:hint="eastAsia"/>
          <w:highlight w:val="none"/>
          <w:lang w:val="en-US" w:eastAsia="zh-CN"/>
        </w:rPr>
        <w:t>一</w:t>
      </w:r>
      <w:r>
        <w:rPr>
          <w:rFonts w:hint="eastAsia"/>
          <w:highlight w:val="none"/>
        </w:rPr>
        <w:t xml:space="preserve"> </w:t>
      </w:r>
      <w:bookmarkEnd w:id="12"/>
      <w:r>
        <w:rPr>
          <w:rFonts w:hint="eastAsia"/>
          <w:highlight w:val="none"/>
        </w:rPr>
        <w:t>评审标准</w:t>
      </w:r>
    </w:p>
    <w:p w14:paraId="25EA92F5">
      <w:pPr>
        <w:ind w:firstLine="0" w:firstLineChars="0"/>
        <w:jc w:val="center"/>
        <w:rPr>
          <w:b/>
          <w:bCs/>
          <w:highlight w:val="none"/>
        </w:rPr>
      </w:pPr>
      <w:r>
        <w:rPr>
          <w:rFonts w:hint="eastAsia"/>
          <w:b/>
          <w:bCs/>
          <w:highlight w:val="none"/>
        </w:rPr>
        <w:t>资格审查表</w:t>
      </w:r>
    </w:p>
    <w:tbl>
      <w:tblPr>
        <w:tblStyle w:val="26"/>
        <w:tblW w:w="510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5"/>
        <w:gridCol w:w="1339"/>
        <w:gridCol w:w="5099"/>
        <w:gridCol w:w="2935"/>
        <w:gridCol w:w="3750"/>
      </w:tblGrid>
      <w:tr w14:paraId="69727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4" w:hRule="atLeast"/>
          <w:jc w:val="center"/>
        </w:trPr>
        <w:tc>
          <w:tcPr>
            <w:tcW w:w="372" w:type="pct"/>
            <w:vAlign w:val="center"/>
          </w:tcPr>
          <w:p w14:paraId="7F0AFAE8">
            <w:pPr>
              <w:ind w:firstLine="0" w:firstLineChars="0"/>
              <w:jc w:val="center"/>
              <w:rPr>
                <w:b/>
                <w:bCs/>
                <w:sz w:val="24"/>
                <w:szCs w:val="24"/>
                <w:highlight w:val="none"/>
              </w:rPr>
            </w:pPr>
            <w:bookmarkStart w:id="13" w:name="_Hlk135650722"/>
            <w:r>
              <w:rPr>
                <w:rFonts w:hint="eastAsia"/>
                <w:b/>
                <w:bCs/>
                <w:sz w:val="24"/>
                <w:szCs w:val="24"/>
                <w:highlight w:val="none"/>
              </w:rPr>
              <w:t>序号</w:t>
            </w:r>
          </w:p>
        </w:tc>
        <w:tc>
          <w:tcPr>
            <w:tcW w:w="2270" w:type="pct"/>
            <w:gridSpan w:val="2"/>
            <w:vAlign w:val="center"/>
          </w:tcPr>
          <w:p w14:paraId="63C2684A">
            <w:pPr>
              <w:ind w:firstLine="0" w:firstLineChars="0"/>
              <w:jc w:val="center"/>
              <w:rPr>
                <w:b/>
                <w:bCs/>
                <w:sz w:val="24"/>
                <w:szCs w:val="24"/>
                <w:highlight w:val="none"/>
              </w:rPr>
            </w:pPr>
            <w:r>
              <w:rPr>
                <w:rFonts w:hint="eastAsia"/>
                <w:b/>
                <w:bCs/>
                <w:sz w:val="24"/>
                <w:szCs w:val="24"/>
                <w:highlight w:val="none"/>
              </w:rPr>
              <w:t>供应商资格要求</w:t>
            </w:r>
          </w:p>
        </w:tc>
        <w:tc>
          <w:tcPr>
            <w:tcW w:w="1035" w:type="pct"/>
            <w:vAlign w:val="center"/>
          </w:tcPr>
          <w:p w14:paraId="23EE30E4">
            <w:pPr>
              <w:ind w:firstLine="0" w:firstLineChars="0"/>
              <w:jc w:val="center"/>
              <w:rPr>
                <w:b/>
                <w:bCs/>
                <w:sz w:val="24"/>
                <w:szCs w:val="24"/>
                <w:highlight w:val="none"/>
              </w:rPr>
            </w:pPr>
            <w:r>
              <w:rPr>
                <w:rFonts w:hint="eastAsia"/>
                <w:b/>
                <w:bCs/>
                <w:sz w:val="24"/>
                <w:szCs w:val="24"/>
                <w:highlight w:val="none"/>
              </w:rPr>
              <w:t>响应文件对应章节</w:t>
            </w:r>
          </w:p>
        </w:tc>
        <w:tc>
          <w:tcPr>
            <w:tcW w:w="1322" w:type="pct"/>
            <w:vAlign w:val="center"/>
          </w:tcPr>
          <w:p w14:paraId="6DE4D1B2">
            <w:pPr>
              <w:ind w:firstLine="0" w:firstLineChars="0"/>
              <w:jc w:val="center"/>
              <w:rPr>
                <w:b/>
                <w:bCs/>
                <w:sz w:val="24"/>
                <w:szCs w:val="24"/>
                <w:highlight w:val="none"/>
              </w:rPr>
            </w:pPr>
            <w:r>
              <w:rPr>
                <w:rFonts w:hint="eastAsia"/>
                <w:b/>
                <w:bCs/>
                <w:sz w:val="24"/>
                <w:szCs w:val="24"/>
                <w:highlight w:val="none"/>
              </w:rPr>
              <w:t>证明材料</w:t>
            </w:r>
          </w:p>
        </w:tc>
      </w:tr>
      <w:tr w14:paraId="6471C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58" w:hRule="atLeast"/>
          <w:jc w:val="center"/>
        </w:trPr>
        <w:tc>
          <w:tcPr>
            <w:tcW w:w="372" w:type="pct"/>
            <w:vAlign w:val="center"/>
          </w:tcPr>
          <w:p w14:paraId="64C4F34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宋体" w:hAnsi="宋体"/>
                <w:sz w:val="24"/>
                <w:szCs w:val="24"/>
                <w:highlight w:val="none"/>
              </w:rPr>
            </w:pPr>
            <w:r>
              <w:rPr>
                <w:rFonts w:hint="eastAsia" w:ascii="宋体" w:hAnsi="宋体"/>
                <w:sz w:val="24"/>
                <w:szCs w:val="24"/>
                <w:highlight w:val="none"/>
              </w:rPr>
              <w:t>1</w:t>
            </w:r>
          </w:p>
        </w:tc>
        <w:tc>
          <w:tcPr>
            <w:tcW w:w="472" w:type="pct"/>
            <w:vAlign w:val="center"/>
          </w:tcPr>
          <w:p w14:paraId="7C88510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宋体" w:hAnsi="宋体"/>
                <w:sz w:val="24"/>
                <w:szCs w:val="24"/>
                <w:highlight w:val="none"/>
              </w:rPr>
            </w:pPr>
            <w:r>
              <w:rPr>
                <w:rFonts w:hint="eastAsia" w:ascii="宋体" w:hAnsi="宋体"/>
                <w:sz w:val="24"/>
                <w:szCs w:val="24"/>
                <w:highlight w:val="none"/>
              </w:rPr>
              <w:t>资格要求</w:t>
            </w:r>
          </w:p>
        </w:tc>
        <w:tc>
          <w:tcPr>
            <w:tcW w:w="1798" w:type="pct"/>
            <w:vAlign w:val="center"/>
          </w:tcPr>
          <w:p w14:paraId="1579C0F4">
            <w:pPr>
              <w:pStyle w:val="46"/>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eastAsia="宋体"/>
                <w:sz w:val="24"/>
                <w:szCs w:val="24"/>
                <w:highlight w:val="none"/>
                <w:lang w:val="en-US" w:eastAsia="zh-CN"/>
              </w:rPr>
            </w:pPr>
            <w:r>
              <w:rPr>
                <w:rFonts w:hint="eastAsia"/>
                <w:sz w:val="24"/>
                <w:szCs w:val="24"/>
                <w:highlight w:val="none"/>
                <w:lang w:eastAsia="zh-CN"/>
              </w:rPr>
              <w:t>参选的银行为中华人民共和国境内依法设立的法人或其他组织，或其分支机构。</w:t>
            </w:r>
          </w:p>
        </w:tc>
        <w:tc>
          <w:tcPr>
            <w:tcW w:w="1035" w:type="pct"/>
            <w:vAlign w:val="center"/>
          </w:tcPr>
          <w:p w14:paraId="6D9E2B37">
            <w:pPr>
              <w:pStyle w:val="46"/>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eastAsia="宋体"/>
                <w:sz w:val="24"/>
                <w:szCs w:val="24"/>
                <w:highlight w:val="none"/>
                <w:lang w:eastAsia="zh-CN"/>
              </w:rPr>
            </w:pPr>
            <w:r>
              <w:rPr>
                <w:rFonts w:hint="eastAsia"/>
                <w:sz w:val="24"/>
                <w:szCs w:val="24"/>
                <w:highlight w:val="none"/>
              </w:rPr>
              <w:t>第一册“资格审查部分</w:t>
            </w:r>
            <w:r>
              <w:rPr>
                <w:rFonts w:hint="eastAsia"/>
                <w:sz w:val="24"/>
                <w:szCs w:val="24"/>
                <w:highlight w:val="none"/>
                <w:lang w:val="en-US" w:eastAsia="zh-CN"/>
              </w:rPr>
              <w:t>2.</w:t>
            </w:r>
            <w:r>
              <w:rPr>
                <w:rFonts w:hint="eastAsia"/>
                <w:sz w:val="24"/>
                <w:szCs w:val="24"/>
                <w:highlight w:val="none"/>
              </w:rPr>
              <w:t>营业执照或其他组织证书</w:t>
            </w:r>
            <w:r>
              <w:rPr>
                <w:rFonts w:hint="eastAsia"/>
                <w:sz w:val="24"/>
                <w:szCs w:val="24"/>
                <w:highlight w:val="none"/>
                <w:lang w:val="en-US" w:eastAsia="zh-CN"/>
              </w:rPr>
              <w:t>、3.</w:t>
            </w:r>
            <w:r>
              <w:rPr>
                <w:rFonts w:hint="eastAsia"/>
                <w:sz w:val="24"/>
                <w:szCs w:val="24"/>
                <w:highlight w:val="none"/>
              </w:rPr>
              <w:t>法定代表人（分支机构负责人）身份证明</w:t>
            </w:r>
            <w:r>
              <w:rPr>
                <w:rFonts w:hint="eastAsia"/>
                <w:sz w:val="24"/>
                <w:szCs w:val="24"/>
                <w:highlight w:val="none"/>
                <w:lang w:eastAsia="zh-CN"/>
              </w:rPr>
              <w:t>、</w:t>
            </w:r>
          </w:p>
          <w:p w14:paraId="3F870B6B">
            <w:pPr>
              <w:pStyle w:val="46"/>
              <w:keepNext w:val="0"/>
              <w:keepLines w:val="0"/>
              <w:pageBreakBefore w:val="0"/>
              <w:widowControl/>
              <w:kinsoku/>
              <w:wordWrap/>
              <w:overflowPunct/>
              <w:topLinePunct w:val="0"/>
              <w:autoSpaceDE/>
              <w:autoSpaceDN/>
              <w:bidi w:val="0"/>
              <w:adjustRightInd/>
              <w:snapToGrid/>
              <w:spacing w:line="240" w:lineRule="auto"/>
              <w:jc w:val="left"/>
              <w:textAlignment w:val="auto"/>
              <w:rPr>
                <w:sz w:val="24"/>
                <w:szCs w:val="24"/>
                <w:highlight w:val="none"/>
              </w:rPr>
            </w:pPr>
            <w:r>
              <w:rPr>
                <w:rFonts w:hint="eastAsia"/>
                <w:sz w:val="24"/>
                <w:szCs w:val="24"/>
                <w:highlight w:val="none"/>
                <w:lang w:val="en-US" w:eastAsia="zh-CN"/>
              </w:rPr>
              <w:t>4.</w:t>
            </w:r>
            <w:r>
              <w:rPr>
                <w:rFonts w:hint="eastAsia"/>
                <w:sz w:val="24"/>
                <w:szCs w:val="24"/>
                <w:highlight w:val="none"/>
              </w:rPr>
              <w:t>授权委托书原件，授权代理人本人身份证复印件”</w:t>
            </w:r>
          </w:p>
        </w:tc>
        <w:tc>
          <w:tcPr>
            <w:tcW w:w="1322" w:type="pct"/>
            <w:vAlign w:val="center"/>
          </w:tcPr>
          <w:p w14:paraId="0833E689">
            <w:pPr>
              <w:pStyle w:val="46"/>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sz w:val="24"/>
                <w:szCs w:val="24"/>
                <w:highlight w:val="none"/>
              </w:rPr>
            </w:pPr>
            <w:r>
              <w:rPr>
                <w:rFonts w:hint="eastAsia"/>
                <w:sz w:val="24"/>
                <w:szCs w:val="24"/>
                <w:highlight w:val="none"/>
              </w:rPr>
              <w:t>有效的营业执照或其他组织证书；法定代表人（分支机构负责人）身份证明、授权委托书（格式参见附件）</w:t>
            </w:r>
          </w:p>
          <w:p w14:paraId="24AE5091">
            <w:pPr>
              <w:pStyle w:val="46"/>
              <w:keepNext w:val="0"/>
              <w:keepLines w:val="0"/>
              <w:pageBreakBefore w:val="0"/>
              <w:widowControl/>
              <w:kinsoku/>
              <w:wordWrap/>
              <w:overflowPunct/>
              <w:topLinePunct w:val="0"/>
              <w:autoSpaceDE/>
              <w:autoSpaceDN/>
              <w:bidi w:val="0"/>
              <w:adjustRightInd/>
              <w:snapToGrid/>
              <w:spacing w:line="240" w:lineRule="auto"/>
              <w:jc w:val="left"/>
              <w:textAlignment w:val="auto"/>
              <w:rPr>
                <w:sz w:val="24"/>
                <w:szCs w:val="24"/>
                <w:highlight w:val="none"/>
              </w:rPr>
            </w:pPr>
            <w:r>
              <w:rPr>
                <w:rFonts w:hint="eastAsia"/>
                <w:sz w:val="24"/>
                <w:szCs w:val="24"/>
                <w:highlight w:val="none"/>
              </w:rPr>
              <w:t>且其“营业场所”或“住所”载明属于南通市区域，同时在区域内设有分支机构(通指一级支行及以上金融机构)。</w:t>
            </w:r>
          </w:p>
        </w:tc>
      </w:tr>
      <w:tr w14:paraId="7C88D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58" w:hRule="atLeast"/>
          <w:jc w:val="center"/>
        </w:trPr>
        <w:tc>
          <w:tcPr>
            <w:tcW w:w="372" w:type="pct"/>
            <w:vAlign w:val="center"/>
          </w:tcPr>
          <w:p w14:paraId="53AE5B50">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宋体"/>
                <w:sz w:val="24"/>
                <w:szCs w:val="24"/>
                <w:highlight w:val="none"/>
                <w:lang w:val="en-US" w:eastAsia="zh-CN"/>
              </w:rPr>
            </w:pPr>
            <w:r>
              <w:rPr>
                <w:rFonts w:hint="eastAsia" w:ascii="宋体" w:hAnsi="宋体"/>
                <w:sz w:val="24"/>
                <w:szCs w:val="24"/>
                <w:highlight w:val="none"/>
                <w:lang w:val="en-US" w:eastAsia="zh-CN"/>
              </w:rPr>
              <w:t>2</w:t>
            </w:r>
          </w:p>
        </w:tc>
        <w:tc>
          <w:tcPr>
            <w:tcW w:w="472" w:type="pct"/>
            <w:vAlign w:val="center"/>
          </w:tcPr>
          <w:p w14:paraId="255065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sz w:val="24"/>
                <w:szCs w:val="24"/>
                <w:highlight w:val="none"/>
                <w:lang w:eastAsia="zh-CN"/>
              </w:rPr>
            </w:pPr>
            <w:r>
              <w:rPr>
                <w:rFonts w:hint="eastAsia" w:ascii="宋体" w:hAnsi="宋体"/>
                <w:sz w:val="24"/>
                <w:szCs w:val="24"/>
                <w:highlight w:val="none"/>
                <w:lang w:eastAsia="zh-CN"/>
              </w:rPr>
              <w:t>资质要求</w:t>
            </w:r>
          </w:p>
        </w:tc>
        <w:tc>
          <w:tcPr>
            <w:tcW w:w="1798" w:type="pct"/>
            <w:vAlign w:val="center"/>
          </w:tcPr>
          <w:p w14:paraId="6B3516E8">
            <w:pPr>
              <w:pStyle w:val="46"/>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sz w:val="24"/>
                <w:szCs w:val="24"/>
                <w:highlight w:val="none"/>
                <w:lang w:eastAsia="zh-CN"/>
              </w:rPr>
            </w:pPr>
            <w:r>
              <w:rPr>
                <w:rFonts w:hint="eastAsia"/>
                <w:sz w:val="24"/>
                <w:szCs w:val="24"/>
                <w:highlight w:val="none"/>
                <w:lang w:eastAsia="zh-CN"/>
              </w:rPr>
              <w:t>参选人须具有合法有效的金融业务许可。</w:t>
            </w:r>
          </w:p>
        </w:tc>
        <w:tc>
          <w:tcPr>
            <w:tcW w:w="1035" w:type="pct"/>
            <w:vAlign w:val="center"/>
          </w:tcPr>
          <w:p w14:paraId="78B1C876">
            <w:pPr>
              <w:pStyle w:val="46"/>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sz w:val="24"/>
                <w:szCs w:val="24"/>
                <w:highlight w:val="none"/>
              </w:rPr>
            </w:pPr>
            <w:r>
              <w:rPr>
                <w:rFonts w:hint="eastAsia"/>
                <w:sz w:val="24"/>
                <w:szCs w:val="24"/>
                <w:highlight w:val="none"/>
              </w:rPr>
              <w:t>第一册“资格审查部分</w:t>
            </w:r>
            <w:r>
              <w:rPr>
                <w:rFonts w:hint="eastAsia"/>
                <w:sz w:val="24"/>
                <w:szCs w:val="24"/>
                <w:highlight w:val="none"/>
                <w:lang w:val="en-US" w:eastAsia="zh-CN"/>
              </w:rPr>
              <w:t>5.资格证书；</w:t>
            </w:r>
            <w:r>
              <w:rPr>
                <w:rFonts w:hint="eastAsia"/>
                <w:sz w:val="24"/>
                <w:szCs w:val="24"/>
                <w:highlight w:val="none"/>
              </w:rPr>
              <w:t>中华人民共和国金融许可证”</w:t>
            </w:r>
          </w:p>
        </w:tc>
        <w:tc>
          <w:tcPr>
            <w:tcW w:w="1322" w:type="pct"/>
            <w:vAlign w:val="center"/>
          </w:tcPr>
          <w:p w14:paraId="511136A8">
            <w:pPr>
              <w:pStyle w:val="46"/>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sz w:val="24"/>
                <w:szCs w:val="24"/>
                <w:highlight w:val="none"/>
              </w:rPr>
            </w:pPr>
            <w:r>
              <w:rPr>
                <w:rFonts w:hint="eastAsia"/>
                <w:sz w:val="24"/>
                <w:szCs w:val="24"/>
                <w:highlight w:val="none"/>
              </w:rPr>
              <w:t>持有中国银行业监督管理委员会核发有效的《中华人民共和国金融许可证》并加盖公章</w:t>
            </w:r>
          </w:p>
        </w:tc>
      </w:tr>
      <w:tr w14:paraId="47A66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372" w:type="pct"/>
            <w:vAlign w:val="center"/>
          </w:tcPr>
          <w:p w14:paraId="705A3426">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sz w:val="24"/>
                <w:szCs w:val="24"/>
                <w:highlight w:val="none"/>
                <w:lang w:eastAsia="zh-CN"/>
              </w:rPr>
            </w:pPr>
            <w:r>
              <w:rPr>
                <w:rFonts w:hint="eastAsia" w:ascii="宋体" w:hAnsi="宋体"/>
                <w:sz w:val="24"/>
                <w:szCs w:val="24"/>
                <w:highlight w:val="none"/>
                <w:lang w:val="en-US" w:eastAsia="zh-CN"/>
              </w:rPr>
              <w:t>3</w:t>
            </w:r>
          </w:p>
        </w:tc>
        <w:tc>
          <w:tcPr>
            <w:tcW w:w="472" w:type="pct"/>
            <w:vMerge w:val="restart"/>
            <w:vAlign w:val="center"/>
          </w:tcPr>
          <w:p w14:paraId="171706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宋体" w:hAnsi="宋体"/>
                <w:sz w:val="24"/>
                <w:szCs w:val="24"/>
                <w:highlight w:val="none"/>
              </w:rPr>
            </w:pPr>
            <w:r>
              <w:rPr>
                <w:rFonts w:hint="eastAsia" w:ascii="宋体" w:hAnsi="宋体"/>
                <w:sz w:val="24"/>
                <w:szCs w:val="24"/>
                <w:highlight w:val="none"/>
              </w:rPr>
              <w:t>信誉要求</w:t>
            </w:r>
          </w:p>
        </w:tc>
        <w:tc>
          <w:tcPr>
            <w:tcW w:w="1798" w:type="pct"/>
            <w:vAlign w:val="center"/>
          </w:tcPr>
          <w:p w14:paraId="6C8F72E0">
            <w:pPr>
              <w:pStyle w:val="46"/>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eastAsia="宋体"/>
                <w:b/>
                <w:bCs/>
                <w:sz w:val="24"/>
                <w:szCs w:val="24"/>
                <w:highlight w:val="none"/>
                <w:lang w:eastAsia="zh-CN"/>
              </w:rPr>
            </w:pPr>
            <w:r>
              <w:rPr>
                <w:rFonts w:hint="eastAsia" w:ascii="Times New Roman" w:hAnsi="Times New Roman" w:eastAsia="宋体" w:cs="Times New Roman"/>
                <w:sz w:val="24"/>
                <w:szCs w:val="24"/>
                <w:highlight w:val="none"/>
              </w:rPr>
              <w:t>依法开展经营活动，內部管理机制健全，具有较强的风险控制能力，近3年内在经营活动中无重大违法违规记录及重大违约事件、未发生金融风险。</w:t>
            </w:r>
          </w:p>
        </w:tc>
        <w:tc>
          <w:tcPr>
            <w:tcW w:w="1035" w:type="pct"/>
            <w:vAlign w:val="center"/>
          </w:tcPr>
          <w:p w14:paraId="0983B3D6">
            <w:pPr>
              <w:pStyle w:val="46"/>
              <w:keepNext w:val="0"/>
              <w:keepLines w:val="0"/>
              <w:pageBreakBefore w:val="0"/>
              <w:widowControl/>
              <w:kinsoku/>
              <w:wordWrap/>
              <w:overflowPunct/>
              <w:topLinePunct w:val="0"/>
              <w:autoSpaceDE/>
              <w:autoSpaceDN/>
              <w:bidi w:val="0"/>
              <w:adjustRightInd/>
              <w:snapToGrid/>
              <w:spacing w:line="240" w:lineRule="auto"/>
              <w:jc w:val="left"/>
              <w:textAlignment w:val="auto"/>
              <w:rPr>
                <w:sz w:val="24"/>
                <w:szCs w:val="24"/>
                <w:highlight w:val="none"/>
              </w:rPr>
            </w:pPr>
            <w:r>
              <w:rPr>
                <w:rFonts w:hint="eastAsia"/>
                <w:sz w:val="24"/>
                <w:szCs w:val="24"/>
                <w:highlight w:val="none"/>
              </w:rPr>
              <w:t>第一册“资格审查部分</w:t>
            </w:r>
            <w:r>
              <w:rPr>
                <w:rFonts w:hint="eastAsia"/>
                <w:sz w:val="24"/>
                <w:szCs w:val="24"/>
                <w:highlight w:val="none"/>
                <w:lang w:val="en-US" w:eastAsia="zh-CN"/>
              </w:rPr>
              <w:t>1.承诺函、6.</w:t>
            </w:r>
            <w:r>
              <w:rPr>
                <w:rFonts w:hint="eastAsia"/>
                <w:sz w:val="24"/>
                <w:szCs w:val="24"/>
                <w:highlight w:val="none"/>
              </w:rPr>
              <w:t>承诺</w:t>
            </w:r>
            <w:r>
              <w:rPr>
                <w:rFonts w:hint="eastAsia"/>
                <w:sz w:val="24"/>
                <w:szCs w:val="24"/>
                <w:highlight w:val="none"/>
                <w:lang w:val="en-US" w:eastAsia="zh-CN"/>
              </w:rPr>
              <w:t>书</w:t>
            </w:r>
            <w:r>
              <w:rPr>
                <w:rFonts w:hint="eastAsia"/>
                <w:sz w:val="24"/>
                <w:szCs w:val="24"/>
                <w:highlight w:val="none"/>
              </w:rPr>
              <w:t>”</w:t>
            </w:r>
          </w:p>
        </w:tc>
        <w:tc>
          <w:tcPr>
            <w:tcW w:w="1322" w:type="pct"/>
            <w:vAlign w:val="center"/>
          </w:tcPr>
          <w:p w14:paraId="2E50E727">
            <w:pPr>
              <w:pStyle w:val="46"/>
              <w:keepNext w:val="0"/>
              <w:keepLines w:val="0"/>
              <w:pageBreakBefore w:val="0"/>
              <w:widowControl/>
              <w:kinsoku/>
              <w:wordWrap/>
              <w:overflowPunct/>
              <w:topLinePunct w:val="0"/>
              <w:autoSpaceDE/>
              <w:autoSpaceDN/>
              <w:bidi w:val="0"/>
              <w:adjustRightInd/>
              <w:snapToGrid/>
              <w:spacing w:line="240" w:lineRule="auto"/>
              <w:jc w:val="left"/>
              <w:textAlignment w:val="auto"/>
              <w:rPr>
                <w:sz w:val="24"/>
                <w:szCs w:val="24"/>
                <w:highlight w:val="none"/>
              </w:rPr>
            </w:pPr>
            <w:r>
              <w:rPr>
                <w:rFonts w:hint="eastAsia"/>
                <w:sz w:val="24"/>
                <w:szCs w:val="24"/>
                <w:highlight w:val="none"/>
              </w:rPr>
              <w:t>提供承诺</w:t>
            </w:r>
          </w:p>
        </w:tc>
      </w:tr>
      <w:tr w14:paraId="3C141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6" w:hRule="atLeast"/>
          <w:jc w:val="center"/>
        </w:trPr>
        <w:tc>
          <w:tcPr>
            <w:tcW w:w="372" w:type="pct"/>
            <w:vAlign w:val="center"/>
          </w:tcPr>
          <w:p w14:paraId="4E82653A">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sz w:val="24"/>
                <w:szCs w:val="24"/>
                <w:highlight w:val="none"/>
                <w:lang w:val="en-US" w:eastAsia="zh-CN"/>
              </w:rPr>
            </w:pPr>
            <w:r>
              <w:rPr>
                <w:rFonts w:hint="eastAsia" w:ascii="宋体" w:hAnsi="宋体"/>
                <w:sz w:val="24"/>
                <w:szCs w:val="24"/>
                <w:highlight w:val="none"/>
                <w:lang w:val="en-US" w:eastAsia="zh-CN"/>
              </w:rPr>
              <w:t>4</w:t>
            </w:r>
          </w:p>
        </w:tc>
        <w:tc>
          <w:tcPr>
            <w:tcW w:w="472" w:type="pct"/>
            <w:vMerge w:val="continue"/>
            <w:vAlign w:val="center"/>
          </w:tcPr>
          <w:p w14:paraId="2B143DE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sz w:val="24"/>
                <w:szCs w:val="24"/>
                <w:highlight w:val="none"/>
              </w:rPr>
            </w:pPr>
          </w:p>
        </w:tc>
        <w:tc>
          <w:tcPr>
            <w:tcW w:w="1798" w:type="pct"/>
            <w:vAlign w:val="center"/>
          </w:tcPr>
          <w:p w14:paraId="7CA9FD1C">
            <w:pPr>
              <w:pStyle w:val="46"/>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每家银行有且只能有一个参选主体</w:t>
            </w:r>
          </w:p>
        </w:tc>
        <w:tc>
          <w:tcPr>
            <w:tcW w:w="1035" w:type="pct"/>
            <w:vAlign w:val="center"/>
          </w:tcPr>
          <w:p w14:paraId="39AD2937">
            <w:pPr>
              <w:pStyle w:val="46"/>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sz w:val="24"/>
                <w:szCs w:val="24"/>
                <w:highlight w:val="none"/>
              </w:rPr>
            </w:pPr>
            <w:r>
              <w:rPr>
                <w:rFonts w:hint="eastAsia"/>
                <w:sz w:val="24"/>
                <w:szCs w:val="24"/>
                <w:highlight w:val="none"/>
              </w:rPr>
              <w:t>第一册“资格审查部分</w:t>
            </w:r>
            <w:r>
              <w:rPr>
                <w:rFonts w:hint="eastAsia"/>
                <w:sz w:val="24"/>
                <w:szCs w:val="24"/>
                <w:highlight w:val="none"/>
                <w:lang w:val="en-US" w:eastAsia="zh-CN"/>
              </w:rPr>
              <w:t>7.</w:t>
            </w:r>
            <w:r>
              <w:rPr>
                <w:rFonts w:hint="eastAsia"/>
                <w:sz w:val="24"/>
                <w:szCs w:val="24"/>
                <w:highlight w:val="none"/>
              </w:rPr>
              <w:t>供应商认为需要提交的其他资料</w:t>
            </w:r>
            <w:r>
              <w:rPr>
                <w:rFonts w:hint="eastAsia"/>
                <w:sz w:val="24"/>
                <w:szCs w:val="24"/>
                <w:highlight w:val="none"/>
                <w:lang w:val="en-US" w:eastAsia="zh-CN"/>
              </w:rPr>
              <w:t>中提供</w:t>
            </w:r>
            <w:r>
              <w:rPr>
                <w:rFonts w:hint="eastAsia"/>
                <w:sz w:val="24"/>
                <w:szCs w:val="24"/>
                <w:highlight w:val="none"/>
              </w:rPr>
              <w:t>唯一授权书”</w:t>
            </w:r>
          </w:p>
        </w:tc>
        <w:tc>
          <w:tcPr>
            <w:tcW w:w="1322" w:type="pct"/>
            <w:vAlign w:val="center"/>
          </w:tcPr>
          <w:p w14:paraId="4FF0E653">
            <w:pPr>
              <w:pStyle w:val="46"/>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sz w:val="24"/>
                <w:szCs w:val="24"/>
                <w:highlight w:val="none"/>
              </w:rPr>
            </w:pPr>
            <w:r>
              <w:rPr>
                <w:rFonts w:hint="eastAsia"/>
                <w:sz w:val="24"/>
                <w:szCs w:val="24"/>
                <w:highlight w:val="none"/>
              </w:rPr>
              <w:t>如出现多家分支机构报名的，投标时凭南通市分行及以上机构出具的唯一授权书才能进行投标，否则其投标文件均作否决投标处理。</w:t>
            </w:r>
          </w:p>
        </w:tc>
      </w:tr>
      <w:tr w14:paraId="3D4FE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6" w:hRule="atLeast"/>
          <w:jc w:val="center"/>
        </w:trPr>
        <w:tc>
          <w:tcPr>
            <w:tcW w:w="372" w:type="pct"/>
            <w:vAlign w:val="center"/>
          </w:tcPr>
          <w:p w14:paraId="681C9EE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sz w:val="24"/>
                <w:szCs w:val="24"/>
                <w:highlight w:val="none"/>
                <w:lang w:eastAsia="zh-CN"/>
              </w:rPr>
            </w:pPr>
            <w:r>
              <w:rPr>
                <w:rFonts w:hint="eastAsia" w:ascii="宋体" w:hAnsi="宋体"/>
                <w:sz w:val="24"/>
                <w:szCs w:val="24"/>
                <w:highlight w:val="none"/>
                <w:lang w:val="en-US" w:eastAsia="zh-CN"/>
              </w:rPr>
              <w:t>5</w:t>
            </w:r>
          </w:p>
        </w:tc>
        <w:tc>
          <w:tcPr>
            <w:tcW w:w="472" w:type="pct"/>
            <w:vAlign w:val="center"/>
          </w:tcPr>
          <w:p w14:paraId="30D5CE1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宋体" w:hAnsi="宋体"/>
                <w:sz w:val="24"/>
                <w:szCs w:val="24"/>
                <w:highlight w:val="none"/>
              </w:rPr>
            </w:pPr>
            <w:r>
              <w:rPr>
                <w:rFonts w:hint="eastAsia" w:ascii="宋体" w:hAnsi="宋体"/>
                <w:sz w:val="24"/>
                <w:szCs w:val="24"/>
                <w:highlight w:val="none"/>
              </w:rPr>
              <w:t>联合体要求</w:t>
            </w:r>
          </w:p>
        </w:tc>
        <w:tc>
          <w:tcPr>
            <w:tcW w:w="1798" w:type="pct"/>
            <w:vAlign w:val="center"/>
          </w:tcPr>
          <w:p w14:paraId="40163E7C">
            <w:pPr>
              <w:pStyle w:val="46"/>
              <w:keepNext w:val="0"/>
              <w:keepLines w:val="0"/>
              <w:pageBreakBefore w:val="0"/>
              <w:kinsoku/>
              <w:wordWrap/>
              <w:overflowPunct/>
              <w:topLinePunct w:val="0"/>
              <w:autoSpaceDE/>
              <w:autoSpaceDN/>
              <w:bidi w:val="0"/>
              <w:adjustRightInd/>
              <w:snapToGrid/>
              <w:spacing w:line="240" w:lineRule="auto"/>
              <w:jc w:val="left"/>
              <w:textAlignment w:val="auto"/>
              <w:rPr>
                <w:sz w:val="24"/>
                <w:szCs w:val="24"/>
                <w:highlight w:val="none"/>
              </w:rPr>
            </w:pPr>
            <w:r>
              <w:rPr>
                <w:rFonts w:hint="eastAsia"/>
                <w:sz w:val="24"/>
                <w:szCs w:val="24"/>
                <w:highlight w:val="none"/>
              </w:rPr>
              <w:t>本项目不接受联合体参与</w:t>
            </w:r>
          </w:p>
        </w:tc>
        <w:tc>
          <w:tcPr>
            <w:tcW w:w="1035" w:type="pct"/>
            <w:vAlign w:val="center"/>
          </w:tcPr>
          <w:p w14:paraId="5E9481CC">
            <w:pPr>
              <w:pStyle w:val="46"/>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cs="宋体"/>
                <w:sz w:val="24"/>
                <w:szCs w:val="24"/>
                <w:highlight w:val="none"/>
              </w:rPr>
            </w:pPr>
            <w:r>
              <w:rPr>
                <w:rFonts w:hint="eastAsia" w:ascii="宋体" w:hAnsi="宋体" w:cs="宋体"/>
                <w:sz w:val="24"/>
                <w:szCs w:val="24"/>
                <w:highlight w:val="none"/>
              </w:rPr>
              <w:t>/</w:t>
            </w:r>
          </w:p>
        </w:tc>
        <w:tc>
          <w:tcPr>
            <w:tcW w:w="1322" w:type="pct"/>
            <w:vAlign w:val="center"/>
          </w:tcPr>
          <w:p w14:paraId="5858E8CE">
            <w:pPr>
              <w:pStyle w:val="46"/>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cs="宋体"/>
                <w:sz w:val="24"/>
                <w:szCs w:val="24"/>
                <w:highlight w:val="none"/>
              </w:rPr>
            </w:pPr>
            <w:r>
              <w:rPr>
                <w:rFonts w:hint="eastAsia" w:ascii="宋体" w:hAnsi="宋体" w:cs="宋体"/>
                <w:sz w:val="24"/>
                <w:szCs w:val="24"/>
                <w:highlight w:val="none"/>
              </w:rPr>
              <w:t>/</w:t>
            </w:r>
          </w:p>
        </w:tc>
      </w:tr>
    </w:tbl>
    <w:p w14:paraId="7BBA4FCA">
      <w:pPr>
        <w:ind w:firstLine="482"/>
        <w:rPr>
          <w:b/>
          <w:bCs/>
          <w:highlight w:val="none"/>
        </w:rPr>
        <w:sectPr>
          <w:pgSz w:w="16838" w:h="11906" w:orient="landscape"/>
          <w:pgMar w:top="1418" w:right="1588" w:bottom="1418" w:left="1588" w:header="851" w:footer="992" w:gutter="0"/>
          <w:cols w:space="425" w:num="1"/>
          <w:docGrid w:linePitch="326" w:charSpace="0"/>
        </w:sectPr>
      </w:pPr>
    </w:p>
    <w:p w14:paraId="5C672EA2">
      <w:pPr>
        <w:ind w:firstLine="0" w:firstLineChars="0"/>
        <w:jc w:val="center"/>
        <w:rPr>
          <w:b/>
          <w:bCs/>
          <w:highlight w:val="none"/>
        </w:rPr>
      </w:pPr>
      <w:r>
        <w:rPr>
          <w:rFonts w:hint="eastAsia"/>
          <w:b/>
          <w:bCs/>
          <w:highlight w:val="none"/>
          <w:lang w:eastAsia="zh-CN"/>
        </w:rPr>
        <w:t>商务</w:t>
      </w:r>
      <w:r>
        <w:rPr>
          <w:rFonts w:hint="eastAsia"/>
          <w:b/>
          <w:bCs/>
          <w:highlight w:val="none"/>
        </w:rPr>
        <w:t>技术部分评分表（</w:t>
      </w:r>
      <w:r>
        <w:rPr>
          <w:rFonts w:hint="eastAsia"/>
          <w:b/>
          <w:bCs/>
          <w:highlight w:val="none"/>
          <w:lang w:val="en-US" w:eastAsia="zh-CN"/>
        </w:rPr>
        <w:t>100</w:t>
      </w:r>
      <w:r>
        <w:rPr>
          <w:rFonts w:hint="eastAsia"/>
          <w:b/>
          <w:bCs/>
          <w:highlight w:val="none"/>
        </w:rPr>
        <w:t>分）</w:t>
      </w:r>
    </w:p>
    <w:tbl>
      <w:tblPr>
        <w:tblStyle w:val="26"/>
        <w:tblW w:w="894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37"/>
        <w:gridCol w:w="762"/>
        <w:gridCol w:w="585"/>
        <w:gridCol w:w="6457"/>
      </w:tblGrid>
      <w:tr w14:paraId="5290F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0E862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评分项目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806C3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分值</w:t>
            </w:r>
          </w:p>
        </w:tc>
        <w:tc>
          <w:tcPr>
            <w:tcW w:w="6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BA5D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评标要点及说明</w:t>
            </w:r>
          </w:p>
        </w:tc>
      </w:tr>
      <w:tr w14:paraId="4DA0A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EAF1C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一、利率水平（30分)</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679B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活期存款利率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33DDB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c>
          <w:tcPr>
            <w:tcW w:w="6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DA73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利率应符合国家利率政策规定和市场利率定价自律机制约 定范围。活期存款利率（活期基准利率+上浮基点 （BP）），报价最高的银行得满分15分，其他银行根据与最高定期存款利率的比值。计算公式：实际得分=活期存款利率/最高报价的活期存款利率*1</w:t>
            </w:r>
            <w:r>
              <w:rPr>
                <w:rFonts w:hint="eastAsia" w:ascii="宋体" w:hAnsi="宋体" w:cs="宋体"/>
                <w:i w:val="0"/>
                <w:iCs w:val="0"/>
                <w:color w:val="000000"/>
                <w:kern w:val="0"/>
                <w:sz w:val="24"/>
                <w:szCs w:val="24"/>
                <w:highlight w:val="none"/>
                <w:u w:val="none"/>
                <w:lang w:val="en-US" w:eastAsia="zh-CN" w:bidi="ar"/>
              </w:rPr>
              <w:t>5</w:t>
            </w:r>
            <w:r>
              <w:rPr>
                <w:rFonts w:hint="eastAsia" w:ascii="宋体" w:hAnsi="宋体" w:eastAsia="宋体" w:cs="宋体"/>
                <w:i w:val="0"/>
                <w:iCs w:val="0"/>
                <w:color w:val="000000"/>
                <w:kern w:val="0"/>
                <w:sz w:val="24"/>
                <w:szCs w:val="24"/>
                <w:highlight w:val="none"/>
                <w:u w:val="none"/>
                <w:lang w:val="en-US" w:eastAsia="zh-CN" w:bidi="ar"/>
              </w:rPr>
              <w:t>分。</w:t>
            </w:r>
          </w:p>
        </w:tc>
      </w:tr>
      <w:tr w14:paraId="5B3E3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A85AEA">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i w:val="0"/>
                <w:iCs w:val="0"/>
                <w:color w:val="000000"/>
                <w:sz w:val="24"/>
                <w:szCs w:val="24"/>
                <w:highlight w:val="none"/>
                <w:u w:val="none"/>
              </w:rPr>
            </w:pP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FEDB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协定存款利率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FEDE9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c>
          <w:tcPr>
            <w:tcW w:w="6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745A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利率应符合国家利率政策规定和市场利率定价自律机制约 定范围。协定存款利率（协定存款基准利率+上浮基点 （BP）），报价最高的银行得满分15分，其他银行根据与最高协定存款利率的比值。计算公式：实际得分=协定存款利率/最高报价的协定存款利率*1</w:t>
            </w:r>
            <w:r>
              <w:rPr>
                <w:rFonts w:hint="eastAsia" w:ascii="宋体" w:hAnsi="宋体" w:cs="宋体"/>
                <w:i w:val="0"/>
                <w:iCs w:val="0"/>
                <w:color w:val="000000"/>
                <w:kern w:val="0"/>
                <w:sz w:val="24"/>
                <w:szCs w:val="24"/>
                <w:highlight w:val="none"/>
                <w:u w:val="none"/>
                <w:lang w:val="en-US" w:eastAsia="zh-CN" w:bidi="ar"/>
              </w:rPr>
              <w:t>5</w:t>
            </w:r>
            <w:r>
              <w:rPr>
                <w:rFonts w:hint="eastAsia" w:ascii="宋体" w:hAnsi="宋体" w:eastAsia="宋体" w:cs="宋体"/>
                <w:i w:val="0"/>
                <w:iCs w:val="0"/>
                <w:color w:val="000000"/>
                <w:kern w:val="0"/>
                <w:sz w:val="24"/>
                <w:szCs w:val="24"/>
                <w:highlight w:val="none"/>
                <w:u w:val="none"/>
                <w:lang w:val="en-US" w:eastAsia="zh-CN" w:bidi="ar"/>
              </w:rPr>
              <w:t>分。</w:t>
            </w:r>
          </w:p>
        </w:tc>
      </w:tr>
      <w:tr w14:paraId="0245B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C5D0E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二、服务水平(30分)</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F57D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以往提供服务情况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C6595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6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2734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银行(包括同一银行的其他分支机构)近三年（2023年1月—2025年12月）为工会提供过账户结算服务的，每个账户得2分，加满为止。（须提供账户结算服务相关材料，材料不提供不得分）</w:t>
            </w:r>
          </w:p>
        </w:tc>
      </w:tr>
      <w:tr w14:paraId="1BF1A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92C3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0351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日常服务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12CC7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c>
          <w:tcPr>
            <w:tcW w:w="6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0285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银行提供服务的响应承诺共以下4条，每条承诺得2分，不承诺不得分：</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（1）指定专人负责，定期上门服务；</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（2）在网点办理业务时，为存款单位开通绿色快捷通道，优先办理；</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（3）在满足需求中要求的免收存款人账户各项业务手续费、服务费等的前提下，如有其他可减免费用，可一并列出。</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（4）及时按约定利率对公款资金进行计息和偿付，遇利率政策调整，主动向存放单位提供书面说明，主动告知银行出现的重大安全事项。</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（须提供响应承诺书，材料不提供不得分）</w:t>
            </w:r>
          </w:p>
        </w:tc>
      </w:tr>
      <w:tr w14:paraId="7EF65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5AA0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448F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特色服务能力</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A0AC2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6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26A2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针对本单位，银行专门制定个性化金融和非金融服务方案，在[3.5,5]进行评分，未提供方案不得分。金融和非金融服务方案包括但不限于对公金融服务、增值服务、数字赋能服务等。</w:t>
            </w:r>
          </w:p>
        </w:tc>
      </w:tr>
      <w:tr w14:paraId="3A5EF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C33E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A18E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风险保障方案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1FE3B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6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3065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根据银行提供资金安全承诺书的内容进行横向比较，承诺确保账户资金安全和相关风险防范措施，在[4.2,6]进行评分，未提供承诺书不得分。</w:t>
            </w:r>
          </w:p>
        </w:tc>
      </w:tr>
      <w:tr w14:paraId="430C9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4293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13B4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应急服务机制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96E78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6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E6D3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根据节假日、紧急业务处理流程及响应时限进行综合评分，在[3.5,5]进行评分，未提供不得分。</w:t>
            </w:r>
          </w:p>
        </w:tc>
      </w:tr>
      <w:tr w14:paraId="4128B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37" w:type="dxa"/>
            <w:vMerge w:val="restart"/>
            <w:tcBorders>
              <w:top w:val="nil"/>
              <w:left w:val="single" w:color="000000" w:sz="4" w:space="0"/>
              <w:bottom w:val="single" w:color="000000" w:sz="4" w:space="0"/>
              <w:right w:val="single" w:color="000000" w:sz="4" w:space="0"/>
            </w:tcBorders>
            <w:shd w:val="clear" w:color="auto" w:fill="auto"/>
            <w:vAlign w:val="center"/>
          </w:tcPr>
          <w:p w14:paraId="3761178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三、附加增值服务（40分）</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9626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绿色出行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29968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c>
          <w:tcPr>
            <w:tcW w:w="6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3431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根据资源贡献力度，横向对比助力轨道交通公共事业发展（如购买地铁票卡等）等承诺在[7,10]进行综合评分，未提供不得分。承诺格式自拟并加盖公章。</w:t>
            </w:r>
          </w:p>
        </w:tc>
      </w:tr>
      <w:tr w14:paraId="27BFC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37" w:type="dxa"/>
            <w:vMerge w:val="continue"/>
            <w:tcBorders>
              <w:top w:val="nil"/>
              <w:left w:val="single" w:color="000000" w:sz="4" w:space="0"/>
              <w:bottom w:val="single" w:color="000000" w:sz="4" w:space="0"/>
              <w:right w:val="single" w:color="000000" w:sz="4" w:space="0"/>
            </w:tcBorders>
            <w:shd w:val="clear" w:color="auto" w:fill="auto"/>
            <w:vAlign w:val="center"/>
          </w:tcPr>
          <w:p w14:paraId="35FA52AC">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i w:val="0"/>
                <w:iCs w:val="0"/>
                <w:color w:val="000000"/>
                <w:sz w:val="24"/>
                <w:szCs w:val="24"/>
                <w:highlight w:val="none"/>
                <w:u w:val="none"/>
              </w:rPr>
            </w:pP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4013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工会会员专属优惠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5E804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10</w:t>
            </w:r>
          </w:p>
        </w:tc>
        <w:tc>
          <w:tcPr>
            <w:tcW w:w="6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ADC5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根据资源贡献力度，横向对比为工会会员提供的专属理财、信用卡优惠、贷款利率优惠等承诺，在[7,10]进行综合评分，未提供不得分。承诺格式自拟并加盖公章。</w:t>
            </w:r>
          </w:p>
        </w:tc>
      </w:tr>
      <w:tr w14:paraId="1419B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37" w:type="dxa"/>
            <w:vMerge w:val="continue"/>
            <w:tcBorders>
              <w:top w:val="nil"/>
              <w:left w:val="single" w:color="000000" w:sz="4" w:space="0"/>
              <w:bottom w:val="single" w:color="000000" w:sz="4" w:space="0"/>
              <w:right w:val="single" w:color="000000" w:sz="4" w:space="0"/>
            </w:tcBorders>
            <w:shd w:val="clear" w:color="auto" w:fill="auto"/>
            <w:vAlign w:val="center"/>
          </w:tcPr>
          <w:p w14:paraId="0FDB02EA">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i w:val="0"/>
                <w:iCs w:val="0"/>
                <w:color w:val="000000"/>
                <w:sz w:val="24"/>
                <w:szCs w:val="24"/>
                <w:highlight w:val="none"/>
                <w:u w:val="none"/>
              </w:rPr>
            </w:pP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33E6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党建共建资源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3F85B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10</w:t>
            </w:r>
          </w:p>
        </w:tc>
        <w:tc>
          <w:tcPr>
            <w:tcW w:w="6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BC3F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根据资源贡献力度，横向对比提供的党建活动平台、红色教育资源、培训机会等承诺，在[7,10]进行综合评分，未提供不得分。承诺格式自拟并加盖公章。</w:t>
            </w:r>
          </w:p>
        </w:tc>
      </w:tr>
      <w:tr w14:paraId="14FFC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37" w:type="dxa"/>
            <w:vMerge w:val="continue"/>
            <w:tcBorders>
              <w:top w:val="nil"/>
              <w:left w:val="single" w:color="000000" w:sz="4" w:space="0"/>
              <w:bottom w:val="single" w:color="000000" w:sz="4" w:space="0"/>
              <w:right w:val="single" w:color="000000" w:sz="4" w:space="0"/>
            </w:tcBorders>
            <w:shd w:val="clear" w:color="auto" w:fill="auto"/>
            <w:vAlign w:val="center"/>
          </w:tcPr>
          <w:p w14:paraId="21FDDFD4">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i w:val="0"/>
                <w:iCs w:val="0"/>
                <w:color w:val="000000"/>
                <w:sz w:val="24"/>
                <w:szCs w:val="24"/>
                <w:highlight w:val="none"/>
                <w:u w:val="none"/>
              </w:rPr>
            </w:pP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A250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单位活动支持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83E9D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10</w:t>
            </w:r>
          </w:p>
        </w:tc>
        <w:tc>
          <w:tcPr>
            <w:tcW w:w="6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8FAF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根据资源贡献力度，横向对比为工会活动提供的赞助、场地、物资、奖品等承诺，在[7,10]进行综合评分，未提供不得分。承诺格式自拟并加盖公章。</w:t>
            </w:r>
          </w:p>
        </w:tc>
      </w:tr>
      <w:tr w14:paraId="5CE70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0E612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i w:val="0"/>
                <w:iCs w:val="0"/>
                <w:color w:val="000000"/>
                <w:sz w:val="24"/>
                <w:szCs w:val="24"/>
                <w:highlight w:val="none"/>
                <w:u w:val="none"/>
              </w:rPr>
            </w:pPr>
            <w:r>
              <w:rPr>
                <w:rFonts w:hint="eastAsia" w:ascii="宋体" w:hAnsi="宋体" w:eastAsia="宋体" w:cs="宋体"/>
                <w:b/>
                <w:i w:val="0"/>
                <w:iCs w:val="0"/>
                <w:color w:val="000000"/>
                <w:kern w:val="0"/>
                <w:sz w:val="24"/>
                <w:szCs w:val="24"/>
                <w:highlight w:val="none"/>
                <w:u w:val="none"/>
                <w:lang w:val="en-US" w:eastAsia="zh-CN" w:bidi="ar"/>
              </w:rPr>
              <w:t>合计</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5179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b/>
                <w:i w:val="0"/>
                <w:iCs w:val="0"/>
                <w:color w:val="000000"/>
                <w:sz w:val="24"/>
                <w:szCs w:val="24"/>
                <w:highlight w:val="none"/>
                <w:u w:val="none"/>
              </w:rPr>
            </w:pPr>
            <w:r>
              <w:rPr>
                <w:rFonts w:hint="eastAsia" w:ascii="宋体" w:hAnsi="宋体" w:eastAsia="宋体" w:cs="宋体"/>
                <w:b/>
                <w:i w:val="0"/>
                <w:iCs w:val="0"/>
                <w:color w:val="000000"/>
                <w:kern w:val="0"/>
                <w:sz w:val="24"/>
                <w:szCs w:val="24"/>
                <w:highlight w:val="none"/>
                <w:u w:val="none"/>
                <w:lang w:val="en-US" w:eastAsia="zh-CN" w:bidi="ar"/>
              </w:rPr>
              <w:t>100</w:t>
            </w:r>
          </w:p>
        </w:tc>
        <w:tc>
          <w:tcPr>
            <w:tcW w:w="64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44D24">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iCs w:val="0"/>
                <w:color w:val="000000"/>
                <w:sz w:val="24"/>
                <w:szCs w:val="24"/>
                <w:highlight w:val="none"/>
                <w:u w:val="none"/>
              </w:rPr>
            </w:pPr>
          </w:p>
        </w:tc>
      </w:tr>
    </w:tbl>
    <w:p w14:paraId="017F971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注：评审小组成员根据以上内容进行综合评审后打分，然后汇总每个供应商各项评分因素的得分，取各评审小组成员汇总后得分的算术平均值为该参选人商务技术部分得分(分值小数点后保留两位小数，第三位四舍五入)</w:t>
      </w:r>
    </w:p>
    <w:p w14:paraId="3F9DBB0C">
      <w:pPr>
        <w:ind w:firstLine="480"/>
        <w:rPr>
          <w:highlight w:val="none"/>
        </w:rPr>
      </w:pPr>
      <w:r>
        <w:rPr>
          <w:highlight w:val="none"/>
        </w:rPr>
        <w:br w:type="page"/>
      </w:r>
    </w:p>
    <w:bookmarkEnd w:id="13"/>
    <w:p w14:paraId="784FCB0C">
      <w:pPr>
        <w:pStyle w:val="7"/>
        <w:rPr>
          <w:highlight w:val="none"/>
        </w:rPr>
      </w:pPr>
      <w:bookmarkStart w:id="14" w:name="_Toc31910"/>
    </w:p>
    <w:p w14:paraId="04027D18">
      <w:pPr>
        <w:pStyle w:val="11"/>
        <w:rPr>
          <w:highlight w:val="none"/>
        </w:rPr>
      </w:pPr>
    </w:p>
    <w:p w14:paraId="3DB794CD">
      <w:pPr>
        <w:ind w:firstLine="480"/>
        <w:rPr>
          <w:highlight w:val="none"/>
        </w:rPr>
      </w:pPr>
    </w:p>
    <w:p w14:paraId="0201F27C">
      <w:pPr>
        <w:ind w:firstLine="480"/>
        <w:rPr>
          <w:highlight w:val="none"/>
        </w:rPr>
      </w:pPr>
    </w:p>
    <w:p w14:paraId="46915F65">
      <w:pPr>
        <w:ind w:firstLine="480"/>
        <w:rPr>
          <w:highlight w:val="none"/>
        </w:rPr>
      </w:pPr>
    </w:p>
    <w:p w14:paraId="4BAC6D71">
      <w:pPr>
        <w:ind w:firstLine="480"/>
        <w:rPr>
          <w:highlight w:val="none"/>
        </w:rPr>
      </w:pPr>
    </w:p>
    <w:p w14:paraId="795FB28A">
      <w:pPr>
        <w:ind w:firstLine="480"/>
        <w:rPr>
          <w:highlight w:val="none"/>
        </w:rPr>
      </w:pPr>
    </w:p>
    <w:p w14:paraId="4C438B96">
      <w:pPr>
        <w:ind w:firstLine="480"/>
        <w:rPr>
          <w:highlight w:val="none"/>
        </w:rPr>
      </w:pPr>
    </w:p>
    <w:p w14:paraId="658E36A5">
      <w:pPr>
        <w:ind w:firstLine="480"/>
        <w:rPr>
          <w:highlight w:val="none"/>
        </w:rPr>
      </w:pPr>
    </w:p>
    <w:p w14:paraId="27D5BADB">
      <w:pPr>
        <w:ind w:firstLine="480"/>
        <w:rPr>
          <w:highlight w:val="none"/>
        </w:rPr>
      </w:pPr>
    </w:p>
    <w:p w14:paraId="1E2A1892">
      <w:pPr>
        <w:ind w:firstLine="480"/>
        <w:rPr>
          <w:highlight w:val="none"/>
        </w:rPr>
      </w:pPr>
    </w:p>
    <w:p w14:paraId="251EE041">
      <w:pPr>
        <w:pStyle w:val="7"/>
        <w:rPr>
          <w:highlight w:val="none"/>
        </w:rPr>
      </w:pPr>
    </w:p>
    <w:p w14:paraId="77F02009">
      <w:pPr>
        <w:pStyle w:val="11"/>
        <w:rPr>
          <w:highlight w:val="none"/>
        </w:rPr>
      </w:pPr>
    </w:p>
    <w:p w14:paraId="4D422814">
      <w:pPr>
        <w:keepNext/>
        <w:keepLines/>
        <w:ind w:firstLine="140" w:firstLineChars="32"/>
        <w:jc w:val="center"/>
        <w:outlineLvl w:val="0"/>
        <w:rPr>
          <w:rFonts w:hint="default" w:eastAsia="黑体"/>
          <w:bCs/>
          <w:kern w:val="44"/>
          <w:sz w:val="44"/>
          <w:szCs w:val="44"/>
          <w:highlight w:val="none"/>
          <w:lang w:val="en-US" w:eastAsia="zh-CN"/>
        </w:rPr>
      </w:pPr>
      <w:r>
        <w:rPr>
          <w:rFonts w:hint="eastAsia" w:eastAsia="黑体"/>
          <w:bCs/>
          <w:kern w:val="44"/>
          <w:sz w:val="44"/>
          <w:szCs w:val="44"/>
          <w:highlight w:val="none"/>
        </w:rPr>
        <w:t>第</w:t>
      </w:r>
      <w:r>
        <w:rPr>
          <w:rFonts w:hint="eastAsia" w:eastAsia="黑体"/>
          <w:bCs/>
          <w:kern w:val="44"/>
          <w:sz w:val="44"/>
          <w:szCs w:val="44"/>
          <w:highlight w:val="none"/>
          <w:lang w:val="en-US" w:eastAsia="zh-CN"/>
        </w:rPr>
        <w:t>四</w:t>
      </w:r>
      <w:r>
        <w:rPr>
          <w:rFonts w:hint="eastAsia" w:eastAsia="黑体"/>
          <w:bCs/>
          <w:kern w:val="44"/>
          <w:sz w:val="44"/>
          <w:szCs w:val="44"/>
          <w:highlight w:val="none"/>
        </w:rPr>
        <w:t xml:space="preserve">章 </w:t>
      </w:r>
      <w:r>
        <w:rPr>
          <w:rFonts w:hint="eastAsia" w:eastAsia="黑体"/>
          <w:bCs/>
          <w:kern w:val="44"/>
          <w:sz w:val="44"/>
          <w:szCs w:val="44"/>
          <w:highlight w:val="none"/>
          <w:lang w:val="en-US" w:eastAsia="zh-CN"/>
        </w:rPr>
        <w:t>采购需求</w:t>
      </w:r>
    </w:p>
    <w:p w14:paraId="00291EED">
      <w:pPr>
        <w:ind w:firstLine="880"/>
        <w:rPr>
          <w:rFonts w:eastAsia="黑体"/>
          <w:bCs/>
          <w:kern w:val="44"/>
          <w:sz w:val="44"/>
          <w:szCs w:val="44"/>
          <w:highlight w:val="none"/>
        </w:rPr>
      </w:pPr>
      <w:r>
        <w:rPr>
          <w:rFonts w:hint="eastAsia" w:eastAsia="黑体"/>
          <w:bCs/>
          <w:kern w:val="44"/>
          <w:sz w:val="44"/>
          <w:szCs w:val="44"/>
          <w:highlight w:val="none"/>
        </w:rPr>
        <w:br w:type="page"/>
      </w:r>
    </w:p>
    <w:bookmarkEnd w:id="14"/>
    <w:p w14:paraId="79BD36EC">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482" w:firstLineChars="200"/>
        <w:jc w:val="both"/>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项目概述</w:t>
      </w:r>
    </w:p>
    <w:p w14:paraId="3D9B706C">
      <w:pPr>
        <w:pStyle w:val="3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1.1 项目背景</w:t>
      </w:r>
    </w:p>
    <w:p w14:paraId="1583685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为规范工会经费管理，保障工会资金安全，提高资金存放综合效益，对工会银行账户开立服务进行公开比选，择优确定合作银行。</w:t>
      </w:r>
    </w:p>
    <w:p w14:paraId="3784181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2" w:firstLineChars="200"/>
        <w:jc w:val="both"/>
        <w:textAlignment w:val="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1.2 项目名称</w:t>
      </w:r>
    </w:p>
    <w:p w14:paraId="51A876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南通轨道交通运营有限公司工工会委员会银行账户开立服务项目。</w:t>
      </w:r>
    </w:p>
    <w:p w14:paraId="36417FA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2" w:firstLineChars="200"/>
        <w:jc w:val="both"/>
        <w:textAlignment w:val="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1.3 账户类型及用途</w:t>
      </w:r>
    </w:p>
    <w:p w14:paraId="479DC23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专用存款账户，主要用于工会经费、工会会费的收支管理。</w:t>
      </w:r>
    </w:p>
    <w:p w14:paraId="7FA381A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2" w:firstLineChars="200"/>
        <w:jc w:val="both"/>
        <w:textAlignment w:val="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1.4 服务期限</w:t>
      </w:r>
    </w:p>
    <w:p w14:paraId="732B7CB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服务期限自合同签订之日起3年。在有效期满前30天，如任何一方未向对方提出终止或变更的要求，自动顺延12个月，顺延次数不限。</w:t>
      </w:r>
    </w:p>
    <w:p w14:paraId="1590FB1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both"/>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二、服务要求</w:t>
      </w:r>
    </w:p>
    <w:p w14:paraId="7B354FC9">
      <w:pPr>
        <w:keepNext w:val="0"/>
        <w:keepLines w:val="0"/>
        <w:pageBreakBefore w:val="0"/>
        <w:widowControl/>
        <w:kinsoku/>
        <w:wordWrap/>
        <w:overflowPunct/>
        <w:topLinePunct w:val="0"/>
        <w:autoSpaceDE/>
        <w:autoSpaceDN/>
        <w:bidi w:val="0"/>
        <w:adjustRightInd w:val="0"/>
        <w:snapToGrid w:val="0"/>
        <w:spacing w:line="560" w:lineRule="exact"/>
        <w:ind w:firstLine="480" w:firstLineChars="200"/>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1、开户银行包括日常资金结算服务、代收代付、转账汇款、账户对账服务、年检服务、网银操作、安全保障等在内的一切配套基本服务。</w:t>
      </w:r>
    </w:p>
    <w:p w14:paraId="7DE8F20A">
      <w:pPr>
        <w:keepNext w:val="0"/>
        <w:keepLines w:val="0"/>
        <w:pageBreakBefore w:val="0"/>
        <w:widowControl/>
        <w:kinsoku/>
        <w:wordWrap/>
        <w:overflowPunct/>
        <w:topLinePunct w:val="0"/>
        <w:autoSpaceDE/>
        <w:autoSpaceDN/>
        <w:bidi w:val="0"/>
        <w:adjustRightInd w:val="0"/>
        <w:snapToGrid w:val="0"/>
        <w:spacing w:line="560" w:lineRule="exact"/>
        <w:ind w:firstLine="480" w:firstLineChars="200"/>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银行账户开立的银行需具有对账服务、分账核算、结算，分户单独核算、结算等服务功能。</w:t>
      </w:r>
    </w:p>
    <w:p w14:paraId="5BAB237C">
      <w:pPr>
        <w:keepNext w:val="0"/>
        <w:keepLines w:val="0"/>
        <w:pageBreakBefore w:val="0"/>
        <w:widowControl/>
        <w:kinsoku/>
        <w:wordWrap/>
        <w:overflowPunct/>
        <w:topLinePunct w:val="0"/>
        <w:autoSpaceDE/>
        <w:autoSpaceDN/>
        <w:bidi w:val="0"/>
        <w:adjustRightInd w:val="0"/>
        <w:snapToGrid w:val="0"/>
        <w:spacing w:line="560" w:lineRule="exact"/>
        <w:ind w:firstLine="480" w:firstLineChars="200"/>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3、存款利率：活期存款利率均不得低于中国人民银行公布的当期存款基准利率。存款利率应随中国人民银行存款基准利率的调整在30日内调整。</w:t>
      </w:r>
    </w:p>
    <w:p w14:paraId="181A87A4">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包含服务期间招标人提出的其他各项服务，免收存款人账户各项业务手续费。</w:t>
      </w:r>
    </w:p>
    <w:p w14:paraId="0C26B80B">
      <w:pPr>
        <w:keepNext w:val="0"/>
        <w:keepLines w:val="0"/>
        <w:pageBreakBefore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5、账户金额大于10万元时，大于10万元部分中标人需提供协定存款服务； </w:t>
      </w:r>
    </w:p>
    <w:p w14:paraId="0790CBCC">
      <w:pPr>
        <w:keepNext w:val="0"/>
        <w:keepLines w:val="0"/>
        <w:pageBreakBefore w:val="0"/>
        <w:widowControl/>
        <w:kinsoku/>
        <w:wordWrap/>
        <w:overflowPunct/>
        <w:topLinePunct w:val="0"/>
        <w:autoSpaceDE/>
        <w:autoSpaceDN/>
        <w:bidi w:val="0"/>
        <w:adjustRightInd w:val="0"/>
        <w:snapToGrid w:val="0"/>
        <w:spacing w:line="560" w:lineRule="exact"/>
        <w:ind w:firstLine="480" w:firstLineChars="200"/>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具有承办本项目业务的能力和服务水平，具备先进的信息反馈系统，能够及时、全面、准确地反映代管的业务信息。</w:t>
      </w:r>
    </w:p>
    <w:p w14:paraId="1CCDCA46">
      <w:pPr>
        <w:pStyle w:val="60"/>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7、</w:t>
      </w:r>
      <w:r>
        <w:rPr>
          <w:rFonts w:hint="eastAsia" w:ascii="宋体" w:hAnsi="宋体" w:eastAsia="宋体" w:cs="宋体"/>
          <w:color w:val="auto"/>
          <w:sz w:val="24"/>
          <w:szCs w:val="24"/>
          <w:highlight w:val="none"/>
        </w:rPr>
        <w:t>投标人须在方案中明确列明提供服务的网点，招标人有权根据就近原则选择中标银行的各服务网点。</w:t>
      </w:r>
    </w:p>
    <w:p w14:paraId="3D8C36A5">
      <w:pPr>
        <w:keepNext w:val="0"/>
        <w:keepLines w:val="0"/>
        <w:pageBreakBefore w:val="0"/>
        <w:widowControl/>
        <w:kinsoku/>
        <w:wordWrap/>
        <w:overflowPunct/>
        <w:topLinePunct w:val="0"/>
        <w:autoSpaceDE/>
        <w:autoSpaceDN/>
        <w:bidi w:val="0"/>
        <w:adjustRightInd w:val="0"/>
        <w:snapToGrid w:val="0"/>
        <w:spacing w:line="56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lang w:val="en-US" w:eastAsia="zh-CN"/>
        </w:rPr>
        <w:t>8、</w:t>
      </w:r>
      <w:r>
        <w:rPr>
          <w:rFonts w:hint="eastAsia" w:ascii="宋体" w:hAnsi="宋体" w:eastAsia="宋体" w:cs="宋体"/>
          <w:bCs/>
          <w:color w:val="auto"/>
          <w:sz w:val="24"/>
          <w:szCs w:val="24"/>
          <w:highlight w:val="none"/>
        </w:rPr>
        <w:t>账户服务</w:t>
      </w:r>
      <w:r>
        <w:rPr>
          <w:rFonts w:hint="eastAsia" w:ascii="宋体" w:hAnsi="宋体" w:eastAsia="宋体" w:cs="宋体"/>
          <w:color w:val="auto"/>
          <w:sz w:val="24"/>
          <w:szCs w:val="24"/>
          <w:highlight w:val="none"/>
        </w:rPr>
        <w:t>合同</w:t>
      </w:r>
      <w:r>
        <w:rPr>
          <w:rFonts w:hint="eastAsia" w:ascii="宋体" w:hAnsi="宋体" w:eastAsia="宋体" w:cs="宋体"/>
          <w:bCs/>
          <w:color w:val="auto"/>
          <w:sz w:val="24"/>
          <w:szCs w:val="24"/>
          <w:highlight w:val="none"/>
        </w:rPr>
        <w:t>服务</w:t>
      </w:r>
      <w:r>
        <w:rPr>
          <w:rFonts w:hint="eastAsia" w:ascii="宋体" w:hAnsi="宋体" w:eastAsia="宋体" w:cs="宋体"/>
          <w:color w:val="auto"/>
          <w:sz w:val="24"/>
          <w:szCs w:val="24"/>
          <w:highlight w:val="none"/>
        </w:rPr>
        <w:t>期内如有相关部门根据政策要求注销或变更招标银行账户，中标银行应无条件配合做好相关服务工作。</w:t>
      </w:r>
    </w:p>
    <w:p w14:paraId="51786597">
      <w:pPr>
        <w:pStyle w:val="31"/>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eastAsia="zh-CN"/>
        </w:rPr>
        <w:t>三、</w:t>
      </w:r>
      <w:r>
        <w:rPr>
          <w:rFonts w:hint="eastAsia" w:ascii="宋体" w:hAnsi="宋体" w:eastAsia="宋体" w:cs="宋体"/>
          <w:b/>
          <w:bCs/>
          <w:color w:val="auto"/>
          <w:sz w:val="24"/>
          <w:szCs w:val="24"/>
          <w:highlight w:val="none"/>
          <w:lang w:val="en-US" w:eastAsia="zh-CN"/>
        </w:rPr>
        <w:t>资格要求</w:t>
      </w:r>
    </w:p>
    <w:p w14:paraId="04E1A74B">
      <w:pPr>
        <w:pStyle w:val="31"/>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在中华人民共和国境内依法设立的国有商业银行、股份制商业银行、邮政储蓄银行、城市商业银行、农村商业银行、农村合作银行及政策性银行等银行机构，并符合以下条件:</w:t>
      </w:r>
    </w:p>
    <w:p w14:paraId="29B74DA6">
      <w:pPr>
        <w:pStyle w:val="31"/>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持有中国银行业监督管理委员会核发有效的《中华人民共和国金融许可证》和市场监督管理部门核发有效的《营业执照》。且其“营业场所”或“住所”载明属于南通市区域，同时在区域内设有分支机构(通指一级支行及以上金融机构)。</w:t>
      </w:r>
    </w:p>
    <w:p w14:paraId="75193CFF">
      <w:pPr>
        <w:pStyle w:val="31"/>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2.依法开展经营活动，近3年内在经营活动中无重大违法违规记录及重大违约事件。</w:t>
      </w:r>
    </w:p>
    <w:p w14:paraId="6A29647D">
      <w:pPr>
        <w:pStyle w:val="31"/>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3.內部管理机制健全，具有较强的风险控制能力，近3年內未发生金融风险。</w:t>
      </w:r>
    </w:p>
    <w:p w14:paraId="7CA06DCF">
      <w:pPr>
        <w:pStyle w:val="31"/>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4.同一家金融机构只能有一家分支机构参加投标。如出现多家分支机构报名的，投标时凭该金融机构南通市分行及以上机构出具的唯一授权书才能进行投标，否则其投标文件均作否决投标处理。</w:t>
      </w:r>
    </w:p>
    <w:p w14:paraId="2423908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宋体" w:hAnsi="宋体" w:cs="宋体"/>
          <w:sz w:val="28"/>
          <w:szCs w:val="28"/>
          <w:highlight w:val="none"/>
        </w:rPr>
      </w:pPr>
      <w:r>
        <w:rPr>
          <w:rFonts w:hint="eastAsia" w:ascii="宋体" w:hAnsi="宋体" w:cs="宋体"/>
          <w:sz w:val="28"/>
          <w:szCs w:val="28"/>
          <w:highlight w:val="none"/>
        </w:rPr>
        <w:br w:type="page"/>
      </w:r>
    </w:p>
    <w:p w14:paraId="56CCFDA3">
      <w:pPr>
        <w:pStyle w:val="56"/>
        <w:rPr>
          <w:highlight w:val="none"/>
        </w:rPr>
      </w:pPr>
      <w:bookmarkStart w:id="15" w:name="_Toc14421"/>
    </w:p>
    <w:p w14:paraId="727D64CD">
      <w:pPr>
        <w:pStyle w:val="56"/>
        <w:rPr>
          <w:highlight w:val="none"/>
        </w:rPr>
      </w:pPr>
    </w:p>
    <w:p w14:paraId="1D616077">
      <w:pPr>
        <w:pStyle w:val="56"/>
        <w:rPr>
          <w:highlight w:val="none"/>
        </w:rPr>
      </w:pPr>
    </w:p>
    <w:p w14:paraId="6043CD38">
      <w:pPr>
        <w:pStyle w:val="56"/>
        <w:rPr>
          <w:highlight w:val="none"/>
        </w:rPr>
      </w:pPr>
    </w:p>
    <w:p w14:paraId="21FF2E77">
      <w:pPr>
        <w:pStyle w:val="56"/>
        <w:rPr>
          <w:highlight w:val="none"/>
        </w:rPr>
      </w:pPr>
    </w:p>
    <w:p w14:paraId="06EF72A0">
      <w:pPr>
        <w:pStyle w:val="56"/>
        <w:rPr>
          <w:highlight w:val="none"/>
        </w:rPr>
      </w:pPr>
    </w:p>
    <w:p w14:paraId="1C312DD0">
      <w:pPr>
        <w:pStyle w:val="56"/>
        <w:rPr>
          <w:highlight w:val="none"/>
        </w:rPr>
      </w:pPr>
    </w:p>
    <w:p w14:paraId="500458B6">
      <w:pPr>
        <w:pStyle w:val="56"/>
        <w:rPr>
          <w:highlight w:val="none"/>
        </w:rPr>
      </w:pPr>
    </w:p>
    <w:p w14:paraId="4CB560F6">
      <w:pPr>
        <w:pStyle w:val="56"/>
        <w:rPr>
          <w:highlight w:val="none"/>
        </w:rPr>
      </w:pPr>
    </w:p>
    <w:p w14:paraId="295318D7">
      <w:pPr>
        <w:pStyle w:val="56"/>
        <w:rPr>
          <w:highlight w:val="none"/>
        </w:rPr>
      </w:pPr>
    </w:p>
    <w:p w14:paraId="440747B2">
      <w:pPr>
        <w:pStyle w:val="56"/>
        <w:rPr>
          <w:highlight w:val="none"/>
        </w:rPr>
      </w:pPr>
    </w:p>
    <w:p w14:paraId="046F2A54">
      <w:pPr>
        <w:pStyle w:val="56"/>
        <w:rPr>
          <w:highlight w:val="none"/>
        </w:rPr>
      </w:pPr>
    </w:p>
    <w:p w14:paraId="66E95FA0">
      <w:pPr>
        <w:pStyle w:val="56"/>
        <w:rPr>
          <w:highlight w:val="none"/>
        </w:rPr>
      </w:pPr>
    </w:p>
    <w:p w14:paraId="777983D4">
      <w:pPr>
        <w:pStyle w:val="56"/>
        <w:rPr>
          <w:highlight w:val="none"/>
        </w:rPr>
      </w:pPr>
    </w:p>
    <w:p w14:paraId="2C51BBD0">
      <w:pPr>
        <w:pStyle w:val="56"/>
        <w:rPr>
          <w:highlight w:val="none"/>
        </w:rPr>
      </w:pPr>
    </w:p>
    <w:p w14:paraId="395999CC">
      <w:pPr>
        <w:pStyle w:val="56"/>
        <w:rPr>
          <w:highlight w:val="none"/>
        </w:rPr>
      </w:pPr>
    </w:p>
    <w:p w14:paraId="7D188CED">
      <w:pPr>
        <w:pStyle w:val="56"/>
        <w:rPr>
          <w:highlight w:val="none"/>
        </w:rPr>
      </w:pPr>
    </w:p>
    <w:p w14:paraId="47E7C1BA">
      <w:pPr>
        <w:keepNext/>
        <w:keepLines/>
        <w:ind w:firstLine="140" w:firstLineChars="32"/>
        <w:jc w:val="center"/>
        <w:outlineLvl w:val="0"/>
        <w:rPr>
          <w:rFonts w:hint="eastAsia" w:eastAsia="黑体"/>
          <w:bCs/>
          <w:kern w:val="44"/>
          <w:sz w:val="44"/>
          <w:szCs w:val="44"/>
          <w:highlight w:val="none"/>
        </w:rPr>
      </w:pPr>
    </w:p>
    <w:p w14:paraId="482CBAF3">
      <w:pPr>
        <w:keepNext/>
        <w:keepLines/>
        <w:ind w:firstLine="140" w:firstLineChars="32"/>
        <w:jc w:val="center"/>
        <w:outlineLvl w:val="0"/>
        <w:rPr>
          <w:rFonts w:hint="eastAsia" w:eastAsia="黑体"/>
          <w:bCs/>
          <w:kern w:val="44"/>
          <w:sz w:val="44"/>
          <w:szCs w:val="44"/>
          <w:highlight w:val="none"/>
        </w:rPr>
      </w:pPr>
    </w:p>
    <w:p w14:paraId="0B801255">
      <w:pPr>
        <w:keepNext/>
        <w:keepLines/>
        <w:ind w:firstLine="140" w:firstLineChars="32"/>
        <w:jc w:val="center"/>
        <w:outlineLvl w:val="0"/>
        <w:rPr>
          <w:rFonts w:hint="eastAsia" w:eastAsia="黑体"/>
          <w:bCs/>
          <w:kern w:val="44"/>
          <w:sz w:val="44"/>
          <w:szCs w:val="44"/>
          <w:highlight w:val="none"/>
        </w:rPr>
      </w:pPr>
    </w:p>
    <w:p w14:paraId="097E4230">
      <w:pPr>
        <w:keepNext/>
        <w:keepLines/>
        <w:ind w:firstLine="140" w:firstLineChars="32"/>
        <w:jc w:val="center"/>
        <w:outlineLvl w:val="0"/>
        <w:rPr>
          <w:rFonts w:eastAsia="黑体"/>
          <w:bCs/>
          <w:kern w:val="44"/>
          <w:sz w:val="44"/>
          <w:szCs w:val="44"/>
          <w:highlight w:val="none"/>
        </w:rPr>
      </w:pPr>
      <w:r>
        <w:rPr>
          <w:rFonts w:hint="eastAsia" w:eastAsia="黑体"/>
          <w:bCs/>
          <w:kern w:val="44"/>
          <w:sz w:val="44"/>
          <w:szCs w:val="44"/>
          <w:highlight w:val="none"/>
        </w:rPr>
        <w:t>第</w:t>
      </w:r>
      <w:r>
        <w:rPr>
          <w:rFonts w:hint="eastAsia" w:eastAsia="黑体"/>
          <w:bCs/>
          <w:kern w:val="44"/>
          <w:sz w:val="44"/>
          <w:szCs w:val="44"/>
          <w:highlight w:val="none"/>
          <w:lang w:eastAsia="zh-CN"/>
        </w:rPr>
        <w:t>五</w:t>
      </w:r>
      <w:r>
        <w:rPr>
          <w:rFonts w:hint="eastAsia" w:eastAsia="黑体"/>
          <w:bCs/>
          <w:kern w:val="44"/>
          <w:sz w:val="44"/>
          <w:szCs w:val="44"/>
          <w:highlight w:val="none"/>
        </w:rPr>
        <w:t>章 响应文件格式</w:t>
      </w:r>
      <w:bookmarkEnd w:id="15"/>
    </w:p>
    <w:p w14:paraId="0E1B3124">
      <w:pPr>
        <w:widowControl/>
        <w:spacing w:line="240" w:lineRule="auto"/>
        <w:ind w:firstLine="0" w:firstLineChars="0"/>
        <w:jc w:val="left"/>
        <w:rPr>
          <w:highlight w:val="none"/>
        </w:rPr>
      </w:pPr>
      <w:r>
        <w:rPr>
          <w:highlight w:val="none"/>
        </w:rPr>
        <w:br w:type="page"/>
      </w:r>
    </w:p>
    <w:p w14:paraId="41B6B264">
      <w:pPr>
        <w:pStyle w:val="3"/>
        <w:ind w:firstLine="0" w:firstLineChars="0"/>
        <w:rPr>
          <w:highlight w:val="none"/>
        </w:rPr>
      </w:pPr>
      <w:r>
        <w:rPr>
          <w:rFonts w:hint="eastAsia"/>
          <w:highlight w:val="none"/>
        </w:rPr>
        <w:t>响应文件封面</w:t>
      </w:r>
    </w:p>
    <w:p w14:paraId="7A3F3DE8">
      <w:pPr>
        <w:ind w:firstLine="0" w:firstLineChars="0"/>
        <w:rPr>
          <w:highlight w:val="none"/>
        </w:rPr>
      </w:pPr>
      <w:r>
        <w:rPr>
          <w:rFonts w:hint="eastAsia"/>
          <w:highlight w:val="none"/>
        </w:rPr>
        <w:t>（粘贴于各封袋上）</w:t>
      </w:r>
    </w:p>
    <w:p w14:paraId="5AB5E14B">
      <w:pPr>
        <w:ind w:firstLine="480"/>
        <w:jc w:val="right"/>
        <w:rPr>
          <w:rFonts w:ascii="宋体" w:hAnsi="宋体" w:cs="宋体"/>
          <w:bCs/>
          <w:sz w:val="36"/>
          <w:szCs w:val="36"/>
          <w:highlight w:val="none"/>
        </w:rPr>
      </w:pPr>
      <w:r>
        <w:rPr>
          <w:rFonts w:hint="eastAsia" w:ascii="宋体" w:hAnsi="宋体" w:cs="宋体"/>
          <w:highlight w:val="none"/>
        </w:rPr>
        <w:t xml:space="preserve"> </w:t>
      </w:r>
      <w:r>
        <w:rPr>
          <w:rFonts w:ascii="宋体" w:hAnsi="宋体" w:cs="宋体"/>
          <w:highlight w:val="none"/>
        </w:rPr>
        <w:t xml:space="preserve">                                                                    </w:t>
      </w:r>
    </w:p>
    <w:p w14:paraId="208C1E84">
      <w:pPr>
        <w:ind w:firstLine="0" w:firstLineChars="0"/>
        <w:jc w:val="center"/>
        <w:rPr>
          <w:rFonts w:ascii="宋体" w:hAnsi="宋体" w:cs="宋体"/>
          <w:b/>
          <w:sz w:val="40"/>
          <w:szCs w:val="40"/>
          <w:highlight w:val="none"/>
        </w:rPr>
      </w:pPr>
    </w:p>
    <w:p w14:paraId="3C8A9CBF">
      <w:pPr>
        <w:ind w:firstLine="0" w:firstLineChars="0"/>
        <w:jc w:val="center"/>
        <w:rPr>
          <w:rFonts w:hint="eastAsia" w:ascii="宋体" w:hAnsi="宋体" w:eastAsia="宋体" w:cs="宋体"/>
          <w:b/>
          <w:sz w:val="40"/>
          <w:szCs w:val="40"/>
          <w:highlight w:val="none"/>
          <w:lang w:eastAsia="zh-CN"/>
        </w:rPr>
      </w:pPr>
      <w:r>
        <w:rPr>
          <w:rFonts w:hint="eastAsia" w:ascii="宋体" w:hAnsi="宋体" w:cs="宋体"/>
          <w:b/>
          <w:sz w:val="40"/>
          <w:szCs w:val="40"/>
          <w:highlight w:val="none"/>
          <w:lang w:eastAsia="zh-CN"/>
        </w:rPr>
        <w:t>南通轨道交通运营有限公司工会委员会银行账户开立服务项目</w:t>
      </w:r>
    </w:p>
    <w:p w14:paraId="40970D3D">
      <w:pPr>
        <w:ind w:firstLine="0" w:firstLineChars="0"/>
        <w:jc w:val="center"/>
        <w:rPr>
          <w:rFonts w:ascii="宋体" w:hAnsi="宋体" w:cs="宋体"/>
          <w:bCs/>
          <w:sz w:val="36"/>
          <w:szCs w:val="36"/>
          <w:highlight w:val="none"/>
        </w:rPr>
      </w:pPr>
      <w:r>
        <w:rPr>
          <w:rFonts w:hint="eastAsia" w:ascii="宋体" w:hAnsi="宋体" w:cs="宋体"/>
          <w:b/>
          <w:sz w:val="40"/>
          <w:szCs w:val="40"/>
          <w:highlight w:val="none"/>
        </w:rPr>
        <w:t>（项目编号：</w:t>
      </w:r>
      <w:r>
        <w:rPr>
          <w:rFonts w:hint="eastAsia" w:ascii="宋体" w:hAnsi="宋体" w:cs="宋体"/>
          <w:b/>
          <w:sz w:val="40"/>
          <w:szCs w:val="40"/>
          <w:highlight w:val="none"/>
          <w:lang w:eastAsia="zh-CN"/>
        </w:rPr>
        <w:t>NTGY-2026-FW-BX-043</w:t>
      </w:r>
      <w:r>
        <w:rPr>
          <w:rFonts w:hint="eastAsia" w:ascii="宋体" w:hAnsi="宋体" w:cs="宋体"/>
          <w:b/>
          <w:sz w:val="40"/>
          <w:szCs w:val="40"/>
          <w:highlight w:val="none"/>
        </w:rPr>
        <w:t>）</w:t>
      </w:r>
    </w:p>
    <w:p w14:paraId="331A2253">
      <w:pPr>
        <w:ind w:firstLine="0" w:firstLineChars="0"/>
        <w:jc w:val="center"/>
        <w:rPr>
          <w:rFonts w:ascii="宋体" w:hAnsi="宋体" w:cs="宋体"/>
          <w:bCs/>
          <w:sz w:val="36"/>
          <w:szCs w:val="36"/>
          <w:highlight w:val="none"/>
        </w:rPr>
      </w:pPr>
    </w:p>
    <w:p w14:paraId="77AAAC52">
      <w:pPr>
        <w:ind w:firstLine="0" w:firstLineChars="0"/>
        <w:jc w:val="center"/>
        <w:rPr>
          <w:rFonts w:ascii="宋体" w:hAnsi="宋体" w:cs="宋体"/>
          <w:bCs/>
          <w:sz w:val="36"/>
          <w:szCs w:val="36"/>
          <w:highlight w:val="none"/>
        </w:rPr>
      </w:pPr>
    </w:p>
    <w:p w14:paraId="4A28E405">
      <w:pPr>
        <w:ind w:firstLine="0" w:firstLineChars="0"/>
        <w:jc w:val="center"/>
        <w:rPr>
          <w:rFonts w:ascii="宋体" w:hAnsi="宋体" w:cs="宋体"/>
          <w:bCs/>
          <w:sz w:val="36"/>
          <w:szCs w:val="36"/>
          <w:highlight w:val="none"/>
        </w:rPr>
      </w:pPr>
    </w:p>
    <w:p w14:paraId="5ACC13CB">
      <w:pPr>
        <w:ind w:firstLine="0" w:firstLineChars="0"/>
        <w:jc w:val="center"/>
        <w:rPr>
          <w:rFonts w:ascii="宋体" w:hAnsi="宋体" w:cs="宋体"/>
          <w:bCs/>
          <w:sz w:val="52"/>
          <w:szCs w:val="52"/>
          <w:highlight w:val="none"/>
        </w:rPr>
      </w:pPr>
      <w:r>
        <w:rPr>
          <w:rFonts w:hint="eastAsia" w:ascii="宋体" w:hAnsi="宋体" w:cs="宋体"/>
          <w:bCs/>
          <w:sz w:val="52"/>
          <w:szCs w:val="52"/>
          <w:highlight w:val="none"/>
        </w:rPr>
        <w:t>响应文件</w:t>
      </w:r>
    </w:p>
    <w:p w14:paraId="6932B40E">
      <w:pPr>
        <w:pStyle w:val="7"/>
        <w:ind w:firstLine="0" w:firstLineChars="0"/>
        <w:jc w:val="center"/>
        <w:rPr>
          <w:highlight w:val="none"/>
        </w:rPr>
      </w:pPr>
      <w:r>
        <w:rPr>
          <w:rFonts w:hint="eastAsia"/>
          <w:b/>
          <w:bCs/>
          <w:highlight w:val="none"/>
        </w:rPr>
        <w:t>资格审查部分/商务技术部分/报价部分/电子文本</w:t>
      </w:r>
    </w:p>
    <w:p w14:paraId="4B1804D4">
      <w:pPr>
        <w:ind w:firstLine="0" w:firstLineChars="0"/>
        <w:jc w:val="center"/>
        <w:rPr>
          <w:rFonts w:ascii="宋体" w:hAnsi="宋体" w:cs="宋体"/>
          <w:b/>
          <w:sz w:val="36"/>
          <w:szCs w:val="36"/>
          <w:highlight w:val="none"/>
        </w:rPr>
      </w:pPr>
      <w:r>
        <w:rPr>
          <w:rFonts w:hint="eastAsia" w:ascii="宋体" w:hAnsi="宋体" w:cs="宋体"/>
          <w:bCs/>
          <w:sz w:val="32"/>
          <w:szCs w:val="32"/>
          <w:highlight w:val="none"/>
        </w:rPr>
        <w:t>（在响应文件递交截止时间前不得开启）</w:t>
      </w:r>
    </w:p>
    <w:p w14:paraId="579A598E">
      <w:pPr>
        <w:ind w:firstLine="0" w:firstLineChars="0"/>
        <w:jc w:val="center"/>
        <w:rPr>
          <w:rFonts w:ascii="宋体" w:hAnsi="宋体" w:cs="宋体"/>
          <w:b/>
          <w:sz w:val="36"/>
          <w:szCs w:val="36"/>
          <w:highlight w:val="none"/>
        </w:rPr>
      </w:pPr>
    </w:p>
    <w:p w14:paraId="0A9B08A1">
      <w:pPr>
        <w:ind w:firstLine="0" w:firstLineChars="0"/>
        <w:jc w:val="center"/>
        <w:rPr>
          <w:rFonts w:ascii="宋体" w:hAnsi="宋体" w:cs="宋体"/>
          <w:b/>
          <w:sz w:val="36"/>
          <w:szCs w:val="36"/>
          <w:highlight w:val="none"/>
        </w:rPr>
      </w:pPr>
    </w:p>
    <w:p w14:paraId="070827DD">
      <w:pPr>
        <w:ind w:firstLine="0" w:firstLineChars="0"/>
        <w:jc w:val="center"/>
        <w:rPr>
          <w:rFonts w:ascii="宋体" w:hAnsi="宋体" w:cs="宋体"/>
          <w:b/>
          <w:sz w:val="36"/>
          <w:szCs w:val="36"/>
          <w:highlight w:val="none"/>
        </w:rPr>
      </w:pPr>
    </w:p>
    <w:p w14:paraId="4A273B47">
      <w:pPr>
        <w:ind w:firstLine="0" w:firstLineChars="0"/>
        <w:jc w:val="center"/>
        <w:rPr>
          <w:rFonts w:ascii="宋体" w:hAnsi="宋体" w:cs="宋体"/>
          <w:b/>
          <w:sz w:val="36"/>
          <w:szCs w:val="36"/>
          <w:highlight w:val="none"/>
        </w:rPr>
      </w:pPr>
    </w:p>
    <w:p w14:paraId="2E64F14E">
      <w:pPr>
        <w:ind w:firstLine="0" w:firstLineChars="0"/>
        <w:rPr>
          <w:rFonts w:ascii="宋体" w:hAnsi="宋体" w:cs="宋体"/>
          <w:b/>
          <w:sz w:val="36"/>
          <w:szCs w:val="36"/>
          <w:highlight w:val="none"/>
        </w:rPr>
      </w:pPr>
    </w:p>
    <w:p w14:paraId="1EDFF9C5">
      <w:pPr>
        <w:ind w:firstLine="480"/>
        <w:jc w:val="center"/>
        <w:rPr>
          <w:rFonts w:ascii="宋体" w:hAnsi="宋体" w:cs="宋体"/>
          <w:highlight w:val="none"/>
          <w:u w:val="single"/>
        </w:rPr>
      </w:pPr>
      <w:r>
        <w:rPr>
          <w:rFonts w:hint="eastAsia" w:ascii="宋体" w:hAnsi="宋体" w:cs="宋体"/>
          <w:highlight w:val="none"/>
        </w:rPr>
        <w:t>供应商：</w:t>
      </w:r>
      <w:r>
        <w:rPr>
          <w:rFonts w:hint="eastAsia" w:ascii="宋体" w:hAnsi="宋体" w:cs="宋体"/>
          <w:highlight w:val="none"/>
          <w:u w:val="single"/>
        </w:rPr>
        <w:t xml:space="preserve">               （加盖公章）</w:t>
      </w:r>
    </w:p>
    <w:p w14:paraId="3F233773">
      <w:pPr>
        <w:ind w:firstLine="480"/>
        <w:jc w:val="center"/>
        <w:rPr>
          <w:rFonts w:ascii="宋体" w:hAnsi="宋体" w:cs="宋体"/>
          <w:highlight w:val="none"/>
          <w:u w:val="single"/>
        </w:rPr>
      </w:pPr>
      <w:r>
        <w:rPr>
          <w:rFonts w:hint="eastAsia" w:ascii="宋体" w:hAnsi="宋体" w:cs="宋体"/>
          <w:highlight w:val="none"/>
        </w:rPr>
        <w:t>法定代表人或授权代理人：</w:t>
      </w:r>
      <w:r>
        <w:rPr>
          <w:rFonts w:hint="eastAsia" w:ascii="宋体" w:hAnsi="宋体" w:cs="宋体"/>
          <w:highlight w:val="none"/>
          <w:u w:val="single"/>
        </w:rPr>
        <w:t xml:space="preserve">   （签字）</w:t>
      </w:r>
    </w:p>
    <w:p w14:paraId="530FC3D5">
      <w:pPr>
        <w:ind w:firstLine="480"/>
        <w:jc w:val="center"/>
        <w:rPr>
          <w:rFonts w:ascii="宋体" w:hAnsi="宋体" w:cs="宋体"/>
          <w:highlight w:val="none"/>
        </w:rPr>
      </w:pPr>
      <w:r>
        <w:rPr>
          <w:rFonts w:hint="eastAsia" w:ascii="宋体" w:hAnsi="宋体" w:cs="宋体"/>
          <w:highlight w:val="none"/>
        </w:rPr>
        <w:t>日期：</w:t>
      </w:r>
      <w:r>
        <w:rPr>
          <w:rFonts w:hint="eastAsia" w:ascii="宋体" w:hAnsi="宋体" w:cs="宋体"/>
          <w:highlight w:val="none"/>
          <w:u w:val="single"/>
        </w:rPr>
        <w:t xml:space="preserve">        </w:t>
      </w:r>
      <w:r>
        <w:rPr>
          <w:rFonts w:hint="eastAsia" w:ascii="宋体" w:hAnsi="宋体" w:cs="宋体"/>
          <w:highlight w:val="none"/>
        </w:rPr>
        <w:t>年</w:t>
      </w:r>
      <w:r>
        <w:rPr>
          <w:rFonts w:hint="eastAsia" w:ascii="宋体" w:hAnsi="宋体" w:cs="宋体"/>
          <w:highlight w:val="none"/>
          <w:u w:val="single"/>
        </w:rPr>
        <w:t xml:space="preserve">      </w:t>
      </w:r>
      <w:r>
        <w:rPr>
          <w:rFonts w:hint="eastAsia" w:ascii="宋体" w:hAnsi="宋体" w:cs="宋体"/>
          <w:highlight w:val="none"/>
        </w:rPr>
        <w:t>月</w:t>
      </w:r>
      <w:r>
        <w:rPr>
          <w:rFonts w:hint="eastAsia" w:ascii="宋体" w:hAnsi="宋体" w:cs="宋体"/>
          <w:highlight w:val="none"/>
          <w:u w:val="single"/>
        </w:rPr>
        <w:t xml:space="preserve">      </w:t>
      </w:r>
      <w:r>
        <w:rPr>
          <w:rFonts w:hint="eastAsia" w:ascii="宋体" w:hAnsi="宋体" w:cs="宋体"/>
          <w:highlight w:val="none"/>
        </w:rPr>
        <w:t>日</w:t>
      </w:r>
    </w:p>
    <w:p w14:paraId="71343E36">
      <w:pPr>
        <w:pStyle w:val="3"/>
        <w:ind w:firstLine="0" w:firstLineChars="0"/>
        <w:rPr>
          <w:highlight w:val="none"/>
        </w:rPr>
      </w:pPr>
      <w:r>
        <w:rPr>
          <w:rFonts w:hint="eastAsia"/>
          <w:highlight w:val="none"/>
        </w:rPr>
        <w:t>第一册 资格审查部分</w:t>
      </w:r>
    </w:p>
    <w:p w14:paraId="3A7B82D6">
      <w:pPr>
        <w:ind w:firstLine="480"/>
        <w:jc w:val="right"/>
        <w:rPr>
          <w:rFonts w:ascii="宋体" w:hAnsi="宋体" w:cs="宋体"/>
          <w:bCs/>
          <w:sz w:val="36"/>
          <w:szCs w:val="36"/>
          <w:highlight w:val="none"/>
        </w:rPr>
      </w:pPr>
      <w:r>
        <w:rPr>
          <w:rFonts w:hint="eastAsia" w:ascii="宋体" w:hAnsi="宋体" w:cs="宋体"/>
          <w:highlight w:val="none"/>
        </w:rPr>
        <w:t xml:space="preserve"> </w:t>
      </w:r>
      <w:r>
        <w:rPr>
          <w:rFonts w:ascii="宋体" w:hAnsi="宋体" w:cs="宋体"/>
          <w:highlight w:val="none"/>
        </w:rPr>
        <w:t xml:space="preserve">                                                                    </w:t>
      </w:r>
      <w:r>
        <w:rPr>
          <w:rFonts w:hint="eastAsia" w:ascii="宋体" w:hAnsi="宋体" w:cs="宋体"/>
          <w:highlight w:val="none"/>
        </w:rPr>
        <w:t>正本/副本</w:t>
      </w:r>
    </w:p>
    <w:p w14:paraId="1FA79E78">
      <w:pPr>
        <w:ind w:firstLine="0" w:firstLineChars="0"/>
        <w:jc w:val="center"/>
        <w:rPr>
          <w:rFonts w:ascii="宋体" w:hAnsi="宋体" w:cs="宋体"/>
          <w:b/>
          <w:sz w:val="40"/>
          <w:szCs w:val="40"/>
          <w:highlight w:val="none"/>
        </w:rPr>
      </w:pPr>
    </w:p>
    <w:p w14:paraId="5B2B8DC5">
      <w:pPr>
        <w:ind w:firstLine="0" w:firstLineChars="0"/>
        <w:jc w:val="center"/>
        <w:rPr>
          <w:rFonts w:hint="eastAsia" w:ascii="宋体" w:hAnsi="宋体" w:eastAsia="宋体" w:cs="宋体"/>
          <w:b/>
          <w:sz w:val="40"/>
          <w:szCs w:val="40"/>
          <w:highlight w:val="none"/>
          <w:lang w:eastAsia="zh-CN"/>
        </w:rPr>
      </w:pPr>
      <w:r>
        <w:rPr>
          <w:rFonts w:hint="eastAsia" w:ascii="宋体" w:hAnsi="宋体" w:cs="宋体"/>
          <w:b/>
          <w:sz w:val="40"/>
          <w:szCs w:val="40"/>
          <w:highlight w:val="none"/>
          <w:lang w:eastAsia="zh-CN"/>
        </w:rPr>
        <w:t>南通轨道交通运营有限公司工会委员会银行账户开立服务项目</w:t>
      </w:r>
    </w:p>
    <w:p w14:paraId="56F934A5">
      <w:pPr>
        <w:ind w:firstLine="0" w:firstLineChars="0"/>
        <w:jc w:val="center"/>
        <w:rPr>
          <w:rFonts w:ascii="宋体" w:hAnsi="宋体" w:cs="宋体"/>
          <w:bCs/>
          <w:sz w:val="36"/>
          <w:szCs w:val="36"/>
          <w:highlight w:val="none"/>
        </w:rPr>
      </w:pPr>
      <w:r>
        <w:rPr>
          <w:rFonts w:hint="eastAsia" w:ascii="宋体" w:hAnsi="宋体" w:cs="宋体"/>
          <w:b/>
          <w:sz w:val="40"/>
          <w:szCs w:val="40"/>
          <w:highlight w:val="none"/>
        </w:rPr>
        <w:t>（项目编号：</w:t>
      </w:r>
      <w:r>
        <w:rPr>
          <w:rFonts w:hint="eastAsia" w:ascii="宋体" w:hAnsi="宋体" w:cs="宋体"/>
          <w:b/>
          <w:sz w:val="40"/>
          <w:szCs w:val="40"/>
          <w:highlight w:val="none"/>
          <w:lang w:eastAsia="zh-CN"/>
        </w:rPr>
        <w:t>NTGY-2026-FW-BX-043</w:t>
      </w:r>
      <w:r>
        <w:rPr>
          <w:rFonts w:hint="eastAsia" w:ascii="宋体" w:hAnsi="宋体" w:cs="宋体"/>
          <w:b/>
          <w:sz w:val="40"/>
          <w:szCs w:val="40"/>
          <w:highlight w:val="none"/>
        </w:rPr>
        <w:t>）</w:t>
      </w:r>
    </w:p>
    <w:p w14:paraId="7D85D1ED">
      <w:pPr>
        <w:ind w:firstLine="0" w:firstLineChars="0"/>
        <w:jc w:val="center"/>
        <w:rPr>
          <w:rFonts w:ascii="宋体" w:hAnsi="宋体" w:cs="宋体"/>
          <w:bCs/>
          <w:sz w:val="36"/>
          <w:szCs w:val="36"/>
          <w:highlight w:val="none"/>
        </w:rPr>
      </w:pPr>
    </w:p>
    <w:p w14:paraId="27FBCA88">
      <w:pPr>
        <w:ind w:firstLine="0" w:firstLineChars="0"/>
        <w:jc w:val="center"/>
        <w:rPr>
          <w:rFonts w:ascii="宋体" w:hAnsi="宋体" w:cs="宋体"/>
          <w:bCs/>
          <w:sz w:val="36"/>
          <w:szCs w:val="36"/>
          <w:highlight w:val="none"/>
        </w:rPr>
      </w:pPr>
    </w:p>
    <w:p w14:paraId="6623176E">
      <w:pPr>
        <w:ind w:firstLine="0" w:firstLineChars="0"/>
        <w:jc w:val="center"/>
        <w:rPr>
          <w:rFonts w:ascii="宋体" w:hAnsi="宋体" w:cs="宋体"/>
          <w:bCs/>
          <w:sz w:val="36"/>
          <w:szCs w:val="36"/>
          <w:highlight w:val="none"/>
        </w:rPr>
      </w:pPr>
    </w:p>
    <w:p w14:paraId="4EF41FBB">
      <w:pPr>
        <w:ind w:firstLine="0" w:firstLineChars="0"/>
        <w:jc w:val="center"/>
        <w:rPr>
          <w:rFonts w:ascii="宋体" w:hAnsi="宋体" w:cs="宋体"/>
          <w:bCs/>
          <w:sz w:val="52"/>
          <w:szCs w:val="52"/>
          <w:highlight w:val="none"/>
        </w:rPr>
      </w:pPr>
      <w:r>
        <w:rPr>
          <w:rFonts w:hint="eastAsia" w:ascii="宋体" w:hAnsi="宋体" w:cs="宋体"/>
          <w:bCs/>
          <w:sz w:val="52"/>
          <w:szCs w:val="52"/>
          <w:highlight w:val="none"/>
        </w:rPr>
        <w:t>响应文件</w:t>
      </w:r>
    </w:p>
    <w:p w14:paraId="65F1240C">
      <w:pPr>
        <w:ind w:firstLine="0" w:firstLineChars="0"/>
        <w:jc w:val="center"/>
        <w:rPr>
          <w:rFonts w:ascii="宋体" w:hAnsi="宋体" w:cs="宋体"/>
          <w:bCs/>
          <w:sz w:val="32"/>
          <w:szCs w:val="32"/>
          <w:highlight w:val="none"/>
        </w:rPr>
      </w:pPr>
      <w:r>
        <w:rPr>
          <w:rFonts w:hint="eastAsia" w:ascii="宋体" w:hAnsi="宋体" w:cs="宋体"/>
          <w:bCs/>
          <w:sz w:val="32"/>
          <w:szCs w:val="32"/>
          <w:highlight w:val="none"/>
        </w:rPr>
        <w:t>第一册 资格审查部分</w:t>
      </w:r>
    </w:p>
    <w:p w14:paraId="0FA52F37">
      <w:pPr>
        <w:ind w:firstLine="0" w:firstLineChars="0"/>
        <w:jc w:val="center"/>
        <w:rPr>
          <w:rFonts w:ascii="宋体" w:hAnsi="宋体" w:cs="宋体"/>
          <w:b/>
          <w:sz w:val="36"/>
          <w:szCs w:val="36"/>
          <w:highlight w:val="none"/>
        </w:rPr>
      </w:pPr>
    </w:p>
    <w:p w14:paraId="03B212F4">
      <w:pPr>
        <w:ind w:firstLine="0" w:firstLineChars="0"/>
        <w:jc w:val="center"/>
        <w:rPr>
          <w:rFonts w:ascii="宋体" w:hAnsi="宋体" w:cs="宋体"/>
          <w:b/>
          <w:sz w:val="36"/>
          <w:szCs w:val="36"/>
          <w:highlight w:val="none"/>
        </w:rPr>
      </w:pPr>
    </w:p>
    <w:p w14:paraId="7BD9E274">
      <w:pPr>
        <w:ind w:firstLine="0" w:firstLineChars="0"/>
        <w:jc w:val="center"/>
        <w:rPr>
          <w:rFonts w:ascii="宋体" w:hAnsi="宋体" w:cs="宋体"/>
          <w:b/>
          <w:sz w:val="36"/>
          <w:szCs w:val="36"/>
          <w:highlight w:val="none"/>
        </w:rPr>
      </w:pPr>
    </w:p>
    <w:p w14:paraId="1B7145D0">
      <w:pPr>
        <w:ind w:firstLine="0" w:firstLineChars="0"/>
        <w:jc w:val="center"/>
        <w:rPr>
          <w:rFonts w:ascii="宋体" w:hAnsi="宋体" w:cs="宋体"/>
          <w:b/>
          <w:sz w:val="36"/>
          <w:szCs w:val="36"/>
          <w:highlight w:val="none"/>
        </w:rPr>
      </w:pPr>
    </w:p>
    <w:p w14:paraId="4802FAC5">
      <w:pPr>
        <w:ind w:firstLine="0" w:firstLineChars="0"/>
        <w:jc w:val="center"/>
        <w:rPr>
          <w:rFonts w:ascii="宋体" w:hAnsi="宋体" w:cs="宋体"/>
          <w:b/>
          <w:sz w:val="36"/>
          <w:szCs w:val="36"/>
          <w:highlight w:val="none"/>
        </w:rPr>
      </w:pPr>
    </w:p>
    <w:p w14:paraId="027122E3">
      <w:pPr>
        <w:ind w:firstLine="0" w:firstLineChars="0"/>
        <w:jc w:val="center"/>
        <w:rPr>
          <w:rFonts w:ascii="宋体" w:hAnsi="宋体" w:cs="宋体"/>
          <w:b/>
          <w:sz w:val="36"/>
          <w:szCs w:val="36"/>
          <w:highlight w:val="none"/>
        </w:rPr>
      </w:pPr>
    </w:p>
    <w:p w14:paraId="40E4E5ED">
      <w:pPr>
        <w:ind w:firstLine="0" w:firstLineChars="0"/>
        <w:jc w:val="center"/>
        <w:rPr>
          <w:rFonts w:ascii="宋体" w:hAnsi="宋体" w:cs="宋体"/>
          <w:highlight w:val="none"/>
          <w:u w:val="single"/>
        </w:rPr>
      </w:pPr>
      <w:r>
        <w:rPr>
          <w:rFonts w:hint="eastAsia" w:ascii="宋体" w:hAnsi="宋体" w:cs="宋体"/>
          <w:highlight w:val="none"/>
        </w:rPr>
        <w:t>供应商：</w:t>
      </w:r>
      <w:r>
        <w:rPr>
          <w:rFonts w:hint="eastAsia" w:ascii="宋体" w:hAnsi="宋体" w:cs="宋体"/>
          <w:highlight w:val="none"/>
          <w:u w:val="single"/>
        </w:rPr>
        <w:t xml:space="preserve">               （加盖公章）</w:t>
      </w:r>
    </w:p>
    <w:p w14:paraId="2732A35D">
      <w:pPr>
        <w:ind w:firstLine="0" w:firstLineChars="0"/>
        <w:jc w:val="center"/>
        <w:rPr>
          <w:rFonts w:ascii="宋体" w:hAnsi="宋体" w:cs="宋体"/>
          <w:highlight w:val="none"/>
          <w:u w:val="single"/>
        </w:rPr>
      </w:pPr>
      <w:r>
        <w:rPr>
          <w:rFonts w:hint="eastAsia" w:ascii="宋体" w:hAnsi="宋体" w:cs="宋体"/>
          <w:highlight w:val="none"/>
        </w:rPr>
        <w:t>法定代表人或授权代理人：</w:t>
      </w:r>
      <w:r>
        <w:rPr>
          <w:rFonts w:hint="eastAsia" w:ascii="宋体" w:hAnsi="宋体" w:cs="宋体"/>
          <w:highlight w:val="none"/>
          <w:u w:val="single"/>
        </w:rPr>
        <w:t xml:space="preserve">   （签字）</w:t>
      </w:r>
    </w:p>
    <w:p w14:paraId="174FEA94">
      <w:pPr>
        <w:ind w:firstLine="0" w:firstLineChars="0"/>
        <w:jc w:val="center"/>
        <w:rPr>
          <w:rFonts w:ascii="宋体" w:hAnsi="宋体" w:cs="宋体"/>
          <w:highlight w:val="none"/>
          <w:u w:val="single"/>
        </w:rPr>
      </w:pPr>
      <w:r>
        <w:rPr>
          <w:rFonts w:hint="eastAsia" w:ascii="宋体" w:hAnsi="宋体" w:cs="宋体"/>
          <w:highlight w:val="none"/>
        </w:rPr>
        <w:t>日期：</w:t>
      </w:r>
      <w:r>
        <w:rPr>
          <w:rFonts w:hint="eastAsia" w:ascii="宋体" w:hAnsi="宋体" w:cs="宋体"/>
          <w:highlight w:val="none"/>
          <w:u w:val="single"/>
        </w:rPr>
        <w:t xml:space="preserve">        </w:t>
      </w:r>
      <w:r>
        <w:rPr>
          <w:rFonts w:hint="eastAsia" w:ascii="宋体" w:hAnsi="宋体" w:cs="宋体"/>
          <w:highlight w:val="none"/>
        </w:rPr>
        <w:t>年</w:t>
      </w:r>
      <w:r>
        <w:rPr>
          <w:rFonts w:hint="eastAsia" w:ascii="宋体" w:hAnsi="宋体" w:cs="宋体"/>
          <w:highlight w:val="none"/>
          <w:u w:val="single"/>
        </w:rPr>
        <w:t xml:space="preserve">      </w:t>
      </w:r>
      <w:r>
        <w:rPr>
          <w:rFonts w:hint="eastAsia" w:ascii="宋体" w:hAnsi="宋体" w:cs="宋体"/>
          <w:highlight w:val="none"/>
        </w:rPr>
        <w:t>月</w:t>
      </w:r>
      <w:r>
        <w:rPr>
          <w:rFonts w:hint="eastAsia" w:ascii="宋体" w:hAnsi="宋体" w:cs="宋体"/>
          <w:highlight w:val="none"/>
          <w:u w:val="single"/>
        </w:rPr>
        <w:t xml:space="preserve">      </w:t>
      </w:r>
      <w:r>
        <w:rPr>
          <w:rFonts w:hint="eastAsia" w:ascii="宋体" w:hAnsi="宋体" w:cs="宋体"/>
          <w:highlight w:val="none"/>
        </w:rPr>
        <w:t>日</w:t>
      </w:r>
    </w:p>
    <w:p w14:paraId="4BF7DFC5">
      <w:pPr>
        <w:pStyle w:val="4"/>
        <w:ind w:firstLine="482"/>
        <w:jc w:val="center"/>
        <w:rPr>
          <w:highlight w:val="none"/>
        </w:rPr>
      </w:pPr>
      <w:r>
        <w:rPr>
          <w:rFonts w:hint="eastAsia"/>
          <w:highlight w:val="none"/>
        </w:rPr>
        <w:t>目录</w:t>
      </w:r>
    </w:p>
    <w:p w14:paraId="444B1B6B">
      <w:pPr>
        <w:ind w:firstLine="480"/>
        <w:rPr>
          <w:rFonts w:hint="eastAsia"/>
          <w:highlight w:val="none"/>
        </w:rPr>
      </w:pPr>
      <w:r>
        <w:rPr>
          <w:rFonts w:hint="eastAsia"/>
          <w:highlight w:val="none"/>
          <w:lang w:val="en-US" w:eastAsia="zh-CN"/>
        </w:rPr>
        <w:t>1、</w:t>
      </w:r>
      <w:r>
        <w:rPr>
          <w:rFonts w:hint="eastAsia"/>
          <w:highlight w:val="none"/>
        </w:rPr>
        <w:t>承诺函</w:t>
      </w:r>
    </w:p>
    <w:p w14:paraId="2890AF47">
      <w:pPr>
        <w:ind w:firstLine="480"/>
        <w:rPr>
          <w:rFonts w:hint="eastAsia"/>
          <w:highlight w:val="none"/>
        </w:rPr>
      </w:pPr>
      <w:r>
        <w:rPr>
          <w:rFonts w:hint="eastAsia"/>
          <w:highlight w:val="none"/>
          <w:lang w:val="en-US" w:eastAsia="zh-CN"/>
        </w:rPr>
        <w:t>2、</w:t>
      </w:r>
      <w:r>
        <w:rPr>
          <w:rFonts w:hint="eastAsia"/>
          <w:highlight w:val="none"/>
        </w:rPr>
        <w:t>营业执照或其他组织证书（提供复印件并加盖公章）</w:t>
      </w:r>
    </w:p>
    <w:p w14:paraId="2E9BB0BD">
      <w:pPr>
        <w:ind w:firstLine="480"/>
        <w:rPr>
          <w:rFonts w:hint="eastAsia"/>
          <w:highlight w:val="none"/>
        </w:rPr>
      </w:pPr>
      <w:r>
        <w:rPr>
          <w:rFonts w:hint="eastAsia"/>
          <w:highlight w:val="none"/>
          <w:lang w:val="en-US" w:eastAsia="zh-CN"/>
        </w:rPr>
        <w:t>3、</w:t>
      </w:r>
      <w:r>
        <w:rPr>
          <w:rFonts w:hint="eastAsia"/>
          <w:highlight w:val="none"/>
        </w:rPr>
        <w:t>法定代表人（分支机构负责人）身份证明（提供复印件并加盖公章）</w:t>
      </w:r>
    </w:p>
    <w:p w14:paraId="6CA5E184">
      <w:pPr>
        <w:ind w:firstLine="480"/>
        <w:rPr>
          <w:rFonts w:hint="eastAsia"/>
          <w:highlight w:val="none"/>
        </w:rPr>
      </w:pPr>
      <w:r>
        <w:rPr>
          <w:rFonts w:hint="eastAsia"/>
          <w:highlight w:val="none"/>
          <w:lang w:val="en-US" w:eastAsia="zh-CN"/>
        </w:rPr>
        <w:t>4、</w:t>
      </w:r>
      <w:r>
        <w:rPr>
          <w:rFonts w:hint="eastAsia"/>
          <w:highlight w:val="none"/>
        </w:rPr>
        <w:t>授权委托书原件，授权代理人本人身份证复印件（如有授权）</w:t>
      </w:r>
    </w:p>
    <w:p w14:paraId="4CECCB95">
      <w:pPr>
        <w:ind w:firstLine="480"/>
        <w:rPr>
          <w:rFonts w:hint="eastAsia"/>
          <w:highlight w:val="none"/>
        </w:rPr>
      </w:pPr>
      <w:r>
        <w:rPr>
          <w:rFonts w:hint="eastAsia"/>
          <w:highlight w:val="none"/>
          <w:lang w:val="en-US" w:eastAsia="zh-CN"/>
        </w:rPr>
        <w:t>5、</w:t>
      </w:r>
      <w:r>
        <w:rPr>
          <w:rFonts w:hint="eastAsia"/>
          <w:highlight w:val="none"/>
        </w:rPr>
        <w:t>资质证书</w:t>
      </w:r>
    </w:p>
    <w:p w14:paraId="70205724">
      <w:pPr>
        <w:ind w:firstLine="480"/>
        <w:rPr>
          <w:rFonts w:hint="eastAsia"/>
          <w:highlight w:val="none"/>
        </w:rPr>
      </w:pPr>
      <w:r>
        <w:rPr>
          <w:rFonts w:hint="eastAsia"/>
          <w:highlight w:val="none"/>
          <w:lang w:val="en-US" w:eastAsia="zh-CN"/>
        </w:rPr>
        <w:t>6、</w:t>
      </w:r>
      <w:r>
        <w:rPr>
          <w:rFonts w:hint="eastAsia"/>
          <w:highlight w:val="none"/>
        </w:rPr>
        <w:t>承诺书</w:t>
      </w:r>
    </w:p>
    <w:p w14:paraId="4A63D456">
      <w:pPr>
        <w:ind w:firstLine="480"/>
        <w:rPr>
          <w:highlight w:val="none"/>
        </w:rPr>
      </w:pPr>
      <w:r>
        <w:rPr>
          <w:rFonts w:hint="eastAsia"/>
          <w:highlight w:val="none"/>
          <w:lang w:val="en-US" w:eastAsia="zh-CN"/>
        </w:rPr>
        <w:t>7、</w:t>
      </w:r>
      <w:r>
        <w:rPr>
          <w:rFonts w:hint="eastAsia"/>
          <w:highlight w:val="none"/>
        </w:rPr>
        <w:t>供应商认为需要提交的其他资料</w:t>
      </w:r>
      <w:r>
        <w:rPr>
          <w:highlight w:val="none"/>
        </w:rPr>
        <w:br w:type="page"/>
      </w:r>
    </w:p>
    <w:p w14:paraId="0C45A77D">
      <w:pPr>
        <w:pStyle w:val="4"/>
        <w:ind w:firstLine="0" w:firstLineChars="0"/>
        <w:rPr>
          <w:highlight w:val="none"/>
        </w:rPr>
      </w:pPr>
      <w:r>
        <w:rPr>
          <w:highlight w:val="none"/>
        </w:rPr>
        <w:t>1</w:t>
      </w:r>
      <w:r>
        <w:rPr>
          <w:rFonts w:hint="eastAsia"/>
          <w:highlight w:val="none"/>
        </w:rPr>
        <w:t>承诺函</w:t>
      </w:r>
    </w:p>
    <w:p w14:paraId="3A7225F0">
      <w:pPr>
        <w:ind w:firstLine="482"/>
        <w:jc w:val="center"/>
        <w:rPr>
          <w:b/>
          <w:bCs/>
          <w:highlight w:val="none"/>
        </w:rPr>
      </w:pPr>
    </w:p>
    <w:p w14:paraId="692785F4">
      <w:pPr>
        <w:ind w:firstLine="482"/>
        <w:jc w:val="center"/>
        <w:rPr>
          <w:b/>
          <w:bCs/>
          <w:highlight w:val="none"/>
        </w:rPr>
      </w:pPr>
      <w:r>
        <w:rPr>
          <w:rFonts w:hint="eastAsia"/>
          <w:b/>
          <w:bCs/>
          <w:highlight w:val="none"/>
        </w:rPr>
        <w:t>承诺函</w:t>
      </w:r>
    </w:p>
    <w:p w14:paraId="7F13662C">
      <w:pPr>
        <w:ind w:firstLine="0" w:firstLineChars="0"/>
        <w:rPr>
          <w:highlight w:val="none"/>
          <w:u w:val="single"/>
        </w:rPr>
      </w:pPr>
      <w:r>
        <w:rPr>
          <w:rFonts w:hint="eastAsia"/>
          <w:highlight w:val="none"/>
        </w:rPr>
        <w:t>致</w:t>
      </w:r>
      <w:r>
        <w:rPr>
          <w:rFonts w:hint="eastAsia"/>
          <w:highlight w:val="none"/>
          <w:u w:val="single"/>
          <w:lang w:eastAsia="zh-CN"/>
        </w:rPr>
        <w:t>南通轨道交通运营有限公司工会委员会</w:t>
      </w:r>
      <w:r>
        <w:rPr>
          <w:rFonts w:hint="eastAsia"/>
          <w:highlight w:val="none"/>
          <w:u w:val="single"/>
        </w:rPr>
        <w:t>：</w:t>
      </w:r>
    </w:p>
    <w:p w14:paraId="3E12D115">
      <w:pPr>
        <w:ind w:firstLine="480"/>
        <w:rPr>
          <w:highlight w:val="none"/>
        </w:rPr>
      </w:pPr>
      <w:r>
        <w:rPr>
          <w:rFonts w:hint="eastAsia"/>
          <w:highlight w:val="none"/>
        </w:rPr>
        <w:t>我司愿就由贵公司组织实施的</w:t>
      </w:r>
      <w:r>
        <w:rPr>
          <w:rFonts w:hint="eastAsia"/>
          <w:highlight w:val="none"/>
          <w:u w:val="single"/>
          <w:lang w:eastAsia="zh-CN"/>
        </w:rPr>
        <w:t>南通轨道交通运营有限公司工会委员会银行账户开立服务项目</w:t>
      </w:r>
      <w:r>
        <w:rPr>
          <w:rFonts w:hint="eastAsia"/>
          <w:highlight w:val="none"/>
          <w:u w:val="single"/>
        </w:rPr>
        <w:t>（项目编号：</w:t>
      </w:r>
      <w:r>
        <w:rPr>
          <w:rFonts w:hint="eastAsia"/>
          <w:highlight w:val="none"/>
          <w:u w:val="single"/>
          <w:lang w:eastAsia="zh-CN"/>
        </w:rPr>
        <w:t>NTGY-2026-FW-BX-043</w:t>
      </w:r>
      <w:r>
        <w:rPr>
          <w:rFonts w:hint="eastAsia"/>
          <w:highlight w:val="none"/>
          <w:u w:val="single"/>
        </w:rPr>
        <w:t>）</w:t>
      </w:r>
      <w:r>
        <w:rPr>
          <w:rFonts w:hint="eastAsia"/>
          <w:highlight w:val="none"/>
        </w:rPr>
        <w:t>采购活动进行响应。承诺如下：</w:t>
      </w:r>
    </w:p>
    <w:p w14:paraId="6EC0162F">
      <w:pPr>
        <w:ind w:firstLine="480"/>
        <w:rPr>
          <w:highlight w:val="none"/>
        </w:rPr>
      </w:pPr>
      <w:r>
        <w:rPr>
          <w:rFonts w:hint="eastAsia"/>
          <w:highlight w:val="none"/>
        </w:rPr>
        <w:t>一、我司所提交的响应文件中所有的证明和陈述材料均是真实准确的，我司未提供虚假材料或存在其他弄虚作假行为；</w:t>
      </w:r>
    </w:p>
    <w:p w14:paraId="749BEF89">
      <w:pPr>
        <w:ind w:firstLine="480"/>
        <w:rPr>
          <w:highlight w:val="none"/>
        </w:rPr>
      </w:pPr>
      <w:r>
        <w:rPr>
          <w:rFonts w:hint="eastAsia"/>
          <w:highlight w:val="none"/>
        </w:rPr>
        <w:t>二、我司具有健全的财务会计制度，经营状况、商业信誉和财务信用良好，没有处于被责令停业，财产被接管、冻结、破产状态，未处于与债权人进行债务重组或其他债务安排状况下，未处于法院清盘令下，未处于自动破产申请状态下；</w:t>
      </w:r>
    </w:p>
    <w:p w14:paraId="3644EF1F">
      <w:pPr>
        <w:ind w:firstLine="480"/>
        <w:rPr>
          <w:highlight w:val="none"/>
        </w:rPr>
      </w:pPr>
      <w:r>
        <w:rPr>
          <w:rFonts w:hint="eastAsia"/>
          <w:highlight w:val="none"/>
        </w:rPr>
        <w:t>三、我司没有骗取中标和严重违约引起的合同中止、纠纷、争议、仲裁和诉讼记录等情况；</w:t>
      </w:r>
    </w:p>
    <w:p w14:paraId="27976933">
      <w:pPr>
        <w:ind w:firstLine="480"/>
        <w:rPr>
          <w:highlight w:val="none"/>
        </w:rPr>
      </w:pPr>
      <w:r>
        <w:rPr>
          <w:rFonts w:hint="eastAsia"/>
          <w:highlight w:val="none"/>
        </w:rPr>
        <w:t>四、我司未与采购人存在利害关系；与参与本项目的其他供应商负责人不为同一人且不存在控股、管理关系；</w:t>
      </w:r>
    </w:p>
    <w:p w14:paraId="127F1A90">
      <w:pPr>
        <w:ind w:firstLine="480"/>
        <w:rPr>
          <w:highlight w:val="none"/>
        </w:rPr>
      </w:pPr>
      <w:r>
        <w:rPr>
          <w:rFonts w:hint="eastAsia"/>
          <w:highlight w:val="none"/>
        </w:rPr>
        <w:t>五、我司未以他人名义参与本项目；未与采购人及参与本项目的其他供应商串通；</w:t>
      </w:r>
    </w:p>
    <w:p w14:paraId="7265F64A">
      <w:pPr>
        <w:ind w:firstLine="480"/>
        <w:rPr>
          <w:highlight w:val="none"/>
        </w:rPr>
      </w:pPr>
      <w:r>
        <w:rPr>
          <w:rFonts w:hint="eastAsia"/>
          <w:highlight w:val="none"/>
          <w:lang w:eastAsia="zh-CN"/>
        </w:rPr>
        <w:t>六</w:t>
      </w:r>
      <w:r>
        <w:rPr>
          <w:rFonts w:hint="eastAsia"/>
          <w:highlight w:val="none"/>
        </w:rPr>
        <w:t>、我方保证无“附件</w:t>
      </w:r>
      <w:r>
        <w:rPr>
          <w:rFonts w:hint="eastAsia"/>
          <w:highlight w:val="none"/>
          <w:lang w:val="en-US" w:eastAsia="zh-CN"/>
        </w:rPr>
        <w:t>二</w:t>
      </w:r>
      <w:r>
        <w:rPr>
          <w:rFonts w:hint="eastAsia"/>
          <w:highlight w:val="none"/>
        </w:rPr>
        <w:t xml:space="preserve"> 供应商负面清单”所列的不良行为；</w:t>
      </w:r>
    </w:p>
    <w:p w14:paraId="4011168B">
      <w:pPr>
        <w:ind w:firstLine="480"/>
        <w:rPr>
          <w:highlight w:val="none"/>
        </w:rPr>
      </w:pPr>
      <w:r>
        <w:rPr>
          <w:rFonts w:hint="eastAsia"/>
          <w:highlight w:val="none"/>
        </w:rPr>
        <w:t>上述承诺如有不实或违反上述承诺，我方愿意接受任何处罚，包括同意你方不予退还投标保证金或履约保证金，将我方列入黑名单，并上报主管部门；我方放弃成交资格，已签订的合同无效，并放弃今后暂停期内参与你方采购活动的资格。</w:t>
      </w:r>
    </w:p>
    <w:p w14:paraId="11546B39">
      <w:pPr>
        <w:ind w:firstLine="480"/>
        <w:rPr>
          <w:highlight w:val="none"/>
        </w:rPr>
      </w:pPr>
    </w:p>
    <w:p w14:paraId="53B942B9">
      <w:pPr>
        <w:ind w:firstLine="480"/>
        <w:jc w:val="right"/>
        <w:rPr>
          <w:highlight w:val="none"/>
        </w:rPr>
      </w:pPr>
      <w:r>
        <w:rPr>
          <w:rFonts w:hint="eastAsia"/>
          <w:highlight w:val="none"/>
        </w:rPr>
        <w:t xml:space="preserve">法定代表人或授权代理人：（签字或盖章） </w:t>
      </w:r>
    </w:p>
    <w:p w14:paraId="6266A230">
      <w:pPr>
        <w:ind w:firstLine="480"/>
        <w:jc w:val="right"/>
        <w:rPr>
          <w:highlight w:val="none"/>
        </w:rPr>
      </w:pPr>
      <w:r>
        <w:rPr>
          <w:rFonts w:hint="eastAsia"/>
          <w:highlight w:val="none"/>
        </w:rPr>
        <w:t>供应商：（加盖公章）</w:t>
      </w:r>
    </w:p>
    <w:p w14:paraId="5624E3D0">
      <w:pPr>
        <w:ind w:firstLine="480"/>
        <w:jc w:val="right"/>
        <w:rPr>
          <w:highlight w:val="none"/>
        </w:rPr>
      </w:pPr>
      <w:r>
        <w:rPr>
          <w:rFonts w:hint="eastAsia"/>
          <w:highlight w:val="none"/>
        </w:rPr>
        <w:t>年   月    日</w:t>
      </w:r>
    </w:p>
    <w:p w14:paraId="751486FD">
      <w:pPr>
        <w:ind w:firstLine="480"/>
        <w:rPr>
          <w:highlight w:val="none"/>
        </w:rPr>
      </w:pPr>
    </w:p>
    <w:p w14:paraId="225A0E41">
      <w:pPr>
        <w:widowControl/>
        <w:spacing w:line="240" w:lineRule="auto"/>
        <w:ind w:firstLine="0" w:firstLineChars="0"/>
        <w:jc w:val="left"/>
        <w:rPr>
          <w:rFonts w:hint="eastAsia" w:cs="宋体"/>
          <w:b/>
          <w:bCs/>
          <w:highlight w:val="none"/>
        </w:rPr>
      </w:pPr>
    </w:p>
    <w:p w14:paraId="6E169C9E">
      <w:pPr>
        <w:rPr>
          <w:rFonts w:hint="eastAsia" w:cs="宋体"/>
          <w:b/>
          <w:bCs/>
          <w:highlight w:val="none"/>
        </w:rPr>
      </w:pPr>
      <w:r>
        <w:rPr>
          <w:rFonts w:hint="eastAsia" w:cs="宋体"/>
          <w:b/>
          <w:bCs/>
          <w:highlight w:val="none"/>
        </w:rPr>
        <w:br w:type="page"/>
      </w:r>
    </w:p>
    <w:p w14:paraId="3BFA9CAA">
      <w:pPr>
        <w:widowControl/>
        <w:spacing w:line="240" w:lineRule="auto"/>
        <w:ind w:firstLine="0" w:firstLineChars="0"/>
        <w:jc w:val="left"/>
        <w:rPr>
          <w:rFonts w:cs="宋体"/>
          <w:b/>
          <w:bCs/>
          <w:highlight w:val="none"/>
        </w:rPr>
      </w:pPr>
      <w:r>
        <w:rPr>
          <w:rFonts w:hint="eastAsia" w:cs="宋体"/>
          <w:b/>
          <w:bCs/>
          <w:highlight w:val="none"/>
        </w:rPr>
        <w:t>附件</w:t>
      </w:r>
      <w:r>
        <w:rPr>
          <w:rFonts w:hint="eastAsia" w:cs="宋体"/>
          <w:b/>
          <w:bCs/>
          <w:highlight w:val="none"/>
          <w:lang w:val="en-US" w:eastAsia="zh-CN"/>
        </w:rPr>
        <w:t>二</w:t>
      </w:r>
      <w:r>
        <w:rPr>
          <w:rFonts w:hint="eastAsia" w:cs="宋体"/>
          <w:b/>
          <w:bCs/>
          <w:highlight w:val="none"/>
        </w:rPr>
        <w:t xml:space="preserve"> </w:t>
      </w:r>
    </w:p>
    <w:p w14:paraId="7C394F33">
      <w:pPr>
        <w:ind w:firstLine="482"/>
        <w:jc w:val="center"/>
        <w:rPr>
          <w:rFonts w:cs="宋体"/>
          <w:b/>
          <w:bCs/>
          <w:highlight w:val="none"/>
        </w:rPr>
      </w:pPr>
      <w:r>
        <w:rPr>
          <w:rFonts w:hint="eastAsia" w:cs="宋体"/>
          <w:b/>
          <w:bCs/>
          <w:highlight w:val="none"/>
        </w:rPr>
        <w:t>供应商负面清单</w:t>
      </w:r>
    </w:p>
    <w:p w14:paraId="3B1CC87C">
      <w:pPr>
        <w:ind w:firstLine="480"/>
        <w:rPr>
          <w:rFonts w:cs="宋体"/>
          <w:highlight w:val="none"/>
        </w:rPr>
      </w:pPr>
      <w:r>
        <w:rPr>
          <w:rFonts w:hint="eastAsia" w:cs="宋体"/>
          <w:highlight w:val="none"/>
        </w:rPr>
        <w:t>一、与采购人、采购代理机构或者其他供应商恶意串通的，暂停12个月；</w:t>
      </w:r>
    </w:p>
    <w:p w14:paraId="37A3D164">
      <w:pPr>
        <w:ind w:firstLine="480"/>
        <w:rPr>
          <w:rFonts w:cs="宋体"/>
          <w:highlight w:val="none"/>
        </w:rPr>
      </w:pPr>
      <w:r>
        <w:rPr>
          <w:rFonts w:hint="eastAsia" w:cs="宋体"/>
          <w:highlight w:val="none"/>
        </w:rPr>
        <w:t>二、向采购人、采购代理机构或评审小组成员行贿或者提供其他不正当利益，暂停12个月；</w:t>
      </w:r>
    </w:p>
    <w:p w14:paraId="01442B9F">
      <w:pPr>
        <w:ind w:firstLine="480"/>
        <w:rPr>
          <w:rFonts w:cs="宋体"/>
          <w:highlight w:val="none"/>
        </w:rPr>
      </w:pPr>
      <w:r>
        <w:rPr>
          <w:rFonts w:hint="eastAsia" w:cs="宋体"/>
          <w:highlight w:val="none"/>
        </w:rPr>
        <w:t>三、存在以下视为串通投标情形的，暂停12个月；</w:t>
      </w:r>
    </w:p>
    <w:p w14:paraId="18964CA8">
      <w:pPr>
        <w:ind w:firstLine="480"/>
        <w:rPr>
          <w:rFonts w:cs="宋体"/>
          <w:highlight w:val="none"/>
        </w:rPr>
      </w:pPr>
      <w:r>
        <w:rPr>
          <w:rFonts w:hint="eastAsia" w:cs="宋体"/>
          <w:highlight w:val="none"/>
        </w:rPr>
        <w:t>（一）不同</w:t>
      </w:r>
      <w:r>
        <w:rPr>
          <w:rFonts w:hint="eastAsia" w:cs="宋体"/>
          <w:highlight w:val="none"/>
          <w:lang w:eastAsia="zh-CN"/>
        </w:rPr>
        <w:t>参选人</w:t>
      </w:r>
      <w:r>
        <w:rPr>
          <w:rFonts w:hint="eastAsia" w:cs="宋体"/>
          <w:highlight w:val="none"/>
        </w:rPr>
        <w:t>的</w:t>
      </w:r>
      <w:r>
        <w:rPr>
          <w:rFonts w:hint="eastAsia" w:cs="宋体"/>
          <w:highlight w:val="none"/>
          <w:lang w:eastAsia="zh-CN"/>
        </w:rPr>
        <w:t>响应文件</w:t>
      </w:r>
      <w:r>
        <w:rPr>
          <w:rFonts w:hint="eastAsia" w:cs="宋体"/>
          <w:highlight w:val="none"/>
        </w:rPr>
        <w:t>由同一单位或者个人编制；</w:t>
      </w:r>
    </w:p>
    <w:p w14:paraId="61D58489">
      <w:pPr>
        <w:ind w:firstLine="480"/>
        <w:rPr>
          <w:rFonts w:cs="宋体"/>
          <w:highlight w:val="none"/>
        </w:rPr>
      </w:pPr>
      <w:r>
        <w:rPr>
          <w:rFonts w:hint="eastAsia" w:cs="宋体"/>
          <w:highlight w:val="none"/>
        </w:rPr>
        <w:t>（二）不同</w:t>
      </w:r>
      <w:r>
        <w:rPr>
          <w:rFonts w:hint="eastAsia" w:cs="宋体"/>
          <w:highlight w:val="none"/>
          <w:lang w:eastAsia="zh-CN"/>
        </w:rPr>
        <w:t>参选人</w:t>
      </w:r>
      <w:r>
        <w:rPr>
          <w:rFonts w:hint="eastAsia" w:cs="宋体"/>
          <w:highlight w:val="none"/>
        </w:rPr>
        <w:t>委托同一单位或者个人办理投标事宜；</w:t>
      </w:r>
    </w:p>
    <w:p w14:paraId="549637EB">
      <w:pPr>
        <w:ind w:firstLine="480"/>
        <w:rPr>
          <w:rFonts w:cs="宋体"/>
          <w:highlight w:val="none"/>
        </w:rPr>
      </w:pPr>
      <w:r>
        <w:rPr>
          <w:rFonts w:hint="eastAsia" w:cs="宋体"/>
          <w:highlight w:val="none"/>
        </w:rPr>
        <w:t>（三）不同</w:t>
      </w:r>
      <w:r>
        <w:rPr>
          <w:rFonts w:hint="eastAsia" w:cs="宋体"/>
          <w:highlight w:val="none"/>
          <w:lang w:eastAsia="zh-CN"/>
        </w:rPr>
        <w:t>参选人</w:t>
      </w:r>
      <w:r>
        <w:rPr>
          <w:rFonts w:hint="eastAsia" w:cs="宋体"/>
          <w:highlight w:val="none"/>
        </w:rPr>
        <w:t>的</w:t>
      </w:r>
      <w:r>
        <w:rPr>
          <w:rFonts w:hint="eastAsia" w:cs="宋体"/>
          <w:highlight w:val="none"/>
          <w:lang w:eastAsia="zh-CN"/>
        </w:rPr>
        <w:t>响应文件</w:t>
      </w:r>
      <w:r>
        <w:rPr>
          <w:rFonts w:hint="eastAsia" w:cs="宋体"/>
          <w:highlight w:val="none"/>
        </w:rPr>
        <w:t>载明的项目管理成员为同一人；</w:t>
      </w:r>
    </w:p>
    <w:p w14:paraId="527484AE">
      <w:pPr>
        <w:ind w:firstLine="480"/>
        <w:rPr>
          <w:rFonts w:cs="宋体"/>
          <w:highlight w:val="none"/>
        </w:rPr>
      </w:pPr>
      <w:r>
        <w:rPr>
          <w:rFonts w:hint="eastAsia" w:cs="宋体"/>
          <w:highlight w:val="none"/>
        </w:rPr>
        <w:t>（四）不同</w:t>
      </w:r>
      <w:r>
        <w:rPr>
          <w:rFonts w:hint="eastAsia" w:cs="宋体"/>
          <w:highlight w:val="none"/>
          <w:lang w:eastAsia="zh-CN"/>
        </w:rPr>
        <w:t>参选人</w:t>
      </w:r>
      <w:r>
        <w:rPr>
          <w:rFonts w:hint="eastAsia" w:cs="宋体"/>
          <w:highlight w:val="none"/>
        </w:rPr>
        <w:t>的</w:t>
      </w:r>
      <w:r>
        <w:rPr>
          <w:rFonts w:hint="eastAsia" w:cs="宋体"/>
          <w:highlight w:val="none"/>
          <w:lang w:eastAsia="zh-CN"/>
        </w:rPr>
        <w:t>响应文件</w:t>
      </w:r>
      <w:r>
        <w:rPr>
          <w:rFonts w:hint="eastAsia" w:cs="宋体"/>
          <w:highlight w:val="none"/>
        </w:rPr>
        <w:t>异常一致（包括但不限于</w:t>
      </w:r>
      <w:r>
        <w:rPr>
          <w:rFonts w:ascii="Segoe UI" w:hAnsi="Segoe UI" w:cs="Segoe UI"/>
          <w:color w:val="15161F"/>
          <w:highlight w:val="none"/>
          <w:shd w:val="clear" w:color="auto" w:fill="FFFFFF"/>
        </w:rPr>
        <w:t>存在多处内容相似或雷同</w:t>
      </w:r>
      <w:r>
        <w:rPr>
          <w:rFonts w:hint="eastAsia" w:ascii="Segoe UI" w:hAnsi="Segoe UI" w:cs="Segoe UI"/>
          <w:color w:val="15161F"/>
          <w:highlight w:val="none"/>
          <w:shd w:val="clear" w:color="auto" w:fill="FFFFFF"/>
        </w:rPr>
        <w:t>、</w:t>
      </w:r>
      <w:r>
        <w:rPr>
          <w:rFonts w:ascii="Segoe UI" w:hAnsi="Segoe UI" w:cs="Segoe UI"/>
          <w:color w:val="15161F"/>
          <w:highlight w:val="none"/>
          <w:shd w:val="clear" w:color="auto" w:fill="FFFFFF"/>
        </w:rPr>
        <w:t>存在错误的地方一致</w:t>
      </w:r>
      <w:r>
        <w:rPr>
          <w:rFonts w:hint="eastAsia" w:ascii="Segoe UI" w:hAnsi="Segoe UI" w:cs="Segoe UI"/>
          <w:color w:val="15161F"/>
          <w:highlight w:val="none"/>
          <w:shd w:val="clear" w:color="auto" w:fill="FFFFFF"/>
        </w:rPr>
        <w:t>或其他可认定异常一致的情形</w:t>
      </w:r>
      <w:r>
        <w:rPr>
          <w:rFonts w:hint="eastAsia" w:cs="宋体"/>
          <w:highlight w:val="none"/>
        </w:rPr>
        <w:t>）或者</w:t>
      </w:r>
      <w:r>
        <w:rPr>
          <w:rFonts w:hint="eastAsia" w:cs="宋体"/>
          <w:highlight w:val="none"/>
          <w:lang w:eastAsia="zh-CN"/>
        </w:rPr>
        <w:t>参选报价</w:t>
      </w:r>
      <w:r>
        <w:rPr>
          <w:rFonts w:hint="eastAsia" w:cs="宋体"/>
          <w:highlight w:val="none"/>
        </w:rPr>
        <w:t>呈规律性差异；</w:t>
      </w:r>
    </w:p>
    <w:p w14:paraId="3BE6AFFC">
      <w:pPr>
        <w:ind w:firstLine="480"/>
        <w:rPr>
          <w:rFonts w:cs="宋体"/>
          <w:highlight w:val="none"/>
        </w:rPr>
      </w:pPr>
      <w:r>
        <w:rPr>
          <w:rFonts w:hint="eastAsia" w:cs="宋体"/>
          <w:highlight w:val="none"/>
        </w:rPr>
        <w:t>（五）不同</w:t>
      </w:r>
      <w:r>
        <w:rPr>
          <w:rFonts w:hint="eastAsia" w:cs="宋体"/>
          <w:highlight w:val="none"/>
          <w:lang w:eastAsia="zh-CN"/>
        </w:rPr>
        <w:t>参选人</w:t>
      </w:r>
      <w:r>
        <w:rPr>
          <w:rFonts w:hint="eastAsia" w:cs="宋体"/>
          <w:highlight w:val="none"/>
        </w:rPr>
        <w:t>的</w:t>
      </w:r>
      <w:r>
        <w:rPr>
          <w:rFonts w:hint="eastAsia" w:cs="宋体"/>
          <w:highlight w:val="none"/>
          <w:lang w:eastAsia="zh-CN"/>
        </w:rPr>
        <w:t>响应文件</w:t>
      </w:r>
      <w:r>
        <w:rPr>
          <w:rFonts w:hint="eastAsia" w:cs="宋体"/>
          <w:highlight w:val="none"/>
        </w:rPr>
        <w:t>相互混装；</w:t>
      </w:r>
    </w:p>
    <w:p w14:paraId="1577E0CC">
      <w:pPr>
        <w:ind w:firstLine="480"/>
        <w:rPr>
          <w:rFonts w:cs="宋体"/>
          <w:highlight w:val="none"/>
        </w:rPr>
      </w:pPr>
      <w:r>
        <w:rPr>
          <w:rFonts w:hint="eastAsia" w:cs="宋体"/>
          <w:highlight w:val="none"/>
        </w:rPr>
        <w:t>（六）不同</w:t>
      </w:r>
      <w:r>
        <w:rPr>
          <w:rFonts w:hint="eastAsia" w:cs="宋体"/>
          <w:highlight w:val="none"/>
          <w:lang w:eastAsia="zh-CN"/>
        </w:rPr>
        <w:t>参选人</w:t>
      </w:r>
      <w:r>
        <w:rPr>
          <w:rFonts w:hint="eastAsia" w:cs="宋体"/>
          <w:highlight w:val="none"/>
        </w:rPr>
        <w:t>的投标保证金从同一单位或者个人的账户转出；</w:t>
      </w:r>
    </w:p>
    <w:p w14:paraId="343C49CB">
      <w:pPr>
        <w:ind w:firstLine="480"/>
        <w:rPr>
          <w:rFonts w:cs="宋体"/>
          <w:highlight w:val="none"/>
        </w:rPr>
      </w:pPr>
      <w:r>
        <w:rPr>
          <w:rFonts w:hint="eastAsia" w:cs="宋体"/>
          <w:highlight w:val="none"/>
        </w:rPr>
        <w:t>四、递交时间截止后撤回投标（响应）文件或评审过程中出现因供应商自身原因弃标的，暂停12个月；</w:t>
      </w:r>
    </w:p>
    <w:p w14:paraId="6E174FA5">
      <w:pPr>
        <w:ind w:firstLine="480"/>
        <w:rPr>
          <w:rFonts w:cs="宋体"/>
          <w:highlight w:val="none"/>
        </w:rPr>
      </w:pPr>
      <w:r>
        <w:rPr>
          <w:rFonts w:hint="eastAsia" w:cs="宋体"/>
          <w:highlight w:val="none"/>
        </w:rPr>
        <w:t>五、提供虚假材料或存在其他弄虚作假行为的，暂停12个月；</w:t>
      </w:r>
    </w:p>
    <w:p w14:paraId="21531EAC">
      <w:pPr>
        <w:ind w:firstLine="480"/>
        <w:rPr>
          <w:rFonts w:cs="宋体"/>
          <w:highlight w:val="none"/>
        </w:rPr>
      </w:pPr>
      <w:r>
        <w:rPr>
          <w:rFonts w:hint="eastAsia" w:cs="宋体"/>
          <w:highlight w:val="none"/>
        </w:rPr>
        <w:t>六、中标或者成交后无正当理由拒不与采购人签订采购合同，暂停12个月；</w:t>
      </w:r>
    </w:p>
    <w:p w14:paraId="6CC0368F">
      <w:pPr>
        <w:ind w:firstLine="480"/>
        <w:rPr>
          <w:rFonts w:cs="宋体"/>
          <w:highlight w:val="none"/>
        </w:rPr>
      </w:pPr>
      <w:r>
        <w:rPr>
          <w:rFonts w:hint="eastAsia" w:cs="宋体"/>
          <w:highlight w:val="none"/>
        </w:rPr>
        <w:t>七、签订合同后无法履行合同的，暂停12个月；</w:t>
      </w:r>
    </w:p>
    <w:p w14:paraId="0147A3C9">
      <w:pPr>
        <w:ind w:firstLine="480"/>
        <w:rPr>
          <w:rFonts w:cs="宋体"/>
          <w:highlight w:val="none"/>
        </w:rPr>
      </w:pPr>
      <w:r>
        <w:rPr>
          <w:rFonts w:hint="eastAsia" w:cs="宋体"/>
          <w:highlight w:val="none"/>
        </w:rPr>
        <w:t>八、年度评价被列为不及格供应商的，暂停12个月；</w:t>
      </w:r>
    </w:p>
    <w:p w14:paraId="0E2FC825">
      <w:pPr>
        <w:ind w:firstLine="480"/>
        <w:rPr>
          <w:rFonts w:cs="宋体"/>
          <w:highlight w:val="none"/>
        </w:rPr>
      </w:pPr>
      <w:r>
        <w:rPr>
          <w:rFonts w:hint="eastAsia" w:cs="宋体"/>
          <w:highlight w:val="none"/>
        </w:rPr>
        <w:t>九、被集团公司或所属分（子）公司暂停参与采购活动的，从其处罚；</w:t>
      </w:r>
    </w:p>
    <w:p w14:paraId="52A97D59">
      <w:pPr>
        <w:pStyle w:val="36"/>
        <w:rPr>
          <w:highlight w:val="none"/>
        </w:rPr>
      </w:pPr>
    </w:p>
    <w:p w14:paraId="3CC4A5D1">
      <w:pPr>
        <w:pStyle w:val="36"/>
        <w:rPr>
          <w:highlight w:val="none"/>
        </w:rPr>
      </w:pPr>
    </w:p>
    <w:p w14:paraId="581B6B4C">
      <w:pPr>
        <w:pStyle w:val="36"/>
        <w:rPr>
          <w:highlight w:val="none"/>
        </w:rPr>
      </w:pPr>
    </w:p>
    <w:p w14:paraId="25453EB2">
      <w:pPr>
        <w:pStyle w:val="36"/>
        <w:rPr>
          <w:highlight w:val="none"/>
        </w:rPr>
      </w:pPr>
    </w:p>
    <w:p w14:paraId="454F3A62">
      <w:pPr>
        <w:pStyle w:val="36"/>
        <w:rPr>
          <w:highlight w:val="none"/>
        </w:rPr>
      </w:pPr>
    </w:p>
    <w:p w14:paraId="40CCA539">
      <w:pPr>
        <w:pStyle w:val="36"/>
        <w:rPr>
          <w:highlight w:val="none"/>
        </w:rPr>
      </w:pPr>
    </w:p>
    <w:p w14:paraId="3079D91C">
      <w:pPr>
        <w:ind w:firstLine="480"/>
        <w:jc w:val="right"/>
        <w:rPr>
          <w:highlight w:val="none"/>
        </w:rPr>
      </w:pPr>
      <w:r>
        <w:rPr>
          <w:rFonts w:hint="eastAsia"/>
          <w:highlight w:val="none"/>
        </w:rPr>
        <w:t xml:space="preserve">法定代表人或授权代理人：（签字或盖章） </w:t>
      </w:r>
    </w:p>
    <w:p w14:paraId="28D177B6">
      <w:pPr>
        <w:ind w:firstLine="480"/>
        <w:jc w:val="right"/>
        <w:rPr>
          <w:highlight w:val="none"/>
        </w:rPr>
      </w:pPr>
      <w:r>
        <w:rPr>
          <w:rFonts w:hint="eastAsia"/>
          <w:highlight w:val="none"/>
        </w:rPr>
        <w:t>供应商：（加盖公章）</w:t>
      </w:r>
    </w:p>
    <w:p w14:paraId="487AA183">
      <w:pPr>
        <w:ind w:firstLine="480"/>
        <w:jc w:val="right"/>
        <w:rPr>
          <w:highlight w:val="none"/>
        </w:rPr>
      </w:pPr>
      <w:r>
        <w:rPr>
          <w:rFonts w:hint="eastAsia"/>
          <w:highlight w:val="none"/>
        </w:rPr>
        <w:t>年   月    日</w:t>
      </w:r>
    </w:p>
    <w:p w14:paraId="164D821F">
      <w:pPr>
        <w:pStyle w:val="36"/>
        <w:rPr>
          <w:highlight w:val="none"/>
        </w:rPr>
      </w:pPr>
    </w:p>
    <w:p w14:paraId="75F3100D">
      <w:pPr>
        <w:pStyle w:val="36"/>
        <w:rPr>
          <w:highlight w:val="none"/>
        </w:rPr>
      </w:pPr>
    </w:p>
    <w:p w14:paraId="6950BF63">
      <w:pPr>
        <w:pStyle w:val="36"/>
        <w:rPr>
          <w:highlight w:val="none"/>
        </w:rPr>
      </w:pPr>
    </w:p>
    <w:p w14:paraId="107B772A">
      <w:pPr>
        <w:pStyle w:val="36"/>
        <w:rPr>
          <w:highlight w:val="none"/>
        </w:rPr>
      </w:pPr>
    </w:p>
    <w:p w14:paraId="43F43F0B">
      <w:pPr>
        <w:widowControl/>
        <w:spacing w:line="240" w:lineRule="auto"/>
        <w:ind w:firstLine="0" w:firstLineChars="0"/>
        <w:jc w:val="left"/>
        <w:rPr>
          <w:b/>
          <w:bCs/>
          <w:szCs w:val="32"/>
          <w:highlight w:val="none"/>
        </w:rPr>
      </w:pPr>
    </w:p>
    <w:p w14:paraId="07ACD099">
      <w:pPr>
        <w:pStyle w:val="4"/>
        <w:ind w:firstLine="0" w:firstLineChars="0"/>
        <w:rPr>
          <w:highlight w:val="none"/>
        </w:rPr>
      </w:pPr>
      <w:r>
        <w:rPr>
          <w:highlight w:val="none"/>
        </w:rPr>
        <w:t>2</w:t>
      </w:r>
      <w:r>
        <w:rPr>
          <w:rFonts w:hint="eastAsia"/>
          <w:highlight w:val="none"/>
        </w:rPr>
        <w:t>营业执照或其他组织证书</w:t>
      </w:r>
    </w:p>
    <w:p w14:paraId="49C79279">
      <w:pPr>
        <w:ind w:firstLine="0" w:firstLineChars="0"/>
        <w:rPr>
          <w:highlight w:val="none"/>
        </w:rPr>
      </w:pPr>
      <w:bookmarkStart w:id="16" w:name="OLE_LINK130"/>
      <w:bookmarkStart w:id="17" w:name="OLE_LINK131"/>
      <w:r>
        <w:rPr>
          <w:rFonts w:hint="eastAsia"/>
          <w:highlight w:val="none"/>
        </w:rPr>
        <w:t>提供复印件并加盖公章</w:t>
      </w:r>
      <w:bookmarkEnd w:id="16"/>
      <w:bookmarkEnd w:id="17"/>
    </w:p>
    <w:p w14:paraId="2614C96C">
      <w:pPr>
        <w:widowControl/>
        <w:spacing w:line="240" w:lineRule="auto"/>
        <w:ind w:firstLine="0" w:firstLineChars="0"/>
        <w:jc w:val="left"/>
        <w:rPr>
          <w:b/>
          <w:bCs/>
          <w:szCs w:val="32"/>
          <w:highlight w:val="none"/>
        </w:rPr>
      </w:pPr>
      <w:r>
        <w:rPr>
          <w:highlight w:val="none"/>
        </w:rPr>
        <w:br w:type="page"/>
      </w:r>
    </w:p>
    <w:p w14:paraId="21355514">
      <w:pPr>
        <w:pStyle w:val="4"/>
        <w:spacing w:line="240" w:lineRule="auto"/>
        <w:ind w:firstLine="0" w:firstLineChars="0"/>
        <w:rPr>
          <w:highlight w:val="none"/>
        </w:rPr>
      </w:pPr>
      <w:r>
        <w:rPr>
          <w:rFonts w:hint="eastAsia"/>
          <w:highlight w:val="none"/>
        </w:rPr>
        <w:t>3法定代表人（分支机构负责人）身份证明</w:t>
      </w:r>
    </w:p>
    <w:p w14:paraId="1F9C9F16">
      <w:pPr>
        <w:ind w:firstLine="482"/>
        <w:jc w:val="center"/>
        <w:rPr>
          <w:b/>
          <w:bCs/>
          <w:highlight w:val="none"/>
        </w:rPr>
      </w:pPr>
    </w:p>
    <w:p w14:paraId="42C4FEE8">
      <w:pPr>
        <w:ind w:firstLine="0" w:firstLineChars="0"/>
        <w:jc w:val="center"/>
        <w:rPr>
          <w:b/>
          <w:bCs/>
          <w:highlight w:val="none"/>
        </w:rPr>
      </w:pPr>
      <w:r>
        <w:rPr>
          <w:rFonts w:hint="eastAsia"/>
          <w:b/>
          <w:bCs/>
          <w:highlight w:val="none"/>
        </w:rPr>
        <w:t>法定代表人（分支机构负责人）身份证明书</w:t>
      </w:r>
    </w:p>
    <w:p w14:paraId="291B9AB3">
      <w:pPr>
        <w:ind w:firstLine="480"/>
        <w:rPr>
          <w:highlight w:val="none"/>
        </w:rPr>
      </w:pPr>
    </w:p>
    <w:p w14:paraId="0D9090AF">
      <w:pPr>
        <w:ind w:firstLine="480"/>
        <w:rPr>
          <w:highlight w:val="none"/>
        </w:rPr>
      </w:pPr>
      <w:r>
        <w:rPr>
          <w:rFonts w:hint="eastAsia"/>
          <w:highlight w:val="none"/>
          <w:u w:val="single"/>
        </w:rPr>
        <w:t xml:space="preserve">  （姓名）  </w:t>
      </w:r>
      <w:r>
        <w:rPr>
          <w:rFonts w:hint="eastAsia"/>
          <w:highlight w:val="none"/>
        </w:rPr>
        <w:t>先生/女士，系本单位</w:t>
      </w:r>
      <w:r>
        <w:rPr>
          <w:rFonts w:hint="eastAsia"/>
          <w:highlight w:val="none"/>
          <w:u w:val="single"/>
        </w:rPr>
        <w:t xml:space="preserve"> </w:t>
      </w:r>
      <w:r>
        <w:rPr>
          <w:highlight w:val="none"/>
          <w:u w:val="single"/>
        </w:rPr>
        <w:t xml:space="preserve">  </w:t>
      </w:r>
      <w:r>
        <w:rPr>
          <w:rFonts w:hint="eastAsia"/>
          <w:highlight w:val="none"/>
          <w:u w:val="single"/>
        </w:rPr>
        <w:t>（单位名称）</w:t>
      </w:r>
      <w:r>
        <w:rPr>
          <w:highlight w:val="none"/>
          <w:u w:val="single"/>
        </w:rPr>
        <w:t xml:space="preserve">   </w:t>
      </w:r>
      <w:r>
        <w:rPr>
          <w:rFonts w:hint="eastAsia"/>
          <w:highlight w:val="none"/>
        </w:rPr>
        <w:t>法定代表人（分支机构负责人），特此证明。</w:t>
      </w:r>
    </w:p>
    <w:p w14:paraId="1AA0D9FD">
      <w:pPr>
        <w:ind w:firstLine="480"/>
        <w:rPr>
          <w:highlight w:val="none"/>
        </w:rPr>
      </w:pPr>
      <w:r>
        <w:rPr>
          <w:rFonts w:hint="eastAsia"/>
          <w:highlight w:val="none"/>
        </w:rPr>
        <w:t>身份证号码：</w:t>
      </w:r>
      <w:r>
        <w:rPr>
          <w:rFonts w:hint="eastAsia"/>
          <w:highlight w:val="none"/>
          <w:u w:val="single"/>
        </w:rPr>
        <w:t xml:space="preserve">                                      </w:t>
      </w:r>
      <w:r>
        <w:rPr>
          <w:rFonts w:hint="eastAsia"/>
          <w:highlight w:val="none"/>
        </w:rPr>
        <w:t xml:space="preserve">   </w:t>
      </w:r>
    </w:p>
    <w:p w14:paraId="3A0F22F6">
      <w:pPr>
        <w:ind w:firstLine="480"/>
        <w:jc w:val="right"/>
        <w:rPr>
          <w:highlight w:val="none"/>
        </w:rPr>
      </w:pPr>
    </w:p>
    <w:p w14:paraId="722CBB95">
      <w:pPr>
        <w:ind w:firstLine="480"/>
        <w:jc w:val="right"/>
        <w:rPr>
          <w:highlight w:val="none"/>
        </w:rPr>
      </w:pPr>
    </w:p>
    <w:p w14:paraId="0518BCED">
      <w:pPr>
        <w:ind w:firstLine="482"/>
        <w:rPr>
          <w:b/>
          <w:highlight w:val="none"/>
        </w:rPr>
      </w:pPr>
      <w:r>
        <w:rPr>
          <w:rFonts w:hint="eastAsia"/>
          <w:b/>
          <w:highlight w:val="none"/>
        </w:rPr>
        <w:t>注：提供法定代表人（分支机构负责人）身份证（正反面）复印件</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6"/>
      </w:tblGrid>
      <w:tr w14:paraId="7FA07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0" w:hRule="atLeast"/>
        </w:trPr>
        <w:tc>
          <w:tcPr>
            <w:tcW w:w="5000" w:type="pct"/>
          </w:tcPr>
          <w:p w14:paraId="5DDC2A58">
            <w:pPr>
              <w:ind w:firstLine="480"/>
              <w:jc w:val="left"/>
              <w:rPr>
                <w:highlight w:val="none"/>
              </w:rPr>
            </w:pPr>
          </w:p>
        </w:tc>
      </w:tr>
    </w:tbl>
    <w:p w14:paraId="722ADF7F">
      <w:pPr>
        <w:ind w:firstLine="480"/>
        <w:jc w:val="right"/>
        <w:rPr>
          <w:rFonts w:hint="eastAsia"/>
          <w:highlight w:val="none"/>
        </w:rPr>
      </w:pPr>
    </w:p>
    <w:p w14:paraId="78036508">
      <w:pPr>
        <w:ind w:firstLine="480"/>
        <w:jc w:val="right"/>
        <w:rPr>
          <w:highlight w:val="none"/>
        </w:rPr>
      </w:pPr>
      <w:r>
        <w:rPr>
          <w:rFonts w:hint="eastAsia"/>
          <w:highlight w:val="none"/>
        </w:rPr>
        <w:t>供应商：（加盖公章）</w:t>
      </w:r>
    </w:p>
    <w:p w14:paraId="366836A4">
      <w:pPr>
        <w:ind w:firstLine="480"/>
        <w:jc w:val="right"/>
        <w:rPr>
          <w:rFonts w:hint="eastAsia"/>
          <w:highlight w:val="none"/>
        </w:rPr>
      </w:pPr>
      <w:r>
        <w:rPr>
          <w:rFonts w:hint="eastAsia"/>
          <w:highlight w:val="none"/>
        </w:rPr>
        <w:t xml:space="preserve">年    月 </w:t>
      </w:r>
      <w:r>
        <w:rPr>
          <w:rFonts w:hint="eastAsia"/>
          <w:highlight w:val="none"/>
          <w:lang w:val="en-US" w:eastAsia="zh-CN"/>
        </w:rPr>
        <w:t xml:space="preserve"> 日</w:t>
      </w:r>
      <w:r>
        <w:rPr>
          <w:rFonts w:hint="eastAsia"/>
          <w:highlight w:val="none"/>
        </w:rPr>
        <w:t xml:space="preserve">   </w:t>
      </w:r>
    </w:p>
    <w:p w14:paraId="12823C36">
      <w:pPr>
        <w:ind w:firstLine="480"/>
        <w:jc w:val="right"/>
        <w:rPr>
          <w:rFonts w:hint="eastAsia"/>
          <w:highlight w:val="none"/>
        </w:rPr>
      </w:pPr>
    </w:p>
    <w:p w14:paraId="369D7D0D">
      <w:pPr>
        <w:ind w:firstLine="480"/>
        <w:jc w:val="right"/>
        <w:rPr>
          <w:rFonts w:hint="eastAsia"/>
          <w:highlight w:val="none"/>
        </w:rPr>
      </w:pPr>
    </w:p>
    <w:p w14:paraId="0B7E49DB">
      <w:pPr>
        <w:ind w:firstLine="480"/>
        <w:jc w:val="right"/>
        <w:rPr>
          <w:rFonts w:hint="eastAsia"/>
          <w:highlight w:val="none"/>
        </w:rPr>
      </w:pPr>
    </w:p>
    <w:p w14:paraId="7595920C">
      <w:pPr>
        <w:ind w:firstLine="480"/>
        <w:jc w:val="right"/>
        <w:rPr>
          <w:rFonts w:hint="eastAsia"/>
          <w:highlight w:val="none"/>
        </w:rPr>
      </w:pPr>
    </w:p>
    <w:p w14:paraId="45156B14">
      <w:pPr>
        <w:ind w:firstLine="480"/>
        <w:jc w:val="right"/>
        <w:rPr>
          <w:rFonts w:hint="eastAsia"/>
          <w:highlight w:val="none"/>
        </w:rPr>
      </w:pPr>
    </w:p>
    <w:p w14:paraId="2B01EE1A">
      <w:pPr>
        <w:ind w:firstLine="480"/>
        <w:jc w:val="right"/>
        <w:rPr>
          <w:rFonts w:hint="eastAsia"/>
          <w:highlight w:val="none"/>
        </w:rPr>
      </w:pPr>
    </w:p>
    <w:p w14:paraId="7EDBDF06">
      <w:pPr>
        <w:ind w:firstLine="480"/>
        <w:jc w:val="right"/>
        <w:rPr>
          <w:rFonts w:hint="eastAsia"/>
          <w:highlight w:val="none"/>
        </w:rPr>
      </w:pPr>
    </w:p>
    <w:p w14:paraId="6576D99B">
      <w:pPr>
        <w:ind w:firstLine="480"/>
        <w:jc w:val="right"/>
        <w:rPr>
          <w:rFonts w:hint="eastAsia"/>
          <w:highlight w:val="none"/>
        </w:rPr>
      </w:pPr>
    </w:p>
    <w:p w14:paraId="70B58E92">
      <w:pPr>
        <w:ind w:firstLine="480"/>
        <w:jc w:val="right"/>
        <w:rPr>
          <w:highlight w:val="none"/>
        </w:rPr>
      </w:pPr>
    </w:p>
    <w:p w14:paraId="1BD773C4">
      <w:pPr>
        <w:widowControl/>
        <w:spacing w:line="240" w:lineRule="auto"/>
        <w:ind w:firstLine="0" w:firstLineChars="0"/>
        <w:jc w:val="left"/>
        <w:rPr>
          <w:highlight w:val="none"/>
        </w:rPr>
      </w:pPr>
    </w:p>
    <w:p w14:paraId="7ADBC5E2">
      <w:pPr>
        <w:pStyle w:val="4"/>
        <w:ind w:firstLine="0" w:firstLineChars="0"/>
        <w:rPr>
          <w:highlight w:val="none"/>
        </w:rPr>
      </w:pPr>
      <w:r>
        <w:rPr>
          <w:rFonts w:hint="eastAsia"/>
          <w:highlight w:val="none"/>
        </w:rPr>
        <w:t>4授权委托书原件</w:t>
      </w:r>
    </w:p>
    <w:p w14:paraId="051AC52E">
      <w:pPr>
        <w:ind w:firstLine="0" w:firstLineChars="0"/>
        <w:jc w:val="center"/>
        <w:rPr>
          <w:b/>
          <w:bCs/>
          <w:highlight w:val="none"/>
        </w:rPr>
      </w:pPr>
      <w:r>
        <w:rPr>
          <w:rFonts w:hint="eastAsia"/>
          <w:b/>
          <w:bCs/>
          <w:highlight w:val="none"/>
        </w:rPr>
        <w:t>授权委托书</w:t>
      </w:r>
    </w:p>
    <w:p w14:paraId="7E4F159B">
      <w:pPr>
        <w:spacing w:line="400" w:lineRule="exact"/>
        <w:ind w:firstLine="420"/>
        <w:jc w:val="center"/>
        <w:rPr>
          <w:rFonts w:asciiTheme="minorEastAsia" w:hAnsiTheme="minorEastAsia" w:eastAsiaTheme="minorEastAsia" w:cstheme="minorEastAsia"/>
          <w:b/>
          <w:sz w:val="21"/>
          <w:szCs w:val="21"/>
          <w:highlight w:val="none"/>
        </w:rPr>
      </w:pPr>
    </w:p>
    <w:p w14:paraId="5D5F4FD7">
      <w:pPr>
        <w:ind w:firstLine="0" w:firstLineChars="0"/>
        <w:rPr>
          <w:highlight w:val="none"/>
        </w:rPr>
      </w:pPr>
      <w:r>
        <w:rPr>
          <w:rFonts w:hint="eastAsia"/>
          <w:highlight w:val="none"/>
        </w:rPr>
        <w:t>致</w:t>
      </w:r>
      <w:r>
        <w:rPr>
          <w:rFonts w:hint="eastAsia"/>
          <w:highlight w:val="none"/>
          <w:u w:val="single"/>
          <w:lang w:eastAsia="zh-CN"/>
        </w:rPr>
        <w:t>南通轨道交通运营有限公司工会委员会</w:t>
      </w:r>
      <w:r>
        <w:rPr>
          <w:rFonts w:hint="eastAsia"/>
          <w:highlight w:val="none"/>
        </w:rPr>
        <w:t>：</w:t>
      </w:r>
    </w:p>
    <w:p w14:paraId="2BD0BC91">
      <w:pPr>
        <w:ind w:firstLine="480"/>
        <w:rPr>
          <w:highlight w:val="none"/>
        </w:rPr>
      </w:pPr>
      <w:r>
        <w:rPr>
          <w:rFonts w:hint="eastAsia"/>
          <w:highlight w:val="none"/>
        </w:rPr>
        <w:t>本授权委托书声明：本人</w:t>
      </w:r>
      <w:r>
        <w:rPr>
          <w:rFonts w:hint="eastAsia"/>
          <w:highlight w:val="none"/>
          <w:u w:val="single"/>
        </w:rPr>
        <w:t xml:space="preserve">          </w:t>
      </w:r>
      <w:r>
        <w:rPr>
          <w:rFonts w:hint="eastAsia"/>
          <w:highlight w:val="none"/>
        </w:rPr>
        <w:t>（姓名）系</w:t>
      </w:r>
      <w:r>
        <w:rPr>
          <w:rFonts w:hint="eastAsia"/>
          <w:highlight w:val="none"/>
          <w:u w:val="single"/>
        </w:rPr>
        <w:t xml:space="preserve">                  </w:t>
      </w:r>
      <w:r>
        <w:rPr>
          <w:rFonts w:hint="eastAsia"/>
          <w:highlight w:val="none"/>
        </w:rPr>
        <w:t>（供应商名称）的法定代表人（分支机构负责人）现授权委托</w:t>
      </w:r>
      <w:r>
        <w:rPr>
          <w:rFonts w:hint="eastAsia"/>
          <w:highlight w:val="none"/>
          <w:u w:val="single"/>
        </w:rPr>
        <w:t xml:space="preserve">         </w:t>
      </w:r>
      <w:r>
        <w:rPr>
          <w:rFonts w:hint="eastAsia"/>
          <w:highlight w:val="none"/>
        </w:rPr>
        <w:t>（姓名）为我公司代理人，以本公司的名义参加</w:t>
      </w:r>
      <w:r>
        <w:rPr>
          <w:rFonts w:hint="eastAsia"/>
          <w:highlight w:val="none"/>
          <w:u w:val="single"/>
          <w:lang w:eastAsia="zh-CN"/>
        </w:rPr>
        <w:t>南通轨道交通运营有限公司工会委员会银行账户开立服务项目</w:t>
      </w:r>
      <w:r>
        <w:rPr>
          <w:rFonts w:hint="eastAsia"/>
          <w:highlight w:val="none"/>
          <w:u w:val="single"/>
        </w:rPr>
        <w:t>（项目编号：</w:t>
      </w:r>
      <w:r>
        <w:rPr>
          <w:rFonts w:hint="eastAsia"/>
          <w:highlight w:val="none"/>
          <w:u w:val="single"/>
          <w:lang w:eastAsia="zh-CN"/>
        </w:rPr>
        <w:t>NTGY-2026-FW-BX-043</w:t>
      </w:r>
      <w:r>
        <w:rPr>
          <w:rFonts w:hint="eastAsia"/>
          <w:highlight w:val="none"/>
          <w:u w:val="single"/>
        </w:rPr>
        <w:t>）</w:t>
      </w:r>
      <w:r>
        <w:rPr>
          <w:rFonts w:hint="eastAsia"/>
          <w:highlight w:val="none"/>
        </w:rPr>
        <w:t>的采购活动。</w:t>
      </w:r>
    </w:p>
    <w:p w14:paraId="3F46BF62">
      <w:pPr>
        <w:ind w:firstLine="480"/>
        <w:rPr>
          <w:highlight w:val="none"/>
        </w:rPr>
      </w:pPr>
      <w:r>
        <w:rPr>
          <w:rFonts w:hint="eastAsia"/>
          <w:highlight w:val="none"/>
        </w:rPr>
        <w:t>该代理人在以上项目的采购活动过程中所签署的一切文件和处理与这有关的一切事务，本人均予以承认。</w:t>
      </w:r>
    </w:p>
    <w:p w14:paraId="34DC07DE">
      <w:pPr>
        <w:ind w:firstLine="480"/>
        <w:rPr>
          <w:highlight w:val="none"/>
        </w:rPr>
      </w:pPr>
      <w:r>
        <w:rPr>
          <w:rFonts w:hint="eastAsia"/>
          <w:highlight w:val="none"/>
        </w:rPr>
        <w:t>该代理人在授权委托书有效期内签署的所有文件不因授权委托的撤销而失效，除非有撤销授权委托的书面通知，本授权委托书自响应文件开始至合同履行完毕止。</w:t>
      </w:r>
    </w:p>
    <w:p w14:paraId="0C549380">
      <w:pPr>
        <w:ind w:firstLine="480"/>
        <w:rPr>
          <w:highlight w:val="none"/>
        </w:rPr>
      </w:pPr>
      <w:r>
        <w:rPr>
          <w:rFonts w:hint="eastAsia"/>
          <w:highlight w:val="none"/>
        </w:rPr>
        <w:t>代理人无转委托权。特此委托。</w:t>
      </w:r>
    </w:p>
    <w:p w14:paraId="12920770">
      <w:pPr>
        <w:ind w:firstLine="482"/>
        <w:rPr>
          <w:b/>
          <w:highlight w:val="none"/>
        </w:rPr>
      </w:pPr>
      <w:r>
        <w:rPr>
          <w:rFonts w:hint="eastAsia"/>
          <w:b/>
          <w:highlight w:val="none"/>
        </w:rPr>
        <w:t>注：提供授权代理人的身份证（正反面）复印件</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6"/>
      </w:tblGrid>
      <w:tr w14:paraId="2C0E6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7" w:hRule="atLeast"/>
        </w:trPr>
        <w:tc>
          <w:tcPr>
            <w:tcW w:w="5000" w:type="pct"/>
          </w:tcPr>
          <w:p w14:paraId="7F8BF034">
            <w:pPr>
              <w:ind w:firstLine="0" w:firstLineChars="0"/>
              <w:rPr>
                <w:highlight w:val="none"/>
              </w:rPr>
            </w:pPr>
          </w:p>
        </w:tc>
      </w:tr>
    </w:tbl>
    <w:p w14:paraId="66A7BC32">
      <w:pPr>
        <w:ind w:firstLine="480"/>
        <w:rPr>
          <w:highlight w:val="none"/>
        </w:rPr>
      </w:pPr>
    </w:p>
    <w:p w14:paraId="638035FA">
      <w:pPr>
        <w:ind w:firstLine="480"/>
        <w:jc w:val="right"/>
        <w:rPr>
          <w:highlight w:val="none"/>
        </w:rPr>
      </w:pPr>
      <w:r>
        <w:rPr>
          <w:rFonts w:hint="eastAsia"/>
          <w:highlight w:val="none"/>
        </w:rPr>
        <w:t>供应商：（加盖公章）</w:t>
      </w:r>
    </w:p>
    <w:p w14:paraId="7CA8530F">
      <w:pPr>
        <w:ind w:firstLine="480"/>
        <w:jc w:val="right"/>
        <w:rPr>
          <w:highlight w:val="none"/>
        </w:rPr>
      </w:pPr>
      <w:r>
        <w:rPr>
          <w:rFonts w:hint="eastAsia"/>
          <w:highlight w:val="none"/>
        </w:rPr>
        <w:t>法定代表人（分支机构负责人）：（签字或盖章）</w:t>
      </w:r>
    </w:p>
    <w:p w14:paraId="7C3EA7A3">
      <w:pPr>
        <w:ind w:firstLine="480"/>
        <w:jc w:val="right"/>
        <w:rPr>
          <w:highlight w:val="none"/>
        </w:rPr>
        <w:sectPr>
          <w:footerReference r:id="rId13" w:type="default"/>
          <w:pgSz w:w="11906" w:h="16838"/>
          <w:pgMar w:top="1418" w:right="1588" w:bottom="1418" w:left="1588" w:header="851" w:footer="992" w:gutter="0"/>
          <w:cols w:space="425" w:num="1"/>
          <w:docGrid w:linePitch="326" w:charSpace="0"/>
        </w:sectPr>
      </w:pPr>
      <w:r>
        <w:rPr>
          <w:rFonts w:hint="eastAsia"/>
          <w:highlight w:val="none"/>
        </w:rPr>
        <w:t>　　　年　  月 　 日</w:t>
      </w:r>
    </w:p>
    <w:p w14:paraId="5C630FFE">
      <w:pPr>
        <w:widowControl/>
        <w:spacing w:line="240" w:lineRule="auto"/>
        <w:ind w:firstLine="0" w:firstLineChars="0"/>
        <w:jc w:val="left"/>
        <w:rPr>
          <w:rFonts w:hint="eastAsia"/>
          <w:b/>
          <w:bCs/>
          <w:highlight w:val="none"/>
          <w:lang w:val="en-US" w:eastAsia="zh-CN"/>
        </w:rPr>
      </w:pPr>
      <w:r>
        <w:rPr>
          <w:rFonts w:hint="eastAsia"/>
          <w:b/>
          <w:bCs/>
          <w:highlight w:val="none"/>
          <w:lang w:val="en-US" w:eastAsia="zh-CN"/>
        </w:rPr>
        <w:t>5资质证书</w:t>
      </w:r>
    </w:p>
    <w:p w14:paraId="3BF925EB">
      <w:pPr>
        <w:pStyle w:val="31"/>
        <w:rPr>
          <w:rFonts w:hint="eastAsia"/>
          <w:highlight w:val="none"/>
          <w:lang w:val="en-US" w:eastAsia="zh-CN"/>
        </w:rPr>
      </w:pPr>
    </w:p>
    <w:p w14:paraId="6033AFEF">
      <w:pPr>
        <w:ind w:firstLine="0" w:firstLineChars="0"/>
        <w:rPr>
          <w:highlight w:val="none"/>
        </w:rPr>
      </w:pPr>
      <w:r>
        <w:rPr>
          <w:rFonts w:hint="eastAsia"/>
          <w:highlight w:val="none"/>
        </w:rPr>
        <w:t>提供</w:t>
      </w:r>
      <w:r>
        <w:rPr>
          <w:rFonts w:hint="eastAsia"/>
          <w:highlight w:val="none"/>
          <w:lang w:val="en-US" w:eastAsia="zh-CN"/>
        </w:rPr>
        <w:t>合法有效的金融业务许可证</w:t>
      </w:r>
      <w:r>
        <w:rPr>
          <w:rFonts w:hint="eastAsia"/>
          <w:highlight w:val="none"/>
        </w:rPr>
        <w:t>复印件并加盖公章</w:t>
      </w:r>
    </w:p>
    <w:p w14:paraId="24704FED">
      <w:pPr>
        <w:rPr>
          <w:rFonts w:hint="eastAsia"/>
          <w:b/>
          <w:bCs/>
          <w:highlight w:val="none"/>
          <w:lang w:val="en-US" w:eastAsia="zh-CN"/>
        </w:rPr>
      </w:pPr>
      <w:r>
        <w:rPr>
          <w:rFonts w:hint="eastAsia"/>
          <w:b/>
          <w:bCs/>
          <w:highlight w:val="none"/>
          <w:lang w:val="en-US" w:eastAsia="zh-CN"/>
        </w:rPr>
        <w:br w:type="page"/>
      </w:r>
    </w:p>
    <w:p w14:paraId="18CBCA5A">
      <w:pPr>
        <w:widowControl/>
        <w:spacing w:line="240" w:lineRule="auto"/>
        <w:ind w:firstLine="0" w:firstLineChars="0"/>
        <w:jc w:val="left"/>
        <w:rPr>
          <w:rFonts w:hint="eastAsia"/>
          <w:b/>
          <w:bCs/>
          <w:highlight w:val="none"/>
          <w:lang w:val="en-US" w:eastAsia="zh-CN"/>
        </w:rPr>
      </w:pPr>
      <w:r>
        <w:rPr>
          <w:rFonts w:hint="eastAsia"/>
          <w:b/>
          <w:bCs/>
          <w:highlight w:val="none"/>
          <w:lang w:val="en-US" w:eastAsia="zh-CN"/>
        </w:rPr>
        <w:t>6承诺书</w:t>
      </w:r>
    </w:p>
    <w:p w14:paraId="21BA9B0D">
      <w:pPr>
        <w:ind w:firstLine="482"/>
        <w:jc w:val="center"/>
        <w:rPr>
          <w:b/>
          <w:bCs/>
          <w:highlight w:val="none"/>
        </w:rPr>
      </w:pPr>
    </w:p>
    <w:p w14:paraId="11BA69DD">
      <w:pPr>
        <w:ind w:firstLine="482"/>
        <w:jc w:val="center"/>
        <w:rPr>
          <w:rFonts w:hint="eastAsia" w:eastAsia="宋体"/>
          <w:b/>
          <w:bCs/>
          <w:highlight w:val="none"/>
          <w:lang w:eastAsia="zh-CN"/>
        </w:rPr>
      </w:pPr>
      <w:r>
        <w:rPr>
          <w:rFonts w:hint="eastAsia"/>
          <w:b/>
          <w:bCs/>
          <w:highlight w:val="none"/>
        </w:rPr>
        <w:t>承诺</w:t>
      </w:r>
      <w:r>
        <w:rPr>
          <w:rFonts w:hint="eastAsia"/>
          <w:b/>
          <w:bCs/>
          <w:highlight w:val="none"/>
          <w:lang w:eastAsia="zh-CN"/>
        </w:rPr>
        <w:t>书</w:t>
      </w:r>
    </w:p>
    <w:p w14:paraId="4A68E540">
      <w:pPr>
        <w:ind w:firstLine="0" w:firstLineChars="0"/>
        <w:rPr>
          <w:highlight w:val="none"/>
          <w:u w:val="single"/>
        </w:rPr>
      </w:pPr>
      <w:r>
        <w:rPr>
          <w:rFonts w:hint="eastAsia"/>
          <w:highlight w:val="none"/>
        </w:rPr>
        <w:t>致</w:t>
      </w:r>
      <w:r>
        <w:rPr>
          <w:rFonts w:hint="eastAsia"/>
          <w:highlight w:val="none"/>
          <w:u w:val="single"/>
          <w:lang w:eastAsia="zh-CN"/>
        </w:rPr>
        <w:t>南通轨道交通运营有限公司工会委员会</w:t>
      </w:r>
      <w:r>
        <w:rPr>
          <w:rFonts w:hint="eastAsia"/>
          <w:highlight w:val="none"/>
          <w:u w:val="single"/>
        </w:rPr>
        <w:t>：</w:t>
      </w:r>
    </w:p>
    <w:p w14:paraId="0DF3FA38">
      <w:pPr>
        <w:ind w:firstLine="480"/>
        <w:rPr>
          <w:highlight w:val="none"/>
        </w:rPr>
      </w:pPr>
      <w:r>
        <w:rPr>
          <w:rFonts w:hint="eastAsia"/>
          <w:highlight w:val="none"/>
        </w:rPr>
        <w:t>我司愿就由贵公司组织实施的</w:t>
      </w:r>
      <w:r>
        <w:rPr>
          <w:rFonts w:hint="eastAsia"/>
          <w:highlight w:val="none"/>
          <w:u w:val="single"/>
          <w:lang w:eastAsia="zh-CN"/>
        </w:rPr>
        <w:t>南通轨道交通运营有限公司工会委员会银行账户开立服务项目</w:t>
      </w:r>
      <w:r>
        <w:rPr>
          <w:rFonts w:hint="eastAsia"/>
          <w:highlight w:val="none"/>
          <w:u w:val="single"/>
        </w:rPr>
        <w:t>（项目编号：</w:t>
      </w:r>
      <w:r>
        <w:rPr>
          <w:rFonts w:hint="eastAsia"/>
          <w:highlight w:val="none"/>
          <w:u w:val="single"/>
          <w:lang w:eastAsia="zh-CN"/>
        </w:rPr>
        <w:t>NTGY-2026-FW-BX-043</w:t>
      </w:r>
      <w:r>
        <w:rPr>
          <w:rFonts w:hint="eastAsia"/>
          <w:highlight w:val="none"/>
          <w:u w:val="single"/>
        </w:rPr>
        <w:t>）</w:t>
      </w:r>
      <w:r>
        <w:rPr>
          <w:rFonts w:hint="eastAsia"/>
          <w:highlight w:val="none"/>
        </w:rPr>
        <w:t>采购活动进行响应。承诺如下：</w:t>
      </w:r>
    </w:p>
    <w:p w14:paraId="097F3C92">
      <w:pPr>
        <w:numPr>
          <w:ilvl w:val="0"/>
          <w:numId w:val="4"/>
        </w:numPr>
        <w:ind w:firstLine="480"/>
        <w:rPr>
          <w:rFonts w:hint="eastAsia"/>
          <w:highlight w:val="none"/>
        </w:rPr>
      </w:pPr>
      <w:r>
        <w:rPr>
          <w:rFonts w:hint="eastAsia"/>
          <w:highlight w:val="none"/>
        </w:rPr>
        <w:t>我司依法开展经营活动，內部管理机制健全，具有较强的风险控制能力，近 3 年内在经营活动中无重大违法违规记录及重大违约事件、未发生金融风险。</w:t>
      </w:r>
    </w:p>
    <w:p w14:paraId="30812D6C">
      <w:pPr>
        <w:numPr>
          <w:ilvl w:val="0"/>
          <w:numId w:val="0"/>
        </w:numPr>
        <w:ind w:firstLine="480" w:firstLineChars="200"/>
        <w:rPr>
          <w:highlight w:val="none"/>
        </w:rPr>
      </w:pPr>
      <w:r>
        <w:rPr>
          <w:rFonts w:hint="eastAsia"/>
          <w:highlight w:val="none"/>
        </w:rPr>
        <w:t>上述承诺如有不实或违反上述承诺，我方愿意接受任何处罚，包括同意你方不予退还投标保证金或履约保证金，将我方列入黑名单，并上报主管部门；我方放弃成交资格，已签订的合同无效，并放弃今后暂停期内参与你方采购活动的资格。</w:t>
      </w:r>
    </w:p>
    <w:p w14:paraId="4D1153E0">
      <w:pPr>
        <w:ind w:firstLine="480"/>
        <w:rPr>
          <w:highlight w:val="none"/>
        </w:rPr>
      </w:pPr>
    </w:p>
    <w:p w14:paraId="2EC749FC">
      <w:pPr>
        <w:ind w:firstLine="480"/>
        <w:jc w:val="right"/>
        <w:rPr>
          <w:highlight w:val="none"/>
        </w:rPr>
      </w:pPr>
      <w:r>
        <w:rPr>
          <w:rFonts w:hint="eastAsia"/>
          <w:highlight w:val="none"/>
        </w:rPr>
        <w:t xml:space="preserve">法定代表人或授权代理人：（签字或盖章） </w:t>
      </w:r>
    </w:p>
    <w:p w14:paraId="46ED298C">
      <w:pPr>
        <w:ind w:firstLine="480"/>
        <w:jc w:val="right"/>
        <w:rPr>
          <w:highlight w:val="none"/>
        </w:rPr>
      </w:pPr>
      <w:r>
        <w:rPr>
          <w:rFonts w:hint="eastAsia"/>
          <w:highlight w:val="none"/>
        </w:rPr>
        <w:t>供应商：（加盖公章）</w:t>
      </w:r>
    </w:p>
    <w:p w14:paraId="4A1DECB2">
      <w:pPr>
        <w:ind w:left="0" w:leftChars="0" w:firstLine="0" w:firstLineChars="0"/>
        <w:jc w:val="right"/>
        <w:rPr>
          <w:rFonts w:hint="eastAsia"/>
          <w:highlight w:val="none"/>
          <w:lang w:val="en-US" w:eastAsia="zh-CN"/>
        </w:rPr>
      </w:pPr>
      <w:r>
        <w:rPr>
          <w:rFonts w:hint="eastAsia"/>
          <w:highlight w:val="none"/>
        </w:rPr>
        <w:t>年   月    日</w:t>
      </w:r>
      <w:r>
        <w:rPr>
          <w:rFonts w:hint="eastAsia"/>
          <w:highlight w:val="none"/>
          <w:lang w:val="en-US" w:eastAsia="zh-CN"/>
        </w:rPr>
        <w:br w:type="page"/>
      </w:r>
    </w:p>
    <w:p w14:paraId="50B9099F">
      <w:pPr>
        <w:widowControl/>
        <w:spacing w:line="240" w:lineRule="auto"/>
        <w:ind w:firstLine="0" w:firstLineChars="0"/>
        <w:jc w:val="left"/>
        <w:rPr>
          <w:highlight w:val="none"/>
        </w:rPr>
      </w:pPr>
      <w:r>
        <w:rPr>
          <w:rFonts w:hint="eastAsia"/>
          <w:highlight w:val="none"/>
          <w:lang w:val="en-US" w:eastAsia="zh-CN"/>
        </w:rPr>
        <w:t>7</w:t>
      </w:r>
      <w:r>
        <w:rPr>
          <w:rFonts w:hint="eastAsia" w:ascii="Times New Roman" w:hAnsi="Times New Roman" w:eastAsia="宋体" w:cstheme="minorBidi"/>
          <w:b/>
          <w:bCs/>
          <w:kern w:val="2"/>
          <w:sz w:val="24"/>
          <w:szCs w:val="32"/>
          <w:highlight w:val="none"/>
          <w:lang w:val="en-US" w:eastAsia="zh-CN" w:bidi="ar-SA"/>
        </w:rPr>
        <w:t>供应商认为需要提交的其他资料</w:t>
      </w:r>
    </w:p>
    <w:p w14:paraId="39BE5B7A">
      <w:pPr>
        <w:ind w:firstLine="480"/>
        <w:rPr>
          <w:highlight w:val="none"/>
        </w:rPr>
      </w:pPr>
    </w:p>
    <w:p w14:paraId="51C5ADFB">
      <w:pPr>
        <w:ind w:firstLine="480"/>
        <w:rPr>
          <w:highlight w:val="none"/>
        </w:rPr>
      </w:pPr>
    </w:p>
    <w:p w14:paraId="4B896406">
      <w:pPr>
        <w:spacing w:line="240" w:lineRule="auto"/>
        <w:ind w:firstLine="0" w:firstLineChars="0"/>
        <w:rPr>
          <w:highlight w:val="none"/>
        </w:rPr>
      </w:pPr>
    </w:p>
    <w:p w14:paraId="1E3BB213">
      <w:pPr>
        <w:ind w:firstLine="480"/>
        <w:rPr>
          <w:highlight w:val="none"/>
        </w:rPr>
      </w:pPr>
    </w:p>
    <w:p w14:paraId="7C230E94">
      <w:pPr>
        <w:ind w:firstLine="480"/>
        <w:rPr>
          <w:highlight w:val="none"/>
        </w:rPr>
      </w:pPr>
    </w:p>
    <w:p w14:paraId="2BB1AF51">
      <w:pPr>
        <w:ind w:firstLine="480"/>
        <w:rPr>
          <w:highlight w:val="none"/>
        </w:rPr>
      </w:pPr>
    </w:p>
    <w:p w14:paraId="5238F3C6">
      <w:pPr>
        <w:ind w:firstLine="480"/>
        <w:rPr>
          <w:highlight w:val="none"/>
        </w:rPr>
      </w:pPr>
    </w:p>
    <w:p w14:paraId="1BA0CC0A">
      <w:pPr>
        <w:ind w:firstLine="480"/>
        <w:rPr>
          <w:highlight w:val="none"/>
        </w:rPr>
      </w:pPr>
    </w:p>
    <w:p w14:paraId="79D3F3F3">
      <w:pPr>
        <w:ind w:firstLine="0" w:firstLineChars="0"/>
        <w:jc w:val="center"/>
        <w:rPr>
          <w:rFonts w:ascii="宋体" w:hAnsi="宋体" w:cs="宋体"/>
          <w:highlight w:val="none"/>
          <w:u w:val="single"/>
        </w:rPr>
      </w:pPr>
    </w:p>
    <w:p w14:paraId="0513CD4C">
      <w:pPr>
        <w:ind w:firstLine="0" w:firstLineChars="0"/>
        <w:jc w:val="center"/>
        <w:rPr>
          <w:rFonts w:ascii="宋体" w:hAnsi="宋体" w:cs="宋体"/>
          <w:highlight w:val="none"/>
          <w:u w:val="single"/>
        </w:rPr>
      </w:pPr>
    </w:p>
    <w:p w14:paraId="7297D093">
      <w:pPr>
        <w:ind w:firstLine="0" w:firstLineChars="0"/>
        <w:jc w:val="center"/>
        <w:rPr>
          <w:rFonts w:ascii="宋体" w:hAnsi="宋体" w:cs="宋体"/>
          <w:highlight w:val="none"/>
          <w:u w:val="single"/>
        </w:rPr>
      </w:pPr>
    </w:p>
    <w:p w14:paraId="007B0537">
      <w:pPr>
        <w:ind w:firstLine="0" w:firstLineChars="0"/>
        <w:jc w:val="center"/>
        <w:rPr>
          <w:rFonts w:ascii="宋体" w:hAnsi="宋体" w:cs="宋体"/>
          <w:highlight w:val="none"/>
          <w:u w:val="single"/>
        </w:rPr>
      </w:pPr>
    </w:p>
    <w:p w14:paraId="42513C54">
      <w:pPr>
        <w:ind w:firstLine="0" w:firstLineChars="0"/>
        <w:jc w:val="center"/>
        <w:rPr>
          <w:rFonts w:ascii="宋体" w:hAnsi="宋体" w:cs="宋体"/>
          <w:highlight w:val="none"/>
          <w:u w:val="single"/>
        </w:rPr>
      </w:pPr>
    </w:p>
    <w:p w14:paraId="6B531B5B">
      <w:pPr>
        <w:ind w:firstLine="0" w:firstLineChars="0"/>
        <w:jc w:val="center"/>
        <w:rPr>
          <w:rFonts w:ascii="宋体" w:hAnsi="宋体" w:cs="宋体"/>
          <w:highlight w:val="none"/>
          <w:u w:val="single"/>
        </w:rPr>
      </w:pPr>
    </w:p>
    <w:p w14:paraId="6B2DA2F4">
      <w:pPr>
        <w:ind w:firstLine="0" w:firstLineChars="0"/>
        <w:jc w:val="center"/>
        <w:rPr>
          <w:rFonts w:ascii="宋体" w:hAnsi="宋体" w:cs="宋体"/>
          <w:highlight w:val="none"/>
          <w:u w:val="single"/>
        </w:rPr>
      </w:pPr>
    </w:p>
    <w:p w14:paraId="05E235EB">
      <w:pPr>
        <w:ind w:firstLine="0" w:firstLineChars="0"/>
        <w:jc w:val="center"/>
        <w:rPr>
          <w:rFonts w:ascii="宋体" w:hAnsi="宋体" w:cs="宋体"/>
          <w:highlight w:val="none"/>
          <w:u w:val="single"/>
        </w:rPr>
      </w:pPr>
    </w:p>
    <w:p w14:paraId="26849F2A">
      <w:pPr>
        <w:ind w:firstLine="0" w:firstLineChars="0"/>
        <w:jc w:val="center"/>
        <w:rPr>
          <w:rFonts w:ascii="宋体" w:hAnsi="宋体" w:cs="宋体"/>
          <w:highlight w:val="none"/>
          <w:u w:val="single"/>
        </w:rPr>
      </w:pPr>
    </w:p>
    <w:p w14:paraId="47C3BC40">
      <w:pPr>
        <w:ind w:firstLine="0" w:firstLineChars="0"/>
        <w:jc w:val="center"/>
        <w:rPr>
          <w:rFonts w:ascii="宋体" w:hAnsi="宋体" w:cs="宋体"/>
          <w:highlight w:val="none"/>
          <w:u w:val="single"/>
        </w:rPr>
      </w:pPr>
    </w:p>
    <w:p w14:paraId="1E80497C">
      <w:pPr>
        <w:ind w:firstLine="0" w:firstLineChars="0"/>
        <w:jc w:val="center"/>
        <w:rPr>
          <w:rFonts w:ascii="宋体" w:hAnsi="宋体" w:cs="宋体"/>
          <w:highlight w:val="none"/>
          <w:u w:val="single"/>
        </w:rPr>
      </w:pPr>
    </w:p>
    <w:p w14:paraId="28BD323C">
      <w:pPr>
        <w:ind w:firstLine="0" w:firstLineChars="0"/>
        <w:jc w:val="center"/>
        <w:rPr>
          <w:rFonts w:ascii="宋体" w:hAnsi="宋体" w:cs="宋体"/>
          <w:highlight w:val="none"/>
          <w:u w:val="single"/>
        </w:rPr>
      </w:pPr>
    </w:p>
    <w:p w14:paraId="1B919F34">
      <w:pPr>
        <w:ind w:firstLine="0" w:firstLineChars="0"/>
        <w:jc w:val="center"/>
        <w:rPr>
          <w:rFonts w:ascii="宋体" w:hAnsi="宋体" w:cs="宋体"/>
          <w:highlight w:val="none"/>
          <w:u w:val="single"/>
        </w:rPr>
      </w:pPr>
    </w:p>
    <w:p w14:paraId="024DF933">
      <w:pPr>
        <w:ind w:firstLine="0" w:firstLineChars="0"/>
        <w:jc w:val="center"/>
        <w:rPr>
          <w:rFonts w:ascii="宋体" w:hAnsi="宋体" w:cs="宋体"/>
          <w:highlight w:val="none"/>
          <w:u w:val="single"/>
        </w:rPr>
      </w:pPr>
    </w:p>
    <w:p w14:paraId="219B702A">
      <w:pPr>
        <w:ind w:firstLine="0" w:firstLineChars="0"/>
        <w:jc w:val="center"/>
        <w:rPr>
          <w:rFonts w:ascii="宋体" w:hAnsi="宋体" w:cs="宋体"/>
          <w:highlight w:val="none"/>
          <w:u w:val="single"/>
        </w:rPr>
      </w:pPr>
    </w:p>
    <w:p w14:paraId="03777CD8">
      <w:pPr>
        <w:ind w:firstLine="0" w:firstLineChars="0"/>
        <w:jc w:val="center"/>
        <w:rPr>
          <w:rFonts w:ascii="宋体" w:hAnsi="宋体" w:cs="宋体"/>
          <w:highlight w:val="none"/>
          <w:u w:val="single"/>
        </w:rPr>
      </w:pPr>
    </w:p>
    <w:p w14:paraId="44A0DFF6">
      <w:pPr>
        <w:ind w:firstLine="0" w:firstLineChars="0"/>
        <w:jc w:val="center"/>
        <w:rPr>
          <w:rFonts w:ascii="宋体" w:hAnsi="宋体" w:cs="宋体"/>
          <w:highlight w:val="none"/>
          <w:u w:val="single"/>
        </w:rPr>
      </w:pPr>
    </w:p>
    <w:p w14:paraId="1F60233F">
      <w:pPr>
        <w:ind w:firstLine="0" w:firstLineChars="0"/>
        <w:jc w:val="center"/>
        <w:rPr>
          <w:rFonts w:ascii="宋体" w:hAnsi="宋体" w:cs="宋体"/>
          <w:highlight w:val="none"/>
          <w:u w:val="single"/>
        </w:rPr>
      </w:pPr>
    </w:p>
    <w:p w14:paraId="12432C98">
      <w:pPr>
        <w:ind w:firstLine="0" w:firstLineChars="0"/>
        <w:jc w:val="center"/>
        <w:rPr>
          <w:rFonts w:ascii="宋体" w:hAnsi="宋体" w:cs="宋体"/>
          <w:highlight w:val="none"/>
          <w:u w:val="single"/>
        </w:rPr>
      </w:pPr>
    </w:p>
    <w:p w14:paraId="5B5CCFFF">
      <w:pPr>
        <w:ind w:firstLine="0" w:firstLineChars="0"/>
        <w:jc w:val="center"/>
        <w:rPr>
          <w:rFonts w:ascii="宋体" w:hAnsi="宋体" w:cs="宋体"/>
          <w:highlight w:val="none"/>
          <w:u w:val="single"/>
        </w:rPr>
      </w:pPr>
    </w:p>
    <w:p w14:paraId="09E05794">
      <w:pPr>
        <w:widowControl/>
        <w:spacing w:line="240" w:lineRule="auto"/>
        <w:ind w:firstLine="0" w:firstLineChars="0"/>
        <w:jc w:val="left"/>
        <w:rPr>
          <w:rFonts w:cstheme="majorBidi"/>
          <w:b/>
          <w:bCs/>
          <w:szCs w:val="32"/>
          <w:highlight w:val="none"/>
        </w:rPr>
      </w:pPr>
      <w:r>
        <w:rPr>
          <w:highlight w:val="none"/>
        </w:rPr>
        <w:br w:type="page"/>
      </w:r>
    </w:p>
    <w:p w14:paraId="1DFD250F">
      <w:pPr>
        <w:pStyle w:val="3"/>
        <w:ind w:firstLine="0" w:firstLineChars="0"/>
        <w:rPr>
          <w:highlight w:val="none"/>
        </w:rPr>
      </w:pPr>
      <w:r>
        <w:rPr>
          <w:highlight w:val="none"/>
        </w:rPr>
        <w:t>第</w:t>
      </w:r>
      <w:r>
        <w:rPr>
          <w:rFonts w:hint="eastAsia"/>
          <w:highlight w:val="none"/>
        </w:rPr>
        <w:t>二</w:t>
      </w:r>
      <w:r>
        <w:rPr>
          <w:highlight w:val="none"/>
        </w:rPr>
        <w:t>册</w:t>
      </w:r>
      <w:r>
        <w:rPr>
          <w:rFonts w:hint="eastAsia"/>
          <w:highlight w:val="none"/>
        </w:rPr>
        <w:t xml:space="preserve"> 商务技术部分</w:t>
      </w:r>
    </w:p>
    <w:p w14:paraId="0F1DE588">
      <w:pPr>
        <w:ind w:firstLine="480"/>
        <w:jc w:val="right"/>
        <w:rPr>
          <w:rFonts w:ascii="宋体" w:hAnsi="宋体" w:cs="宋体"/>
          <w:bCs/>
          <w:sz w:val="36"/>
          <w:szCs w:val="36"/>
          <w:highlight w:val="none"/>
        </w:rPr>
      </w:pPr>
      <w:r>
        <w:rPr>
          <w:rFonts w:hint="eastAsia" w:ascii="宋体" w:hAnsi="宋体" w:cs="宋体"/>
          <w:highlight w:val="none"/>
        </w:rPr>
        <w:t>正本/副本</w:t>
      </w:r>
    </w:p>
    <w:p w14:paraId="52C914F2">
      <w:pPr>
        <w:ind w:firstLine="0" w:firstLineChars="0"/>
        <w:jc w:val="center"/>
        <w:rPr>
          <w:rFonts w:ascii="宋体" w:hAnsi="宋体" w:cs="宋体"/>
          <w:b/>
          <w:sz w:val="40"/>
          <w:szCs w:val="40"/>
          <w:highlight w:val="none"/>
        </w:rPr>
      </w:pPr>
    </w:p>
    <w:p w14:paraId="5040223C">
      <w:pPr>
        <w:ind w:firstLine="0" w:firstLineChars="0"/>
        <w:jc w:val="center"/>
        <w:rPr>
          <w:rFonts w:hint="eastAsia" w:ascii="宋体" w:hAnsi="宋体" w:eastAsia="宋体" w:cs="宋体"/>
          <w:b/>
          <w:sz w:val="40"/>
          <w:szCs w:val="40"/>
          <w:highlight w:val="none"/>
          <w:lang w:eastAsia="zh-CN"/>
        </w:rPr>
      </w:pPr>
      <w:r>
        <w:rPr>
          <w:rFonts w:hint="eastAsia" w:ascii="宋体" w:hAnsi="宋体" w:cs="宋体"/>
          <w:b/>
          <w:sz w:val="40"/>
          <w:szCs w:val="40"/>
          <w:highlight w:val="none"/>
          <w:lang w:eastAsia="zh-CN"/>
        </w:rPr>
        <w:t>南通轨道交通运营有限公司工会委员会银行账户开立服务项目</w:t>
      </w:r>
    </w:p>
    <w:p w14:paraId="5C054B95">
      <w:pPr>
        <w:ind w:firstLine="0" w:firstLineChars="0"/>
        <w:jc w:val="center"/>
        <w:rPr>
          <w:rFonts w:ascii="宋体" w:hAnsi="宋体" w:cs="宋体"/>
          <w:bCs/>
          <w:sz w:val="36"/>
          <w:szCs w:val="36"/>
          <w:highlight w:val="none"/>
        </w:rPr>
      </w:pPr>
      <w:r>
        <w:rPr>
          <w:rFonts w:hint="eastAsia" w:ascii="宋体" w:hAnsi="宋体" w:cs="宋体"/>
          <w:b/>
          <w:sz w:val="40"/>
          <w:szCs w:val="40"/>
          <w:highlight w:val="none"/>
        </w:rPr>
        <w:t>（项目编号：</w:t>
      </w:r>
      <w:r>
        <w:rPr>
          <w:rFonts w:hint="eastAsia" w:ascii="宋体" w:hAnsi="宋体" w:cs="宋体"/>
          <w:b/>
          <w:sz w:val="40"/>
          <w:szCs w:val="40"/>
          <w:highlight w:val="none"/>
          <w:lang w:eastAsia="zh-CN"/>
        </w:rPr>
        <w:t>NTGY-2026-FW-BX-043</w:t>
      </w:r>
      <w:r>
        <w:rPr>
          <w:rFonts w:hint="eastAsia" w:ascii="宋体" w:hAnsi="宋体" w:cs="宋体"/>
          <w:b/>
          <w:sz w:val="40"/>
          <w:szCs w:val="40"/>
          <w:highlight w:val="none"/>
        </w:rPr>
        <w:t>）</w:t>
      </w:r>
    </w:p>
    <w:p w14:paraId="212F3380">
      <w:pPr>
        <w:ind w:firstLine="0" w:firstLineChars="0"/>
        <w:jc w:val="center"/>
        <w:rPr>
          <w:rFonts w:ascii="宋体" w:hAnsi="宋体" w:cs="宋体"/>
          <w:bCs/>
          <w:sz w:val="36"/>
          <w:szCs w:val="36"/>
          <w:highlight w:val="none"/>
        </w:rPr>
      </w:pPr>
    </w:p>
    <w:p w14:paraId="2D0C7D07">
      <w:pPr>
        <w:ind w:firstLine="0" w:firstLineChars="0"/>
        <w:jc w:val="center"/>
        <w:rPr>
          <w:rFonts w:ascii="宋体" w:hAnsi="宋体" w:cs="宋体"/>
          <w:bCs/>
          <w:sz w:val="36"/>
          <w:szCs w:val="36"/>
          <w:highlight w:val="none"/>
        </w:rPr>
      </w:pPr>
    </w:p>
    <w:p w14:paraId="67338AAF">
      <w:pPr>
        <w:ind w:firstLine="0" w:firstLineChars="0"/>
        <w:jc w:val="center"/>
        <w:rPr>
          <w:rFonts w:ascii="宋体" w:hAnsi="宋体" w:cs="宋体"/>
          <w:bCs/>
          <w:sz w:val="36"/>
          <w:szCs w:val="36"/>
          <w:highlight w:val="none"/>
        </w:rPr>
      </w:pPr>
    </w:p>
    <w:p w14:paraId="054AC788">
      <w:pPr>
        <w:ind w:firstLine="0" w:firstLineChars="0"/>
        <w:jc w:val="center"/>
        <w:rPr>
          <w:rFonts w:ascii="宋体" w:hAnsi="宋体" w:cs="宋体"/>
          <w:bCs/>
          <w:sz w:val="52"/>
          <w:szCs w:val="52"/>
          <w:highlight w:val="none"/>
        </w:rPr>
      </w:pPr>
      <w:r>
        <w:rPr>
          <w:rFonts w:hint="eastAsia" w:ascii="宋体" w:hAnsi="宋体" w:cs="宋体"/>
          <w:bCs/>
          <w:sz w:val="52"/>
          <w:szCs w:val="52"/>
          <w:highlight w:val="none"/>
        </w:rPr>
        <w:t>响应文件</w:t>
      </w:r>
    </w:p>
    <w:p w14:paraId="167E9816">
      <w:pPr>
        <w:ind w:firstLine="0" w:firstLineChars="0"/>
        <w:jc w:val="center"/>
        <w:rPr>
          <w:rFonts w:ascii="宋体" w:hAnsi="宋体" w:cs="宋体"/>
          <w:bCs/>
          <w:sz w:val="32"/>
          <w:szCs w:val="32"/>
          <w:highlight w:val="none"/>
        </w:rPr>
      </w:pPr>
      <w:r>
        <w:rPr>
          <w:rFonts w:hint="eastAsia" w:ascii="宋体" w:hAnsi="宋体" w:cs="宋体"/>
          <w:bCs/>
          <w:sz w:val="32"/>
          <w:szCs w:val="32"/>
          <w:highlight w:val="none"/>
        </w:rPr>
        <w:t>第二册 商务技术部分</w:t>
      </w:r>
    </w:p>
    <w:p w14:paraId="2E0DF88C">
      <w:pPr>
        <w:ind w:firstLine="0" w:firstLineChars="0"/>
        <w:jc w:val="center"/>
        <w:rPr>
          <w:rFonts w:ascii="宋体" w:hAnsi="宋体" w:cs="宋体"/>
          <w:b/>
          <w:sz w:val="36"/>
          <w:szCs w:val="36"/>
          <w:highlight w:val="none"/>
        </w:rPr>
      </w:pPr>
    </w:p>
    <w:p w14:paraId="01FF2A8C">
      <w:pPr>
        <w:ind w:firstLine="0" w:firstLineChars="0"/>
        <w:jc w:val="center"/>
        <w:rPr>
          <w:rFonts w:ascii="宋体" w:hAnsi="宋体" w:cs="宋体"/>
          <w:b/>
          <w:sz w:val="36"/>
          <w:szCs w:val="36"/>
          <w:highlight w:val="none"/>
        </w:rPr>
      </w:pPr>
    </w:p>
    <w:p w14:paraId="1D3E8D20">
      <w:pPr>
        <w:ind w:firstLine="0" w:firstLineChars="0"/>
        <w:jc w:val="center"/>
        <w:rPr>
          <w:rFonts w:ascii="宋体" w:hAnsi="宋体" w:cs="宋体"/>
          <w:b/>
          <w:sz w:val="36"/>
          <w:szCs w:val="36"/>
          <w:highlight w:val="none"/>
        </w:rPr>
      </w:pPr>
    </w:p>
    <w:p w14:paraId="1FB89164">
      <w:pPr>
        <w:ind w:firstLine="0" w:firstLineChars="0"/>
        <w:jc w:val="center"/>
        <w:rPr>
          <w:rFonts w:ascii="宋体" w:hAnsi="宋体" w:cs="宋体"/>
          <w:b/>
          <w:sz w:val="36"/>
          <w:szCs w:val="36"/>
          <w:highlight w:val="none"/>
        </w:rPr>
      </w:pPr>
    </w:p>
    <w:p w14:paraId="433C59A2">
      <w:pPr>
        <w:ind w:firstLine="0" w:firstLineChars="0"/>
        <w:jc w:val="center"/>
        <w:rPr>
          <w:rFonts w:ascii="宋体" w:hAnsi="宋体" w:cs="宋体"/>
          <w:b/>
          <w:sz w:val="36"/>
          <w:szCs w:val="36"/>
          <w:highlight w:val="none"/>
        </w:rPr>
      </w:pPr>
    </w:p>
    <w:p w14:paraId="4DCB26F5">
      <w:pPr>
        <w:ind w:firstLine="0" w:firstLineChars="0"/>
        <w:jc w:val="center"/>
        <w:rPr>
          <w:rFonts w:ascii="宋体" w:hAnsi="宋体" w:cs="宋体"/>
          <w:b/>
          <w:sz w:val="36"/>
          <w:szCs w:val="36"/>
          <w:highlight w:val="none"/>
        </w:rPr>
      </w:pPr>
    </w:p>
    <w:p w14:paraId="0E264DB1">
      <w:pPr>
        <w:ind w:firstLine="0" w:firstLineChars="0"/>
        <w:jc w:val="center"/>
        <w:rPr>
          <w:rFonts w:ascii="宋体" w:hAnsi="宋体" w:cs="宋体"/>
          <w:highlight w:val="none"/>
          <w:u w:val="single"/>
        </w:rPr>
      </w:pPr>
      <w:r>
        <w:rPr>
          <w:rFonts w:hint="eastAsia" w:ascii="宋体" w:hAnsi="宋体" w:cs="宋体"/>
          <w:highlight w:val="none"/>
        </w:rPr>
        <w:t>供应商：</w:t>
      </w:r>
      <w:r>
        <w:rPr>
          <w:rFonts w:hint="eastAsia" w:ascii="宋体" w:hAnsi="宋体" w:cs="宋体"/>
          <w:highlight w:val="none"/>
          <w:u w:val="single"/>
        </w:rPr>
        <w:t xml:space="preserve">               （加盖公章）</w:t>
      </w:r>
    </w:p>
    <w:p w14:paraId="1C06A035">
      <w:pPr>
        <w:ind w:firstLine="0" w:firstLineChars="0"/>
        <w:jc w:val="center"/>
        <w:rPr>
          <w:rFonts w:ascii="宋体" w:hAnsi="宋体" w:cs="宋体"/>
          <w:highlight w:val="none"/>
          <w:u w:val="single"/>
        </w:rPr>
      </w:pPr>
      <w:r>
        <w:rPr>
          <w:rFonts w:hint="eastAsia" w:ascii="宋体" w:hAnsi="宋体" w:cs="宋体"/>
          <w:highlight w:val="none"/>
        </w:rPr>
        <w:t>法定代表人或授权代理人：</w:t>
      </w:r>
      <w:r>
        <w:rPr>
          <w:rFonts w:hint="eastAsia" w:ascii="宋体" w:hAnsi="宋体" w:cs="宋体"/>
          <w:highlight w:val="none"/>
          <w:u w:val="single"/>
        </w:rPr>
        <w:t xml:space="preserve">   （签字）</w:t>
      </w:r>
    </w:p>
    <w:p w14:paraId="676C0F1C">
      <w:pPr>
        <w:ind w:firstLine="0" w:firstLineChars="0"/>
        <w:jc w:val="center"/>
        <w:rPr>
          <w:rFonts w:ascii="宋体" w:hAnsi="宋体" w:cs="宋体"/>
          <w:highlight w:val="none"/>
          <w:u w:val="single"/>
        </w:rPr>
      </w:pPr>
      <w:r>
        <w:rPr>
          <w:rFonts w:hint="eastAsia" w:ascii="宋体" w:hAnsi="宋体" w:cs="宋体"/>
          <w:highlight w:val="none"/>
        </w:rPr>
        <w:t>日期：</w:t>
      </w:r>
      <w:r>
        <w:rPr>
          <w:rFonts w:hint="eastAsia" w:ascii="宋体" w:hAnsi="宋体" w:cs="宋体"/>
          <w:highlight w:val="none"/>
          <w:u w:val="single"/>
        </w:rPr>
        <w:t xml:space="preserve">        </w:t>
      </w:r>
      <w:r>
        <w:rPr>
          <w:rFonts w:hint="eastAsia" w:ascii="宋体" w:hAnsi="宋体" w:cs="宋体"/>
          <w:highlight w:val="none"/>
        </w:rPr>
        <w:t>年</w:t>
      </w:r>
      <w:r>
        <w:rPr>
          <w:rFonts w:hint="eastAsia" w:ascii="宋体" w:hAnsi="宋体" w:cs="宋体"/>
          <w:highlight w:val="none"/>
          <w:u w:val="single"/>
        </w:rPr>
        <w:t xml:space="preserve">      </w:t>
      </w:r>
      <w:r>
        <w:rPr>
          <w:rFonts w:hint="eastAsia" w:ascii="宋体" w:hAnsi="宋体" w:cs="宋体"/>
          <w:highlight w:val="none"/>
        </w:rPr>
        <w:t>月</w:t>
      </w:r>
      <w:r>
        <w:rPr>
          <w:rFonts w:hint="eastAsia" w:ascii="宋体" w:hAnsi="宋体" w:cs="宋体"/>
          <w:highlight w:val="none"/>
          <w:u w:val="single"/>
        </w:rPr>
        <w:t xml:space="preserve">      </w:t>
      </w:r>
      <w:r>
        <w:rPr>
          <w:rFonts w:hint="eastAsia" w:ascii="宋体" w:hAnsi="宋体" w:cs="宋体"/>
          <w:highlight w:val="none"/>
        </w:rPr>
        <w:t>日</w:t>
      </w:r>
    </w:p>
    <w:p w14:paraId="0AFD6F65">
      <w:pPr>
        <w:pStyle w:val="4"/>
        <w:ind w:firstLine="482"/>
        <w:jc w:val="center"/>
        <w:rPr>
          <w:highlight w:val="none"/>
        </w:rPr>
      </w:pPr>
      <w:r>
        <w:rPr>
          <w:rFonts w:hint="eastAsia"/>
          <w:highlight w:val="none"/>
        </w:rPr>
        <w:t>目录</w:t>
      </w:r>
    </w:p>
    <w:p w14:paraId="2DBA248D">
      <w:pPr>
        <w:widowControl/>
        <w:numPr>
          <w:ilvl w:val="0"/>
          <w:numId w:val="5"/>
        </w:numPr>
        <w:ind w:firstLine="480"/>
        <w:jc w:val="left"/>
        <w:rPr>
          <w:highlight w:val="none"/>
        </w:rPr>
      </w:pPr>
      <w:r>
        <w:rPr>
          <w:rFonts w:hint="eastAsia"/>
          <w:highlight w:val="none"/>
        </w:rPr>
        <w:t>商务和技术偏离表</w:t>
      </w:r>
    </w:p>
    <w:p w14:paraId="636F9877">
      <w:pPr>
        <w:widowControl/>
        <w:ind w:firstLine="480"/>
        <w:jc w:val="left"/>
        <w:rPr>
          <w:rFonts w:hint="default" w:eastAsia="宋体"/>
          <w:lang w:val="en-US" w:eastAsia="zh-CN"/>
        </w:rPr>
      </w:pPr>
      <w:r>
        <w:rPr>
          <w:highlight w:val="none"/>
        </w:rPr>
        <w:t>2</w:t>
      </w:r>
      <w:r>
        <w:rPr>
          <w:rFonts w:hint="eastAsia"/>
          <w:highlight w:val="none"/>
        </w:rPr>
        <w:t>、参选报价</w:t>
      </w:r>
      <w:r>
        <w:rPr>
          <w:rFonts w:hint="eastAsia"/>
          <w:highlight w:val="none"/>
          <w:lang w:eastAsia="zh-CN"/>
        </w:rPr>
        <w:t>（</w:t>
      </w:r>
      <w:r>
        <w:rPr>
          <w:rFonts w:hint="eastAsia"/>
          <w:highlight w:val="none"/>
          <w:lang w:val="en-US" w:eastAsia="zh-CN"/>
        </w:rPr>
        <w:t>利率）</w:t>
      </w:r>
    </w:p>
    <w:p w14:paraId="5E115D71">
      <w:pPr>
        <w:widowControl/>
        <w:ind w:firstLine="480"/>
        <w:jc w:val="left"/>
        <w:rPr>
          <w:rFonts w:hint="default" w:eastAsia="宋体"/>
          <w:highlight w:val="none"/>
          <w:lang w:val="en-US" w:eastAsia="zh-CN"/>
        </w:rPr>
      </w:pPr>
      <w:r>
        <w:rPr>
          <w:rFonts w:hint="eastAsia"/>
          <w:highlight w:val="none"/>
          <w:lang w:val="en-US" w:eastAsia="zh-CN"/>
        </w:rPr>
        <w:t>3</w:t>
      </w:r>
      <w:r>
        <w:rPr>
          <w:rFonts w:hint="eastAsia"/>
          <w:highlight w:val="none"/>
        </w:rPr>
        <w:t>、</w:t>
      </w:r>
      <w:r>
        <w:rPr>
          <w:rFonts w:hint="eastAsia"/>
          <w:highlight w:val="none"/>
          <w:lang w:val="en-US" w:eastAsia="zh-CN"/>
        </w:rPr>
        <w:t>商务</w:t>
      </w:r>
      <w:r>
        <w:rPr>
          <w:rFonts w:hint="eastAsia"/>
          <w:color w:val="000000" w:themeColor="text1"/>
          <w:highlight w:val="none"/>
          <w:lang w:val="en-US" w:eastAsia="zh-CN"/>
          <w14:textFill>
            <w14:solidFill>
              <w14:schemeClr w14:val="tx1"/>
            </w14:solidFill>
          </w14:textFill>
        </w:rPr>
        <w:t>技术</w:t>
      </w:r>
      <w:r>
        <w:rPr>
          <w:rFonts w:hint="eastAsia"/>
          <w:highlight w:val="none"/>
          <w:lang w:val="en-US" w:eastAsia="zh-CN"/>
        </w:rPr>
        <w:t>部分</w:t>
      </w:r>
    </w:p>
    <w:p w14:paraId="39CBBE78">
      <w:pPr>
        <w:widowControl/>
        <w:spacing w:line="240" w:lineRule="auto"/>
        <w:ind w:firstLine="0" w:firstLineChars="0"/>
        <w:jc w:val="left"/>
        <w:rPr>
          <w:highlight w:val="none"/>
        </w:rPr>
      </w:pPr>
    </w:p>
    <w:p w14:paraId="5FB21C57">
      <w:pPr>
        <w:widowControl/>
        <w:spacing w:line="240" w:lineRule="auto"/>
        <w:ind w:firstLine="0" w:firstLineChars="0"/>
        <w:jc w:val="center"/>
        <w:rPr>
          <w:rFonts w:cstheme="majorBidi"/>
          <w:b/>
          <w:bCs/>
          <w:szCs w:val="32"/>
          <w:highlight w:val="none"/>
        </w:rPr>
      </w:pPr>
    </w:p>
    <w:p w14:paraId="27A20F6E">
      <w:pPr>
        <w:widowControl/>
        <w:spacing w:line="240" w:lineRule="auto"/>
        <w:ind w:firstLine="0" w:firstLineChars="0"/>
        <w:jc w:val="center"/>
        <w:rPr>
          <w:rFonts w:cstheme="majorBidi"/>
          <w:b/>
          <w:bCs/>
          <w:szCs w:val="32"/>
          <w:highlight w:val="none"/>
        </w:rPr>
      </w:pPr>
    </w:p>
    <w:p w14:paraId="1C460667">
      <w:pPr>
        <w:widowControl/>
        <w:spacing w:line="240" w:lineRule="auto"/>
        <w:ind w:firstLine="0" w:firstLineChars="0"/>
        <w:jc w:val="center"/>
        <w:rPr>
          <w:rFonts w:cstheme="majorBidi"/>
          <w:b/>
          <w:bCs/>
          <w:szCs w:val="32"/>
          <w:highlight w:val="none"/>
        </w:rPr>
      </w:pPr>
    </w:p>
    <w:p w14:paraId="078AF866">
      <w:pPr>
        <w:widowControl/>
        <w:spacing w:line="240" w:lineRule="auto"/>
        <w:ind w:firstLine="0" w:firstLineChars="0"/>
        <w:jc w:val="center"/>
        <w:rPr>
          <w:rFonts w:cstheme="majorBidi"/>
          <w:b/>
          <w:bCs/>
          <w:szCs w:val="32"/>
          <w:highlight w:val="none"/>
        </w:rPr>
      </w:pPr>
    </w:p>
    <w:p w14:paraId="36678DF4">
      <w:pPr>
        <w:widowControl/>
        <w:spacing w:line="240" w:lineRule="auto"/>
        <w:ind w:firstLine="0" w:firstLineChars="0"/>
        <w:jc w:val="center"/>
        <w:rPr>
          <w:rFonts w:cstheme="majorBidi"/>
          <w:b/>
          <w:bCs/>
          <w:szCs w:val="32"/>
          <w:highlight w:val="none"/>
        </w:rPr>
      </w:pPr>
    </w:p>
    <w:p w14:paraId="2C7E720F">
      <w:pPr>
        <w:widowControl/>
        <w:spacing w:line="240" w:lineRule="auto"/>
        <w:ind w:firstLine="0" w:firstLineChars="0"/>
        <w:jc w:val="center"/>
        <w:rPr>
          <w:rFonts w:cstheme="majorBidi"/>
          <w:b/>
          <w:bCs/>
          <w:szCs w:val="32"/>
          <w:highlight w:val="none"/>
        </w:rPr>
      </w:pPr>
    </w:p>
    <w:p w14:paraId="173B60CB">
      <w:pPr>
        <w:widowControl/>
        <w:spacing w:line="240" w:lineRule="auto"/>
        <w:ind w:firstLine="0" w:firstLineChars="0"/>
        <w:jc w:val="center"/>
        <w:rPr>
          <w:rFonts w:cstheme="majorBidi"/>
          <w:b/>
          <w:bCs/>
          <w:szCs w:val="32"/>
          <w:highlight w:val="none"/>
        </w:rPr>
      </w:pPr>
    </w:p>
    <w:p w14:paraId="1DD89A97">
      <w:pPr>
        <w:widowControl/>
        <w:spacing w:line="240" w:lineRule="auto"/>
        <w:ind w:firstLine="0" w:firstLineChars="0"/>
        <w:jc w:val="center"/>
        <w:rPr>
          <w:rFonts w:cstheme="majorBidi"/>
          <w:b/>
          <w:bCs/>
          <w:szCs w:val="32"/>
          <w:highlight w:val="none"/>
        </w:rPr>
      </w:pPr>
    </w:p>
    <w:p w14:paraId="78DF10B4">
      <w:pPr>
        <w:widowControl/>
        <w:spacing w:line="240" w:lineRule="auto"/>
        <w:ind w:firstLine="0" w:firstLineChars="0"/>
        <w:jc w:val="center"/>
        <w:rPr>
          <w:rFonts w:cstheme="majorBidi"/>
          <w:b/>
          <w:bCs/>
          <w:szCs w:val="32"/>
          <w:highlight w:val="none"/>
        </w:rPr>
      </w:pPr>
    </w:p>
    <w:p w14:paraId="2AA8FAF4">
      <w:pPr>
        <w:widowControl/>
        <w:spacing w:line="240" w:lineRule="auto"/>
        <w:ind w:firstLine="0" w:firstLineChars="0"/>
        <w:jc w:val="center"/>
        <w:rPr>
          <w:rFonts w:cstheme="majorBidi"/>
          <w:b/>
          <w:bCs/>
          <w:szCs w:val="32"/>
          <w:highlight w:val="none"/>
        </w:rPr>
      </w:pPr>
    </w:p>
    <w:p w14:paraId="45C0B2C6">
      <w:pPr>
        <w:widowControl/>
        <w:spacing w:line="240" w:lineRule="auto"/>
        <w:ind w:firstLine="0" w:firstLineChars="0"/>
        <w:jc w:val="center"/>
        <w:rPr>
          <w:rFonts w:cstheme="majorBidi"/>
          <w:b/>
          <w:bCs/>
          <w:szCs w:val="32"/>
          <w:highlight w:val="none"/>
        </w:rPr>
      </w:pPr>
    </w:p>
    <w:p w14:paraId="5DD95105">
      <w:pPr>
        <w:widowControl/>
        <w:spacing w:line="240" w:lineRule="auto"/>
        <w:ind w:firstLine="0" w:firstLineChars="0"/>
        <w:jc w:val="center"/>
        <w:rPr>
          <w:rFonts w:cstheme="majorBidi"/>
          <w:b/>
          <w:bCs/>
          <w:szCs w:val="32"/>
          <w:highlight w:val="none"/>
        </w:rPr>
      </w:pPr>
    </w:p>
    <w:p w14:paraId="2AE58611">
      <w:pPr>
        <w:widowControl/>
        <w:spacing w:line="240" w:lineRule="auto"/>
        <w:ind w:firstLine="0" w:firstLineChars="0"/>
        <w:jc w:val="center"/>
        <w:rPr>
          <w:rFonts w:cstheme="majorBidi"/>
          <w:b/>
          <w:bCs/>
          <w:szCs w:val="32"/>
          <w:highlight w:val="none"/>
        </w:rPr>
      </w:pPr>
    </w:p>
    <w:p w14:paraId="364E3A80">
      <w:pPr>
        <w:widowControl/>
        <w:spacing w:line="240" w:lineRule="auto"/>
        <w:ind w:firstLine="0" w:firstLineChars="0"/>
        <w:jc w:val="center"/>
        <w:rPr>
          <w:rFonts w:cstheme="majorBidi"/>
          <w:b/>
          <w:bCs/>
          <w:szCs w:val="32"/>
          <w:highlight w:val="none"/>
        </w:rPr>
      </w:pPr>
    </w:p>
    <w:p w14:paraId="7FE18ACA">
      <w:pPr>
        <w:widowControl/>
        <w:spacing w:line="240" w:lineRule="auto"/>
        <w:ind w:firstLine="0" w:firstLineChars="0"/>
        <w:jc w:val="center"/>
        <w:rPr>
          <w:rFonts w:cstheme="majorBidi"/>
          <w:b/>
          <w:bCs/>
          <w:szCs w:val="32"/>
          <w:highlight w:val="none"/>
        </w:rPr>
      </w:pPr>
    </w:p>
    <w:p w14:paraId="67549BFF">
      <w:pPr>
        <w:widowControl/>
        <w:spacing w:line="240" w:lineRule="auto"/>
        <w:ind w:firstLine="0" w:firstLineChars="0"/>
        <w:jc w:val="center"/>
        <w:rPr>
          <w:rFonts w:cstheme="majorBidi"/>
          <w:b/>
          <w:bCs/>
          <w:szCs w:val="32"/>
          <w:highlight w:val="none"/>
        </w:rPr>
      </w:pPr>
    </w:p>
    <w:p w14:paraId="2A9D23A3">
      <w:pPr>
        <w:widowControl/>
        <w:spacing w:line="240" w:lineRule="auto"/>
        <w:ind w:firstLine="0" w:firstLineChars="0"/>
        <w:jc w:val="center"/>
        <w:rPr>
          <w:rFonts w:cstheme="majorBidi"/>
          <w:b/>
          <w:bCs/>
          <w:szCs w:val="32"/>
          <w:highlight w:val="none"/>
        </w:rPr>
      </w:pPr>
    </w:p>
    <w:p w14:paraId="738CA5F9">
      <w:pPr>
        <w:widowControl/>
        <w:spacing w:line="240" w:lineRule="auto"/>
        <w:ind w:firstLine="0" w:firstLineChars="0"/>
        <w:jc w:val="center"/>
        <w:rPr>
          <w:rFonts w:cstheme="majorBidi"/>
          <w:b/>
          <w:bCs/>
          <w:szCs w:val="32"/>
          <w:highlight w:val="none"/>
        </w:rPr>
      </w:pPr>
    </w:p>
    <w:p w14:paraId="58EE43D8">
      <w:pPr>
        <w:widowControl/>
        <w:spacing w:line="240" w:lineRule="auto"/>
        <w:ind w:firstLine="0" w:firstLineChars="0"/>
        <w:jc w:val="center"/>
        <w:rPr>
          <w:rFonts w:cstheme="majorBidi"/>
          <w:b/>
          <w:bCs/>
          <w:szCs w:val="32"/>
          <w:highlight w:val="none"/>
        </w:rPr>
      </w:pPr>
    </w:p>
    <w:p w14:paraId="65F07499">
      <w:pPr>
        <w:widowControl/>
        <w:spacing w:line="240" w:lineRule="auto"/>
        <w:ind w:firstLine="0" w:firstLineChars="0"/>
        <w:jc w:val="center"/>
        <w:rPr>
          <w:rFonts w:cstheme="majorBidi"/>
          <w:b/>
          <w:bCs/>
          <w:szCs w:val="32"/>
          <w:highlight w:val="none"/>
        </w:rPr>
      </w:pPr>
    </w:p>
    <w:p w14:paraId="61023D1D">
      <w:pPr>
        <w:widowControl/>
        <w:spacing w:line="240" w:lineRule="auto"/>
        <w:ind w:firstLine="0" w:firstLineChars="0"/>
        <w:jc w:val="center"/>
        <w:rPr>
          <w:rFonts w:cstheme="majorBidi"/>
          <w:b/>
          <w:bCs/>
          <w:szCs w:val="32"/>
          <w:highlight w:val="none"/>
        </w:rPr>
      </w:pPr>
    </w:p>
    <w:p w14:paraId="5AB35909">
      <w:pPr>
        <w:widowControl/>
        <w:spacing w:line="240" w:lineRule="auto"/>
        <w:ind w:firstLine="0" w:firstLineChars="0"/>
        <w:jc w:val="center"/>
        <w:rPr>
          <w:rFonts w:cstheme="majorBidi"/>
          <w:b/>
          <w:bCs/>
          <w:szCs w:val="32"/>
          <w:highlight w:val="none"/>
        </w:rPr>
      </w:pPr>
    </w:p>
    <w:p w14:paraId="387F057A">
      <w:pPr>
        <w:widowControl/>
        <w:spacing w:line="240" w:lineRule="auto"/>
        <w:ind w:firstLine="0" w:firstLineChars="0"/>
        <w:jc w:val="center"/>
        <w:rPr>
          <w:rFonts w:cstheme="majorBidi"/>
          <w:b/>
          <w:bCs/>
          <w:szCs w:val="32"/>
          <w:highlight w:val="none"/>
        </w:rPr>
      </w:pPr>
    </w:p>
    <w:p w14:paraId="190FAC5F">
      <w:pPr>
        <w:widowControl/>
        <w:spacing w:line="240" w:lineRule="auto"/>
        <w:ind w:firstLine="0" w:firstLineChars="0"/>
        <w:jc w:val="center"/>
        <w:rPr>
          <w:rFonts w:cstheme="majorBidi"/>
          <w:b/>
          <w:bCs/>
          <w:szCs w:val="32"/>
          <w:highlight w:val="none"/>
        </w:rPr>
      </w:pPr>
    </w:p>
    <w:p w14:paraId="52828A95">
      <w:pPr>
        <w:widowControl/>
        <w:spacing w:line="240" w:lineRule="auto"/>
        <w:ind w:firstLine="0" w:firstLineChars="0"/>
        <w:jc w:val="center"/>
        <w:rPr>
          <w:rFonts w:cstheme="majorBidi"/>
          <w:b/>
          <w:bCs/>
          <w:szCs w:val="32"/>
          <w:highlight w:val="none"/>
        </w:rPr>
      </w:pPr>
    </w:p>
    <w:p w14:paraId="0772880B">
      <w:pPr>
        <w:widowControl/>
        <w:spacing w:line="240" w:lineRule="auto"/>
        <w:ind w:firstLine="0" w:firstLineChars="0"/>
        <w:jc w:val="center"/>
        <w:rPr>
          <w:rFonts w:cstheme="majorBidi"/>
          <w:b/>
          <w:bCs/>
          <w:szCs w:val="32"/>
          <w:highlight w:val="none"/>
        </w:rPr>
      </w:pPr>
    </w:p>
    <w:p w14:paraId="1ADA5521">
      <w:pPr>
        <w:widowControl/>
        <w:spacing w:line="240" w:lineRule="auto"/>
        <w:ind w:firstLine="0" w:firstLineChars="0"/>
        <w:jc w:val="center"/>
        <w:rPr>
          <w:rFonts w:cstheme="majorBidi"/>
          <w:b/>
          <w:bCs/>
          <w:szCs w:val="32"/>
          <w:highlight w:val="none"/>
        </w:rPr>
      </w:pPr>
    </w:p>
    <w:p w14:paraId="34B9D6E7">
      <w:pPr>
        <w:widowControl/>
        <w:spacing w:line="240" w:lineRule="auto"/>
        <w:ind w:firstLine="0" w:firstLineChars="0"/>
        <w:jc w:val="center"/>
        <w:rPr>
          <w:rFonts w:cstheme="majorBidi"/>
          <w:b/>
          <w:bCs/>
          <w:szCs w:val="32"/>
          <w:highlight w:val="none"/>
        </w:rPr>
      </w:pPr>
    </w:p>
    <w:p w14:paraId="5087872A">
      <w:pPr>
        <w:widowControl/>
        <w:spacing w:line="240" w:lineRule="auto"/>
        <w:ind w:firstLine="0" w:firstLineChars="0"/>
        <w:jc w:val="left"/>
        <w:rPr>
          <w:b/>
          <w:bCs/>
          <w:szCs w:val="32"/>
          <w:highlight w:val="none"/>
        </w:rPr>
      </w:pPr>
      <w:r>
        <w:rPr>
          <w:highlight w:val="none"/>
        </w:rPr>
        <w:br w:type="page"/>
      </w:r>
    </w:p>
    <w:p w14:paraId="0532E418">
      <w:pPr>
        <w:pStyle w:val="4"/>
        <w:ind w:firstLine="0" w:firstLineChars="0"/>
        <w:rPr>
          <w:highlight w:val="none"/>
        </w:rPr>
      </w:pPr>
      <w:r>
        <w:rPr>
          <w:rFonts w:hint="eastAsia"/>
          <w:highlight w:val="none"/>
        </w:rPr>
        <w:t>1商务和技术偏离表</w:t>
      </w:r>
    </w:p>
    <w:p w14:paraId="3770FC07">
      <w:pPr>
        <w:widowControl/>
        <w:spacing w:line="240" w:lineRule="auto"/>
        <w:ind w:firstLine="0" w:firstLineChars="0"/>
        <w:jc w:val="center"/>
        <w:rPr>
          <w:rFonts w:cstheme="majorBidi"/>
          <w:b/>
          <w:bCs/>
          <w:szCs w:val="32"/>
          <w:highlight w:val="none"/>
        </w:rPr>
      </w:pPr>
      <w:r>
        <w:rPr>
          <w:rFonts w:hint="eastAsia" w:cstheme="majorBidi"/>
          <w:b/>
          <w:bCs/>
          <w:szCs w:val="32"/>
          <w:highlight w:val="none"/>
        </w:rPr>
        <w:t>商务和技术偏离表</w:t>
      </w:r>
    </w:p>
    <w:p w14:paraId="61E52521">
      <w:pPr>
        <w:ind w:firstLine="0" w:firstLineChars="0"/>
        <w:rPr>
          <w:rFonts w:hint="eastAsia" w:eastAsia="宋体" w:cstheme="majorBidi"/>
          <w:szCs w:val="32"/>
          <w:highlight w:val="none"/>
          <w:u w:val="single"/>
          <w:lang w:eastAsia="zh-CN"/>
        </w:rPr>
      </w:pPr>
      <w:r>
        <w:rPr>
          <w:rFonts w:hint="eastAsia" w:cstheme="majorBidi"/>
          <w:szCs w:val="32"/>
          <w:highlight w:val="none"/>
        </w:rPr>
        <w:t>项目名称：</w:t>
      </w:r>
      <w:r>
        <w:rPr>
          <w:rFonts w:hint="eastAsia" w:cstheme="majorBidi"/>
          <w:szCs w:val="32"/>
          <w:highlight w:val="none"/>
          <w:u w:val="single"/>
          <w:lang w:eastAsia="zh-CN"/>
        </w:rPr>
        <w:t>南通轨道交通运营有限公司工会委员会银行账户开立服务项目</w:t>
      </w:r>
    </w:p>
    <w:p w14:paraId="570403A0">
      <w:pPr>
        <w:ind w:firstLine="0" w:firstLineChars="0"/>
        <w:rPr>
          <w:rFonts w:cstheme="majorBidi"/>
          <w:szCs w:val="32"/>
          <w:highlight w:val="none"/>
          <w:u w:val="single"/>
        </w:rPr>
      </w:pPr>
      <w:r>
        <w:rPr>
          <w:rFonts w:hint="eastAsia" w:cstheme="majorBidi"/>
          <w:szCs w:val="32"/>
          <w:highlight w:val="none"/>
          <w:u w:val="single"/>
        </w:rPr>
        <w:t>（项目编号：</w:t>
      </w:r>
      <w:r>
        <w:rPr>
          <w:rFonts w:hint="eastAsia" w:cstheme="majorBidi"/>
          <w:szCs w:val="32"/>
          <w:highlight w:val="none"/>
          <w:u w:val="single"/>
          <w:lang w:eastAsia="zh-CN"/>
        </w:rPr>
        <w:t>NTGY-2026-FW-BX-043</w:t>
      </w:r>
      <w:r>
        <w:rPr>
          <w:rFonts w:hint="eastAsia" w:cstheme="majorBidi"/>
          <w:szCs w:val="32"/>
          <w:highlight w:val="none"/>
          <w:u w:val="single"/>
        </w:rPr>
        <w:t>）</w:t>
      </w:r>
    </w:p>
    <w:tbl>
      <w:tblPr>
        <w:tblStyle w:val="2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8"/>
        <w:gridCol w:w="3362"/>
        <w:gridCol w:w="3056"/>
        <w:gridCol w:w="1748"/>
      </w:tblGrid>
      <w:tr w14:paraId="0E6C1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pct"/>
            <w:vAlign w:val="center"/>
          </w:tcPr>
          <w:p w14:paraId="097DE61C">
            <w:pPr>
              <w:ind w:firstLine="0" w:firstLineChars="0"/>
              <w:jc w:val="center"/>
              <w:rPr>
                <w:rFonts w:ascii="宋体" w:hAnsi="宋体"/>
                <w:sz w:val="24"/>
                <w:szCs w:val="24"/>
                <w:highlight w:val="none"/>
              </w:rPr>
            </w:pPr>
            <w:r>
              <w:rPr>
                <w:rFonts w:hint="eastAsia" w:ascii="宋体" w:hAnsi="宋体"/>
                <w:sz w:val="24"/>
                <w:szCs w:val="24"/>
                <w:highlight w:val="none"/>
              </w:rPr>
              <w:t>序号</w:t>
            </w:r>
          </w:p>
        </w:tc>
        <w:tc>
          <w:tcPr>
            <w:tcW w:w="1879" w:type="pct"/>
            <w:vAlign w:val="center"/>
          </w:tcPr>
          <w:p w14:paraId="6E96C35E">
            <w:pPr>
              <w:ind w:firstLine="0" w:firstLineChars="0"/>
              <w:jc w:val="center"/>
              <w:rPr>
                <w:rFonts w:ascii="宋体" w:hAnsi="宋体"/>
                <w:sz w:val="24"/>
                <w:szCs w:val="24"/>
                <w:highlight w:val="none"/>
              </w:rPr>
            </w:pPr>
            <w:r>
              <w:rPr>
                <w:rFonts w:hint="eastAsia" w:ascii="宋体" w:hAnsi="宋体" w:cstheme="minorEastAsia"/>
                <w:bCs/>
                <w:color w:val="000000"/>
                <w:kern w:val="0"/>
                <w:sz w:val="24"/>
                <w:szCs w:val="24"/>
                <w:highlight w:val="none"/>
              </w:rPr>
              <w:t>采购文件章节及条款号</w:t>
            </w:r>
          </w:p>
        </w:tc>
        <w:tc>
          <w:tcPr>
            <w:tcW w:w="1708" w:type="pct"/>
            <w:vAlign w:val="center"/>
          </w:tcPr>
          <w:p w14:paraId="435F8F90">
            <w:pPr>
              <w:ind w:firstLine="0" w:firstLineChars="0"/>
              <w:jc w:val="center"/>
              <w:rPr>
                <w:rFonts w:ascii="宋体" w:hAnsi="宋体"/>
                <w:sz w:val="24"/>
                <w:szCs w:val="24"/>
                <w:highlight w:val="none"/>
              </w:rPr>
            </w:pPr>
            <w:r>
              <w:rPr>
                <w:rFonts w:hint="eastAsia" w:ascii="宋体" w:hAnsi="宋体" w:cstheme="minorEastAsia"/>
                <w:bCs/>
                <w:color w:val="000000"/>
                <w:kern w:val="0"/>
                <w:sz w:val="24"/>
                <w:szCs w:val="24"/>
                <w:highlight w:val="none"/>
              </w:rPr>
              <w:t>响应文件章节及条款号</w:t>
            </w:r>
          </w:p>
        </w:tc>
        <w:tc>
          <w:tcPr>
            <w:tcW w:w="977" w:type="pct"/>
            <w:vAlign w:val="center"/>
          </w:tcPr>
          <w:p w14:paraId="1E16DA7B">
            <w:pPr>
              <w:ind w:firstLine="0" w:firstLineChars="0"/>
              <w:jc w:val="center"/>
              <w:rPr>
                <w:rFonts w:ascii="宋体" w:hAnsi="宋体"/>
                <w:sz w:val="24"/>
                <w:szCs w:val="24"/>
                <w:highlight w:val="none"/>
              </w:rPr>
            </w:pPr>
            <w:r>
              <w:rPr>
                <w:rFonts w:hint="eastAsia" w:ascii="宋体" w:hAnsi="宋体" w:cstheme="minorEastAsia"/>
                <w:bCs/>
                <w:color w:val="000000"/>
                <w:kern w:val="0"/>
                <w:sz w:val="24"/>
                <w:szCs w:val="24"/>
                <w:highlight w:val="none"/>
              </w:rPr>
              <w:t>偏差说明</w:t>
            </w:r>
          </w:p>
        </w:tc>
      </w:tr>
      <w:tr w14:paraId="56144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pct"/>
          </w:tcPr>
          <w:p w14:paraId="57EB71C6">
            <w:pPr>
              <w:ind w:firstLine="0" w:firstLineChars="0"/>
              <w:jc w:val="center"/>
              <w:rPr>
                <w:rFonts w:cstheme="majorBidi"/>
                <w:sz w:val="24"/>
                <w:szCs w:val="24"/>
                <w:highlight w:val="none"/>
              </w:rPr>
            </w:pPr>
            <w:r>
              <w:rPr>
                <w:rFonts w:hint="eastAsia" w:cstheme="majorBidi"/>
                <w:sz w:val="24"/>
                <w:szCs w:val="24"/>
                <w:highlight w:val="none"/>
              </w:rPr>
              <w:t>1</w:t>
            </w:r>
          </w:p>
        </w:tc>
        <w:tc>
          <w:tcPr>
            <w:tcW w:w="1879" w:type="pct"/>
          </w:tcPr>
          <w:p w14:paraId="02F448AA">
            <w:pPr>
              <w:ind w:firstLine="0" w:firstLineChars="0"/>
              <w:rPr>
                <w:rFonts w:cstheme="majorBidi"/>
                <w:sz w:val="24"/>
                <w:szCs w:val="24"/>
                <w:highlight w:val="none"/>
              </w:rPr>
            </w:pPr>
          </w:p>
        </w:tc>
        <w:tc>
          <w:tcPr>
            <w:tcW w:w="1708" w:type="pct"/>
          </w:tcPr>
          <w:p w14:paraId="1F4B24A6">
            <w:pPr>
              <w:ind w:firstLine="0" w:firstLineChars="0"/>
              <w:rPr>
                <w:rFonts w:cstheme="majorBidi"/>
                <w:sz w:val="24"/>
                <w:szCs w:val="24"/>
                <w:highlight w:val="none"/>
              </w:rPr>
            </w:pPr>
          </w:p>
        </w:tc>
        <w:tc>
          <w:tcPr>
            <w:tcW w:w="977" w:type="pct"/>
          </w:tcPr>
          <w:p w14:paraId="2AF03E67">
            <w:pPr>
              <w:ind w:firstLine="0" w:firstLineChars="0"/>
              <w:rPr>
                <w:rFonts w:cstheme="majorBidi"/>
                <w:sz w:val="24"/>
                <w:szCs w:val="24"/>
                <w:highlight w:val="none"/>
              </w:rPr>
            </w:pPr>
          </w:p>
        </w:tc>
      </w:tr>
      <w:tr w14:paraId="28BB6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pct"/>
          </w:tcPr>
          <w:p w14:paraId="0562E7FC">
            <w:pPr>
              <w:ind w:firstLine="0" w:firstLineChars="0"/>
              <w:jc w:val="center"/>
              <w:rPr>
                <w:rFonts w:cstheme="majorBidi"/>
                <w:sz w:val="24"/>
                <w:szCs w:val="24"/>
                <w:highlight w:val="none"/>
              </w:rPr>
            </w:pPr>
            <w:r>
              <w:rPr>
                <w:rFonts w:hint="eastAsia" w:cstheme="majorBidi"/>
                <w:sz w:val="24"/>
                <w:szCs w:val="24"/>
                <w:highlight w:val="none"/>
              </w:rPr>
              <w:t>2</w:t>
            </w:r>
          </w:p>
        </w:tc>
        <w:tc>
          <w:tcPr>
            <w:tcW w:w="1879" w:type="pct"/>
          </w:tcPr>
          <w:p w14:paraId="407B3C96">
            <w:pPr>
              <w:ind w:firstLine="0" w:firstLineChars="0"/>
              <w:rPr>
                <w:rFonts w:cstheme="majorBidi"/>
                <w:sz w:val="24"/>
                <w:szCs w:val="24"/>
                <w:highlight w:val="none"/>
              </w:rPr>
            </w:pPr>
          </w:p>
        </w:tc>
        <w:tc>
          <w:tcPr>
            <w:tcW w:w="1708" w:type="pct"/>
          </w:tcPr>
          <w:p w14:paraId="1F74A9E7">
            <w:pPr>
              <w:ind w:firstLine="0" w:firstLineChars="0"/>
              <w:rPr>
                <w:rFonts w:cstheme="majorBidi"/>
                <w:sz w:val="24"/>
                <w:szCs w:val="24"/>
                <w:highlight w:val="none"/>
              </w:rPr>
            </w:pPr>
          </w:p>
        </w:tc>
        <w:tc>
          <w:tcPr>
            <w:tcW w:w="977" w:type="pct"/>
          </w:tcPr>
          <w:p w14:paraId="78E1B80C">
            <w:pPr>
              <w:ind w:firstLine="0" w:firstLineChars="0"/>
              <w:rPr>
                <w:rFonts w:cstheme="majorBidi"/>
                <w:sz w:val="24"/>
                <w:szCs w:val="24"/>
                <w:highlight w:val="none"/>
              </w:rPr>
            </w:pPr>
          </w:p>
        </w:tc>
      </w:tr>
      <w:tr w14:paraId="7D124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pct"/>
          </w:tcPr>
          <w:p w14:paraId="405E2238">
            <w:pPr>
              <w:ind w:firstLine="0" w:firstLineChars="0"/>
              <w:jc w:val="center"/>
              <w:rPr>
                <w:rFonts w:cstheme="majorBidi"/>
                <w:sz w:val="24"/>
                <w:szCs w:val="24"/>
                <w:highlight w:val="none"/>
              </w:rPr>
            </w:pPr>
            <w:r>
              <w:rPr>
                <w:rFonts w:hint="eastAsia" w:cstheme="majorBidi"/>
                <w:sz w:val="24"/>
                <w:szCs w:val="24"/>
                <w:highlight w:val="none"/>
              </w:rPr>
              <w:t>3</w:t>
            </w:r>
          </w:p>
        </w:tc>
        <w:tc>
          <w:tcPr>
            <w:tcW w:w="1879" w:type="pct"/>
          </w:tcPr>
          <w:p w14:paraId="4205FDB8">
            <w:pPr>
              <w:ind w:firstLine="0" w:firstLineChars="0"/>
              <w:rPr>
                <w:rFonts w:cstheme="majorBidi"/>
                <w:sz w:val="24"/>
                <w:szCs w:val="24"/>
                <w:highlight w:val="none"/>
              </w:rPr>
            </w:pPr>
          </w:p>
        </w:tc>
        <w:tc>
          <w:tcPr>
            <w:tcW w:w="1708" w:type="pct"/>
          </w:tcPr>
          <w:p w14:paraId="14FB7EAE">
            <w:pPr>
              <w:ind w:firstLine="0" w:firstLineChars="0"/>
              <w:rPr>
                <w:rFonts w:cstheme="majorBidi"/>
                <w:sz w:val="24"/>
                <w:szCs w:val="24"/>
                <w:highlight w:val="none"/>
              </w:rPr>
            </w:pPr>
          </w:p>
        </w:tc>
        <w:tc>
          <w:tcPr>
            <w:tcW w:w="977" w:type="pct"/>
          </w:tcPr>
          <w:p w14:paraId="5698E924">
            <w:pPr>
              <w:ind w:firstLine="0" w:firstLineChars="0"/>
              <w:rPr>
                <w:rFonts w:cstheme="majorBidi"/>
                <w:sz w:val="24"/>
                <w:szCs w:val="24"/>
                <w:highlight w:val="none"/>
              </w:rPr>
            </w:pPr>
          </w:p>
        </w:tc>
      </w:tr>
      <w:tr w14:paraId="0C7E9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pct"/>
          </w:tcPr>
          <w:p w14:paraId="747FD588">
            <w:pPr>
              <w:ind w:firstLine="0" w:firstLineChars="0"/>
              <w:jc w:val="center"/>
              <w:rPr>
                <w:rFonts w:cstheme="majorBidi"/>
                <w:sz w:val="24"/>
                <w:szCs w:val="24"/>
                <w:highlight w:val="none"/>
              </w:rPr>
            </w:pPr>
            <w:r>
              <w:rPr>
                <w:rFonts w:cstheme="majorBidi"/>
                <w:sz w:val="24"/>
                <w:szCs w:val="24"/>
                <w:highlight w:val="none"/>
              </w:rPr>
              <w:t>…</w:t>
            </w:r>
          </w:p>
        </w:tc>
        <w:tc>
          <w:tcPr>
            <w:tcW w:w="1879" w:type="pct"/>
          </w:tcPr>
          <w:p w14:paraId="44CA66F7">
            <w:pPr>
              <w:ind w:firstLine="0" w:firstLineChars="0"/>
              <w:rPr>
                <w:rFonts w:cstheme="majorBidi"/>
                <w:sz w:val="24"/>
                <w:szCs w:val="24"/>
                <w:highlight w:val="none"/>
              </w:rPr>
            </w:pPr>
          </w:p>
        </w:tc>
        <w:tc>
          <w:tcPr>
            <w:tcW w:w="1708" w:type="pct"/>
          </w:tcPr>
          <w:p w14:paraId="671832F0">
            <w:pPr>
              <w:ind w:firstLine="0" w:firstLineChars="0"/>
              <w:rPr>
                <w:rFonts w:cstheme="majorBidi"/>
                <w:sz w:val="24"/>
                <w:szCs w:val="24"/>
                <w:highlight w:val="none"/>
              </w:rPr>
            </w:pPr>
          </w:p>
        </w:tc>
        <w:tc>
          <w:tcPr>
            <w:tcW w:w="977" w:type="pct"/>
          </w:tcPr>
          <w:p w14:paraId="6DA9EA01">
            <w:pPr>
              <w:ind w:firstLine="0" w:firstLineChars="0"/>
              <w:rPr>
                <w:rFonts w:cstheme="majorBidi"/>
                <w:sz w:val="24"/>
                <w:szCs w:val="24"/>
                <w:highlight w:val="none"/>
              </w:rPr>
            </w:pPr>
          </w:p>
        </w:tc>
      </w:tr>
    </w:tbl>
    <w:p w14:paraId="145EF4D0">
      <w:pPr>
        <w:ind w:firstLine="480"/>
        <w:rPr>
          <w:rFonts w:cstheme="majorBidi"/>
          <w:szCs w:val="32"/>
          <w:highlight w:val="none"/>
        </w:rPr>
      </w:pPr>
      <w:r>
        <w:rPr>
          <w:rFonts w:hint="eastAsia" w:cstheme="majorBidi"/>
          <w:szCs w:val="32"/>
          <w:highlight w:val="none"/>
        </w:rPr>
        <w:t>注：</w:t>
      </w:r>
    </w:p>
    <w:p w14:paraId="50882961">
      <w:pPr>
        <w:ind w:firstLine="480"/>
        <w:rPr>
          <w:rFonts w:cstheme="majorBidi"/>
          <w:szCs w:val="32"/>
          <w:highlight w:val="none"/>
        </w:rPr>
      </w:pPr>
      <w:r>
        <w:rPr>
          <w:rFonts w:hint="eastAsia" w:cstheme="majorBidi"/>
          <w:szCs w:val="32"/>
          <w:highlight w:val="none"/>
        </w:rPr>
        <w:t>1</w:t>
      </w:r>
      <w:r>
        <w:rPr>
          <w:rFonts w:cstheme="majorBidi"/>
          <w:szCs w:val="32"/>
          <w:highlight w:val="none"/>
        </w:rPr>
        <w:t>.</w:t>
      </w:r>
      <w:r>
        <w:rPr>
          <w:rFonts w:hint="eastAsia" w:cstheme="majorBidi"/>
          <w:szCs w:val="32"/>
          <w:highlight w:val="none"/>
        </w:rPr>
        <w:t>本项目不允许负偏离，发生负偏离的</w:t>
      </w:r>
      <w:r>
        <w:rPr>
          <w:rFonts w:hint="eastAsia"/>
          <w:highlight w:val="none"/>
        </w:rPr>
        <w:t>其响应文件将被视为无效，</w:t>
      </w:r>
      <w:r>
        <w:rPr>
          <w:rFonts w:hint="eastAsia"/>
          <w:b/>
          <w:bCs/>
          <w:highlight w:val="none"/>
        </w:rPr>
        <w:t>没有偏离的则</w:t>
      </w:r>
      <w:r>
        <w:rPr>
          <w:rFonts w:hint="eastAsia"/>
          <w:b/>
          <w:bCs/>
          <w:highlight w:val="none"/>
          <w:lang w:eastAsia="zh-CN"/>
        </w:rPr>
        <w:t>在序号</w:t>
      </w:r>
      <w:r>
        <w:rPr>
          <w:rFonts w:hint="eastAsia"/>
          <w:b/>
          <w:bCs/>
          <w:highlight w:val="none"/>
          <w:lang w:val="en-US" w:eastAsia="zh-CN"/>
        </w:rPr>
        <w:t>1偏差说明栏中</w:t>
      </w:r>
      <w:r>
        <w:rPr>
          <w:rFonts w:hint="eastAsia"/>
          <w:b/>
          <w:bCs/>
          <w:highlight w:val="none"/>
        </w:rPr>
        <w:t>填“无”</w:t>
      </w:r>
      <w:r>
        <w:rPr>
          <w:rFonts w:hint="eastAsia"/>
          <w:highlight w:val="none"/>
        </w:rPr>
        <w:t>。</w:t>
      </w:r>
    </w:p>
    <w:p w14:paraId="6B247EE3">
      <w:pPr>
        <w:ind w:firstLine="480"/>
        <w:rPr>
          <w:rFonts w:cstheme="majorBidi"/>
          <w:szCs w:val="32"/>
          <w:highlight w:val="none"/>
        </w:rPr>
      </w:pPr>
      <w:r>
        <w:rPr>
          <w:rFonts w:hint="eastAsia" w:cstheme="majorBidi"/>
          <w:szCs w:val="32"/>
          <w:highlight w:val="none"/>
        </w:rPr>
        <w:t>2</w:t>
      </w:r>
      <w:r>
        <w:rPr>
          <w:rFonts w:cstheme="majorBidi"/>
          <w:szCs w:val="32"/>
          <w:highlight w:val="none"/>
        </w:rPr>
        <w:t>.</w:t>
      </w:r>
      <w:r>
        <w:rPr>
          <w:rFonts w:hint="eastAsia" w:cstheme="majorBidi"/>
          <w:szCs w:val="32"/>
          <w:highlight w:val="none"/>
        </w:rPr>
        <w:t>供应商承诺：除本表列出的偏差以外，供应商响应采购文件的全部内容。</w:t>
      </w:r>
    </w:p>
    <w:p w14:paraId="5183BA36">
      <w:pPr>
        <w:ind w:firstLine="480"/>
        <w:jc w:val="right"/>
        <w:rPr>
          <w:highlight w:val="none"/>
        </w:rPr>
      </w:pPr>
    </w:p>
    <w:p w14:paraId="2B7A6ECD">
      <w:pPr>
        <w:ind w:firstLine="480"/>
        <w:jc w:val="right"/>
        <w:rPr>
          <w:highlight w:val="none"/>
        </w:rPr>
      </w:pPr>
    </w:p>
    <w:p w14:paraId="1360773D">
      <w:pPr>
        <w:ind w:firstLine="480"/>
        <w:jc w:val="right"/>
        <w:rPr>
          <w:highlight w:val="none"/>
        </w:rPr>
      </w:pPr>
    </w:p>
    <w:p w14:paraId="5EBB546F">
      <w:pPr>
        <w:ind w:firstLine="480"/>
        <w:jc w:val="right"/>
        <w:rPr>
          <w:highlight w:val="none"/>
        </w:rPr>
      </w:pPr>
      <w:r>
        <w:rPr>
          <w:rFonts w:hint="eastAsia"/>
          <w:highlight w:val="none"/>
        </w:rPr>
        <w:t>供应商：（加盖公章）</w:t>
      </w:r>
    </w:p>
    <w:p w14:paraId="4502ADFD">
      <w:pPr>
        <w:ind w:firstLine="480"/>
        <w:jc w:val="right"/>
        <w:rPr>
          <w:highlight w:val="none"/>
        </w:rPr>
      </w:pPr>
      <w:r>
        <w:rPr>
          <w:rFonts w:hint="eastAsia"/>
          <w:highlight w:val="none"/>
        </w:rPr>
        <w:t>法定代表人或授权代理人：（签字或盖章）</w:t>
      </w:r>
    </w:p>
    <w:p w14:paraId="0F2EB148">
      <w:pPr>
        <w:ind w:firstLine="480"/>
        <w:jc w:val="right"/>
        <w:rPr>
          <w:highlight w:val="none"/>
        </w:rPr>
      </w:pPr>
      <w:r>
        <w:rPr>
          <w:rFonts w:hint="eastAsia"/>
          <w:highlight w:val="none"/>
        </w:rPr>
        <w:t>　　　年　  月 　 日</w:t>
      </w:r>
    </w:p>
    <w:p w14:paraId="004136F3">
      <w:pPr>
        <w:pStyle w:val="8"/>
        <w:rPr>
          <w:highlight w:val="none"/>
        </w:rPr>
      </w:pPr>
    </w:p>
    <w:p w14:paraId="091C5D74">
      <w:pPr>
        <w:ind w:firstLine="480"/>
        <w:rPr>
          <w:highlight w:val="none"/>
        </w:rPr>
      </w:pPr>
    </w:p>
    <w:p w14:paraId="7CB2655E">
      <w:pPr>
        <w:pStyle w:val="8"/>
        <w:rPr>
          <w:highlight w:val="none"/>
        </w:rPr>
      </w:pPr>
    </w:p>
    <w:p w14:paraId="755B8A61">
      <w:pPr>
        <w:ind w:firstLine="480"/>
        <w:rPr>
          <w:highlight w:val="none"/>
        </w:rPr>
      </w:pPr>
    </w:p>
    <w:p w14:paraId="722E4277">
      <w:pPr>
        <w:pStyle w:val="8"/>
        <w:rPr>
          <w:highlight w:val="none"/>
        </w:rPr>
      </w:pPr>
    </w:p>
    <w:p w14:paraId="77CCBACB">
      <w:pPr>
        <w:widowControl/>
        <w:spacing w:line="240" w:lineRule="auto"/>
        <w:ind w:firstLine="0" w:firstLineChars="0"/>
        <w:jc w:val="left"/>
        <w:rPr>
          <w:highlight w:val="none"/>
        </w:rPr>
      </w:pPr>
      <w:r>
        <w:rPr>
          <w:highlight w:val="none"/>
        </w:rPr>
        <w:br w:type="page"/>
      </w:r>
      <w:bookmarkStart w:id="18" w:name="_Toc3697"/>
      <w:bookmarkStart w:id="19" w:name="_Toc3965"/>
      <w:bookmarkStart w:id="20" w:name="_Toc10610"/>
      <w:bookmarkStart w:id="21" w:name="_Toc29658"/>
      <w:bookmarkStart w:id="22" w:name="_Toc20296"/>
    </w:p>
    <w:bookmarkEnd w:id="18"/>
    <w:bookmarkEnd w:id="19"/>
    <w:bookmarkEnd w:id="20"/>
    <w:bookmarkEnd w:id="21"/>
    <w:bookmarkEnd w:id="22"/>
    <w:p w14:paraId="2F30A059">
      <w:pPr>
        <w:pStyle w:val="4"/>
        <w:ind w:firstLine="0" w:firstLineChars="0"/>
        <w:rPr>
          <w:rFonts w:hint="eastAsia"/>
          <w:highlight w:val="none"/>
          <w:lang w:val="en-US" w:eastAsia="zh-CN"/>
        </w:rPr>
      </w:pPr>
      <w:r>
        <w:rPr>
          <w:rFonts w:hint="eastAsia"/>
          <w:highlight w:val="none"/>
          <w:lang w:val="en-US" w:eastAsia="zh-CN"/>
        </w:rPr>
        <w:t>2</w:t>
      </w:r>
      <w:r>
        <w:rPr>
          <w:rFonts w:hint="eastAsia"/>
          <w:highlight w:val="none"/>
        </w:rPr>
        <w:t>参选报价</w:t>
      </w:r>
      <w:r>
        <w:rPr>
          <w:rFonts w:hint="eastAsia"/>
          <w:highlight w:val="none"/>
          <w:lang w:eastAsia="zh-CN"/>
        </w:rPr>
        <w:t>（</w:t>
      </w:r>
      <w:r>
        <w:rPr>
          <w:rFonts w:hint="eastAsia"/>
          <w:highlight w:val="none"/>
          <w:lang w:val="en-US" w:eastAsia="zh-CN"/>
        </w:rPr>
        <w:t>利率）</w:t>
      </w:r>
    </w:p>
    <w:p w14:paraId="7D909A2E">
      <w:pPr>
        <w:jc w:val="center"/>
        <w:rPr>
          <w:rFonts w:hint="eastAsia"/>
          <w:b/>
          <w:bCs/>
          <w:lang w:val="en-US" w:eastAsia="zh-CN"/>
        </w:rPr>
      </w:pPr>
      <w:r>
        <w:rPr>
          <w:rFonts w:hint="eastAsia"/>
          <w:b/>
          <w:bCs/>
          <w:kern w:val="0"/>
          <w:sz w:val="24"/>
        </w:rPr>
        <w:t>二、</w:t>
      </w:r>
      <w:r>
        <w:rPr>
          <w:b/>
          <w:bCs/>
          <w:kern w:val="0"/>
          <w:sz w:val="24"/>
        </w:rPr>
        <w:t>参选报价</w:t>
      </w:r>
    </w:p>
    <w:p w14:paraId="6CB8E1BE">
      <w:pPr>
        <w:ind w:left="0" w:leftChars="0" w:firstLine="0" w:firstLineChars="0"/>
        <w:rPr>
          <w:rFonts w:hint="eastAsia"/>
          <w:highlight w:val="none"/>
          <w:lang w:val="en-US" w:eastAsia="zh-CN"/>
        </w:rPr>
      </w:pPr>
      <w:r>
        <w:rPr>
          <w:rFonts w:hint="eastAsia"/>
          <w:highlight w:val="none"/>
          <w:lang w:val="en-US" w:eastAsia="zh-CN"/>
        </w:rPr>
        <w:t>致南通轨道交通运营有限公司工会委员会：</w:t>
      </w:r>
    </w:p>
    <w:p w14:paraId="235597D6">
      <w:pPr>
        <w:rPr>
          <w:rFonts w:hint="eastAsia"/>
          <w:highlight w:val="none"/>
          <w:lang w:val="en-US" w:eastAsia="zh-CN"/>
        </w:rPr>
      </w:pPr>
      <w:r>
        <w:rPr>
          <w:rFonts w:hint="eastAsia"/>
          <w:highlight w:val="none"/>
          <w:lang w:val="en-US" w:eastAsia="zh-CN"/>
        </w:rPr>
        <w:t>根据已收到的比选文件要求，我单位将遵照《中华人民共和国招标投标法》和中国人民银行存、贷款利率的有关规定，对比选文件做如下响应：</w:t>
      </w:r>
    </w:p>
    <w:p w14:paraId="1BF96877">
      <w:pPr>
        <w:numPr>
          <w:ilvl w:val="0"/>
          <w:numId w:val="6"/>
        </w:numPr>
        <w:rPr>
          <w:rFonts w:hint="eastAsia"/>
          <w:highlight w:val="none"/>
          <w:lang w:val="en-US" w:eastAsia="zh-CN"/>
        </w:rPr>
      </w:pPr>
      <w:r>
        <w:rPr>
          <w:rFonts w:hint="eastAsia"/>
          <w:highlight w:val="none"/>
          <w:lang w:val="en-US" w:eastAsia="zh-CN"/>
        </w:rPr>
        <w:t>活期存款利率_________ （%）；</w:t>
      </w:r>
    </w:p>
    <w:p w14:paraId="0F39F385">
      <w:pPr>
        <w:numPr>
          <w:ilvl w:val="0"/>
          <w:numId w:val="6"/>
        </w:numPr>
        <w:rPr>
          <w:rFonts w:hint="eastAsia"/>
          <w:highlight w:val="none"/>
          <w:lang w:val="en-US" w:eastAsia="zh-CN"/>
        </w:rPr>
      </w:pPr>
      <w:r>
        <w:rPr>
          <w:rFonts w:hint="eastAsia"/>
          <w:highlight w:val="none"/>
          <w:lang w:val="en-US" w:eastAsia="zh-CN"/>
        </w:rPr>
        <w:t>协定存款利率_________（%）;</w:t>
      </w:r>
    </w:p>
    <w:p w14:paraId="52B6BA31">
      <w:pPr>
        <w:rPr>
          <w:rFonts w:hint="eastAsia"/>
          <w:highlight w:val="none"/>
          <w:lang w:val="en-US" w:eastAsia="zh-CN"/>
        </w:rPr>
      </w:pPr>
      <w:r>
        <w:rPr>
          <w:rFonts w:hint="eastAsia"/>
          <w:highlight w:val="none"/>
          <w:lang w:val="en-US" w:eastAsia="zh-CN"/>
        </w:rPr>
        <w:t>注意：本行认可采购人针对所有参选银行统一采用的测算方式和折算系数，对根据测算数据折算的指标得分充分理解并完全认可。</w:t>
      </w:r>
    </w:p>
    <w:p w14:paraId="4DB2667A">
      <w:pPr>
        <w:rPr>
          <w:rFonts w:hint="eastAsia"/>
          <w:highlight w:val="none"/>
          <w:lang w:val="en-US" w:eastAsia="zh-CN"/>
        </w:rPr>
      </w:pPr>
    </w:p>
    <w:p w14:paraId="2273A3B5">
      <w:pPr>
        <w:rPr>
          <w:rFonts w:hint="eastAsia"/>
          <w:highlight w:val="none"/>
          <w:lang w:val="en-US" w:eastAsia="zh-CN"/>
        </w:rPr>
      </w:pPr>
    </w:p>
    <w:p w14:paraId="189AE507">
      <w:pPr>
        <w:rPr>
          <w:rFonts w:hint="eastAsia"/>
          <w:highlight w:val="none"/>
          <w:lang w:val="en-US" w:eastAsia="zh-CN"/>
        </w:rPr>
      </w:pPr>
    </w:p>
    <w:p w14:paraId="4FDE77B3">
      <w:pPr>
        <w:rPr>
          <w:rFonts w:hint="eastAsia"/>
          <w:highlight w:val="none"/>
          <w:lang w:val="en-US" w:eastAsia="zh-CN"/>
        </w:rPr>
      </w:pPr>
    </w:p>
    <w:p w14:paraId="05840C57">
      <w:pPr>
        <w:rPr>
          <w:rFonts w:hint="eastAsia"/>
          <w:highlight w:val="none"/>
          <w:lang w:val="en-US" w:eastAsia="zh-CN"/>
        </w:rPr>
      </w:pPr>
    </w:p>
    <w:p w14:paraId="6AEF6130">
      <w:pPr>
        <w:rPr>
          <w:rFonts w:hint="eastAsia"/>
          <w:highlight w:val="none"/>
          <w:lang w:val="en-US" w:eastAsia="zh-CN"/>
        </w:rPr>
      </w:pPr>
      <w:r>
        <w:rPr>
          <w:rFonts w:hint="eastAsia"/>
          <w:highlight w:val="none"/>
          <w:lang w:val="en-US" w:eastAsia="zh-CN"/>
        </w:rPr>
        <w:t>投标人名称 （盖章）：____________________________</w:t>
      </w:r>
    </w:p>
    <w:p w14:paraId="54AA82A1">
      <w:pPr>
        <w:rPr>
          <w:rFonts w:hint="eastAsia"/>
          <w:highlight w:val="none"/>
          <w:lang w:val="en-US" w:eastAsia="zh-CN"/>
        </w:rPr>
      </w:pPr>
      <w:r>
        <w:rPr>
          <w:rFonts w:hint="eastAsia"/>
          <w:highlight w:val="none"/>
          <w:lang w:val="en-US" w:eastAsia="zh-CN"/>
        </w:rPr>
        <w:t>详细地址：____________________________</w:t>
      </w:r>
    </w:p>
    <w:p w14:paraId="6323CDBE">
      <w:pPr>
        <w:rPr>
          <w:rFonts w:hint="eastAsia"/>
          <w:highlight w:val="none"/>
          <w:lang w:val="en-US" w:eastAsia="zh-CN"/>
        </w:rPr>
      </w:pPr>
      <w:r>
        <w:rPr>
          <w:rFonts w:hint="eastAsia"/>
          <w:highlight w:val="none"/>
          <w:lang w:val="en-US" w:eastAsia="zh-CN"/>
        </w:rPr>
        <w:t>法定代表人或其授权代表（签字）：_____________________</w:t>
      </w:r>
    </w:p>
    <w:p w14:paraId="7FAACB13">
      <w:pPr>
        <w:rPr>
          <w:rFonts w:hint="eastAsia"/>
          <w:highlight w:val="none"/>
          <w:lang w:val="en-US" w:eastAsia="zh-CN"/>
        </w:rPr>
      </w:pPr>
      <w:r>
        <w:rPr>
          <w:rFonts w:hint="eastAsia"/>
          <w:highlight w:val="none"/>
          <w:lang w:val="en-US" w:eastAsia="zh-CN"/>
        </w:rPr>
        <w:t>邮政编码：_______    联系电话：_____________________</w:t>
      </w:r>
    </w:p>
    <w:p w14:paraId="0A0A87B4">
      <w:pPr>
        <w:rPr>
          <w:rFonts w:hint="default"/>
          <w:highlight w:val="none"/>
          <w:lang w:val="en-US" w:eastAsia="zh-CN"/>
        </w:rPr>
      </w:pPr>
      <w:r>
        <w:rPr>
          <w:rFonts w:hint="eastAsia"/>
          <w:highlight w:val="none"/>
          <w:lang w:val="en-US" w:eastAsia="zh-CN"/>
        </w:rPr>
        <w:t>日    期：___________</w:t>
      </w:r>
    </w:p>
    <w:p w14:paraId="0FDABC69">
      <w:pPr>
        <w:rPr>
          <w:rFonts w:hint="eastAsia"/>
          <w:highlight w:val="none"/>
          <w:lang w:val="en-US" w:eastAsia="zh-CN"/>
        </w:rPr>
      </w:pPr>
      <w:r>
        <w:rPr>
          <w:rFonts w:hint="eastAsia"/>
          <w:highlight w:val="none"/>
          <w:lang w:val="en-US" w:eastAsia="zh-CN"/>
        </w:rPr>
        <w:br w:type="page"/>
      </w:r>
    </w:p>
    <w:p w14:paraId="37648475">
      <w:pPr>
        <w:pStyle w:val="4"/>
        <w:ind w:firstLine="0" w:firstLineChars="0"/>
        <w:rPr>
          <w:rFonts w:hint="eastAsia"/>
          <w:highlight w:val="none"/>
          <w:lang w:val="en-US" w:eastAsia="zh-CN"/>
        </w:rPr>
      </w:pPr>
      <w:r>
        <w:rPr>
          <w:rFonts w:hint="eastAsia"/>
          <w:highlight w:val="none"/>
          <w:lang w:val="en-US" w:eastAsia="zh-CN"/>
        </w:rPr>
        <w:t>3商务技术部分</w:t>
      </w:r>
    </w:p>
    <w:p w14:paraId="7198D05B">
      <w:pPr>
        <w:bidi w:val="0"/>
        <w:rPr>
          <w:rFonts w:hint="eastAsia"/>
          <w:highlight w:val="none"/>
          <w:lang w:val="en-US" w:eastAsia="zh-CN"/>
        </w:rPr>
      </w:pPr>
      <w:r>
        <w:rPr>
          <w:rFonts w:hint="eastAsia"/>
          <w:highlight w:val="none"/>
          <w:lang w:val="en-US" w:eastAsia="zh-CN"/>
        </w:rPr>
        <w:t>参选人根据第三章评审方法技术部分相关评分点（为方便评委评审，请参选人按评审办法中所涉及的事项顺序进行编制，可以补充相关材料）</w:t>
      </w:r>
    </w:p>
    <w:p w14:paraId="3F56CAF9">
      <w:pPr>
        <w:ind w:firstLine="480"/>
        <w:jc w:val="right"/>
        <w:rPr>
          <w:highlight w:val="none"/>
        </w:rPr>
      </w:pPr>
    </w:p>
    <w:p w14:paraId="2EAE7FAD">
      <w:pPr>
        <w:ind w:firstLine="480"/>
        <w:jc w:val="right"/>
        <w:rPr>
          <w:highlight w:val="none"/>
        </w:rPr>
      </w:pPr>
    </w:p>
    <w:p w14:paraId="2AD94787">
      <w:pPr>
        <w:ind w:firstLine="480"/>
        <w:jc w:val="right"/>
        <w:rPr>
          <w:highlight w:val="none"/>
        </w:rPr>
      </w:pPr>
    </w:p>
    <w:p w14:paraId="3BC1877D">
      <w:pPr>
        <w:ind w:firstLine="480"/>
        <w:jc w:val="right"/>
        <w:rPr>
          <w:highlight w:val="none"/>
        </w:rPr>
      </w:pPr>
    </w:p>
    <w:p w14:paraId="10D0E59E">
      <w:pPr>
        <w:ind w:firstLine="480"/>
        <w:jc w:val="right"/>
        <w:rPr>
          <w:highlight w:val="none"/>
        </w:rPr>
      </w:pPr>
    </w:p>
    <w:p w14:paraId="22025DF7">
      <w:pPr>
        <w:ind w:firstLine="480"/>
        <w:jc w:val="right"/>
        <w:rPr>
          <w:highlight w:val="none"/>
        </w:rPr>
      </w:pPr>
    </w:p>
    <w:p w14:paraId="14D6D0E1">
      <w:pPr>
        <w:ind w:firstLine="480"/>
        <w:jc w:val="right"/>
        <w:rPr>
          <w:highlight w:val="none"/>
        </w:rPr>
      </w:pPr>
    </w:p>
    <w:p w14:paraId="454D91B9">
      <w:pPr>
        <w:ind w:firstLine="480"/>
        <w:jc w:val="right"/>
        <w:rPr>
          <w:highlight w:val="none"/>
        </w:rPr>
      </w:pPr>
    </w:p>
    <w:p w14:paraId="2E8091BB">
      <w:pPr>
        <w:ind w:firstLine="480"/>
        <w:jc w:val="right"/>
        <w:rPr>
          <w:highlight w:val="none"/>
        </w:rPr>
      </w:pPr>
    </w:p>
    <w:p w14:paraId="6CD9533D">
      <w:pPr>
        <w:ind w:firstLine="480"/>
        <w:jc w:val="right"/>
        <w:rPr>
          <w:highlight w:val="none"/>
        </w:rPr>
      </w:pPr>
    </w:p>
    <w:p w14:paraId="1CB3A4DE">
      <w:pPr>
        <w:ind w:firstLine="480"/>
        <w:jc w:val="right"/>
        <w:rPr>
          <w:highlight w:val="none"/>
        </w:rPr>
      </w:pPr>
    </w:p>
    <w:p w14:paraId="3CD1A3DA">
      <w:pPr>
        <w:ind w:firstLine="480"/>
        <w:jc w:val="right"/>
        <w:rPr>
          <w:highlight w:val="none"/>
        </w:rPr>
      </w:pPr>
      <w:r>
        <w:rPr>
          <w:rFonts w:hint="eastAsia"/>
          <w:highlight w:val="none"/>
        </w:rPr>
        <w:t xml:space="preserve"> </w:t>
      </w:r>
    </w:p>
    <w:p w14:paraId="57DFD103">
      <w:pPr>
        <w:ind w:firstLine="480"/>
        <w:rPr>
          <w:highlight w:val="none"/>
        </w:rPr>
      </w:pPr>
    </w:p>
    <w:p w14:paraId="5E995294">
      <w:pPr>
        <w:ind w:left="0" w:leftChars="0" w:firstLine="0" w:firstLineChars="0"/>
        <w:rPr>
          <w:rFonts w:ascii="宋体" w:hAnsi="宋体" w:cs="宋体"/>
          <w:bCs/>
          <w:sz w:val="21"/>
          <w:szCs w:val="21"/>
          <w:highlight w:val="none"/>
        </w:rPr>
      </w:pPr>
    </w:p>
    <w:sectPr>
      <w:pgSz w:w="11906" w:h="16838"/>
      <w:pgMar w:top="1418" w:right="1588" w:bottom="1418" w:left="1588" w:header="851" w:footer="992" w:gutter="0"/>
      <w:cols w:space="425" w:num="1"/>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C3EFC65-2625-42B7-A7C4-3415815C749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微软雅黑 Light">
    <w:panose1 w:val="020B0502040204020203"/>
    <w:charset w:val="86"/>
    <w:family w:val="swiss"/>
    <w:pitch w:val="default"/>
    <w:sig w:usb0="80000287" w:usb1="2ACF0010" w:usb2="00000016" w:usb3="00000000" w:csb0="0004001F" w:csb1="00000000"/>
  </w:font>
  <w:font w:name="等线">
    <w:panose1 w:val="02010600030101010101"/>
    <w:charset w:val="86"/>
    <w:family w:val="auto"/>
    <w:pitch w:val="default"/>
    <w:sig w:usb0="A00002BF" w:usb1="38CF7CFA" w:usb2="00000016" w:usb3="00000000" w:csb0="0004000F" w:csb1="00000000"/>
    <w:embedRegular r:id="rId2" w:fontKey="{00F9B77E-09E3-402D-BD38-BDA1E1C8AECC}"/>
  </w:font>
  <w:font w:name="ÀŒÃÂ">
    <w:altName w:val="Segoe Print"/>
    <w:panose1 w:val="000000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embedRegular r:id="rId3" w:fontKey="{E4C64C71-DFAA-4ADA-8C56-E037EFC89627}"/>
  </w:font>
  <w:font w:name="Segoe UI">
    <w:panose1 w:val="020B0502040204020203"/>
    <w:charset w:val="00"/>
    <w:family w:val="swiss"/>
    <w:pitch w:val="default"/>
    <w:sig w:usb0="E4002EFF" w:usb1="C000E47F" w:usb2="00000009" w:usb3="00000000" w:csb0="200001FF" w:csb1="00000000"/>
    <w:embedRegular r:id="rId4" w:fontKey="{617A18E5-B2CC-4DB0-934A-0EC0E0486E2E}"/>
  </w:font>
  <w:font w:name="Arial Unicode MS">
    <w:panose1 w:val="020B0604020202020204"/>
    <w:charset w:val="86"/>
    <w:family w:val="auto"/>
    <w:pitch w:val="default"/>
    <w:sig w:usb0="F7FFAEFF" w:usb1="F9DFFFFF" w:usb2="0000007F" w:usb3="00000000" w:csb0="203F01FF" w:csb1="DFFF0000"/>
  </w:font>
  <w:font w:name="方正仿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0A0E8">
    <w:pPr>
      <w:pStyle w:val="1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5F076">
    <w:pPr>
      <w:pStyle w:val="1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35516">
    <w:pPr>
      <w:pStyle w:val="1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92493">
    <w:pPr>
      <w:pStyle w:val="19"/>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D8BC5">
    <w:pPr>
      <w:pStyle w:val="19"/>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DD6C159">
                          <w:pPr>
                            <w:pStyle w:val="19"/>
                            <w:ind w:firstLine="360"/>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JGuwyAgAAY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jB5loWN&#10;3loeoaM83i4PAXImlaMonRLoTjxg9lKfLnsSh/vPc4p6+m9YP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NIka7DICAABjBAAADgAAAAAAAAABACAAAAAfAQAAZHJzL2Uyb0RvYy54bWxQSwUG&#10;AAAAAAYABgBZAQAAwwUAAAAA&#10;">
              <v:fill on="f" focussize="0,0"/>
              <v:stroke on="f" weight="0.5pt"/>
              <v:imagedata o:title=""/>
              <o:lock v:ext="edit" aspectratio="f"/>
              <v:textbox inset="0mm,0mm,0mm,0mm" style="mso-fit-shape-to-text:t;">
                <w:txbxContent>
                  <w:p w14:paraId="0DD6C159">
                    <w:pPr>
                      <w:pStyle w:val="19"/>
                      <w:ind w:firstLine="360"/>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D7FE7">
    <w:pPr>
      <w:pStyle w:val="19"/>
      <w:ind w:firstLine="36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20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6047961">
                          <w:pPr>
                            <w:pStyle w:val="19"/>
                            <w:ind w:firstLine="360"/>
                            <w:jc w:val="center"/>
                          </w:pPr>
                          <w:r>
                            <w:fldChar w:fldCharType="begin"/>
                          </w:r>
                          <w:r>
                            <w:instrText xml:space="preserve"> PAGE   \* MERGEFORMAT </w:instrText>
                          </w:r>
                          <w:r>
                            <w:fldChar w:fldCharType="separate"/>
                          </w:r>
                          <w:r>
                            <w:rPr>
                              <w:lang w:val="zh-CN"/>
                            </w:rPr>
                            <w:t>41</w:t>
                          </w:r>
                          <w:r>
                            <w:rPr>
                              <w:lang w:val="zh-CN"/>
                            </w:rPr>
                            <w:fldChar w:fldCharType="end"/>
                          </w:r>
                        </w:p>
                      </w:txbxContent>
                    </wps:txbx>
                    <wps:bodyPr wrap="none" lIns="0" tIns="0" rIns="0" bIns="0">
                      <a:spAutoFit/>
                    </wps:bodyPr>
                  </wps:wsp>
                </a:graphicData>
              </a:graphic>
            </wp:anchor>
          </w:drawing>
        </mc:Choice>
        <mc:Fallback>
          <w:pict>
            <v:shape id="文本框 2050"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zXiPSyQEAAJ4DAAAOAAAAAAAAAAEAIAAAAB4BAABkcnMvZTJvRG9j&#10;LnhtbFBLBQYAAAAABgAGAFkBAABZBQAAAAA=&#10;">
              <v:fill on="f" focussize="0,0"/>
              <v:stroke on="f"/>
              <v:imagedata o:title=""/>
              <o:lock v:ext="edit" aspectratio="f"/>
              <v:textbox inset="0mm,0mm,0mm,0mm" style="mso-fit-shape-to-text:t;">
                <w:txbxContent>
                  <w:p w14:paraId="16047961">
                    <w:pPr>
                      <w:pStyle w:val="19"/>
                      <w:ind w:firstLine="360"/>
                      <w:jc w:val="center"/>
                    </w:pPr>
                    <w:r>
                      <w:fldChar w:fldCharType="begin"/>
                    </w:r>
                    <w:r>
                      <w:instrText xml:space="preserve"> PAGE   \* MERGEFORMAT </w:instrText>
                    </w:r>
                    <w:r>
                      <w:fldChar w:fldCharType="separate"/>
                    </w:r>
                    <w:r>
                      <w:rPr>
                        <w:lang w:val="zh-CN"/>
                      </w:rPr>
                      <w:t>41</w:t>
                    </w:r>
                    <w:r>
                      <w:rPr>
                        <w:lang w:val="zh-CN"/>
                      </w:rPr>
                      <w:fldChar w:fldCharType="end"/>
                    </w:r>
                  </w:p>
                </w:txbxContent>
              </v:textbox>
            </v:shape>
          </w:pict>
        </mc:Fallback>
      </mc:AlternateContent>
    </w:r>
  </w:p>
  <w:p w14:paraId="51454CC8">
    <w:pPr>
      <w:pStyle w:val="19"/>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DB5DC">
    <w:pPr>
      <w:ind w:firstLine="4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FD94A">
    <w:pPr>
      <w:pStyle w:val="2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C7319">
    <w:pPr>
      <w:pStyle w:val="20"/>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99E17F"/>
    <w:multiLevelType w:val="singleLevel"/>
    <w:tmpl w:val="9C99E17F"/>
    <w:lvl w:ilvl="0" w:tentative="0">
      <w:start w:val="1"/>
      <w:numFmt w:val="decimal"/>
      <w:suff w:val="space"/>
      <w:lvlText w:val="%1."/>
      <w:lvlJc w:val="left"/>
    </w:lvl>
  </w:abstractNum>
  <w:abstractNum w:abstractNumId="1">
    <w:nsid w:val="D4A08D64"/>
    <w:multiLevelType w:val="singleLevel"/>
    <w:tmpl w:val="D4A08D64"/>
    <w:lvl w:ilvl="0" w:tentative="0">
      <w:start w:val="1"/>
      <w:numFmt w:val="chineseCounting"/>
      <w:suff w:val="nothing"/>
      <w:lvlText w:val="%1、"/>
      <w:lvlJc w:val="left"/>
      <w:rPr>
        <w:rFonts w:hint="eastAsia"/>
      </w:rPr>
    </w:lvl>
  </w:abstractNum>
  <w:abstractNum w:abstractNumId="2">
    <w:nsid w:val="11BA0E84"/>
    <w:multiLevelType w:val="singleLevel"/>
    <w:tmpl w:val="11BA0E84"/>
    <w:lvl w:ilvl="0" w:tentative="0">
      <w:start w:val="1"/>
      <w:numFmt w:val="chineseCounting"/>
      <w:suff w:val="nothing"/>
      <w:lvlText w:val="%1、"/>
      <w:lvlJc w:val="left"/>
      <w:rPr>
        <w:rFonts w:hint="eastAsia"/>
      </w:rPr>
    </w:lvl>
  </w:abstractNum>
  <w:abstractNum w:abstractNumId="3">
    <w:nsid w:val="43FF6A97"/>
    <w:multiLevelType w:val="multilevel"/>
    <w:tmpl w:val="43FF6A97"/>
    <w:lvl w:ilvl="0" w:tentative="0">
      <w:start w:val="1"/>
      <w:numFmt w:val="none"/>
      <w:lvlText w:val="1.1.17"/>
      <w:lvlJc w:val="left"/>
      <w:pPr>
        <w:ind w:left="432" w:hanging="432"/>
      </w:pPr>
      <w:rPr>
        <w:rFonts w:hint="default" w:ascii="宋体" w:hAnsi="宋体" w:eastAsia="宋体" w:cs="宋体"/>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4">
    <w:nsid w:val="7542A9A2"/>
    <w:multiLevelType w:val="singleLevel"/>
    <w:tmpl w:val="7542A9A2"/>
    <w:lvl w:ilvl="0" w:tentative="0">
      <w:start w:val="1"/>
      <w:numFmt w:val="decimal"/>
      <w:suff w:val="nothing"/>
      <w:lvlText w:val="%1、"/>
      <w:lvlJc w:val="left"/>
    </w:lvl>
  </w:abstractNum>
  <w:abstractNum w:abstractNumId="5">
    <w:nsid w:val="7A53FA2C"/>
    <w:multiLevelType w:val="singleLevel"/>
    <w:tmpl w:val="7A53FA2C"/>
    <w:lvl w:ilvl="0" w:tentative="0">
      <w:start w:val="1"/>
      <w:numFmt w:val="decimal"/>
      <w:suff w:val="nothing"/>
      <w:lvlText w:val="（%1）"/>
      <w:lvlJc w:val="left"/>
    </w:lvl>
  </w:abstractNum>
  <w:num w:numId="1">
    <w:abstractNumId w:val="3"/>
  </w:num>
  <w:num w:numId="2">
    <w:abstractNumId w:val="5"/>
  </w:num>
  <w:num w:numId="3">
    <w:abstractNumId w:val="2"/>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xNjYyMjA5Njc4Zjk3NmZmYTc1NGUyNmQzMTkzNmMifQ=="/>
    <w:docVar w:name="KSO_WPS_MARK_KEY" w:val="f8c41460-45f3-4e97-a46d-60fb1505db61"/>
  </w:docVars>
  <w:rsids>
    <w:rsidRoot w:val="007A01CF"/>
    <w:rsid w:val="00011FFA"/>
    <w:rsid w:val="0001531F"/>
    <w:rsid w:val="00015C92"/>
    <w:rsid w:val="000409E4"/>
    <w:rsid w:val="00054D77"/>
    <w:rsid w:val="0006127B"/>
    <w:rsid w:val="000660EE"/>
    <w:rsid w:val="00070ABA"/>
    <w:rsid w:val="00083333"/>
    <w:rsid w:val="00083B75"/>
    <w:rsid w:val="000862AA"/>
    <w:rsid w:val="000D2078"/>
    <w:rsid w:val="000E091F"/>
    <w:rsid w:val="000F2309"/>
    <w:rsid w:val="000F634E"/>
    <w:rsid w:val="00104F13"/>
    <w:rsid w:val="00112FF2"/>
    <w:rsid w:val="0012363A"/>
    <w:rsid w:val="001322CC"/>
    <w:rsid w:val="00134F89"/>
    <w:rsid w:val="0013614D"/>
    <w:rsid w:val="001417AD"/>
    <w:rsid w:val="00161C9B"/>
    <w:rsid w:val="00167299"/>
    <w:rsid w:val="00171B15"/>
    <w:rsid w:val="0018099E"/>
    <w:rsid w:val="00192400"/>
    <w:rsid w:val="00194B1E"/>
    <w:rsid w:val="001A0B6E"/>
    <w:rsid w:val="001A659A"/>
    <w:rsid w:val="001C0F5C"/>
    <w:rsid w:val="001D1372"/>
    <w:rsid w:val="001D5B3B"/>
    <w:rsid w:val="001E0618"/>
    <w:rsid w:val="001F678C"/>
    <w:rsid w:val="002511A1"/>
    <w:rsid w:val="00272EA5"/>
    <w:rsid w:val="00297E49"/>
    <w:rsid w:val="002A077D"/>
    <w:rsid w:val="002A1C15"/>
    <w:rsid w:val="002C276E"/>
    <w:rsid w:val="002D5F85"/>
    <w:rsid w:val="00300C72"/>
    <w:rsid w:val="003165BC"/>
    <w:rsid w:val="00317C9C"/>
    <w:rsid w:val="00350741"/>
    <w:rsid w:val="00350AF1"/>
    <w:rsid w:val="00353D18"/>
    <w:rsid w:val="00381766"/>
    <w:rsid w:val="00384D15"/>
    <w:rsid w:val="00387895"/>
    <w:rsid w:val="00397BA8"/>
    <w:rsid w:val="003A60EE"/>
    <w:rsid w:val="003B13E1"/>
    <w:rsid w:val="003B28E9"/>
    <w:rsid w:val="003B645B"/>
    <w:rsid w:val="003B6AF8"/>
    <w:rsid w:val="003D0AC3"/>
    <w:rsid w:val="003D5232"/>
    <w:rsid w:val="003E2AF9"/>
    <w:rsid w:val="003E469B"/>
    <w:rsid w:val="003F0A14"/>
    <w:rsid w:val="003F23CE"/>
    <w:rsid w:val="00420B1E"/>
    <w:rsid w:val="00432133"/>
    <w:rsid w:val="00434394"/>
    <w:rsid w:val="00435722"/>
    <w:rsid w:val="00450E5D"/>
    <w:rsid w:val="004658FA"/>
    <w:rsid w:val="00470198"/>
    <w:rsid w:val="00494E3D"/>
    <w:rsid w:val="004A01A2"/>
    <w:rsid w:val="004A5F85"/>
    <w:rsid w:val="004C6100"/>
    <w:rsid w:val="004D2546"/>
    <w:rsid w:val="004D6D82"/>
    <w:rsid w:val="004E0D2E"/>
    <w:rsid w:val="004E2611"/>
    <w:rsid w:val="004E5841"/>
    <w:rsid w:val="004E7CE3"/>
    <w:rsid w:val="005021E5"/>
    <w:rsid w:val="00554B7B"/>
    <w:rsid w:val="00566DF4"/>
    <w:rsid w:val="0059595E"/>
    <w:rsid w:val="005A1D15"/>
    <w:rsid w:val="005A2A77"/>
    <w:rsid w:val="005A2CBD"/>
    <w:rsid w:val="005A3DD5"/>
    <w:rsid w:val="005A677E"/>
    <w:rsid w:val="005B4FC7"/>
    <w:rsid w:val="005C3545"/>
    <w:rsid w:val="005C76EF"/>
    <w:rsid w:val="005E0AA6"/>
    <w:rsid w:val="005E615E"/>
    <w:rsid w:val="00605B73"/>
    <w:rsid w:val="006371D8"/>
    <w:rsid w:val="006447A3"/>
    <w:rsid w:val="0066225C"/>
    <w:rsid w:val="006706F9"/>
    <w:rsid w:val="00673C4E"/>
    <w:rsid w:val="00675481"/>
    <w:rsid w:val="006A495B"/>
    <w:rsid w:val="006A5FE7"/>
    <w:rsid w:val="006C09E8"/>
    <w:rsid w:val="006C466D"/>
    <w:rsid w:val="006D25BC"/>
    <w:rsid w:val="006E68E5"/>
    <w:rsid w:val="006F3C56"/>
    <w:rsid w:val="006F631C"/>
    <w:rsid w:val="0072667C"/>
    <w:rsid w:val="007408E8"/>
    <w:rsid w:val="00744229"/>
    <w:rsid w:val="00744352"/>
    <w:rsid w:val="0074535B"/>
    <w:rsid w:val="007661AA"/>
    <w:rsid w:val="00781AA4"/>
    <w:rsid w:val="007858C9"/>
    <w:rsid w:val="007A01CF"/>
    <w:rsid w:val="007B2B1B"/>
    <w:rsid w:val="007C4963"/>
    <w:rsid w:val="007C4EF2"/>
    <w:rsid w:val="007E5859"/>
    <w:rsid w:val="00807791"/>
    <w:rsid w:val="0081173D"/>
    <w:rsid w:val="008238E1"/>
    <w:rsid w:val="008270E1"/>
    <w:rsid w:val="0084062D"/>
    <w:rsid w:val="00843E61"/>
    <w:rsid w:val="008540ED"/>
    <w:rsid w:val="0086106C"/>
    <w:rsid w:val="008628D2"/>
    <w:rsid w:val="00863ACC"/>
    <w:rsid w:val="00864DE4"/>
    <w:rsid w:val="008711D8"/>
    <w:rsid w:val="00896FEC"/>
    <w:rsid w:val="008A5475"/>
    <w:rsid w:val="008A7539"/>
    <w:rsid w:val="008B6B41"/>
    <w:rsid w:val="008C2087"/>
    <w:rsid w:val="008D05FD"/>
    <w:rsid w:val="00912CF7"/>
    <w:rsid w:val="00925705"/>
    <w:rsid w:val="00932455"/>
    <w:rsid w:val="00932D82"/>
    <w:rsid w:val="009424A2"/>
    <w:rsid w:val="00960A3D"/>
    <w:rsid w:val="00963D4F"/>
    <w:rsid w:val="00977C4C"/>
    <w:rsid w:val="00977DA9"/>
    <w:rsid w:val="00981819"/>
    <w:rsid w:val="00982CFA"/>
    <w:rsid w:val="00990915"/>
    <w:rsid w:val="00996FA6"/>
    <w:rsid w:val="009A26EB"/>
    <w:rsid w:val="009C04A0"/>
    <w:rsid w:val="009D00D1"/>
    <w:rsid w:val="009E0178"/>
    <w:rsid w:val="009E0996"/>
    <w:rsid w:val="009F333E"/>
    <w:rsid w:val="009F53F6"/>
    <w:rsid w:val="00A12865"/>
    <w:rsid w:val="00A23B14"/>
    <w:rsid w:val="00A503C4"/>
    <w:rsid w:val="00A62DC3"/>
    <w:rsid w:val="00A72B98"/>
    <w:rsid w:val="00A83001"/>
    <w:rsid w:val="00A835C4"/>
    <w:rsid w:val="00A83E97"/>
    <w:rsid w:val="00A918DC"/>
    <w:rsid w:val="00A931BB"/>
    <w:rsid w:val="00AA719B"/>
    <w:rsid w:val="00AC10EF"/>
    <w:rsid w:val="00AD592A"/>
    <w:rsid w:val="00AE30B0"/>
    <w:rsid w:val="00AF6972"/>
    <w:rsid w:val="00AF7876"/>
    <w:rsid w:val="00B00CD8"/>
    <w:rsid w:val="00B0507A"/>
    <w:rsid w:val="00B12DF7"/>
    <w:rsid w:val="00B157E4"/>
    <w:rsid w:val="00B3012E"/>
    <w:rsid w:val="00B52BFF"/>
    <w:rsid w:val="00B65064"/>
    <w:rsid w:val="00B65E5F"/>
    <w:rsid w:val="00B90E36"/>
    <w:rsid w:val="00B9620E"/>
    <w:rsid w:val="00BA371B"/>
    <w:rsid w:val="00BA7E08"/>
    <w:rsid w:val="00BC5279"/>
    <w:rsid w:val="00BD030F"/>
    <w:rsid w:val="00BD454F"/>
    <w:rsid w:val="00C022E8"/>
    <w:rsid w:val="00C062AD"/>
    <w:rsid w:val="00C10473"/>
    <w:rsid w:val="00C15E63"/>
    <w:rsid w:val="00C33697"/>
    <w:rsid w:val="00C44474"/>
    <w:rsid w:val="00C8683F"/>
    <w:rsid w:val="00CA1AB4"/>
    <w:rsid w:val="00CA2C77"/>
    <w:rsid w:val="00CA3080"/>
    <w:rsid w:val="00CB1F15"/>
    <w:rsid w:val="00CB2A8A"/>
    <w:rsid w:val="00CB6E9D"/>
    <w:rsid w:val="00CD6A36"/>
    <w:rsid w:val="00D016F1"/>
    <w:rsid w:val="00D03654"/>
    <w:rsid w:val="00D04A35"/>
    <w:rsid w:val="00D073CD"/>
    <w:rsid w:val="00D07896"/>
    <w:rsid w:val="00D11230"/>
    <w:rsid w:val="00D242B6"/>
    <w:rsid w:val="00D24FBD"/>
    <w:rsid w:val="00D26CF6"/>
    <w:rsid w:val="00D41C4D"/>
    <w:rsid w:val="00D54823"/>
    <w:rsid w:val="00D60C8C"/>
    <w:rsid w:val="00D6459B"/>
    <w:rsid w:val="00D765CE"/>
    <w:rsid w:val="00D80B89"/>
    <w:rsid w:val="00D85D30"/>
    <w:rsid w:val="00D94987"/>
    <w:rsid w:val="00E003A7"/>
    <w:rsid w:val="00E34AC0"/>
    <w:rsid w:val="00E53C54"/>
    <w:rsid w:val="00E54B4E"/>
    <w:rsid w:val="00E571C9"/>
    <w:rsid w:val="00E5721A"/>
    <w:rsid w:val="00E62FB0"/>
    <w:rsid w:val="00EC6222"/>
    <w:rsid w:val="00EE1CC5"/>
    <w:rsid w:val="00EF1EAA"/>
    <w:rsid w:val="00F0251F"/>
    <w:rsid w:val="00F175E9"/>
    <w:rsid w:val="00F20784"/>
    <w:rsid w:val="00F2266C"/>
    <w:rsid w:val="00F2317A"/>
    <w:rsid w:val="00F25C05"/>
    <w:rsid w:val="00F267D8"/>
    <w:rsid w:val="00F37953"/>
    <w:rsid w:val="00F838F1"/>
    <w:rsid w:val="00F95CC9"/>
    <w:rsid w:val="00FA3095"/>
    <w:rsid w:val="00FA35F2"/>
    <w:rsid w:val="00FE2D33"/>
    <w:rsid w:val="00FE5124"/>
    <w:rsid w:val="00FE7608"/>
    <w:rsid w:val="01457570"/>
    <w:rsid w:val="016C71F3"/>
    <w:rsid w:val="016D6AC7"/>
    <w:rsid w:val="01714809"/>
    <w:rsid w:val="01B81F4E"/>
    <w:rsid w:val="01E225A2"/>
    <w:rsid w:val="01E60F36"/>
    <w:rsid w:val="01EA04ED"/>
    <w:rsid w:val="020B07BA"/>
    <w:rsid w:val="022509EE"/>
    <w:rsid w:val="022A4E77"/>
    <w:rsid w:val="022E44A8"/>
    <w:rsid w:val="02346EF6"/>
    <w:rsid w:val="02691984"/>
    <w:rsid w:val="026A2E36"/>
    <w:rsid w:val="026D4B89"/>
    <w:rsid w:val="028265A2"/>
    <w:rsid w:val="02852841"/>
    <w:rsid w:val="02913441"/>
    <w:rsid w:val="02AF383B"/>
    <w:rsid w:val="02B64A8D"/>
    <w:rsid w:val="02DE5ECF"/>
    <w:rsid w:val="02EC1CA9"/>
    <w:rsid w:val="03065425"/>
    <w:rsid w:val="030C130F"/>
    <w:rsid w:val="034B4414"/>
    <w:rsid w:val="03563241"/>
    <w:rsid w:val="03AF3136"/>
    <w:rsid w:val="03DB6D68"/>
    <w:rsid w:val="03F35447"/>
    <w:rsid w:val="040354C1"/>
    <w:rsid w:val="0405071D"/>
    <w:rsid w:val="04130CF3"/>
    <w:rsid w:val="043A5387"/>
    <w:rsid w:val="046B19E4"/>
    <w:rsid w:val="047A3C82"/>
    <w:rsid w:val="04B32967"/>
    <w:rsid w:val="04C46EBC"/>
    <w:rsid w:val="04D26084"/>
    <w:rsid w:val="052120A3"/>
    <w:rsid w:val="053733E3"/>
    <w:rsid w:val="054F4E62"/>
    <w:rsid w:val="055E6E53"/>
    <w:rsid w:val="056A57F8"/>
    <w:rsid w:val="056D227B"/>
    <w:rsid w:val="057228FE"/>
    <w:rsid w:val="05E0020A"/>
    <w:rsid w:val="06071298"/>
    <w:rsid w:val="062647CB"/>
    <w:rsid w:val="064D7481"/>
    <w:rsid w:val="065048F3"/>
    <w:rsid w:val="06540256"/>
    <w:rsid w:val="06691F53"/>
    <w:rsid w:val="06897EFF"/>
    <w:rsid w:val="069074E0"/>
    <w:rsid w:val="06A72A7B"/>
    <w:rsid w:val="06BB2083"/>
    <w:rsid w:val="06BB3B5B"/>
    <w:rsid w:val="06BE0191"/>
    <w:rsid w:val="06BE1C50"/>
    <w:rsid w:val="06C6731D"/>
    <w:rsid w:val="06CC1AEC"/>
    <w:rsid w:val="06D20DE8"/>
    <w:rsid w:val="06DD36FA"/>
    <w:rsid w:val="06F305C5"/>
    <w:rsid w:val="07034156"/>
    <w:rsid w:val="070B6B66"/>
    <w:rsid w:val="0712477A"/>
    <w:rsid w:val="07153AA1"/>
    <w:rsid w:val="07165CD4"/>
    <w:rsid w:val="071D7F32"/>
    <w:rsid w:val="07247C28"/>
    <w:rsid w:val="077706A0"/>
    <w:rsid w:val="077D556B"/>
    <w:rsid w:val="082779D0"/>
    <w:rsid w:val="082A5712"/>
    <w:rsid w:val="083D5469"/>
    <w:rsid w:val="08547ECE"/>
    <w:rsid w:val="088A443D"/>
    <w:rsid w:val="089A512A"/>
    <w:rsid w:val="08A2799E"/>
    <w:rsid w:val="08AC4379"/>
    <w:rsid w:val="08AE00F1"/>
    <w:rsid w:val="08FD1DEA"/>
    <w:rsid w:val="08FD26D2"/>
    <w:rsid w:val="093305F6"/>
    <w:rsid w:val="093B0A01"/>
    <w:rsid w:val="097A6637"/>
    <w:rsid w:val="097F383C"/>
    <w:rsid w:val="09826A8C"/>
    <w:rsid w:val="09A13015"/>
    <w:rsid w:val="09B41A12"/>
    <w:rsid w:val="09C851E3"/>
    <w:rsid w:val="09DC2A3C"/>
    <w:rsid w:val="0A05340D"/>
    <w:rsid w:val="0A104E7E"/>
    <w:rsid w:val="0A122961"/>
    <w:rsid w:val="0A200B7B"/>
    <w:rsid w:val="0A30240D"/>
    <w:rsid w:val="0ABA12FC"/>
    <w:rsid w:val="0AC7549A"/>
    <w:rsid w:val="0AF53DB5"/>
    <w:rsid w:val="0AFB7861"/>
    <w:rsid w:val="0B073AE9"/>
    <w:rsid w:val="0B154457"/>
    <w:rsid w:val="0B3548DA"/>
    <w:rsid w:val="0B6910EB"/>
    <w:rsid w:val="0B896BF3"/>
    <w:rsid w:val="0B9D4513"/>
    <w:rsid w:val="0BA852CC"/>
    <w:rsid w:val="0BBE689D"/>
    <w:rsid w:val="0BF027CF"/>
    <w:rsid w:val="0BF978D5"/>
    <w:rsid w:val="0C05627A"/>
    <w:rsid w:val="0C0A1AE2"/>
    <w:rsid w:val="0C1D53A7"/>
    <w:rsid w:val="0C842CBC"/>
    <w:rsid w:val="0CAC2B9A"/>
    <w:rsid w:val="0CE52B68"/>
    <w:rsid w:val="0CF02FE7"/>
    <w:rsid w:val="0D224C0A"/>
    <w:rsid w:val="0D3F3A0E"/>
    <w:rsid w:val="0D68799F"/>
    <w:rsid w:val="0D713D7D"/>
    <w:rsid w:val="0D9E3A74"/>
    <w:rsid w:val="0DB96B40"/>
    <w:rsid w:val="0DCC19EB"/>
    <w:rsid w:val="0DE93979"/>
    <w:rsid w:val="0DFC5A51"/>
    <w:rsid w:val="0E146B29"/>
    <w:rsid w:val="0E1E49F8"/>
    <w:rsid w:val="0E230C39"/>
    <w:rsid w:val="0E372937"/>
    <w:rsid w:val="0E4E725B"/>
    <w:rsid w:val="0E6B25E0"/>
    <w:rsid w:val="0E912047"/>
    <w:rsid w:val="0ED55A54"/>
    <w:rsid w:val="0EF3685E"/>
    <w:rsid w:val="0EF521B0"/>
    <w:rsid w:val="0F181A89"/>
    <w:rsid w:val="0F457653"/>
    <w:rsid w:val="0F590470"/>
    <w:rsid w:val="0F5F0397"/>
    <w:rsid w:val="0F8D136E"/>
    <w:rsid w:val="0FB87AA7"/>
    <w:rsid w:val="0FBD1570"/>
    <w:rsid w:val="0FBD50BE"/>
    <w:rsid w:val="0FDC19E8"/>
    <w:rsid w:val="104B4477"/>
    <w:rsid w:val="105C17DB"/>
    <w:rsid w:val="10EC7601"/>
    <w:rsid w:val="11180717"/>
    <w:rsid w:val="115E01DA"/>
    <w:rsid w:val="1160202D"/>
    <w:rsid w:val="1161340A"/>
    <w:rsid w:val="11642DF2"/>
    <w:rsid w:val="117164A2"/>
    <w:rsid w:val="11830360"/>
    <w:rsid w:val="11943BFC"/>
    <w:rsid w:val="11B22527"/>
    <w:rsid w:val="11C60F64"/>
    <w:rsid w:val="11E614F9"/>
    <w:rsid w:val="11E93F48"/>
    <w:rsid w:val="12061235"/>
    <w:rsid w:val="120F619E"/>
    <w:rsid w:val="121E36C5"/>
    <w:rsid w:val="123A7522"/>
    <w:rsid w:val="125F42F7"/>
    <w:rsid w:val="126A262A"/>
    <w:rsid w:val="12C30C3D"/>
    <w:rsid w:val="12C90373"/>
    <w:rsid w:val="12E82277"/>
    <w:rsid w:val="12EB7599"/>
    <w:rsid w:val="130A123F"/>
    <w:rsid w:val="13177301"/>
    <w:rsid w:val="132B7C1A"/>
    <w:rsid w:val="134A761C"/>
    <w:rsid w:val="135A334F"/>
    <w:rsid w:val="136A730B"/>
    <w:rsid w:val="13A97E33"/>
    <w:rsid w:val="13B14F39"/>
    <w:rsid w:val="13BD568C"/>
    <w:rsid w:val="13D555E0"/>
    <w:rsid w:val="13D749A0"/>
    <w:rsid w:val="14013F08"/>
    <w:rsid w:val="142D3089"/>
    <w:rsid w:val="14316687"/>
    <w:rsid w:val="14332D90"/>
    <w:rsid w:val="147A69D5"/>
    <w:rsid w:val="14836EAC"/>
    <w:rsid w:val="149635A0"/>
    <w:rsid w:val="14CD557A"/>
    <w:rsid w:val="14DF1632"/>
    <w:rsid w:val="150B2427"/>
    <w:rsid w:val="158175E2"/>
    <w:rsid w:val="15C2342E"/>
    <w:rsid w:val="15C9146F"/>
    <w:rsid w:val="15CA22E2"/>
    <w:rsid w:val="15DD6E58"/>
    <w:rsid w:val="15EE7D7F"/>
    <w:rsid w:val="15F31839"/>
    <w:rsid w:val="160C2960"/>
    <w:rsid w:val="161206F8"/>
    <w:rsid w:val="16183265"/>
    <w:rsid w:val="16253883"/>
    <w:rsid w:val="16315EBE"/>
    <w:rsid w:val="16333219"/>
    <w:rsid w:val="16426169"/>
    <w:rsid w:val="1649227B"/>
    <w:rsid w:val="16564FD6"/>
    <w:rsid w:val="165C511D"/>
    <w:rsid w:val="16646293"/>
    <w:rsid w:val="166718DF"/>
    <w:rsid w:val="166F4D71"/>
    <w:rsid w:val="16DB6809"/>
    <w:rsid w:val="16F70EB5"/>
    <w:rsid w:val="17155AED"/>
    <w:rsid w:val="172872C1"/>
    <w:rsid w:val="17E05CE9"/>
    <w:rsid w:val="17FB49D5"/>
    <w:rsid w:val="180C006C"/>
    <w:rsid w:val="180E64B6"/>
    <w:rsid w:val="18716A45"/>
    <w:rsid w:val="187A579A"/>
    <w:rsid w:val="187C567E"/>
    <w:rsid w:val="18A46E1B"/>
    <w:rsid w:val="18EA4DA7"/>
    <w:rsid w:val="19076BA9"/>
    <w:rsid w:val="19250D1B"/>
    <w:rsid w:val="19567D24"/>
    <w:rsid w:val="19706CFD"/>
    <w:rsid w:val="199C51C6"/>
    <w:rsid w:val="19B94B48"/>
    <w:rsid w:val="19C55CC1"/>
    <w:rsid w:val="1A134258"/>
    <w:rsid w:val="1A1B135F"/>
    <w:rsid w:val="1A3B730B"/>
    <w:rsid w:val="1A4408B5"/>
    <w:rsid w:val="1A6C5508"/>
    <w:rsid w:val="1A97225A"/>
    <w:rsid w:val="1A9975C9"/>
    <w:rsid w:val="1AD80C7F"/>
    <w:rsid w:val="1AE179D4"/>
    <w:rsid w:val="1AE8166C"/>
    <w:rsid w:val="1AF71484"/>
    <w:rsid w:val="1B0167A6"/>
    <w:rsid w:val="1B4E306E"/>
    <w:rsid w:val="1B522B5E"/>
    <w:rsid w:val="1B572DE3"/>
    <w:rsid w:val="1B651382"/>
    <w:rsid w:val="1B696ADA"/>
    <w:rsid w:val="1B9A62B3"/>
    <w:rsid w:val="1BB750B7"/>
    <w:rsid w:val="1BC32914"/>
    <w:rsid w:val="1BC92D5A"/>
    <w:rsid w:val="1C102A29"/>
    <w:rsid w:val="1C3B01F8"/>
    <w:rsid w:val="1C4F709D"/>
    <w:rsid w:val="1C591044"/>
    <w:rsid w:val="1C6659C2"/>
    <w:rsid w:val="1C720D20"/>
    <w:rsid w:val="1C8E38A1"/>
    <w:rsid w:val="1CA3405A"/>
    <w:rsid w:val="1CC82D53"/>
    <w:rsid w:val="1CC86D62"/>
    <w:rsid w:val="1CE27FBF"/>
    <w:rsid w:val="1D160BB8"/>
    <w:rsid w:val="1D3A4095"/>
    <w:rsid w:val="1D74158B"/>
    <w:rsid w:val="1D74500E"/>
    <w:rsid w:val="1DF77143"/>
    <w:rsid w:val="1E08043A"/>
    <w:rsid w:val="1E0D3B7E"/>
    <w:rsid w:val="1E290A8B"/>
    <w:rsid w:val="1E312EFF"/>
    <w:rsid w:val="1E6C03DB"/>
    <w:rsid w:val="1E8B6273"/>
    <w:rsid w:val="1EF87ECE"/>
    <w:rsid w:val="1F29007A"/>
    <w:rsid w:val="1F6C10DE"/>
    <w:rsid w:val="1F707A57"/>
    <w:rsid w:val="1F8F0BF8"/>
    <w:rsid w:val="1FEB3581"/>
    <w:rsid w:val="1FF9343C"/>
    <w:rsid w:val="1FFC578E"/>
    <w:rsid w:val="20112FE8"/>
    <w:rsid w:val="20157DAF"/>
    <w:rsid w:val="202924C7"/>
    <w:rsid w:val="20670E5A"/>
    <w:rsid w:val="208E16CF"/>
    <w:rsid w:val="20E1361B"/>
    <w:rsid w:val="21165730"/>
    <w:rsid w:val="211C60E8"/>
    <w:rsid w:val="21537630"/>
    <w:rsid w:val="216043C0"/>
    <w:rsid w:val="218232AE"/>
    <w:rsid w:val="219C1BB2"/>
    <w:rsid w:val="21A5649F"/>
    <w:rsid w:val="21BD028C"/>
    <w:rsid w:val="21C80E8E"/>
    <w:rsid w:val="21E87AF3"/>
    <w:rsid w:val="21F62A43"/>
    <w:rsid w:val="21FB7B33"/>
    <w:rsid w:val="220D2D56"/>
    <w:rsid w:val="2214638E"/>
    <w:rsid w:val="22230B3A"/>
    <w:rsid w:val="22295AD0"/>
    <w:rsid w:val="223623F3"/>
    <w:rsid w:val="22393D7A"/>
    <w:rsid w:val="226671AC"/>
    <w:rsid w:val="229A1646"/>
    <w:rsid w:val="22AD78FE"/>
    <w:rsid w:val="22B15C30"/>
    <w:rsid w:val="23192527"/>
    <w:rsid w:val="231A6657"/>
    <w:rsid w:val="2332573A"/>
    <w:rsid w:val="233A0D5E"/>
    <w:rsid w:val="23411E26"/>
    <w:rsid w:val="236E623D"/>
    <w:rsid w:val="23BF0FAD"/>
    <w:rsid w:val="241D14BC"/>
    <w:rsid w:val="241F1A7A"/>
    <w:rsid w:val="242341FB"/>
    <w:rsid w:val="24443260"/>
    <w:rsid w:val="24466FD8"/>
    <w:rsid w:val="244D480A"/>
    <w:rsid w:val="247578BD"/>
    <w:rsid w:val="24782C2D"/>
    <w:rsid w:val="247C21FC"/>
    <w:rsid w:val="2480698E"/>
    <w:rsid w:val="24AF2DCF"/>
    <w:rsid w:val="24BF6C72"/>
    <w:rsid w:val="24C543A1"/>
    <w:rsid w:val="24CE5D85"/>
    <w:rsid w:val="24DD5B8E"/>
    <w:rsid w:val="25162E4E"/>
    <w:rsid w:val="253232E9"/>
    <w:rsid w:val="253634F0"/>
    <w:rsid w:val="253B4663"/>
    <w:rsid w:val="255E5143"/>
    <w:rsid w:val="25652D29"/>
    <w:rsid w:val="2592509A"/>
    <w:rsid w:val="25AF0E14"/>
    <w:rsid w:val="25C32C36"/>
    <w:rsid w:val="25C96113"/>
    <w:rsid w:val="25C97EC1"/>
    <w:rsid w:val="25D32AED"/>
    <w:rsid w:val="260A58E2"/>
    <w:rsid w:val="260B54CA"/>
    <w:rsid w:val="260C2ECE"/>
    <w:rsid w:val="261A6112"/>
    <w:rsid w:val="269009DE"/>
    <w:rsid w:val="26924756"/>
    <w:rsid w:val="26CC76FD"/>
    <w:rsid w:val="26D22DA5"/>
    <w:rsid w:val="26D848D9"/>
    <w:rsid w:val="26FC6074"/>
    <w:rsid w:val="27010CE7"/>
    <w:rsid w:val="27513C7C"/>
    <w:rsid w:val="275D6B12"/>
    <w:rsid w:val="276576A9"/>
    <w:rsid w:val="276907BC"/>
    <w:rsid w:val="27826579"/>
    <w:rsid w:val="27A26C1B"/>
    <w:rsid w:val="27C3100E"/>
    <w:rsid w:val="27C46B92"/>
    <w:rsid w:val="27CC1959"/>
    <w:rsid w:val="27D03788"/>
    <w:rsid w:val="27D112AE"/>
    <w:rsid w:val="27ED501A"/>
    <w:rsid w:val="27F31225"/>
    <w:rsid w:val="28060F58"/>
    <w:rsid w:val="28101DD7"/>
    <w:rsid w:val="281C69CE"/>
    <w:rsid w:val="285F2D5E"/>
    <w:rsid w:val="2861066E"/>
    <w:rsid w:val="28847761"/>
    <w:rsid w:val="29096BD2"/>
    <w:rsid w:val="290A2502"/>
    <w:rsid w:val="291C6636"/>
    <w:rsid w:val="292673D8"/>
    <w:rsid w:val="293B10D5"/>
    <w:rsid w:val="29760631"/>
    <w:rsid w:val="29B00C1F"/>
    <w:rsid w:val="29B019A3"/>
    <w:rsid w:val="2A224043"/>
    <w:rsid w:val="2A3224D8"/>
    <w:rsid w:val="2A363B85"/>
    <w:rsid w:val="2A4E4353"/>
    <w:rsid w:val="2A5A37DD"/>
    <w:rsid w:val="2A614B6C"/>
    <w:rsid w:val="2A92596F"/>
    <w:rsid w:val="2ABD408D"/>
    <w:rsid w:val="2AC12217"/>
    <w:rsid w:val="2AE0123A"/>
    <w:rsid w:val="2AEC3E4F"/>
    <w:rsid w:val="2B02634F"/>
    <w:rsid w:val="2B0379D1"/>
    <w:rsid w:val="2B1206D3"/>
    <w:rsid w:val="2B157E8C"/>
    <w:rsid w:val="2B797C93"/>
    <w:rsid w:val="2B88437A"/>
    <w:rsid w:val="2B9F2E51"/>
    <w:rsid w:val="2C075B8A"/>
    <w:rsid w:val="2C0B2FE1"/>
    <w:rsid w:val="2C19528B"/>
    <w:rsid w:val="2C346B47"/>
    <w:rsid w:val="2C3C6C8B"/>
    <w:rsid w:val="2C452D43"/>
    <w:rsid w:val="2C48086A"/>
    <w:rsid w:val="2C571A8D"/>
    <w:rsid w:val="2C5E3228"/>
    <w:rsid w:val="2C954FA0"/>
    <w:rsid w:val="2C9805ED"/>
    <w:rsid w:val="2C9A01CA"/>
    <w:rsid w:val="2CAC6259"/>
    <w:rsid w:val="2D0C305E"/>
    <w:rsid w:val="2D23435A"/>
    <w:rsid w:val="2D2929C9"/>
    <w:rsid w:val="2D5B7F98"/>
    <w:rsid w:val="2D6A3D37"/>
    <w:rsid w:val="2D744BB6"/>
    <w:rsid w:val="2DBD655D"/>
    <w:rsid w:val="2DC21DC5"/>
    <w:rsid w:val="2DE74D54"/>
    <w:rsid w:val="2E007756"/>
    <w:rsid w:val="2E0E6DB8"/>
    <w:rsid w:val="2E1017BF"/>
    <w:rsid w:val="2E2B5035"/>
    <w:rsid w:val="2E5B6475"/>
    <w:rsid w:val="2EAB67C6"/>
    <w:rsid w:val="2EFE507F"/>
    <w:rsid w:val="2F146650"/>
    <w:rsid w:val="2F265028"/>
    <w:rsid w:val="2F414F6C"/>
    <w:rsid w:val="2F4B69DB"/>
    <w:rsid w:val="2F757E6C"/>
    <w:rsid w:val="2F7865AA"/>
    <w:rsid w:val="2FCF5B24"/>
    <w:rsid w:val="2FDD2EE6"/>
    <w:rsid w:val="2FE04785"/>
    <w:rsid w:val="301C48FC"/>
    <w:rsid w:val="30360848"/>
    <w:rsid w:val="303E6475"/>
    <w:rsid w:val="303F3984"/>
    <w:rsid w:val="308B35EB"/>
    <w:rsid w:val="3095556F"/>
    <w:rsid w:val="309D2676"/>
    <w:rsid w:val="30D140CD"/>
    <w:rsid w:val="30D2231F"/>
    <w:rsid w:val="30DF2C8E"/>
    <w:rsid w:val="30E73C6A"/>
    <w:rsid w:val="30FD4EC2"/>
    <w:rsid w:val="31101099"/>
    <w:rsid w:val="3145759A"/>
    <w:rsid w:val="314774D9"/>
    <w:rsid w:val="315D7542"/>
    <w:rsid w:val="316C2F99"/>
    <w:rsid w:val="319F1A18"/>
    <w:rsid w:val="31A041CB"/>
    <w:rsid w:val="31A67308"/>
    <w:rsid w:val="31FB4569"/>
    <w:rsid w:val="32134B55"/>
    <w:rsid w:val="32271EC3"/>
    <w:rsid w:val="325B4596"/>
    <w:rsid w:val="32786EF6"/>
    <w:rsid w:val="32894C60"/>
    <w:rsid w:val="32CC2D9E"/>
    <w:rsid w:val="32E875B7"/>
    <w:rsid w:val="33107C6F"/>
    <w:rsid w:val="3321345F"/>
    <w:rsid w:val="336631F3"/>
    <w:rsid w:val="33745910"/>
    <w:rsid w:val="33891C83"/>
    <w:rsid w:val="33B169E4"/>
    <w:rsid w:val="33CC3D84"/>
    <w:rsid w:val="33CF2B46"/>
    <w:rsid w:val="33E505BB"/>
    <w:rsid w:val="340016D5"/>
    <w:rsid w:val="340E5CED"/>
    <w:rsid w:val="34651A9C"/>
    <w:rsid w:val="34764194"/>
    <w:rsid w:val="35103416"/>
    <w:rsid w:val="352C623B"/>
    <w:rsid w:val="352E1AEE"/>
    <w:rsid w:val="35610116"/>
    <w:rsid w:val="35887450"/>
    <w:rsid w:val="358E166E"/>
    <w:rsid w:val="358E6A31"/>
    <w:rsid w:val="359330B7"/>
    <w:rsid w:val="35AF0E81"/>
    <w:rsid w:val="35BA3D90"/>
    <w:rsid w:val="36023AC3"/>
    <w:rsid w:val="363D46DF"/>
    <w:rsid w:val="36486BE0"/>
    <w:rsid w:val="367C581D"/>
    <w:rsid w:val="368340BC"/>
    <w:rsid w:val="36B808A5"/>
    <w:rsid w:val="36BB20DA"/>
    <w:rsid w:val="36C02C1A"/>
    <w:rsid w:val="370F76FD"/>
    <w:rsid w:val="37213AEB"/>
    <w:rsid w:val="37335AE2"/>
    <w:rsid w:val="37485855"/>
    <w:rsid w:val="377A465F"/>
    <w:rsid w:val="37E478DF"/>
    <w:rsid w:val="37ED5E30"/>
    <w:rsid w:val="38065507"/>
    <w:rsid w:val="380977E7"/>
    <w:rsid w:val="384265B4"/>
    <w:rsid w:val="38591578"/>
    <w:rsid w:val="38650AC7"/>
    <w:rsid w:val="38681CB4"/>
    <w:rsid w:val="388365F5"/>
    <w:rsid w:val="38877E93"/>
    <w:rsid w:val="38991D99"/>
    <w:rsid w:val="38B904D9"/>
    <w:rsid w:val="38C42E95"/>
    <w:rsid w:val="38C44974"/>
    <w:rsid w:val="38D303E0"/>
    <w:rsid w:val="38EE1CC0"/>
    <w:rsid w:val="3929068B"/>
    <w:rsid w:val="39295581"/>
    <w:rsid w:val="39565A32"/>
    <w:rsid w:val="397F6DBC"/>
    <w:rsid w:val="39B340A5"/>
    <w:rsid w:val="39D12EC0"/>
    <w:rsid w:val="3A127C30"/>
    <w:rsid w:val="3A18480B"/>
    <w:rsid w:val="3A1D4906"/>
    <w:rsid w:val="3A354D8F"/>
    <w:rsid w:val="3A5D4247"/>
    <w:rsid w:val="3A7461F5"/>
    <w:rsid w:val="3A8F0F13"/>
    <w:rsid w:val="3A8F302F"/>
    <w:rsid w:val="3A944F9A"/>
    <w:rsid w:val="3AB6680E"/>
    <w:rsid w:val="3AC4610C"/>
    <w:rsid w:val="3AC70A1B"/>
    <w:rsid w:val="3ADD5722"/>
    <w:rsid w:val="3AE62396"/>
    <w:rsid w:val="3AEF3ACE"/>
    <w:rsid w:val="3AFC27B3"/>
    <w:rsid w:val="3B051543"/>
    <w:rsid w:val="3B0976FC"/>
    <w:rsid w:val="3B3A4D42"/>
    <w:rsid w:val="3B605751"/>
    <w:rsid w:val="3BA26D92"/>
    <w:rsid w:val="3BB80364"/>
    <w:rsid w:val="3BC9067B"/>
    <w:rsid w:val="3BE94483"/>
    <w:rsid w:val="3C034322"/>
    <w:rsid w:val="3C1557B6"/>
    <w:rsid w:val="3C212ADA"/>
    <w:rsid w:val="3C261771"/>
    <w:rsid w:val="3C2679C3"/>
    <w:rsid w:val="3C3A3252"/>
    <w:rsid w:val="3C3D6ABB"/>
    <w:rsid w:val="3CE810C8"/>
    <w:rsid w:val="3CED2271"/>
    <w:rsid w:val="3CF36ED7"/>
    <w:rsid w:val="3D0A1454"/>
    <w:rsid w:val="3D0C6BB9"/>
    <w:rsid w:val="3D497A6B"/>
    <w:rsid w:val="3D4C16AB"/>
    <w:rsid w:val="3D5B299C"/>
    <w:rsid w:val="3D714C6E"/>
    <w:rsid w:val="3D934282"/>
    <w:rsid w:val="3D9F17DB"/>
    <w:rsid w:val="3DC740F2"/>
    <w:rsid w:val="3DEC4490"/>
    <w:rsid w:val="3E2834A0"/>
    <w:rsid w:val="3E2D4B10"/>
    <w:rsid w:val="3E377C66"/>
    <w:rsid w:val="3E497999"/>
    <w:rsid w:val="3E7739EC"/>
    <w:rsid w:val="3EA51073"/>
    <w:rsid w:val="3EDE2E0A"/>
    <w:rsid w:val="3EE17838"/>
    <w:rsid w:val="3F0F0BE2"/>
    <w:rsid w:val="3F3E3276"/>
    <w:rsid w:val="3F4C08E9"/>
    <w:rsid w:val="3FB455DD"/>
    <w:rsid w:val="3FC75019"/>
    <w:rsid w:val="3FC9719A"/>
    <w:rsid w:val="3FD6525C"/>
    <w:rsid w:val="400D3374"/>
    <w:rsid w:val="40400BE3"/>
    <w:rsid w:val="408D5C92"/>
    <w:rsid w:val="40A77E98"/>
    <w:rsid w:val="40A935D2"/>
    <w:rsid w:val="40E51BFB"/>
    <w:rsid w:val="410209B9"/>
    <w:rsid w:val="412D566A"/>
    <w:rsid w:val="415A52BC"/>
    <w:rsid w:val="415F7893"/>
    <w:rsid w:val="416D23C4"/>
    <w:rsid w:val="416F3BBA"/>
    <w:rsid w:val="41831D17"/>
    <w:rsid w:val="41B31CF9"/>
    <w:rsid w:val="41F1637D"/>
    <w:rsid w:val="41F65DB5"/>
    <w:rsid w:val="42303B15"/>
    <w:rsid w:val="42497F67"/>
    <w:rsid w:val="42597579"/>
    <w:rsid w:val="42CA569E"/>
    <w:rsid w:val="42D731AB"/>
    <w:rsid w:val="42E63A08"/>
    <w:rsid w:val="42E70940"/>
    <w:rsid w:val="42F20DCB"/>
    <w:rsid w:val="42F80C34"/>
    <w:rsid w:val="430E60F0"/>
    <w:rsid w:val="4310512D"/>
    <w:rsid w:val="43413334"/>
    <w:rsid w:val="434846C3"/>
    <w:rsid w:val="434B21EB"/>
    <w:rsid w:val="4363652A"/>
    <w:rsid w:val="436808C1"/>
    <w:rsid w:val="43792674"/>
    <w:rsid w:val="43792ACE"/>
    <w:rsid w:val="43F42155"/>
    <w:rsid w:val="43FF5FEF"/>
    <w:rsid w:val="446612A5"/>
    <w:rsid w:val="447D039C"/>
    <w:rsid w:val="448B2AB9"/>
    <w:rsid w:val="44903204"/>
    <w:rsid w:val="44C47D79"/>
    <w:rsid w:val="4513234C"/>
    <w:rsid w:val="45140D01"/>
    <w:rsid w:val="452D1DC2"/>
    <w:rsid w:val="452E38E1"/>
    <w:rsid w:val="4557299B"/>
    <w:rsid w:val="45584D31"/>
    <w:rsid w:val="456F4B6D"/>
    <w:rsid w:val="45A04342"/>
    <w:rsid w:val="45EF0E26"/>
    <w:rsid w:val="461A5822"/>
    <w:rsid w:val="463B22BD"/>
    <w:rsid w:val="4648606A"/>
    <w:rsid w:val="464A1597"/>
    <w:rsid w:val="464A34CB"/>
    <w:rsid w:val="465B470D"/>
    <w:rsid w:val="465F4FD9"/>
    <w:rsid w:val="469E0D49"/>
    <w:rsid w:val="46C358EC"/>
    <w:rsid w:val="46FB6188"/>
    <w:rsid w:val="47014A93"/>
    <w:rsid w:val="470E5B90"/>
    <w:rsid w:val="474927B8"/>
    <w:rsid w:val="47623CC2"/>
    <w:rsid w:val="47BB36B5"/>
    <w:rsid w:val="481F16DB"/>
    <w:rsid w:val="483B65A4"/>
    <w:rsid w:val="483F7EA7"/>
    <w:rsid w:val="48495F2C"/>
    <w:rsid w:val="48721C73"/>
    <w:rsid w:val="488D157A"/>
    <w:rsid w:val="489C3D6B"/>
    <w:rsid w:val="48D103FC"/>
    <w:rsid w:val="48D80297"/>
    <w:rsid w:val="48D957E1"/>
    <w:rsid w:val="48F21756"/>
    <w:rsid w:val="48FD1AAC"/>
    <w:rsid w:val="49030CE7"/>
    <w:rsid w:val="4924125B"/>
    <w:rsid w:val="49244145"/>
    <w:rsid w:val="49315AD9"/>
    <w:rsid w:val="49502F63"/>
    <w:rsid w:val="4951041B"/>
    <w:rsid w:val="495518E8"/>
    <w:rsid w:val="497C6E74"/>
    <w:rsid w:val="498A77E3"/>
    <w:rsid w:val="49AA1C33"/>
    <w:rsid w:val="49D002CC"/>
    <w:rsid w:val="49E31F95"/>
    <w:rsid w:val="4A015DB3"/>
    <w:rsid w:val="4A174DEF"/>
    <w:rsid w:val="4A1E18DE"/>
    <w:rsid w:val="4A1E1CDA"/>
    <w:rsid w:val="4A2861F7"/>
    <w:rsid w:val="4A315EB1"/>
    <w:rsid w:val="4A3277B2"/>
    <w:rsid w:val="4A4623BE"/>
    <w:rsid w:val="4A8A55C1"/>
    <w:rsid w:val="4AA743C5"/>
    <w:rsid w:val="4AAE5591"/>
    <w:rsid w:val="4AD827D0"/>
    <w:rsid w:val="4AE31452"/>
    <w:rsid w:val="4B137364"/>
    <w:rsid w:val="4B1D6435"/>
    <w:rsid w:val="4B321580"/>
    <w:rsid w:val="4B3F1E2E"/>
    <w:rsid w:val="4B4B688B"/>
    <w:rsid w:val="4B717647"/>
    <w:rsid w:val="4B814C16"/>
    <w:rsid w:val="4B88653D"/>
    <w:rsid w:val="4BF34828"/>
    <w:rsid w:val="4C01710C"/>
    <w:rsid w:val="4C0C20D5"/>
    <w:rsid w:val="4C6C31D0"/>
    <w:rsid w:val="4C8D3147"/>
    <w:rsid w:val="4CBA03DF"/>
    <w:rsid w:val="4CFA4C80"/>
    <w:rsid w:val="4D096C06"/>
    <w:rsid w:val="4D0D77FD"/>
    <w:rsid w:val="4D7A32EE"/>
    <w:rsid w:val="4D892E0C"/>
    <w:rsid w:val="4D976936"/>
    <w:rsid w:val="4D9F1065"/>
    <w:rsid w:val="4DD10DCA"/>
    <w:rsid w:val="4DEE5E67"/>
    <w:rsid w:val="4E30647F"/>
    <w:rsid w:val="4E40026B"/>
    <w:rsid w:val="4E4116FB"/>
    <w:rsid w:val="4E453CD9"/>
    <w:rsid w:val="4E5553A1"/>
    <w:rsid w:val="4E7A6D0A"/>
    <w:rsid w:val="4E813796"/>
    <w:rsid w:val="4EBA27E0"/>
    <w:rsid w:val="4EBE1CDD"/>
    <w:rsid w:val="4ED268AA"/>
    <w:rsid w:val="4ED33793"/>
    <w:rsid w:val="4ED75E1F"/>
    <w:rsid w:val="4ED769C9"/>
    <w:rsid w:val="4F350835"/>
    <w:rsid w:val="4F512B51"/>
    <w:rsid w:val="4F585C8E"/>
    <w:rsid w:val="4FC27B2B"/>
    <w:rsid w:val="502B33A2"/>
    <w:rsid w:val="50494728"/>
    <w:rsid w:val="50497A9C"/>
    <w:rsid w:val="50741988"/>
    <w:rsid w:val="507D1ED1"/>
    <w:rsid w:val="50830AE8"/>
    <w:rsid w:val="50D97448"/>
    <w:rsid w:val="50F746EC"/>
    <w:rsid w:val="51175160"/>
    <w:rsid w:val="51371565"/>
    <w:rsid w:val="513D4FEA"/>
    <w:rsid w:val="515D758B"/>
    <w:rsid w:val="516052CE"/>
    <w:rsid w:val="517D1AED"/>
    <w:rsid w:val="518E326A"/>
    <w:rsid w:val="519901E5"/>
    <w:rsid w:val="51B51175"/>
    <w:rsid w:val="51F5526C"/>
    <w:rsid w:val="51FF0643"/>
    <w:rsid w:val="52045C59"/>
    <w:rsid w:val="52262073"/>
    <w:rsid w:val="52432C25"/>
    <w:rsid w:val="52567A5B"/>
    <w:rsid w:val="525A3ACB"/>
    <w:rsid w:val="52691FE2"/>
    <w:rsid w:val="52767C9D"/>
    <w:rsid w:val="52880638"/>
    <w:rsid w:val="52AE5E37"/>
    <w:rsid w:val="52C13B4A"/>
    <w:rsid w:val="52C673B2"/>
    <w:rsid w:val="52CB27AB"/>
    <w:rsid w:val="53213917"/>
    <w:rsid w:val="532962B2"/>
    <w:rsid w:val="532A16EF"/>
    <w:rsid w:val="538E1C7E"/>
    <w:rsid w:val="53901E9A"/>
    <w:rsid w:val="53BC47FF"/>
    <w:rsid w:val="53D321D7"/>
    <w:rsid w:val="53FC2BBB"/>
    <w:rsid w:val="541A5C08"/>
    <w:rsid w:val="54303A8C"/>
    <w:rsid w:val="54705828"/>
    <w:rsid w:val="547E6196"/>
    <w:rsid w:val="548B4A51"/>
    <w:rsid w:val="548D3DC7"/>
    <w:rsid w:val="54AA0D3A"/>
    <w:rsid w:val="54BC2FD3"/>
    <w:rsid w:val="54C07FFD"/>
    <w:rsid w:val="54CE5430"/>
    <w:rsid w:val="54EA55DA"/>
    <w:rsid w:val="54F31177"/>
    <w:rsid w:val="552F2962"/>
    <w:rsid w:val="554D7917"/>
    <w:rsid w:val="55827B4A"/>
    <w:rsid w:val="55904B7D"/>
    <w:rsid w:val="55BC3192"/>
    <w:rsid w:val="55CC6E85"/>
    <w:rsid w:val="55DB4492"/>
    <w:rsid w:val="55F12998"/>
    <w:rsid w:val="55F66200"/>
    <w:rsid w:val="55F75C7E"/>
    <w:rsid w:val="560501F2"/>
    <w:rsid w:val="56313359"/>
    <w:rsid w:val="56382375"/>
    <w:rsid w:val="566D62CB"/>
    <w:rsid w:val="56707D61"/>
    <w:rsid w:val="56951575"/>
    <w:rsid w:val="56C02A96"/>
    <w:rsid w:val="56CF617B"/>
    <w:rsid w:val="56D96861"/>
    <w:rsid w:val="56FA51C6"/>
    <w:rsid w:val="56FE1F46"/>
    <w:rsid w:val="572A7F10"/>
    <w:rsid w:val="57376AD1"/>
    <w:rsid w:val="576176AA"/>
    <w:rsid w:val="577E53CF"/>
    <w:rsid w:val="578C4726"/>
    <w:rsid w:val="578D6ABD"/>
    <w:rsid w:val="57931F59"/>
    <w:rsid w:val="57C42A69"/>
    <w:rsid w:val="57C93BCD"/>
    <w:rsid w:val="57F31103"/>
    <w:rsid w:val="58087E7D"/>
    <w:rsid w:val="584B2834"/>
    <w:rsid w:val="585711A2"/>
    <w:rsid w:val="585830BE"/>
    <w:rsid w:val="58613B20"/>
    <w:rsid w:val="58690F0C"/>
    <w:rsid w:val="586B07E0"/>
    <w:rsid w:val="58843914"/>
    <w:rsid w:val="58B37943"/>
    <w:rsid w:val="58C83E84"/>
    <w:rsid w:val="58DC7930"/>
    <w:rsid w:val="58F5454D"/>
    <w:rsid w:val="58F76517"/>
    <w:rsid w:val="59271254"/>
    <w:rsid w:val="59352B9C"/>
    <w:rsid w:val="594B649D"/>
    <w:rsid w:val="59747B68"/>
    <w:rsid w:val="59943D66"/>
    <w:rsid w:val="59A4512F"/>
    <w:rsid w:val="59AF294E"/>
    <w:rsid w:val="59BF726D"/>
    <w:rsid w:val="5A186745"/>
    <w:rsid w:val="5A2901BD"/>
    <w:rsid w:val="5A4117CD"/>
    <w:rsid w:val="5A545950"/>
    <w:rsid w:val="5A647495"/>
    <w:rsid w:val="5A915D0C"/>
    <w:rsid w:val="5A961277"/>
    <w:rsid w:val="5A9F29C3"/>
    <w:rsid w:val="5ABD553F"/>
    <w:rsid w:val="5AF26F96"/>
    <w:rsid w:val="5B4077C3"/>
    <w:rsid w:val="5B4350BA"/>
    <w:rsid w:val="5B4A6DD2"/>
    <w:rsid w:val="5B6A7475"/>
    <w:rsid w:val="5BAB2BF3"/>
    <w:rsid w:val="5BD42B40"/>
    <w:rsid w:val="5BEC6AB5"/>
    <w:rsid w:val="5C02667C"/>
    <w:rsid w:val="5C1002AC"/>
    <w:rsid w:val="5C2238AB"/>
    <w:rsid w:val="5C2C0EA1"/>
    <w:rsid w:val="5C2F459A"/>
    <w:rsid w:val="5C4001D5"/>
    <w:rsid w:val="5C676E2A"/>
    <w:rsid w:val="5C78171D"/>
    <w:rsid w:val="5C97631A"/>
    <w:rsid w:val="5CA97B29"/>
    <w:rsid w:val="5CC93A47"/>
    <w:rsid w:val="5CD5091E"/>
    <w:rsid w:val="5CD54DC2"/>
    <w:rsid w:val="5CDD3B9D"/>
    <w:rsid w:val="5CEF67E0"/>
    <w:rsid w:val="5D335644"/>
    <w:rsid w:val="5D534E5C"/>
    <w:rsid w:val="5DB11DC8"/>
    <w:rsid w:val="5DE3706A"/>
    <w:rsid w:val="5DE40EB4"/>
    <w:rsid w:val="5DF46F7B"/>
    <w:rsid w:val="5E1E63BE"/>
    <w:rsid w:val="5E264A7C"/>
    <w:rsid w:val="5E7762D2"/>
    <w:rsid w:val="5E865FE8"/>
    <w:rsid w:val="5E8A398A"/>
    <w:rsid w:val="5E8D4131"/>
    <w:rsid w:val="5E9F11E3"/>
    <w:rsid w:val="5EAD75B7"/>
    <w:rsid w:val="5EB6652D"/>
    <w:rsid w:val="5ECE1AC8"/>
    <w:rsid w:val="5EDD61AF"/>
    <w:rsid w:val="5EDF0FC2"/>
    <w:rsid w:val="5EE8367E"/>
    <w:rsid w:val="5F1F40D2"/>
    <w:rsid w:val="5F322057"/>
    <w:rsid w:val="5F381638"/>
    <w:rsid w:val="5F3D2516"/>
    <w:rsid w:val="5F504F85"/>
    <w:rsid w:val="5F5767D6"/>
    <w:rsid w:val="5F5A3543"/>
    <w:rsid w:val="5F906D7E"/>
    <w:rsid w:val="601B6F8F"/>
    <w:rsid w:val="601E0831"/>
    <w:rsid w:val="606D695B"/>
    <w:rsid w:val="60AD0FA7"/>
    <w:rsid w:val="60B62814"/>
    <w:rsid w:val="60BD0047"/>
    <w:rsid w:val="60C37856"/>
    <w:rsid w:val="61006C51"/>
    <w:rsid w:val="61377DF9"/>
    <w:rsid w:val="61475B62"/>
    <w:rsid w:val="615616CB"/>
    <w:rsid w:val="617050B9"/>
    <w:rsid w:val="61834D22"/>
    <w:rsid w:val="618621F4"/>
    <w:rsid w:val="61A2220E"/>
    <w:rsid w:val="61A26C03"/>
    <w:rsid w:val="61A84853"/>
    <w:rsid w:val="61AD31F8"/>
    <w:rsid w:val="61AF1C88"/>
    <w:rsid w:val="61B15B2E"/>
    <w:rsid w:val="61B8587A"/>
    <w:rsid w:val="61D03DA9"/>
    <w:rsid w:val="622857DE"/>
    <w:rsid w:val="624A2082"/>
    <w:rsid w:val="62620EA5"/>
    <w:rsid w:val="628506F0"/>
    <w:rsid w:val="62AA7F74"/>
    <w:rsid w:val="62AF58EE"/>
    <w:rsid w:val="63141A74"/>
    <w:rsid w:val="632151B1"/>
    <w:rsid w:val="63424833"/>
    <w:rsid w:val="634E4F86"/>
    <w:rsid w:val="635F53E5"/>
    <w:rsid w:val="636702EF"/>
    <w:rsid w:val="637D20EC"/>
    <w:rsid w:val="63B71DA8"/>
    <w:rsid w:val="63C96D02"/>
    <w:rsid w:val="63D17BBF"/>
    <w:rsid w:val="64290EAE"/>
    <w:rsid w:val="6452020A"/>
    <w:rsid w:val="64854875"/>
    <w:rsid w:val="648F72EC"/>
    <w:rsid w:val="64CC6856"/>
    <w:rsid w:val="64D771FD"/>
    <w:rsid w:val="64F22E9E"/>
    <w:rsid w:val="652F0D3D"/>
    <w:rsid w:val="6533366C"/>
    <w:rsid w:val="65384941"/>
    <w:rsid w:val="653E102A"/>
    <w:rsid w:val="654E2431"/>
    <w:rsid w:val="655B7E2E"/>
    <w:rsid w:val="6576312A"/>
    <w:rsid w:val="658B79BE"/>
    <w:rsid w:val="659D126D"/>
    <w:rsid w:val="659D21F5"/>
    <w:rsid w:val="65A63874"/>
    <w:rsid w:val="65B732B6"/>
    <w:rsid w:val="66264771"/>
    <w:rsid w:val="6668520D"/>
    <w:rsid w:val="667B0114"/>
    <w:rsid w:val="66940880"/>
    <w:rsid w:val="66D35001"/>
    <w:rsid w:val="66F347C2"/>
    <w:rsid w:val="67086F0E"/>
    <w:rsid w:val="67087745"/>
    <w:rsid w:val="6716400D"/>
    <w:rsid w:val="67192A32"/>
    <w:rsid w:val="6722646D"/>
    <w:rsid w:val="677329AB"/>
    <w:rsid w:val="67A3240E"/>
    <w:rsid w:val="67C717AB"/>
    <w:rsid w:val="67D43B66"/>
    <w:rsid w:val="67EE3D0F"/>
    <w:rsid w:val="6800399D"/>
    <w:rsid w:val="6826511C"/>
    <w:rsid w:val="682D5AB2"/>
    <w:rsid w:val="682E5386"/>
    <w:rsid w:val="6833646B"/>
    <w:rsid w:val="683A1F7D"/>
    <w:rsid w:val="685017A0"/>
    <w:rsid w:val="68730EC9"/>
    <w:rsid w:val="68972E14"/>
    <w:rsid w:val="68A67612"/>
    <w:rsid w:val="68B25FB7"/>
    <w:rsid w:val="68D0468F"/>
    <w:rsid w:val="693379DF"/>
    <w:rsid w:val="69541292"/>
    <w:rsid w:val="69662BDD"/>
    <w:rsid w:val="696C085C"/>
    <w:rsid w:val="69A01EFB"/>
    <w:rsid w:val="69A27E33"/>
    <w:rsid w:val="69AB44CC"/>
    <w:rsid w:val="69AD3570"/>
    <w:rsid w:val="69CA7330"/>
    <w:rsid w:val="6A0049A7"/>
    <w:rsid w:val="6A0635E2"/>
    <w:rsid w:val="6A0E36C1"/>
    <w:rsid w:val="6A160721"/>
    <w:rsid w:val="6A34487E"/>
    <w:rsid w:val="6A3C2755"/>
    <w:rsid w:val="6A5A6906"/>
    <w:rsid w:val="6A5F58D0"/>
    <w:rsid w:val="6A64096B"/>
    <w:rsid w:val="6A6D03E7"/>
    <w:rsid w:val="6A94265F"/>
    <w:rsid w:val="6AB204F0"/>
    <w:rsid w:val="6ABE6E95"/>
    <w:rsid w:val="6AC87D14"/>
    <w:rsid w:val="6AD14111"/>
    <w:rsid w:val="6AD25ED5"/>
    <w:rsid w:val="6AF44665"/>
    <w:rsid w:val="6B006CAE"/>
    <w:rsid w:val="6B160215"/>
    <w:rsid w:val="6B2B4177"/>
    <w:rsid w:val="6B4C5683"/>
    <w:rsid w:val="6B4F1E4C"/>
    <w:rsid w:val="6B9A4681"/>
    <w:rsid w:val="6BC912DB"/>
    <w:rsid w:val="6BE93C8F"/>
    <w:rsid w:val="6C812851"/>
    <w:rsid w:val="6CA87DFD"/>
    <w:rsid w:val="6CC4450B"/>
    <w:rsid w:val="6D150CF3"/>
    <w:rsid w:val="6D154034"/>
    <w:rsid w:val="6D1D180E"/>
    <w:rsid w:val="6D4318D3"/>
    <w:rsid w:val="6D8343C6"/>
    <w:rsid w:val="6D9739CD"/>
    <w:rsid w:val="6DAD4F9F"/>
    <w:rsid w:val="6DC01176"/>
    <w:rsid w:val="6DC951C3"/>
    <w:rsid w:val="6DE36F16"/>
    <w:rsid w:val="6E10039F"/>
    <w:rsid w:val="6E201D51"/>
    <w:rsid w:val="6E4A5358"/>
    <w:rsid w:val="6E4C2A0A"/>
    <w:rsid w:val="6E5673E4"/>
    <w:rsid w:val="6E5D3388"/>
    <w:rsid w:val="6E807CF7"/>
    <w:rsid w:val="6E873EE3"/>
    <w:rsid w:val="6EBD7464"/>
    <w:rsid w:val="6EBE2716"/>
    <w:rsid w:val="6ED21161"/>
    <w:rsid w:val="6EFF9334"/>
    <w:rsid w:val="6F215C44"/>
    <w:rsid w:val="6F6C3363"/>
    <w:rsid w:val="6F814935"/>
    <w:rsid w:val="6FE37E94"/>
    <w:rsid w:val="6FEC1DAE"/>
    <w:rsid w:val="6FF24F26"/>
    <w:rsid w:val="70110CA4"/>
    <w:rsid w:val="70287453"/>
    <w:rsid w:val="702B57F4"/>
    <w:rsid w:val="703F7638"/>
    <w:rsid w:val="70944937"/>
    <w:rsid w:val="70A21873"/>
    <w:rsid w:val="70B07280"/>
    <w:rsid w:val="70D82F0C"/>
    <w:rsid w:val="70F129B2"/>
    <w:rsid w:val="71017ADB"/>
    <w:rsid w:val="710B2708"/>
    <w:rsid w:val="711D09B5"/>
    <w:rsid w:val="71430294"/>
    <w:rsid w:val="716D4322"/>
    <w:rsid w:val="717E2EDA"/>
    <w:rsid w:val="719C7804"/>
    <w:rsid w:val="71EA7D25"/>
    <w:rsid w:val="71F4319C"/>
    <w:rsid w:val="71F47640"/>
    <w:rsid w:val="72154882"/>
    <w:rsid w:val="72236D4F"/>
    <w:rsid w:val="7258197D"/>
    <w:rsid w:val="72604CD6"/>
    <w:rsid w:val="72F316A6"/>
    <w:rsid w:val="731D4975"/>
    <w:rsid w:val="732305A6"/>
    <w:rsid w:val="734041AE"/>
    <w:rsid w:val="73546AD5"/>
    <w:rsid w:val="73614861"/>
    <w:rsid w:val="73691968"/>
    <w:rsid w:val="739151FB"/>
    <w:rsid w:val="739369E5"/>
    <w:rsid w:val="73B04C2D"/>
    <w:rsid w:val="73B16901"/>
    <w:rsid w:val="73CD618F"/>
    <w:rsid w:val="73DF0768"/>
    <w:rsid w:val="742E35AD"/>
    <w:rsid w:val="743E1047"/>
    <w:rsid w:val="74443A53"/>
    <w:rsid w:val="745443C6"/>
    <w:rsid w:val="74A72014"/>
    <w:rsid w:val="74C90910"/>
    <w:rsid w:val="74EB3774"/>
    <w:rsid w:val="750E27C7"/>
    <w:rsid w:val="75231D3A"/>
    <w:rsid w:val="75571951"/>
    <w:rsid w:val="7566109E"/>
    <w:rsid w:val="757A1C0A"/>
    <w:rsid w:val="757C03AB"/>
    <w:rsid w:val="758D193E"/>
    <w:rsid w:val="758D7B90"/>
    <w:rsid w:val="758E5275"/>
    <w:rsid w:val="75907E1E"/>
    <w:rsid w:val="75C36B9F"/>
    <w:rsid w:val="75D62A0B"/>
    <w:rsid w:val="75DC4673"/>
    <w:rsid w:val="75E874BC"/>
    <w:rsid w:val="75FB71EF"/>
    <w:rsid w:val="760F67F7"/>
    <w:rsid w:val="762E22DC"/>
    <w:rsid w:val="7682470E"/>
    <w:rsid w:val="76A07D97"/>
    <w:rsid w:val="76DB25E6"/>
    <w:rsid w:val="76E41A31"/>
    <w:rsid w:val="76F13C5F"/>
    <w:rsid w:val="77141F5A"/>
    <w:rsid w:val="776F4B46"/>
    <w:rsid w:val="77884AB3"/>
    <w:rsid w:val="779276DF"/>
    <w:rsid w:val="77ED3E16"/>
    <w:rsid w:val="77ED7EF6"/>
    <w:rsid w:val="78073367"/>
    <w:rsid w:val="78174088"/>
    <w:rsid w:val="781B6EE3"/>
    <w:rsid w:val="78283BA0"/>
    <w:rsid w:val="783A38D3"/>
    <w:rsid w:val="78574485"/>
    <w:rsid w:val="786077DD"/>
    <w:rsid w:val="786B0E55"/>
    <w:rsid w:val="78A0407E"/>
    <w:rsid w:val="78AF70A8"/>
    <w:rsid w:val="78B11DE7"/>
    <w:rsid w:val="790C34C1"/>
    <w:rsid w:val="79844EF9"/>
    <w:rsid w:val="79B002F1"/>
    <w:rsid w:val="79C57453"/>
    <w:rsid w:val="79D35D8D"/>
    <w:rsid w:val="79F93A46"/>
    <w:rsid w:val="7A0432DF"/>
    <w:rsid w:val="7A70182E"/>
    <w:rsid w:val="7A7F3CDD"/>
    <w:rsid w:val="7A862E00"/>
    <w:rsid w:val="7AB23BF5"/>
    <w:rsid w:val="7AD46261"/>
    <w:rsid w:val="7AEF2B33"/>
    <w:rsid w:val="7B4A0FA0"/>
    <w:rsid w:val="7B516AFB"/>
    <w:rsid w:val="7B6F1AE6"/>
    <w:rsid w:val="7B810197"/>
    <w:rsid w:val="7BC160B7"/>
    <w:rsid w:val="7BD427EF"/>
    <w:rsid w:val="7BE95D3C"/>
    <w:rsid w:val="7BF070CA"/>
    <w:rsid w:val="7C136915"/>
    <w:rsid w:val="7C35285F"/>
    <w:rsid w:val="7C3662C4"/>
    <w:rsid w:val="7C776EA4"/>
    <w:rsid w:val="7CA468AE"/>
    <w:rsid w:val="7CB24380"/>
    <w:rsid w:val="7CE87DA1"/>
    <w:rsid w:val="7CFD581C"/>
    <w:rsid w:val="7D23702C"/>
    <w:rsid w:val="7D2544C4"/>
    <w:rsid w:val="7D2F777E"/>
    <w:rsid w:val="7D565D1B"/>
    <w:rsid w:val="7D6E64F9"/>
    <w:rsid w:val="7D8555F0"/>
    <w:rsid w:val="7DAA5057"/>
    <w:rsid w:val="7DB15743"/>
    <w:rsid w:val="7DD17ECA"/>
    <w:rsid w:val="7DD54E05"/>
    <w:rsid w:val="7DD6409E"/>
    <w:rsid w:val="7DE467BB"/>
    <w:rsid w:val="7DEC3371"/>
    <w:rsid w:val="7DF829EB"/>
    <w:rsid w:val="7E033940"/>
    <w:rsid w:val="7E5A0FB5"/>
    <w:rsid w:val="7E72E0EF"/>
    <w:rsid w:val="7E7555CD"/>
    <w:rsid w:val="7E81225C"/>
    <w:rsid w:val="7EB643A4"/>
    <w:rsid w:val="7EB75C7D"/>
    <w:rsid w:val="7EFB4F6E"/>
    <w:rsid w:val="7F080287"/>
    <w:rsid w:val="7F377BAD"/>
    <w:rsid w:val="7F421D45"/>
    <w:rsid w:val="7F440142"/>
    <w:rsid w:val="7F8E14D9"/>
    <w:rsid w:val="7F9E2466"/>
    <w:rsid w:val="7FA7793D"/>
    <w:rsid w:val="7FAB29F1"/>
    <w:rsid w:val="7FB22C02"/>
    <w:rsid w:val="7FB24AC2"/>
    <w:rsid w:val="7FBA55C5"/>
    <w:rsid w:val="7FBF9197"/>
    <w:rsid w:val="7FDD1714"/>
    <w:rsid w:val="BFFFB51D"/>
    <w:rsid w:val="EAB1B374"/>
    <w:rsid w:val="EEBF9442"/>
    <w:rsid w:val="FEE35D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qFormat="1" w:uiPriority="99" w:semiHidden="0" w:name="Body Text 3"/>
    <w:lsdException w:qFormat="1" w:uiPriority="99" w:semiHidden="0"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heme="minorBidi"/>
      <w:kern w:val="2"/>
      <w:sz w:val="24"/>
      <w:szCs w:val="22"/>
      <w:lang w:val="en-US" w:eastAsia="zh-CN" w:bidi="ar-SA"/>
    </w:rPr>
  </w:style>
  <w:style w:type="paragraph" w:styleId="2">
    <w:name w:val="heading 1"/>
    <w:basedOn w:val="1"/>
    <w:next w:val="1"/>
    <w:link w:val="34"/>
    <w:qFormat/>
    <w:uiPriority w:val="9"/>
    <w:pPr>
      <w:keepNext/>
      <w:keepLines/>
      <w:jc w:val="center"/>
      <w:outlineLvl w:val="0"/>
    </w:pPr>
    <w:rPr>
      <w:rFonts w:eastAsia="黑体"/>
      <w:bCs/>
      <w:kern w:val="44"/>
      <w:sz w:val="44"/>
      <w:szCs w:val="44"/>
    </w:rPr>
  </w:style>
  <w:style w:type="paragraph" w:styleId="3">
    <w:name w:val="heading 2"/>
    <w:basedOn w:val="1"/>
    <w:next w:val="1"/>
    <w:link w:val="32"/>
    <w:unhideWhenUsed/>
    <w:qFormat/>
    <w:uiPriority w:val="9"/>
    <w:pPr>
      <w:keepNext/>
      <w:keepLines/>
      <w:outlineLvl w:val="1"/>
    </w:pPr>
    <w:rPr>
      <w:rFonts w:cstheme="majorBidi"/>
      <w:b/>
      <w:bCs/>
      <w:szCs w:val="32"/>
    </w:rPr>
  </w:style>
  <w:style w:type="paragraph" w:styleId="4">
    <w:name w:val="heading 3"/>
    <w:basedOn w:val="1"/>
    <w:next w:val="1"/>
    <w:link w:val="54"/>
    <w:unhideWhenUsed/>
    <w:qFormat/>
    <w:uiPriority w:val="9"/>
    <w:pPr>
      <w:keepNext/>
      <w:keepLines/>
      <w:outlineLvl w:val="2"/>
    </w:pPr>
    <w:rPr>
      <w:b/>
      <w:bCs/>
      <w:szCs w:val="32"/>
    </w:rPr>
  </w:style>
  <w:style w:type="paragraph" w:styleId="5">
    <w:name w:val="heading 4"/>
    <w:basedOn w:val="1"/>
    <w:next w:val="1"/>
    <w:link w:val="39"/>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qFormat/>
    <w:uiPriority w:val="0"/>
    <w:pPr>
      <w:keepLines/>
      <w:widowControl w:val="0"/>
      <w:numPr>
        <w:ilvl w:val="4"/>
        <w:numId w:val="1"/>
      </w:numPr>
      <w:spacing w:line="360" w:lineRule="auto"/>
      <w:jc w:val="both"/>
      <w:outlineLvl w:val="4"/>
    </w:pPr>
    <w:rPr>
      <w:rFonts w:eastAsia="宋体"/>
      <w:kern w:val="2"/>
      <w:szCs w:val="21"/>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99"/>
    <w:pPr>
      <w:spacing w:line="480" w:lineRule="atLeast"/>
      <w:ind w:firstLine="547"/>
    </w:pPr>
    <w:rPr>
      <w:sz w:val="28"/>
      <w:szCs w:val="24"/>
    </w:rPr>
  </w:style>
  <w:style w:type="paragraph" w:styleId="8">
    <w:name w:val="toa heading"/>
    <w:basedOn w:val="1"/>
    <w:next w:val="1"/>
    <w:qFormat/>
    <w:uiPriority w:val="0"/>
    <w:pPr>
      <w:spacing w:before="120"/>
      <w:ind w:firstLine="0" w:firstLineChars="0"/>
    </w:pPr>
    <w:rPr>
      <w:rFonts w:ascii="Arial" w:hAnsi="Arial" w:cs="Arial"/>
      <w:szCs w:val="24"/>
    </w:rPr>
  </w:style>
  <w:style w:type="paragraph" w:styleId="9">
    <w:name w:val="annotation text"/>
    <w:basedOn w:val="1"/>
    <w:qFormat/>
    <w:uiPriority w:val="99"/>
    <w:pPr>
      <w:spacing w:line="240" w:lineRule="auto"/>
      <w:jc w:val="left"/>
    </w:pPr>
    <w:rPr>
      <w:sz w:val="21"/>
      <w:szCs w:val="20"/>
    </w:rPr>
  </w:style>
  <w:style w:type="paragraph" w:styleId="10">
    <w:name w:val="Body Text 3"/>
    <w:basedOn w:val="1"/>
    <w:link w:val="40"/>
    <w:unhideWhenUsed/>
    <w:qFormat/>
    <w:uiPriority w:val="99"/>
    <w:pPr>
      <w:spacing w:after="120"/>
    </w:pPr>
    <w:rPr>
      <w:rFonts w:cs="Times New Roman"/>
      <w:sz w:val="16"/>
      <w:szCs w:val="16"/>
    </w:rPr>
  </w:style>
  <w:style w:type="paragraph" w:styleId="11">
    <w:name w:val="Body Text"/>
    <w:basedOn w:val="1"/>
    <w:next w:val="1"/>
    <w:qFormat/>
    <w:uiPriority w:val="99"/>
    <w:rPr>
      <w:rFonts w:ascii="宋体"/>
      <w:kern w:val="0"/>
      <w:sz w:val="28"/>
      <w:szCs w:val="20"/>
    </w:rPr>
  </w:style>
  <w:style w:type="paragraph" w:styleId="12">
    <w:name w:val="Body Text Indent"/>
    <w:basedOn w:val="1"/>
    <w:next w:val="13"/>
    <w:qFormat/>
    <w:uiPriority w:val="99"/>
    <w:pPr>
      <w:ind w:firstLine="900"/>
    </w:pPr>
    <w:rPr>
      <w:sz w:val="28"/>
    </w:rPr>
  </w:style>
  <w:style w:type="paragraph" w:styleId="13">
    <w:name w:val="envelope return"/>
    <w:basedOn w:val="1"/>
    <w:unhideWhenUsed/>
    <w:qFormat/>
    <w:uiPriority w:val="99"/>
    <w:pPr>
      <w:snapToGrid w:val="0"/>
    </w:pPr>
    <w:rPr>
      <w:rFonts w:ascii="Arial" w:hAnsi="Arial"/>
    </w:rPr>
  </w:style>
  <w:style w:type="paragraph" w:styleId="14">
    <w:name w:val="toc 3"/>
    <w:basedOn w:val="1"/>
    <w:next w:val="1"/>
    <w:unhideWhenUsed/>
    <w:qFormat/>
    <w:uiPriority w:val="39"/>
    <w:pPr>
      <w:widowControl/>
      <w:spacing w:after="100" w:line="259" w:lineRule="auto"/>
      <w:ind w:left="440" w:firstLine="0" w:firstLineChars="0"/>
      <w:jc w:val="left"/>
    </w:pPr>
    <w:rPr>
      <w:rFonts w:cs="Times New Roman" w:asciiTheme="minorHAnsi" w:hAnsiTheme="minorHAnsi" w:eastAsiaTheme="minorEastAsia"/>
      <w:kern w:val="0"/>
      <w:sz w:val="22"/>
    </w:rPr>
  </w:style>
  <w:style w:type="paragraph" w:styleId="15">
    <w:name w:val="Plain Text"/>
    <w:basedOn w:val="1"/>
    <w:qFormat/>
    <w:uiPriority w:val="0"/>
    <w:pPr>
      <w:spacing w:line="580" w:lineRule="exact"/>
      <w:ind w:right="-197" w:firstLine="560"/>
    </w:pPr>
    <w:rPr>
      <w:rFonts w:ascii="黑体" w:hAnsi="Courier New" w:eastAsia="黑体"/>
      <w:sz w:val="28"/>
      <w:szCs w:val="20"/>
    </w:rPr>
  </w:style>
  <w:style w:type="paragraph" w:styleId="16">
    <w:name w:val="Date"/>
    <w:basedOn w:val="1"/>
    <w:next w:val="1"/>
    <w:link w:val="43"/>
    <w:semiHidden/>
    <w:unhideWhenUsed/>
    <w:qFormat/>
    <w:uiPriority w:val="99"/>
    <w:pPr>
      <w:ind w:left="100" w:leftChars="2500"/>
    </w:pPr>
  </w:style>
  <w:style w:type="paragraph" w:styleId="17">
    <w:name w:val="Body Text Indent 2"/>
    <w:basedOn w:val="1"/>
    <w:link w:val="44"/>
    <w:unhideWhenUsed/>
    <w:qFormat/>
    <w:uiPriority w:val="99"/>
    <w:pPr>
      <w:spacing w:after="120" w:line="480" w:lineRule="auto"/>
      <w:ind w:left="420" w:leftChars="200"/>
    </w:pPr>
  </w:style>
  <w:style w:type="paragraph" w:styleId="18">
    <w:name w:val="Balloon Text"/>
    <w:basedOn w:val="1"/>
    <w:link w:val="59"/>
    <w:semiHidden/>
    <w:unhideWhenUsed/>
    <w:qFormat/>
    <w:uiPriority w:val="99"/>
    <w:pPr>
      <w:spacing w:line="240" w:lineRule="auto"/>
    </w:pPr>
    <w:rPr>
      <w:sz w:val="18"/>
      <w:szCs w:val="18"/>
    </w:rPr>
  </w:style>
  <w:style w:type="paragraph" w:styleId="19">
    <w:name w:val="footer"/>
    <w:basedOn w:val="1"/>
    <w:link w:val="38"/>
    <w:unhideWhenUsed/>
    <w:qFormat/>
    <w:uiPriority w:val="99"/>
    <w:pPr>
      <w:tabs>
        <w:tab w:val="center" w:pos="4153"/>
        <w:tab w:val="right" w:pos="8306"/>
      </w:tabs>
      <w:snapToGrid w:val="0"/>
      <w:jc w:val="left"/>
    </w:pPr>
    <w:rPr>
      <w:sz w:val="18"/>
      <w:szCs w:val="18"/>
    </w:rPr>
  </w:style>
  <w:style w:type="paragraph" w:styleId="20">
    <w:name w:val="header"/>
    <w:basedOn w:val="1"/>
    <w:link w:val="37"/>
    <w:unhideWhenUsed/>
    <w:qFormat/>
    <w:uiPriority w:val="99"/>
    <w:pPr>
      <w:pBdr>
        <w:bottom w:val="single" w:color="auto" w:sz="6" w:space="1"/>
      </w:pBdr>
      <w:tabs>
        <w:tab w:val="center" w:pos="4153"/>
        <w:tab w:val="right" w:pos="8306"/>
      </w:tabs>
      <w:snapToGrid w:val="0"/>
      <w:jc w:val="center"/>
    </w:pPr>
    <w:rPr>
      <w:sz w:val="18"/>
      <w:szCs w:val="18"/>
    </w:rPr>
  </w:style>
  <w:style w:type="paragraph" w:styleId="21">
    <w:name w:val="toc 1"/>
    <w:basedOn w:val="1"/>
    <w:next w:val="1"/>
    <w:unhideWhenUsed/>
    <w:qFormat/>
    <w:uiPriority w:val="39"/>
    <w:pPr>
      <w:widowControl/>
      <w:spacing w:after="100" w:line="259" w:lineRule="auto"/>
      <w:ind w:firstLine="0" w:firstLineChars="0"/>
      <w:jc w:val="left"/>
    </w:pPr>
    <w:rPr>
      <w:rFonts w:cs="Times New Roman" w:asciiTheme="minorHAnsi" w:hAnsiTheme="minorHAnsi" w:eastAsiaTheme="minorEastAsia"/>
      <w:kern w:val="0"/>
      <w:sz w:val="22"/>
    </w:rPr>
  </w:style>
  <w:style w:type="paragraph" w:styleId="22">
    <w:name w:val="toc 2"/>
    <w:basedOn w:val="1"/>
    <w:next w:val="1"/>
    <w:unhideWhenUsed/>
    <w:qFormat/>
    <w:uiPriority w:val="39"/>
    <w:pPr>
      <w:widowControl/>
      <w:spacing w:after="100" w:line="259" w:lineRule="auto"/>
      <w:ind w:left="220" w:firstLine="0" w:firstLineChars="0"/>
      <w:jc w:val="left"/>
    </w:pPr>
    <w:rPr>
      <w:rFonts w:cs="Times New Roman" w:asciiTheme="minorHAnsi" w:hAnsiTheme="minorHAnsi" w:eastAsiaTheme="minorEastAsia"/>
      <w:kern w:val="0"/>
      <w:sz w:val="22"/>
    </w:rPr>
  </w:style>
  <w:style w:type="paragraph" w:styleId="23">
    <w:name w:val="Normal (Web)"/>
    <w:basedOn w:val="1"/>
    <w:unhideWhenUsed/>
    <w:qFormat/>
    <w:uiPriority w:val="99"/>
  </w:style>
  <w:style w:type="paragraph" w:styleId="24">
    <w:name w:val="Title"/>
    <w:basedOn w:val="1"/>
    <w:next w:val="1"/>
    <w:qFormat/>
    <w:uiPriority w:val="0"/>
    <w:pPr>
      <w:jc w:val="left"/>
      <w:outlineLvl w:val="2"/>
    </w:pPr>
    <w:rPr>
      <w:rFonts w:ascii="宋体" w:hAnsi="宋体"/>
      <w:b/>
      <w:bCs/>
      <w:kern w:val="0"/>
      <w:sz w:val="28"/>
      <w:szCs w:val="32"/>
    </w:rPr>
  </w:style>
  <w:style w:type="paragraph" w:styleId="25">
    <w:name w:val="Body Text First Indent 2"/>
    <w:basedOn w:val="12"/>
    <w:qFormat/>
    <w:uiPriority w:val="0"/>
    <w:pPr>
      <w:spacing w:after="120"/>
      <w:ind w:left="420" w:leftChars="200" w:firstLine="420"/>
    </w:pPr>
    <w:rPr>
      <w:rFonts w:cs="宋体"/>
      <w:sz w:val="21"/>
      <w:szCs w:val="21"/>
    </w:rPr>
  </w:style>
  <w:style w:type="table" w:styleId="27">
    <w:name w:val="Table Grid"/>
    <w:basedOn w:val="2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page number"/>
    <w:qFormat/>
    <w:uiPriority w:val="0"/>
    <w:rPr>
      <w:rFonts w:cs="Times New Roman"/>
    </w:rPr>
  </w:style>
  <w:style w:type="character" w:styleId="30">
    <w:name w:val="Hyperlink"/>
    <w:qFormat/>
    <w:uiPriority w:val="99"/>
    <w:rPr>
      <w:color w:val="0000FF"/>
      <w:u w:val="single"/>
    </w:rPr>
  </w:style>
  <w:style w:type="paragraph" w:customStyle="1" w:styleId="31">
    <w:name w:val="无间距1"/>
    <w:qFormat/>
    <w:uiPriority w:val="1"/>
    <w:pPr>
      <w:widowControl w:val="0"/>
      <w:jc w:val="both"/>
    </w:pPr>
    <w:rPr>
      <w:rFonts w:ascii="Calibri" w:hAnsi="Calibri" w:eastAsia="微软雅黑 Light" w:cs="Times New Roman"/>
      <w:kern w:val="2"/>
      <w:sz w:val="24"/>
      <w:szCs w:val="22"/>
      <w:lang w:val="en-US" w:eastAsia="zh-CN" w:bidi="ar-SA"/>
    </w:rPr>
  </w:style>
  <w:style w:type="character" w:customStyle="1" w:styleId="32">
    <w:name w:val="标题 2 Char"/>
    <w:basedOn w:val="28"/>
    <w:link w:val="3"/>
    <w:qFormat/>
    <w:uiPriority w:val="9"/>
    <w:rPr>
      <w:rFonts w:ascii="Times New Roman" w:hAnsi="Times New Roman" w:eastAsia="宋体" w:cstheme="majorBidi"/>
      <w:b/>
      <w:bCs/>
      <w:sz w:val="24"/>
      <w:szCs w:val="32"/>
    </w:rPr>
  </w:style>
  <w:style w:type="character" w:customStyle="1" w:styleId="33">
    <w:name w:val="标题 3 字符"/>
    <w:basedOn w:val="28"/>
    <w:qFormat/>
    <w:uiPriority w:val="9"/>
    <w:rPr>
      <w:rFonts w:ascii="Times New Roman" w:hAnsi="Times New Roman" w:eastAsia="宋体"/>
      <w:b/>
      <w:bCs/>
      <w:sz w:val="24"/>
      <w:szCs w:val="32"/>
    </w:rPr>
  </w:style>
  <w:style w:type="character" w:customStyle="1" w:styleId="34">
    <w:name w:val="标题 1 Char"/>
    <w:basedOn w:val="28"/>
    <w:link w:val="2"/>
    <w:qFormat/>
    <w:uiPriority w:val="9"/>
    <w:rPr>
      <w:rFonts w:eastAsia="黑体"/>
      <w:bCs/>
      <w:kern w:val="44"/>
      <w:sz w:val="44"/>
      <w:szCs w:val="44"/>
    </w:rPr>
  </w:style>
  <w:style w:type="paragraph" w:customStyle="1" w:styleId="35">
    <w:name w:val="Default"/>
    <w:qFormat/>
    <w:uiPriority w:val="0"/>
    <w:pPr>
      <w:autoSpaceDE w:val="0"/>
      <w:autoSpaceDN w:val="0"/>
      <w:adjustRightInd w:val="0"/>
    </w:pPr>
    <w:rPr>
      <w:rFonts w:ascii="ÀŒÃÂ" w:hAnsi="ÀŒÃÂ" w:eastAsia="宋体" w:cs="ÀŒÃÂ"/>
      <w:color w:val="000000"/>
      <w:sz w:val="24"/>
      <w:szCs w:val="24"/>
      <w:lang w:val="en-US" w:eastAsia="zh-CN" w:bidi="ar-SA"/>
    </w:rPr>
  </w:style>
  <w:style w:type="paragraph" w:customStyle="1" w:styleId="36">
    <w:name w:val="Fließtext"/>
    <w:qFormat/>
    <w:uiPriority w:val="99"/>
    <w:pPr>
      <w:widowControl w:val="0"/>
      <w:overflowPunct w:val="0"/>
      <w:autoSpaceDE w:val="0"/>
      <w:autoSpaceDN w:val="0"/>
      <w:jc w:val="both"/>
      <w:textAlignment w:val="baseline"/>
    </w:pPr>
    <w:rPr>
      <w:rFonts w:ascii="Calibri" w:hAnsi="Calibri" w:eastAsia="宋体" w:cs="Times New Roman"/>
      <w:kern w:val="28"/>
      <w:sz w:val="21"/>
      <w:lang w:val="en-US" w:eastAsia="zh-CN" w:bidi="ar-SA"/>
    </w:rPr>
  </w:style>
  <w:style w:type="character" w:customStyle="1" w:styleId="37">
    <w:name w:val="页眉 Char"/>
    <w:basedOn w:val="28"/>
    <w:link w:val="20"/>
    <w:qFormat/>
    <w:uiPriority w:val="99"/>
    <w:rPr>
      <w:sz w:val="18"/>
      <w:szCs w:val="18"/>
    </w:rPr>
  </w:style>
  <w:style w:type="character" w:customStyle="1" w:styleId="38">
    <w:name w:val="页脚 Char"/>
    <w:basedOn w:val="28"/>
    <w:link w:val="19"/>
    <w:qFormat/>
    <w:uiPriority w:val="99"/>
    <w:rPr>
      <w:sz w:val="18"/>
      <w:szCs w:val="18"/>
    </w:rPr>
  </w:style>
  <w:style w:type="character" w:customStyle="1" w:styleId="39">
    <w:name w:val="标题 4 Char"/>
    <w:basedOn w:val="28"/>
    <w:link w:val="5"/>
    <w:qFormat/>
    <w:uiPriority w:val="9"/>
    <w:rPr>
      <w:rFonts w:asciiTheme="majorHAnsi" w:hAnsiTheme="majorHAnsi" w:eastAsiaTheme="majorEastAsia" w:cstheme="majorBidi"/>
      <w:b/>
      <w:bCs/>
      <w:sz w:val="28"/>
      <w:szCs w:val="28"/>
    </w:rPr>
  </w:style>
  <w:style w:type="character" w:customStyle="1" w:styleId="40">
    <w:name w:val="正文文本 3 Char"/>
    <w:basedOn w:val="28"/>
    <w:link w:val="10"/>
    <w:qFormat/>
    <w:uiPriority w:val="99"/>
    <w:rPr>
      <w:rFonts w:ascii="Times New Roman" w:hAnsi="Times New Roman" w:eastAsia="宋体" w:cs="Times New Roman"/>
      <w:sz w:val="16"/>
      <w:szCs w:val="16"/>
    </w:rPr>
  </w:style>
  <w:style w:type="paragraph" w:styleId="41">
    <w:name w:val="List Paragraph"/>
    <w:basedOn w:val="1"/>
    <w:qFormat/>
    <w:uiPriority w:val="99"/>
    <w:pPr>
      <w:ind w:firstLine="420"/>
    </w:pPr>
    <w:rPr>
      <w:rFonts w:cs="Times New Roman"/>
      <w:szCs w:val="24"/>
    </w:rPr>
  </w:style>
  <w:style w:type="character" w:customStyle="1" w:styleId="42">
    <w:name w:val="未处理的提及1"/>
    <w:basedOn w:val="28"/>
    <w:semiHidden/>
    <w:unhideWhenUsed/>
    <w:qFormat/>
    <w:uiPriority w:val="99"/>
    <w:rPr>
      <w:color w:val="605E5C"/>
      <w:shd w:val="clear" w:color="auto" w:fill="E1DFDD"/>
    </w:rPr>
  </w:style>
  <w:style w:type="character" w:customStyle="1" w:styleId="43">
    <w:name w:val="日期 Char"/>
    <w:basedOn w:val="28"/>
    <w:link w:val="16"/>
    <w:semiHidden/>
    <w:qFormat/>
    <w:uiPriority w:val="99"/>
    <w:rPr>
      <w:rFonts w:ascii="Times New Roman" w:hAnsi="Times New Roman" w:eastAsia="宋体"/>
      <w:sz w:val="24"/>
    </w:rPr>
  </w:style>
  <w:style w:type="character" w:customStyle="1" w:styleId="44">
    <w:name w:val="正文文本缩进 2 Char"/>
    <w:basedOn w:val="28"/>
    <w:link w:val="17"/>
    <w:semiHidden/>
    <w:qFormat/>
    <w:uiPriority w:val="99"/>
    <w:rPr>
      <w:rFonts w:ascii="Times New Roman" w:hAnsi="Times New Roman" w:eastAsia="宋体"/>
      <w:sz w:val="24"/>
    </w:rPr>
  </w:style>
  <w:style w:type="paragraph" w:customStyle="1" w:styleId="45">
    <w:name w:val="TOC 标题1"/>
    <w:basedOn w:val="2"/>
    <w:next w:val="1"/>
    <w:unhideWhenUsed/>
    <w:qFormat/>
    <w:uiPriority w:val="39"/>
    <w:pPr>
      <w:widowControl/>
      <w:spacing w:before="240" w:line="259" w:lineRule="auto"/>
      <w:ind w:firstLine="0" w:firstLineChars="0"/>
      <w:jc w:val="left"/>
      <w:outlineLvl w:val="9"/>
    </w:pPr>
    <w:rPr>
      <w:rFonts w:asciiTheme="majorHAnsi" w:hAnsiTheme="majorHAnsi" w:eastAsiaTheme="majorEastAsia" w:cstheme="majorBidi"/>
      <w:bCs w:val="0"/>
      <w:color w:val="2F5597" w:themeColor="accent1" w:themeShade="BF"/>
      <w:kern w:val="0"/>
      <w:sz w:val="32"/>
      <w:szCs w:val="32"/>
    </w:rPr>
  </w:style>
  <w:style w:type="paragraph" w:customStyle="1" w:styleId="46">
    <w:name w:val="WPSOffice手动目录 1"/>
    <w:qFormat/>
    <w:uiPriority w:val="0"/>
    <w:rPr>
      <w:rFonts w:ascii="Times New Roman" w:hAnsi="Times New Roman" w:eastAsia="宋体" w:cs="Times New Roman"/>
      <w:lang w:val="en-US" w:eastAsia="zh-CN" w:bidi="ar-SA"/>
    </w:rPr>
  </w:style>
  <w:style w:type="paragraph" w:customStyle="1" w:styleId="47">
    <w:name w:val="段"/>
    <w:basedOn w:val="1"/>
    <w:next w:val="1"/>
    <w:qFormat/>
    <w:uiPriority w:val="0"/>
    <w:pPr>
      <w:widowControl/>
      <w:spacing w:line="240" w:lineRule="auto"/>
    </w:pPr>
    <w:rPr>
      <w:rFonts w:ascii="宋体" w:hAnsi="宋体" w:eastAsia="Times New Roman" w:cs="宋体"/>
      <w:kern w:val="0"/>
      <w:sz w:val="21"/>
      <w:szCs w:val="21"/>
    </w:rPr>
  </w:style>
  <w:style w:type="character" w:customStyle="1" w:styleId="48">
    <w:name w:val="font31"/>
    <w:basedOn w:val="28"/>
    <w:qFormat/>
    <w:uiPriority w:val="0"/>
    <w:rPr>
      <w:rFonts w:hint="eastAsia" w:ascii="宋体" w:hAnsi="宋体" w:eastAsia="宋体" w:cs="宋体"/>
      <w:b/>
      <w:bCs/>
      <w:color w:val="000000"/>
      <w:sz w:val="21"/>
      <w:szCs w:val="21"/>
      <w:u w:val="none"/>
    </w:rPr>
  </w:style>
  <w:style w:type="character" w:customStyle="1" w:styleId="49">
    <w:name w:val="font41"/>
    <w:basedOn w:val="28"/>
    <w:qFormat/>
    <w:uiPriority w:val="0"/>
    <w:rPr>
      <w:rFonts w:hint="eastAsia" w:ascii="宋体" w:hAnsi="宋体" w:eastAsia="宋体" w:cs="宋体"/>
      <w:color w:val="000000"/>
      <w:sz w:val="21"/>
      <w:szCs w:val="21"/>
      <w:u w:val="none"/>
    </w:rPr>
  </w:style>
  <w:style w:type="character" w:customStyle="1" w:styleId="50">
    <w:name w:val="font21"/>
    <w:basedOn w:val="28"/>
    <w:qFormat/>
    <w:uiPriority w:val="0"/>
    <w:rPr>
      <w:rFonts w:hint="eastAsia" w:ascii="宋体" w:hAnsi="宋体" w:eastAsia="宋体" w:cs="宋体"/>
      <w:color w:val="000000"/>
      <w:sz w:val="22"/>
      <w:szCs w:val="22"/>
      <w:u w:val="none"/>
    </w:rPr>
  </w:style>
  <w:style w:type="character" w:customStyle="1" w:styleId="51">
    <w:name w:val="font51"/>
    <w:basedOn w:val="28"/>
    <w:qFormat/>
    <w:uiPriority w:val="0"/>
    <w:rPr>
      <w:rFonts w:hint="default" w:ascii="Times New Roman" w:hAnsi="Times New Roman" w:cs="Times New Roman"/>
      <w:color w:val="000000"/>
      <w:sz w:val="20"/>
      <w:szCs w:val="20"/>
      <w:u w:val="single"/>
    </w:rPr>
  </w:style>
  <w:style w:type="character" w:customStyle="1" w:styleId="52">
    <w:name w:val="font01"/>
    <w:basedOn w:val="28"/>
    <w:qFormat/>
    <w:uiPriority w:val="0"/>
    <w:rPr>
      <w:rFonts w:hint="eastAsia" w:ascii="宋体" w:hAnsi="宋体" w:eastAsia="宋体" w:cs="宋体"/>
      <w:color w:val="000000"/>
      <w:sz w:val="24"/>
      <w:szCs w:val="24"/>
      <w:u w:val="none"/>
    </w:rPr>
  </w:style>
  <w:style w:type="paragraph" w:customStyle="1" w:styleId="53">
    <w:name w:val="样式 标题 2标题 1.1编号标题2Reset numberingh2MVA2ERMH2 + 宋体 四号 行距:..."/>
    <w:basedOn w:val="3"/>
    <w:qFormat/>
    <w:uiPriority w:val="0"/>
    <w:pPr>
      <w:spacing w:line="320" w:lineRule="exact"/>
      <w:ind w:firstLine="1281"/>
    </w:pPr>
    <w:rPr>
      <w:rFonts w:ascii="宋体" w:hAnsi="宋体" w:cs="宋体"/>
      <w:sz w:val="28"/>
    </w:rPr>
  </w:style>
  <w:style w:type="character" w:customStyle="1" w:styleId="54">
    <w:name w:val="标题 3 Char"/>
    <w:link w:val="4"/>
    <w:qFormat/>
    <w:uiPriority w:val="0"/>
    <w:rPr>
      <w:b/>
      <w:bCs/>
      <w:kern w:val="2"/>
      <w:sz w:val="32"/>
      <w:szCs w:val="32"/>
    </w:rPr>
  </w:style>
  <w:style w:type="paragraph" w:customStyle="1" w:styleId="55">
    <w:name w:val="正文缩进2格"/>
    <w:basedOn w:val="1"/>
    <w:qFormat/>
    <w:uiPriority w:val="0"/>
    <w:pPr>
      <w:spacing w:line="600" w:lineRule="exact"/>
      <w:ind w:firstLine="639" w:firstLineChars="206"/>
    </w:pPr>
    <w:rPr>
      <w:rFonts w:ascii="仿宋_GB2312" w:hAnsi="宋体" w:eastAsia="仿宋_GB2312" w:cs="仿宋_GB2312"/>
      <w:sz w:val="31"/>
      <w:szCs w:val="31"/>
    </w:rPr>
  </w:style>
  <w:style w:type="paragraph" w:customStyle="1" w:styleId="56">
    <w:name w:val="正文_0"/>
    <w:qFormat/>
    <w:uiPriority w:val="0"/>
    <w:pPr>
      <w:widowControl w:val="0"/>
      <w:jc w:val="both"/>
    </w:pPr>
    <w:rPr>
      <w:rFonts w:ascii="Calibri" w:hAnsi="Calibri" w:eastAsia="宋体" w:cs="Times New Roman"/>
      <w:kern w:val="2"/>
      <w:sz w:val="21"/>
      <w:szCs w:val="22"/>
      <w:lang w:val="en-US" w:eastAsia="zh-CN" w:bidi="ar-SA"/>
    </w:rPr>
  </w:style>
  <w:style w:type="table" w:customStyle="1" w:styleId="57">
    <w:name w:val="网格型1"/>
    <w:basedOn w:val="26"/>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8">
    <w:name w:val="网格型2"/>
    <w:basedOn w:val="2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59">
    <w:name w:val="批注框文本 Char"/>
    <w:basedOn w:val="28"/>
    <w:link w:val="18"/>
    <w:semiHidden/>
    <w:qFormat/>
    <w:uiPriority w:val="99"/>
    <w:rPr>
      <w:rFonts w:cstheme="minorBidi"/>
      <w:kern w:val="2"/>
      <w:sz w:val="18"/>
      <w:szCs w:val="18"/>
    </w:rPr>
  </w:style>
  <w:style w:type="paragraph" w:customStyle="1" w:styleId="60">
    <w:name w:val="纯文本1"/>
    <w:basedOn w:val="1"/>
    <w:autoRedefine/>
    <w:qFormat/>
    <w:uiPriority w:val="0"/>
    <w:pPr>
      <w:spacing w:line="360" w:lineRule="auto"/>
      <w:ind w:firstLine="420" w:firstLineChars="200"/>
    </w:pPr>
    <w:rPr>
      <w:rFonts w:ascii="宋体" w:hAnsi="宋体" w:cs="宋体"/>
      <w:color w:val="FF000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43</Pages>
  <Words>86</Words>
  <Characters>108</Characters>
  <Lines>178</Lines>
  <Paragraphs>50</Paragraphs>
  <TotalTime>5</TotalTime>
  <ScaleCrop>false</ScaleCrop>
  <LinksUpToDate>false</LinksUpToDate>
  <CharactersWithSpaces>111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2023-11-28T10:17:00Z</dcterms:created>
  <dc:creator>赵 伟</dc:creator>
  <cp:lastModifiedBy>DAIISY</cp:lastModifiedBy>
  <cp:lastPrinted>2026-10-16T02:44:06Z</cp:lastPrinted>
  <dcterms:modified xsi:type="dcterms:W3CDTF">2026-10-23T06:11:05Z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3EF25DDBE8BA49ADBE223BA45DE83BF5_13</vt:lpwstr>
  </property>
  <property fmtid="{D5CDD505-2E9C-101B-9397-08002B2CF9AE}" pid="4" name="KSOTemplateDocerSaveRecord">
    <vt:lpwstr>eyJoZGlkIjoiMzMwOWMwNTNkMmIzZTUwMzljNjMxYTBjYWRkZGFhZjUiLCJ1c2VySWQiOiIxNTE3MjI3Mjk2In0=</vt:lpwstr>
  </property>
</Properties>
</file>